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640"/>
        <w:rPr>
          <w:rFonts w:hint="eastAsia"/>
          <w:sz w:val="32"/>
          <w:szCs w:val="32"/>
        </w:rPr>
      </w:pPr>
    </w:p>
    <w:p>
      <w:pPr>
        <w:ind w:firstLine="643"/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房地产开发项目成本控制研究  </w:t>
      </w: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pStyle w:val="Heading1"/>
        <w:spacing w:before="720" w:after="480" w:line="288" w:lineRule="auto"/>
        <w:jc w:val="center"/>
        <w:rPr>
          <w:rFonts w:hint="eastAsia"/>
          <w:snapToGrid w:val="0"/>
          <w:sz w:val="32"/>
        </w:rPr>
      </w:pPr>
      <w:bookmarkStart w:id="0" w:name="_Toc34995160"/>
      <w:bookmarkStart w:id="1" w:name="_Toc156059698"/>
      <w:bookmarkStart w:id="2" w:name="_Toc156290948"/>
      <w:bookmarkStart w:id="3" w:name="_Toc156291003"/>
      <w:bookmarkStart w:id="4" w:name="_Toc156291138"/>
      <w:bookmarkStart w:id="5" w:name="_Toc156292341"/>
      <w:bookmarkStart w:id="6" w:name="_Toc156291990"/>
      <w:bookmarkStart w:id="7" w:name="_Toc156292241"/>
      <w:bookmarkStart w:id="8" w:name="_Toc156292612"/>
      <w:bookmarkStart w:id="9" w:name="_Toc156316882"/>
      <w:bookmarkStart w:id="10" w:name="_Toc160891962"/>
      <w:bookmarkStart w:id="11" w:name="_Toc163533792"/>
      <w:bookmarkStart w:id="12" w:name="_Toc163534517"/>
      <w:bookmarkStart w:id="13" w:name="_Toc163534798"/>
      <w:bookmarkStart w:id="14" w:name="_Toc163534838"/>
      <w:bookmarkStart w:id="15" w:name="_Toc163979241"/>
      <w:bookmarkStart w:id="16" w:name="_Toc156054417"/>
      <w:bookmarkStart w:id="17" w:name="_Toc304532177"/>
      <w:bookmarkStart w:id="18" w:name="_Toc29647889"/>
      <w:r>
        <w:rPr>
          <w:rFonts w:hint="eastAsia"/>
          <w:snapToGrid w:val="0"/>
          <w:sz w:val="32"/>
        </w:rPr>
        <w:t>摘　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>
      <w:pPr>
        <w:spacing w:line="288" w:lineRule="auto"/>
        <w:ind w:firstLine="360" w:firstLineChars="150"/>
        <w:rPr>
          <w:rFonts w:hint="eastAsia"/>
          <w:sz w:val="24"/>
        </w:rPr>
      </w:pPr>
      <w:r>
        <w:rPr>
          <w:rFonts w:hint="eastAsia"/>
          <w:sz w:val="24"/>
        </w:rPr>
        <w:t>近年来，房地产企业受国家宏观政策调控、土地供应政策收紧、贷款门槛提高、建筑市场人机料价格大幅上涨引起工程造价上升，以及客户观望导致资金回笼滞后等多方因素的影响，企业效益逐年下降。原来管理粗放、利润丰厚的房地产传统管理模式已无法适应</w:t>
      </w:r>
      <w:r>
        <w:rPr>
          <w:rFonts w:hint="eastAsia"/>
          <w:sz w:val="24"/>
        </w:rPr>
        <w:t>“</w:t>
      </w:r>
      <w:r>
        <w:rPr>
          <w:rFonts w:hint="eastAsia"/>
          <w:sz w:val="24"/>
        </w:rPr>
        <w:t>新常态</w:t>
      </w:r>
      <w:r>
        <w:rPr>
          <w:rFonts w:hint="eastAsia"/>
          <w:sz w:val="24"/>
        </w:rPr>
        <w:t>”</w:t>
      </w:r>
      <w:r>
        <w:rPr>
          <w:rFonts w:hint="eastAsia"/>
          <w:sz w:val="24"/>
        </w:rPr>
        <w:t>环境继续发展。在企业外部条件不利的情况下，通过加强企业内部管理，精准定位市场，合理设计方案，采用经济优化可行的施工组织方案，减少成本支出，从而实现节流增效是企业生存和持续发展的必由之路。本论文以房地产A工程项目的成本管理为研究对象，通过研究分析A工程项目开发建设全过程中投资策划、规划设计、招标管理、工程施工、竣工结算五个阶段和财务管理方面存在的成本管理问题，探索总结了项目开发各个阶段和财务方面成本控制的改进措施。</w:t>
      </w:r>
    </w:p>
    <w:p>
      <w:pPr>
        <w:spacing w:line="288" w:lineRule="auto"/>
        <w:rPr>
          <w:rFonts w:hint="eastAsia"/>
          <w:sz w:val="24"/>
        </w:rPr>
      </w:pPr>
      <w:r>
        <w:rPr>
          <w:rFonts w:hint="eastAsia"/>
          <w:b/>
        </w:rPr>
        <w:t>关 键 词</w:t>
      </w:r>
      <w:r>
        <w:rPr>
          <w:rFonts w:hint="eastAsia"/>
        </w:rPr>
        <w:t>：</w:t>
      </w:r>
      <w:r>
        <w:rPr>
          <w:rFonts w:hint="eastAsia"/>
          <w:sz w:val="24"/>
        </w:rPr>
        <w:t>房地产；成本管理；改进措施</w:t>
      </w:r>
    </w:p>
    <w:p>
      <w:pPr>
        <w:spacing w:line="288" w:lineRule="auto"/>
        <w:rPr>
          <w:rFonts w:hint="eastAsia"/>
          <w:sz w:val="24"/>
        </w:rPr>
      </w:pPr>
    </w:p>
    <w:p>
      <w:pPr>
        <w:spacing w:line="288" w:lineRule="auto"/>
        <w:rPr>
          <w:rFonts w:hint="eastAsia"/>
          <w:sz w:val="24"/>
        </w:rPr>
      </w:pPr>
    </w:p>
    <w:p>
      <w:pPr>
        <w:ind w:firstLine="422"/>
        <w:rPr>
          <w:rFonts w:hint="eastAsia"/>
        </w:rPr>
      </w:pPr>
      <w:r>
        <w:rPr>
          <w:rFonts w:hint="eastAsia"/>
          <w:b/>
        </w:rPr>
        <w:t>论文类型</w:t>
      </w:r>
      <w:r>
        <w:rPr>
          <w:rFonts w:hint="eastAsia"/>
        </w:rPr>
        <w:t>：应用研究</w:t>
      </w:r>
    </w:p>
    <w:p>
      <w:pPr>
        <w:spacing w:line="288" w:lineRule="auto"/>
        <w:rPr>
          <w:sz w:val="24"/>
        </w:rPr>
        <w:sectPr>
          <w:headerReference w:type="default" r:id="rId4"/>
          <w:footerReference w:type="default" r:id="rId5"/>
          <w:pgSz w:w="11906" w:h="16838"/>
          <w:pgMar w:top="1701" w:right="1474" w:bottom="1418" w:left="1474" w:header="851" w:footer="992" w:gutter="0"/>
          <w:pgNumType w:fmt="lowerRoman" w:start="1"/>
          <w:cols w:space="708"/>
          <w:docGrid w:type="lines" w:linePitch="312"/>
        </w:sectPr>
      </w:pPr>
    </w:p>
    <w:p>
      <w:pPr>
        <w:pStyle w:val="Heading1"/>
        <w:spacing w:before="720" w:after="480" w:line="288" w:lineRule="auto"/>
        <w:ind w:left="22"/>
        <w:jc w:val="center"/>
        <w:rPr>
          <w:rFonts w:hint="eastAsia"/>
          <w:snapToGrid w:val="0"/>
          <w:sz w:val="32"/>
        </w:rPr>
      </w:pPr>
      <w:bookmarkStart w:id="19" w:name="_Toc156291005"/>
      <w:bookmarkStart w:id="20" w:name="_Toc156291140"/>
      <w:bookmarkStart w:id="21" w:name="_Toc156290950"/>
      <w:bookmarkStart w:id="22" w:name="_Toc156059700"/>
      <w:bookmarkStart w:id="23" w:name="_Toc156054419"/>
      <w:bookmarkStart w:id="24" w:name="_Toc156291992"/>
      <w:bookmarkStart w:id="25" w:name="_Toc156292243"/>
      <w:bookmarkStart w:id="26" w:name="_Toc156292343"/>
      <w:bookmarkStart w:id="27" w:name="_Toc156292614"/>
      <w:bookmarkStart w:id="28" w:name="_Toc156316884"/>
      <w:bookmarkStart w:id="29" w:name="_Toc160891964"/>
      <w:bookmarkStart w:id="30" w:name="_Toc163533794"/>
      <w:bookmarkStart w:id="31" w:name="_Toc163534519"/>
      <w:bookmarkStart w:id="32" w:name="_Toc163534800"/>
      <w:bookmarkStart w:id="33" w:name="_Toc163534840"/>
      <w:bookmarkStart w:id="34" w:name="_Toc29647890"/>
      <w:bookmarkStart w:id="35" w:name="_Toc304532178"/>
      <w:bookmarkStart w:id="36" w:name="_Toc163979243"/>
      <w:r>
        <w:rPr>
          <w:rFonts w:hint="eastAsia"/>
          <w:snapToGrid w:val="0"/>
          <w:sz w:val="32"/>
        </w:rPr>
        <w:t>目  录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>
      <w:pPr>
        <w:pStyle w:val="TOC1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fldChar w:fldCharType="begin"/>
      </w:r>
      <w:r>
        <w:rPr>
          <w:rFonts w:ascii="宋体" w:hAnsi="宋体"/>
          <w:sz w:val="24"/>
        </w:rPr>
        <w:instrText xml:space="preserve"> </w:instrText>
      </w:r>
      <w:r>
        <w:rPr>
          <w:rFonts w:ascii="宋体" w:hAnsi="宋体" w:hint="eastAsia"/>
          <w:sz w:val="24"/>
        </w:rPr>
        <w:instrText>TOC \o "1-3" \h \z \u</w:instrText>
      </w:r>
      <w:r>
        <w:rPr>
          <w:rFonts w:ascii="宋体" w:hAnsi="宋体"/>
          <w:sz w:val="24"/>
        </w:rPr>
        <w:instrText xml:space="preserve"> </w:instrText>
      </w:r>
      <w:r>
        <w:rPr>
          <w:rFonts w:ascii="宋体" w:hAnsi="宋体"/>
          <w:sz w:val="24"/>
        </w:rPr>
        <w:fldChar w:fldCharType="separate"/>
      </w:r>
      <w:hyperlink w:anchor="_Toc29647889" w:history="1">
        <w:r>
          <w:rPr>
            <w:rStyle w:val="Hyperlink"/>
            <w:rFonts w:ascii="宋体" w:hAnsi="宋体" w:hint="eastAsia"/>
            <w:snapToGrid w:val="0"/>
            <w:sz w:val="24"/>
          </w:rPr>
          <w:t>摘　要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_Toc29647889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i</w:t>
        </w:r>
        <w:r>
          <w:rPr>
            <w:rFonts w:ascii="宋体" w:hAnsi="宋体"/>
            <w:sz w:val="24"/>
          </w:rPr>
          <w:fldChar w:fldCharType="end"/>
        </w:r>
      </w:hyperlink>
      <w:r>
        <w:rPr>
          <w:rFonts w:ascii="宋体" w:hAnsi="宋体"/>
          <w:sz w:val="24"/>
        </w:rPr>
        <w:fldChar w:fldCharType="end"/>
      </w:r>
    </w:p>
    <w:p>
      <w:pPr>
        <w:pStyle w:val="TOC1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890" w:history="1">
        <w:r>
          <w:rPr>
            <w:rStyle w:val="Hyperlink"/>
            <w:rFonts w:ascii="宋体" w:hAnsi="宋体" w:hint="eastAsia"/>
            <w:snapToGrid w:val="0"/>
            <w:sz w:val="24"/>
          </w:rPr>
          <w:t>目</w:t>
        </w:r>
        <w:r>
          <w:rPr>
            <w:rStyle w:val="Hyperlink"/>
            <w:rFonts w:ascii="宋体" w:hAnsi="宋体"/>
            <w:snapToGrid w:val="0"/>
            <w:sz w:val="24"/>
          </w:rPr>
          <w:t xml:space="preserve">  </w:t>
        </w:r>
        <w:r>
          <w:rPr>
            <w:rStyle w:val="Hyperlink"/>
            <w:rFonts w:ascii="宋体" w:hAnsi="宋体" w:hint="eastAsia"/>
            <w:snapToGrid w:val="0"/>
            <w:sz w:val="24"/>
          </w:rPr>
          <w:t>录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_Toc29647890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ii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1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891" w:history="1">
        <w:r>
          <w:rPr>
            <w:rStyle w:val="Hyperlink"/>
            <w:rFonts w:ascii="宋体" w:hAnsi="宋体"/>
            <w:snapToGrid w:val="0"/>
            <w:sz w:val="24"/>
          </w:rPr>
          <w:t>1</w:t>
        </w:r>
        <w:r>
          <w:rPr>
            <w:rStyle w:val="Hyperlink"/>
            <w:rFonts w:ascii="宋体" w:hAnsi="宋体" w:hint="eastAsia"/>
            <w:snapToGrid w:val="0"/>
            <w:sz w:val="24"/>
          </w:rPr>
          <w:t>前言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_Toc29647891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1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1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892" w:history="1">
        <w:r>
          <w:rPr>
            <w:rStyle w:val="Hyperlink"/>
            <w:rFonts w:ascii="宋体" w:hAnsi="宋体"/>
            <w:snapToGrid w:val="0"/>
            <w:sz w:val="24"/>
          </w:rPr>
          <w:t>2</w:t>
        </w:r>
        <w:r>
          <w:rPr>
            <w:rStyle w:val="Hyperlink"/>
            <w:rFonts w:ascii="宋体" w:hAnsi="宋体" w:hint="eastAsia"/>
            <w:snapToGrid w:val="0"/>
            <w:sz w:val="24"/>
          </w:rPr>
          <w:t>房地产项目成本管理概述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_Toc29647892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2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2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893" w:history="1">
        <w:r>
          <w:rPr>
            <w:rStyle w:val="Hyperlink"/>
            <w:rFonts w:ascii="宋体" w:hAnsi="宋体"/>
            <w:sz w:val="24"/>
          </w:rPr>
          <w:t>2.1</w:t>
        </w:r>
        <w:r>
          <w:rPr>
            <w:rStyle w:val="Hyperlink"/>
            <w:rFonts w:ascii="宋体" w:hAnsi="宋体" w:hint="eastAsia"/>
            <w:sz w:val="24"/>
          </w:rPr>
          <w:t>房地产项目成本管理的内涵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_Toc29647893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2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2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894" w:history="1">
        <w:r>
          <w:rPr>
            <w:rStyle w:val="Hyperlink"/>
            <w:rFonts w:ascii="宋体" w:hAnsi="宋体"/>
            <w:sz w:val="24"/>
          </w:rPr>
          <w:t>2.2</w:t>
        </w:r>
        <w:r>
          <w:rPr>
            <w:rStyle w:val="Hyperlink"/>
            <w:rFonts w:ascii="宋体" w:hAnsi="宋体" w:hint="eastAsia"/>
            <w:sz w:val="24"/>
          </w:rPr>
          <w:t>房地产项目成本管理的构成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_Toc29647894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2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895" w:history="1">
        <w:r>
          <w:rPr>
            <w:rStyle w:val="Hyperlink"/>
            <w:rFonts w:ascii="宋体" w:hAnsi="宋体"/>
            <w:sz w:val="24"/>
          </w:rPr>
          <w:t>2.2.1</w:t>
        </w:r>
        <w:r>
          <w:rPr>
            <w:rStyle w:val="Hyperlink"/>
            <w:rFonts w:ascii="宋体" w:hAnsi="宋体" w:hint="eastAsia"/>
            <w:sz w:val="24"/>
          </w:rPr>
          <w:t>投资策划阶段的成本管理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_Toc29647895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2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896" w:history="1">
        <w:r>
          <w:rPr>
            <w:rStyle w:val="Hyperlink"/>
            <w:rFonts w:ascii="宋体" w:hAnsi="宋体"/>
            <w:sz w:val="24"/>
          </w:rPr>
          <w:t>2.2.2</w:t>
        </w:r>
        <w:r>
          <w:rPr>
            <w:rStyle w:val="Hyperlink"/>
            <w:rFonts w:ascii="宋体" w:hAnsi="宋体" w:hint="eastAsia"/>
            <w:sz w:val="24"/>
          </w:rPr>
          <w:t>规划设计阶段的成本管理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_Toc29647896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2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897" w:history="1">
        <w:r>
          <w:rPr>
            <w:rStyle w:val="Hyperlink"/>
            <w:rFonts w:ascii="宋体" w:hAnsi="宋体"/>
            <w:sz w:val="24"/>
          </w:rPr>
          <w:t>2.2.3</w:t>
        </w:r>
        <w:r>
          <w:rPr>
            <w:rStyle w:val="Hyperlink"/>
            <w:rFonts w:ascii="宋体" w:hAnsi="宋体" w:hint="eastAsia"/>
            <w:sz w:val="24"/>
          </w:rPr>
          <w:t>招标阶段的成本管理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_Toc29647897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3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898" w:history="1">
        <w:r>
          <w:rPr>
            <w:rStyle w:val="Hyperlink"/>
            <w:rFonts w:ascii="宋体" w:hAnsi="宋体"/>
            <w:sz w:val="24"/>
          </w:rPr>
          <w:t>2.2.4</w:t>
        </w:r>
        <w:r>
          <w:rPr>
            <w:rStyle w:val="Hyperlink"/>
            <w:rFonts w:ascii="宋体" w:hAnsi="宋体" w:hint="eastAsia"/>
            <w:sz w:val="24"/>
          </w:rPr>
          <w:t>工程施工阶段的成本管理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_Toc29647898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3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899" w:history="1">
        <w:r>
          <w:rPr>
            <w:rStyle w:val="Hyperlink"/>
            <w:rFonts w:ascii="宋体" w:hAnsi="宋体"/>
            <w:sz w:val="24"/>
          </w:rPr>
          <w:t>2.2.5</w:t>
        </w:r>
        <w:r>
          <w:rPr>
            <w:rStyle w:val="Hyperlink"/>
            <w:rFonts w:ascii="宋体" w:hAnsi="宋体" w:hint="eastAsia"/>
            <w:sz w:val="24"/>
          </w:rPr>
          <w:t>竣工结算和决算阶段成本管理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_Toc29647899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3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1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00" w:history="1">
        <w:r>
          <w:rPr>
            <w:rStyle w:val="Hyperlink"/>
            <w:rFonts w:ascii="宋体" w:hAnsi="宋体"/>
            <w:snapToGrid w:val="0"/>
            <w:sz w:val="24"/>
          </w:rPr>
          <w:t>3</w:t>
        </w:r>
        <w:r>
          <w:rPr>
            <w:rStyle w:val="Hyperlink"/>
            <w:rFonts w:ascii="宋体" w:hAnsi="宋体" w:hint="eastAsia"/>
            <w:snapToGrid w:val="0"/>
            <w:sz w:val="24"/>
          </w:rPr>
          <w:t>A工程项目成本管理现状及问题分析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_Toc29647900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4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2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01" w:history="1">
        <w:r>
          <w:rPr>
            <w:rStyle w:val="Hyperlink"/>
            <w:rFonts w:ascii="宋体" w:hAnsi="宋体"/>
            <w:sz w:val="24"/>
          </w:rPr>
          <w:t>3.1</w:t>
        </w:r>
        <w:r>
          <w:rPr>
            <w:rStyle w:val="Hyperlink"/>
            <w:rFonts w:ascii="宋体" w:hAnsi="宋体" w:hint="eastAsia"/>
            <w:sz w:val="24"/>
          </w:rPr>
          <w:t>A工程项目概况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_Toc29647901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4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2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02" w:history="1">
        <w:r>
          <w:rPr>
            <w:rStyle w:val="Hyperlink"/>
            <w:rFonts w:ascii="宋体" w:hAnsi="宋体"/>
            <w:sz w:val="24"/>
          </w:rPr>
          <w:t>3.2</w:t>
        </w:r>
        <w:r>
          <w:rPr>
            <w:rStyle w:val="Hyperlink"/>
            <w:rFonts w:ascii="宋体" w:hAnsi="宋体" w:hint="eastAsia"/>
            <w:sz w:val="24"/>
          </w:rPr>
          <w:t>A工程项目成本管理现状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_Toc29647902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4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03" w:history="1">
        <w:r>
          <w:rPr>
            <w:rStyle w:val="Hyperlink"/>
            <w:rFonts w:ascii="宋体" w:hAnsi="宋体"/>
            <w:sz w:val="24"/>
          </w:rPr>
          <w:t>3.2.1</w:t>
        </w:r>
        <w:r>
          <w:rPr>
            <w:rStyle w:val="Hyperlink"/>
            <w:rFonts w:ascii="宋体" w:hAnsi="宋体" w:hint="eastAsia"/>
            <w:sz w:val="24"/>
          </w:rPr>
          <w:t>项目成本管理情况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_Toc29647903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5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04" w:history="1">
        <w:r>
          <w:rPr>
            <w:rStyle w:val="Hyperlink"/>
            <w:rFonts w:ascii="宋体" w:hAnsi="宋体"/>
            <w:sz w:val="24"/>
          </w:rPr>
          <w:t>3.2.2</w:t>
        </w:r>
        <w:r>
          <w:rPr>
            <w:rStyle w:val="Hyperlink"/>
            <w:rFonts w:ascii="宋体" w:hAnsi="宋体" w:hint="eastAsia"/>
            <w:sz w:val="24"/>
          </w:rPr>
          <w:t>项目成本管理相关制度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_Toc29647904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5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2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05" w:history="1">
        <w:r>
          <w:rPr>
            <w:rStyle w:val="Hyperlink"/>
            <w:rFonts w:ascii="宋体" w:hAnsi="宋体"/>
            <w:sz w:val="24"/>
          </w:rPr>
          <w:t>3.3</w:t>
        </w:r>
        <w:r>
          <w:rPr>
            <w:rStyle w:val="Hyperlink"/>
            <w:rFonts w:ascii="宋体" w:hAnsi="宋体" w:hint="eastAsia"/>
            <w:sz w:val="24"/>
          </w:rPr>
          <w:t>A工程项目成本管理中存在的问题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_Toc29647905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6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06" w:history="1">
        <w:r>
          <w:rPr>
            <w:rStyle w:val="Hyperlink"/>
            <w:rFonts w:ascii="宋体" w:hAnsi="宋体"/>
            <w:sz w:val="24"/>
          </w:rPr>
          <w:t>3.3.1</w:t>
        </w:r>
        <w:r>
          <w:rPr>
            <w:rStyle w:val="Hyperlink"/>
            <w:rFonts w:ascii="宋体" w:hAnsi="宋体" w:hint="eastAsia"/>
            <w:sz w:val="24"/>
          </w:rPr>
          <w:t>投资策划阶段缺乏精准成本控制目标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_Toc29647906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6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07" w:history="1">
        <w:r>
          <w:rPr>
            <w:rStyle w:val="Hyperlink"/>
            <w:rFonts w:ascii="宋体" w:hAnsi="宋体"/>
            <w:sz w:val="24"/>
          </w:rPr>
          <w:t>3.3.2</w:t>
        </w:r>
        <w:r>
          <w:rPr>
            <w:rStyle w:val="Hyperlink"/>
            <w:rFonts w:ascii="宋体" w:hAnsi="宋体" w:hint="eastAsia"/>
            <w:sz w:val="24"/>
          </w:rPr>
          <w:t>设计阶段的成本管理形同虚设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_Toc29647907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6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08" w:history="1">
        <w:r>
          <w:rPr>
            <w:rStyle w:val="Hyperlink"/>
            <w:rFonts w:ascii="宋体" w:hAnsi="宋体"/>
            <w:sz w:val="24"/>
          </w:rPr>
          <w:t>3.3.3</w:t>
        </w:r>
        <w:r>
          <w:rPr>
            <w:rStyle w:val="Hyperlink"/>
            <w:rFonts w:ascii="宋体" w:hAnsi="宋体" w:hint="eastAsia"/>
            <w:sz w:val="24"/>
          </w:rPr>
          <w:t>招投标阶段的成本管理缺乏有效控制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_Toc29647908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7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09" w:history="1">
        <w:r>
          <w:rPr>
            <w:rStyle w:val="Hyperlink"/>
            <w:rFonts w:ascii="宋体" w:hAnsi="宋体"/>
            <w:sz w:val="24"/>
          </w:rPr>
          <w:t>3.3.4</w:t>
        </w:r>
        <w:r>
          <w:rPr>
            <w:rStyle w:val="Hyperlink"/>
            <w:rFonts w:ascii="宋体" w:hAnsi="宋体" w:hint="eastAsia"/>
            <w:sz w:val="24"/>
          </w:rPr>
          <w:t>施工阶段成本管理漏洞多无预警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_Toc29647909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8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10" w:history="1">
        <w:r>
          <w:rPr>
            <w:rStyle w:val="Hyperlink"/>
            <w:rFonts w:ascii="宋体" w:hAnsi="宋体"/>
            <w:sz w:val="24"/>
          </w:rPr>
          <w:t>3.3.5</w:t>
        </w:r>
        <w:r>
          <w:rPr>
            <w:rStyle w:val="Hyperlink"/>
            <w:rFonts w:ascii="宋体" w:hAnsi="宋体" w:hint="eastAsia"/>
            <w:sz w:val="24"/>
          </w:rPr>
          <w:t>竣工结算不及时，无成本后评价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_Toc29647910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8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1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11" w:history="1">
        <w:r>
          <w:rPr>
            <w:rStyle w:val="Hyperlink"/>
            <w:rFonts w:ascii="宋体" w:hAnsi="宋体"/>
            <w:snapToGrid w:val="0"/>
            <w:sz w:val="24"/>
          </w:rPr>
          <w:t xml:space="preserve">4 </w:t>
        </w:r>
        <w:r>
          <w:rPr>
            <w:rStyle w:val="Hyperlink"/>
            <w:rFonts w:ascii="宋体" w:hAnsi="宋体" w:hint="eastAsia"/>
            <w:snapToGrid w:val="0"/>
            <w:sz w:val="24"/>
          </w:rPr>
          <w:t>A工程项目成本管理的改进措施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_Toc29647911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10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2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12" w:history="1">
        <w:r>
          <w:rPr>
            <w:rStyle w:val="Hyperlink"/>
            <w:rFonts w:ascii="宋体" w:hAnsi="宋体"/>
            <w:sz w:val="24"/>
          </w:rPr>
          <w:t>4.1</w:t>
        </w:r>
        <w:r>
          <w:rPr>
            <w:rStyle w:val="Hyperlink"/>
            <w:rFonts w:ascii="宋体" w:hAnsi="宋体" w:hint="eastAsia"/>
            <w:sz w:val="24"/>
          </w:rPr>
          <w:t>项目投资策划阶段成本管理的改进措施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_Toc29647912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10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13" w:history="1">
        <w:r>
          <w:rPr>
            <w:rStyle w:val="Hyperlink"/>
            <w:rFonts w:ascii="宋体" w:hAnsi="宋体"/>
            <w:sz w:val="24"/>
          </w:rPr>
          <w:t>4.1.1</w:t>
        </w:r>
        <w:r>
          <w:rPr>
            <w:rStyle w:val="Hyperlink"/>
            <w:rFonts w:ascii="宋体" w:hAnsi="宋体" w:hint="eastAsia"/>
            <w:sz w:val="24"/>
          </w:rPr>
          <w:t>合理规划人力资源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_Toc29647913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10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14" w:history="1">
        <w:r>
          <w:rPr>
            <w:rStyle w:val="Hyperlink"/>
            <w:rFonts w:ascii="宋体" w:hAnsi="宋体"/>
            <w:sz w:val="24"/>
          </w:rPr>
          <w:t>4.1.2</w:t>
        </w:r>
        <w:r>
          <w:rPr>
            <w:rStyle w:val="Hyperlink"/>
            <w:rFonts w:ascii="宋体" w:hAnsi="宋体" w:hint="eastAsia"/>
            <w:sz w:val="24"/>
          </w:rPr>
          <w:t>建立合理的目标成本制度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_Toc29647914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10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15" w:history="1">
        <w:r>
          <w:rPr>
            <w:rStyle w:val="Hyperlink"/>
            <w:rFonts w:ascii="宋体" w:hAnsi="宋体"/>
            <w:sz w:val="24"/>
          </w:rPr>
          <w:t>4.1.3</w:t>
        </w:r>
        <w:r>
          <w:rPr>
            <w:rStyle w:val="Hyperlink"/>
            <w:rFonts w:ascii="宋体" w:hAnsi="宋体" w:hint="eastAsia"/>
            <w:sz w:val="24"/>
          </w:rPr>
          <w:t>做好市场调研和总图方案设计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_Toc29647915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11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16" w:history="1">
        <w:r>
          <w:rPr>
            <w:rStyle w:val="Hyperlink"/>
            <w:rFonts w:ascii="宋体" w:hAnsi="宋体"/>
            <w:sz w:val="24"/>
          </w:rPr>
          <w:t>4.1.4</w:t>
        </w:r>
        <w:r>
          <w:rPr>
            <w:rStyle w:val="Hyperlink"/>
            <w:rFonts w:ascii="宋体" w:hAnsi="宋体" w:hint="eastAsia"/>
            <w:sz w:val="24"/>
          </w:rPr>
          <w:t>主导投资估算编制工作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_Toc29647916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11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2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17" w:history="1">
        <w:r>
          <w:rPr>
            <w:rStyle w:val="Hyperlink"/>
            <w:rFonts w:ascii="宋体" w:hAnsi="宋体"/>
            <w:sz w:val="24"/>
          </w:rPr>
          <w:t>4.2</w:t>
        </w:r>
        <w:r>
          <w:rPr>
            <w:rStyle w:val="Hyperlink"/>
            <w:rFonts w:ascii="宋体" w:hAnsi="宋体" w:hint="eastAsia"/>
            <w:sz w:val="24"/>
          </w:rPr>
          <w:t>项目设计阶段成本管理的改进措施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_Toc29647917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12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18" w:history="1">
        <w:r>
          <w:rPr>
            <w:rStyle w:val="Hyperlink"/>
            <w:rFonts w:ascii="宋体" w:hAnsi="宋体"/>
            <w:sz w:val="24"/>
          </w:rPr>
          <w:t>4.2.1</w:t>
        </w:r>
        <w:r>
          <w:rPr>
            <w:rStyle w:val="Hyperlink"/>
            <w:rFonts w:ascii="宋体" w:hAnsi="宋体" w:hint="eastAsia"/>
            <w:sz w:val="24"/>
          </w:rPr>
          <w:t>选择优质的设计单位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_Toc29647918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12</w:t>
        </w:r>
        <w:r>
          <w:rPr>
            <w:rFonts w:ascii="宋体" w:hAnsi="宋体"/>
            <w:sz w:val="24"/>
          </w:rPr>
          <w:fldChar w:fldCharType="end"/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  <w:hyperlink w:anchor="_Toc29647919" w:history="1">
        <w:r>
          <w:rPr>
            <w:rStyle w:val="Hyperlink"/>
            <w:rFonts w:ascii="宋体" w:hAnsi="宋体"/>
            <w:sz w:val="24"/>
          </w:rPr>
          <w:t>4.2.2</w:t>
        </w:r>
        <w:r>
          <w:rPr>
            <w:rStyle w:val="Hyperlink"/>
            <w:rFonts w:ascii="宋体" w:hAnsi="宋体" w:hint="eastAsia"/>
            <w:sz w:val="24"/>
          </w:rPr>
          <w:t>根据功能定位，实现限额设计</w:t>
        </w:r>
        <w:r>
          <w:rPr>
            <w:rFonts w:ascii="宋体" w:hAnsi="宋体"/>
            <w:sz w:val="24"/>
          </w:rPr>
          <w:tab/>
        </w:r>
        <w:r>
          <w:rPr>
            <w:rFonts w:ascii="宋体" w:hAnsi="宋体"/>
            <w:sz w:val="24"/>
          </w:rPr>
          <w:fldChar w:fldCharType="begin"/>
        </w:r>
        <w:r>
          <w:rPr>
            <w:rFonts w:ascii="宋体" w:hAnsi="宋体"/>
            <w:sz w:val="24"/>
          </w:rPr>
          <w:instrText xml:space="preserve"> PAGEREF _Toc29647919 \h </w:instrText>
        </w:r>
        <w:r>
          <w:rPr>
            <w:rFonts w:ascii="宋体" w:hAnsi="宋体"/>
            <w:sz w:val="24"/>
          </w:rPr>
          <w:fldChar w:fldCharType="separate"/>
        </w:r>
        <w:r>
          <w:rPr>
            <w:rFonts w:ascii="宋体" w:hAnsi="宋体"/>
            <w:sz w:val="24"/>
          </w:rPr>
          <w:t>12</w:t>
        </w:r>
        <w:r>
          <w:rPr>
            <w:rFonts w:ascii="宋体" w:hAnsi="宋体"/>
            <w:sz w:val="24"/>
          </w:rPr>
          <w:fldChar w:fldCharType="end"/>
        </w:r>
      </w:hyperlink>
      <w:r>
        <w:rPr>
          <w:rFonts w:ascii="宋体" w:hAnsi="宋体"/>
          <w:sz w:val="24"/>
        </w:rPr>
        <w:br/>
      </w:r>
      <w:r>
        <w:rPr>
          <w:rFonts w:ascii="宋体" w:hAnsi="宋体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https://d.book118.com/547120040026006034</w:t>
        </w:r>
      </w:hyperlink>
    </w:p>
    <w:p>
      <w:pPr>
        <w:pStyle w:val="TOC3"/>
        <w:tabs>
          <w:tab w:val="right" w:leader="dot" w:pos="8948"/>
        </w:tabs>
        <w:spacing w:line="288" w:lineRule="auto"/>
        <w:rPr>
          <w:rFonts w:ascii="宋体" w:hAnsi="宋体"/>
          <w:sz w:val="24"/>
        </w:rPr>
      </w:pPr>
    </w:p>
    <w:sectPr>
      <w:headerReference w:type="default" r:id="rId7"/>
      <w:footerReference w:type="default" r:id="rId8"/>
      <w:pgSz w:w="11906" w:h="16838"/>
      <w:pgMar w:top="1701" w:right="1474" w:bottom="1418" w:left="1474" w:header="851" w:footer="992" w:gutter="0"/>
      <w:pgNumType w:fmt="lowerRoman" w:start="2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ii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double" w:sz="4" w:space="1" w:color="auto"/>
      </w:pBdr>
      <w:tabs>
        <w:tab w:val="center" w:pos="4153"/>
        <w:tab w:val="right" w:pos="8306"/>
      </w:tabs>
      <w:spacing w:line="288" w:lineRule="auto"/>
      <w:rPr>
        <w:sz w:val="21"/>
        <w:szCs w:val="21"/>
      </w:rPr>
    </w:pPr>
    <w:r>
      <w:rPr>
        <w:sz w:val="21"/>
        <w:szCs w:val="21"/>
      </w:rPr>
      <w:fldChar w:fldCharType="begin"/>
    </w:r>
    <w:r>
      <w:rPr>
        <w:sz w:val="21"/>
        <w:szCs w:val="21"/>
      </w:rPr>
      <w:instrText xml:space="preserve"> STYLEREF  "标题 1"  \* MERGEFORMAT </w:instrText>
    </w:r>
    <w:r>
      <w:rPr>
        <w:sz w:val="21"/>
        <w:szCs w:val="21"/>
      </w:rPr>
      <w:fldChar w:fldCharType="separate"/>
    </w:r>
    <w:r>
      <w:rPr>
        <w:sz w:val="21"/>
        <w:szCs w:val="21"/>
      </w:rPr>
      <w:t>摘　要</w:t>
    </w:r>
    <w:r>
      <w:rPr>
        <w:sz w:val="21"/>
        <w:szCs w:val="21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double" w:sz="4" w:space="1" w:color="auto"/>
      </w:pBdr>
      <w:tabs>
        <w:tab w:val="center" w:pos="4153"/>
        <w:tab w:val="right" w:pos="8306"/>
      </w:tabs>
      <w:spacing w:line="288" w:lineRule="auto"/>
      <w:rPr>
        <w:sz w:val="21"/>
        <w:szCs w:val="21"/>
      </w:rPr>
    </w:pPr>
    <w:r>
      <w:rPr>
        <w:sz w:val="21"/>
        <w:szCs w:val="21"/>
      </w:rPr>
      <w:fldChar w:fldCharType="begin"/>
    </w:r>
    <w:r>
      <w:rPr>
        <w:sz w:val="21"/>
        <w:szCs w:val="21"/>
      </w:rPr>
      <w:instrText xml:space="preserve"> STYLEREF  "标题 1"  \* MERGEFORMAT </w:instrText>
    </w:r>
    <w:r>
      <w:rPr>
        <w:sz w:val="21"/>
        <w:szCs w:val="21"/>
      </w:rPr>
      <w:fldChar w:fldCharType="separate"/>
    </w:r>
    <w:r>
      <w:rPr>
        <w:sz w:val="21"/>
        <w:szCs w:val="21"/>
      </w:rPr>
      <w:t>目  录</w:t>
    </w:r>
    <w:r>
      <w:rPr>
        <w:sz w:val="21"/>
        <w:szCs w:val="21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712"/>
    <w:rsid w:val="00070AB4"/>
    <w:rsid w:val="0012219E"/>
    <w:rsid w:val="0029558A"/>
    <w:rsid w:val="003F72F5"/>
    <w:rsid w:val="004326AF"/>
    <w:rsid w:val="00570264"/>
    <w:rsid w:val="00724CCA"/>
    <w:rsid w:val="007F5D77"/>
    <w:rsid w:val="00C81AA4"/>
    <w:rsid w:val="00CE4732"/>
    <w:rsid w:val="00E174CB"/>
    <w:rsid w:val="00E54341"/>
    <w:rsid w:val="00EA54E6"/>
    <w:rsid w:val="00EF33B3"/>
    <w:rsid w:val="00F54712"/>
    <w:rsid w:val="224170A0"/>
    <w:rsid w:val="6FF74BB6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uiPriority="0" w:unhideWhenUsed="0"/>
    <w:lsdException w:name="toc 2" w:uiPriority="0" w:unhideWhenUsed="0"/>
    <w:lsdException w:name="toc 3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OC3">
    <w:name w:val="toc 3"/>
    <w:basedOn w:val="Normal"/>
    <w:next w:val="Normal"/>
    <w:semiHidden/>
    <w:pPr>
      <w:ind w:left="840" w:leftChars="400"/>
    </w:pPr>
  </w:style>
  <w:style w:type="paragraph" w:styleId="Date">
    <w:name w:val="Date"/>
    <w:basedOn w:val="Normal"/>
    <w:next w:val="Normal"/>
    <w:pPr>
      <w:spacing w:line="288" w:lineRule="auto"/>
    </w:pPr>
    <w:rPr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  <w:semiHidden/>
  </w:style>
  <w:style w:type="paragraph" w:styleId="TOC2">
    <w:name w:val="toc 2"/>
    <w:basedOn w:val="Normal"/>
    <w:next w:val="Normal"/>
    <w:semiHidden/>
    <w:pPr>
      <w:ind w:left="420" w:leftChars="200"/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547120040026006034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3379</Words>
  <Characters>19263</Characters>
  <Application>Microsoft Office Word</Application>
  <DocSecurity>0</DocSecurity>
  <Lines>160</Lines>
  <Paragraphs>45</Paragraphs>
  <ScaleCrop>false</ScaleCrop>
  <Company/>
  <LinksUpToDate>false</LinksUpToDate>
  <CharactersWithSpaces>22597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H工程项目成本控制的完善研究</dc:title>
  <dc:creator>Windows 用户</dc:creator>
  <cp:lastModifiedBy>张恒</cp:lastModifiedBy>
  <cp:revision>2</cp:revision>
  <cp:lastPrinted>2021-05-19T20:19:00Z</cp:lastPrinted>
  <dcterms:created xsi:type="dcterms:W3CDTF">2020-01-05T07:33:00Z</dcterms:created>
  <dcterms:modified xsi:type="dcterms:W3CDTF">2024-01-23T12:11:51Z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9A8506D72749444EBA7B5824B96284C2_12</vt:lpwstr>
  </property>
  <property fmtid="{D5CDD505-2E9C-101B-9397-08002B2CF9AE}" pid="3" name="KSOProductBuildVer">
    <vt:lpwstr>2052-12.1.0.16120</vt:lpwstr>
  </property>
</Properties>
</file>