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0"/>
        <w:ind w:left="3628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2"/>
        </w:rPr>
        <w:t>微生物净化空调器可行性开发报告</w:t>
      </w:r>
    </w:p>
    <w:p>
      <w:pPr>
        <w:pStyle w:val="BodyText"/>
        <w:rPr>
          <w:b/>
          <w:sz w:val="16"/>
        </w:rPr>
      </w:pPr>
      <w:r>
        <w:pict>
          <v:group id="_x0000_s1025" style="width:630pt;height:141pt;margin-top:12.21pt;margin-left:132pt;mso-position-horizontal-relative:page;mso-wrap-distance-left:0;mso-wrap-distance-right:0;position:absolute;z-index:-251657216" coordorigin="2640,244" coordsize="12600,2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2820;left:2640;position:absolute;top:24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2820;left:2640;position:absolute;top:244" filled="f" stroked="f">
              <v:textbox inset="0,0,0,0">
                <w:txbxContent>
                  <w:p>
                    <w:pPr>
                      <w:spacing w:before="11" w:line="240" w:lineRule="auto"/>
                      <w:rPr>
                        <w:b/>
                        <w:sz w:val="71"/>
                      </w:rPr>
                    </w:pPr>
                  </w:p>
                  <w:p>
                    <w:pPr>
                      <w:spacing w:before="0"/>
                      <w:ind w:left="1252" w:right="0" w:firstLine="0"/>
                      <w:jc w:val="left"/>
                      <w:rPr>
                        <w:rFonts w:ascii="幼圆" w:eastAsia="幼圆" w:hint="eastAsia"/>
                        <w:b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b/>
                        <w:color w:val="FF0000"/>
                        <w:w w:val="95"/>
                        <w:sz w:val="48"/>
                      </w:rPr>
                      <w:t>编制单位：郑州经略智成企业治理询问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b/>
          <w:sz w:val="23"/>
        </w:rPr>
      </w:pPr>
    </w:p>
    <w:p>
      <w:pPr>
        <w:spacing w:before="63"/>
        <w:ind w:left="560" w:right="0" w:firstLine="0"/>
        <w:jc w:val="left"/>
        <w:rPr>
          <w:b/>
          <w:sz w:val="31"/>
        </w:rPr>
      </w:pPr>
      <w:r>
        <w:rPr>
          <w:b/>
          <w:sz w:val="31"/>
        </w:rPr>
        <w:t>可行性争论报告按用途</w:t>
      </w:r>
    </w:p>
    <w:p>
      <w:pPr>
        <w:pStyle w:val="BodyText"/>
        <w:spacing w:before="5"/>
        <w:rPr>
          <w:b/>
          <w:sz w:val="34"/>
        </w:rPr>
      </w:pPr>
    </w:p>
    <w:p>
      <w:pPr>
        <w:pStyle w:val="ListParagraph"/>
        <w:numPr>
          <w:ilvl w:val="0"/>
          <w:numId w:val="4"/>
        </w:numPr>
        <w:tabs>
          <w:tab w:val="left" w:pos="1671"/>
        </w:tabs>
        <w:spacing w:before="1" w:after="0" w:line="508" w:lineRule="auto"/>
        <w:ind w:left="560" w:right="2663" w:firstLine="633"/>
        <w:jc w:val="left"/>
        <w:rPr>
          <w:sz w:val="31"/>
        </w:rPr>
      </w:pPr>
      <w:r>
        <w:rPr>
          <w:b/>
          <w:sz w:val="31"/>
        </w:rPr>
        <w:t>用于企业融资、对外招商合作的可行性争论报告</w:t>
      </w:r>
      <w:r>
        <w:rPr>
          <w:sz w:val="31"/>
        </w:rPr>
        <w:t>。这类争论报告通常要求市场分析准确、投资方案合理、并供给竞争分析、营销打算、治理方案、技术研发等实际作方案</w:t>
      </w:r>
    </w:p>
    <w:p>
      <w:pPr>
        <w:pStyle w:val="ListParagraph"/>
        <w:numPr>
          <w:ilvl w:val="0"/>
          <w:numId w:val="4"/>
        </w:numPr>
        <w:tabs>
          <w:tab w:val="left" w:pos="1671"/>
        </w:tabs>
        <w:spacing w:before="0" w:after="0" w:line="506" w:lineRule="auto"/>
        <w:ind w:left="560" w:right="2650" w:firstLine="633"/>
        <w:jc w:val="both"/>
        <w:rPr>
          <w:sz w:val="31"/>
        </w:rPr>
      </w:pPr>
      <w:r>
        <w:rPr>
          <w:b/>
          <w:sz w:val="31"/>
        </w:rPr>
        <w:t>用于国家进展和改革委〔以前的计委〕立项的可行性争论报告、工程建议书、工程申请报告</w:t>
      </w:r>
      <w:r>
        <w:rPr>
          <w:spacing w:val="-5"/>
          <w:sz w:val="31"/>
        </w:rPr>
        <w:t>，该文件是依据《中华人民共和国行政许可法》和《国务院对确需保存的行政审批</w:t>
      </w:r>
      <w:r>
        <w:rPr>
          <w:spacing w:val="-12"/>
          <w:sz w:val="31"/>
        </w:rPr>
        <w:t>工程设定行政许可的打算》而编写，是大型根底设施工程立项的根底文件，发改委依据可研</w:t>
      </w:r>
      <w:r>
        <w:rPr>
          <w:spacing w:val="-15"/>
          <w:sz w:val="31"/>
        </w:rPr>
        <w:t>报告进展核准、备案或批复，打算某个工程是否实施。另外医药企业在申请相关证书时也需</w:t>
      </w:r>
      <w:r>
        <w:rPr>
          <w:sz w:val="31"/>
        </w:rPr>
        <w:t>要编写可行性争论报告。</w:t>
      </w:r>
    </w:p>
    <w:p>
      <w:pPr>
        <w:pStyle w:val="ListParagraph"/>
        <w:numPr>
          <w:ilvl w:val="0"/>
          <w:numId w:val="4"/>
        </w:numPr>
        <w:tabs>
          <w:tab w:val="left" w:pos="1671"/>
        </w:tabs>
        <w:spacing w:before="9" w:after="0" w:line="506" w:lineRule="auto"/>
        <w:ind w:left="560" w:right="2512" w:firstLine="633"/>
        <w:jc w:val="left"/>
        <w:rPr>
          <w:sz w:val="31"/>
        </w:rPr>
      </w:pPr>
      <w:r>
        <w:rPr>
          <w:b/>
          <w:sz w:val="31"/>
        </w:rPr>
        <w:t>用于银行贷款的可行性争论报告</w:t>
      </w:r>
      <w:r>
        <w:rPr>
          <w:sz w:val="31"/>
        </w:rPr>
        <w:t>，商业银行在贷款前进展风险评估时，需要工程方</w:t>
      </w:r>
      <w:r>
        <w:rPr>
          <w:spacing w:val="1"/>
          <w:sz w:val="31"/>
        </w:rPr>
        <w:t xml:space="preserve"> </w:t>
      </w:r>
      <w:r>
        <w:rPr>
          <w:sz w:val="31"/>
        </w:rPr>
        <w:t>出具具体的可行性争论报告,对于国家开发银行等国内银行</w:t>
      </w:r>
      <w:r>
        <w:rPr>
          <w:spacing w:val="-14"/>
          <w:sz w:val="31"/>
        </w:rPr>
        <w:t>，假设该报告由甲级资格单位出具，</w:t>
      </w:r>
      <w:r>
        <w:rPr>
          <w:spacing w:val="1"/>
          <w:sz w:val="31"/>
        </w:rPr>
        <w:t xml:space="preserve"> </w:t>
      </w:r>
      <w:r>
        <w:rPr>
          <w:sz w:val="31"/>
        </w:rPr>
        <w:t>通常不需要再组织专家评审,局部银行的贷款可行性争论报告不需要资格，但要求融资方案</w:t>
      </w:r>
      <w:r>
        <w:rPr>
          <w:spacing w:val="1"/>
          <w:sz w:val="31"/>
        </w:rPr>
        <w:t xml:space="preserve"> </w:t>
      </w:r>
      <w:r>
        <w:rPr>
          <w:sz w:val="31"/>
        </w:rPr>
        <w:t>合理，分析正确，信息全面。另外在申请国家的相关政策支持资金 、工商注册时往往也需要</w:t>
      </w:r>
      <w:r>
        <w:rPr>
          <w:spacing w:val="-13"/>
          <w:sz w:val="31"/>
        </w:rPr>
        <w:t>编写可研报告，该文件类似用于银行贷款的可研，但工商注册的可行性报告不需要编写单 位</w:t>
      </w:r>
      <w:r>
        <w:rPr>
          <w:sz w:val="31"/>
        </w:rPr>
        <w:t>有资格。</w:t>
      </w:r>
    </w:p>
    <w:p>
      <w:pPr>
        <w:pStyle w:val="ListParagraph"/>
        <w:numPr>
          <w:ilvl w:val="0"/>
          <w:numId w:val="4"/>
        </w:numPr>
        <w:tabs>
          <w:tab w:val="left" w:pos="1671"/>
        </w:tabs>
        <w:spacing w:before="12" w:after="0" w:line="508" w:lineRule="auto"/>
        <w:ind w:left="560" w:right="2519" w:firstLine="633"/>
        <w:jc w:val="left"/>
        <w:rPr>
          <w:sz w:val="31"/>
        </w:rPr>
      </w:pPr>
      <w:r>
        <w:rPr>
          <w:b/>
          <w:sz w:val="31"/>
        </w:rPr>
        <w:t>用于境外投资工程核准的可行性争论报告</w:t>
      </w:r>
      <w:r>
        <w:rPr>
          <w:spacing w:val="-15"/>
          <w:sz w:val="31"/>
        </w:rPr>
        <w:t>、工程申请报告，企业在实施走出去战略，</w:t>
      </w:r>
      <w:r>
        <w:rPr>
          <w:spacing w:val="1"/>
          <w:sz w:val="31"/>
        </w:rPr>
        <w:t xml:space="preserve"> </w:t>
      </w:r>
      <w:r>
        <w:rPr>
          <w:spacing w:val="-10"/>
          <w:sz w:val="31"/>
        </w:rPr>
        <w:t>对国外矿产资源和其他产业投资时，需要编写可行性争论报告或工程申请报告、报给国家发</w:t>
      </w:r>
      <w:r>
        <w:rPr>
          <w:spacing w:val="1"/>
          <w:sz w:val="31"/>
        </w:rPr>
        <w:t xml:space="preserve"> </w:t>
      </w:r>
      <w:r>
        <w:rPr>
          <w:spacing w:val="-12"/>
          <w:sz w:val="31"/>
        </w:rPr>
        <w:t>展和改革委或省发改委，需要申请中国进出口银行境外投资重点工程信贷支持时，也需要可</w:t>
      </w:r>
      <w:r>
        <w:rPr>
          <w:spacing w:val="1"/>
          <w:sz w:val="31"/>
        </w:rPr>
        <w:t xml:space="preserve"> </w:t>
      </w:r>
      <w:r>
        <w:rPr>
          <w:sz w:val="31"/>
        </w:rPr>
        <w:t>行性争论报告和工程申请报告。</w:t>
      </w:r>
    </w:p>
    <w:p>
      <w:pPr>
        <w:pStyle w:val="ListParagraph"/>
        <w:numPr>
          <w:ilvl w:val="0"/>
          <w:numId w:val="4"/>
        </w:numPr>
        <w:tabs>
          <w:tab w:val="left" w:pos="1671"/>
        </w:tabs>
        <w:spacing w:before="0" w:after="0" w:line="506" w:lineRule="auto"/>
        <w:ind w:left="560" w:right="2653" w:firstLine="633"/>
        <w:jc w:val="left"/>
        <w:rPr>
          <w:sz w:val="31"/>
        </w:rPr>
      </w:pPr>
      <w:r>
        <w:rPr>
          <w:b/>
          <w:sz w:val="31"/>
        </w:rPr>
        <w:t>用于企业上市的可行性争论报告</w:t>
      </w:r>
      <w:r>
        <w:rPr>
          <w:sz w:val="31"/>
        </w:rPr>
        <w:t>，这类可行性报告通常需要出具国家发改委的甲级</w:t>
      </w:r>
      <w:r>
        <w:rPr>
          <w:spacing w:val="-13"/>
          <w:sz w:val="31"/>
        </w:rPr>
        <w:t>工程询问资格。经略智成为多家创业板和中小板企业供给可行性争论报告编写效劳</w:t>
      </w:r>
      <w:r>
        <w:rPr>
          <w:sz w:val="31"/>
        </w:rPr>
        <w:t>〔包括已</w:t>
      </w:r>
    </w:p>
    <w:p>
      <w:pPr>
        <w:spacing w:after="0" w:line="506" w:lineRule="auto"/>
        <w:jc w:val="left"/>
        <w:rPr>
          <w:sz w:val="31"/>
        </w:rPr>
        <w:sectPr>
          <w:type w:val="continuous"/>
          <w:pgSz w:w="17860" w:h="25260"/>
          <w:pgMar w:top="1960" w:right="0" w:bottom="280" w:left="2140" w:header="708" w:footer="708"/>
          <w:cols w:space="708"/>
        </w:sectPr>
      </w:pPr>
    </w:p>
    <w:p>
      <w:pPr>
        <w:spacing w:before="34" w:line="508" w:lineRule="auto"/>
        <w:ind w:left="560" w:right="2646" w:firstLine="0"/>
        <w:jc w:val="both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经上市和正预备上市的</w:t>
      </w:r>
      <w:r>
        <w:rPr>
          <w:spacing w:val="-176"/>
          <w:w w:val="102"/>
          <w:sz w:val="31"/>
        </w:rPr>
        <w:t>〕</w:t>
      </w:r>
      <w:r>
        <w:rPr>
          <w:w w:val="102"/>
          <w:sz w:val="31"/>
        </w:rPr>
        <w:t>，积存的丰富的编写阅历。公司拥有行业内最为丰富的数据库、一</w:t>
      </w:r>
      <w:r>
        <w:rPr>
          <w:spacing w:val="-12"/>
          <w:sz w:val="31"/>
        </w:rPr>
        <w:t>流的市场调查和行业分析力量、高素养的复合型人才以及丰富的上市公司可行性争论报告编</w:t>
      </w:r>
      <w:r>
        <w:rPr>
          <w:sz w:val="31"/>
        </w:rPr>
        <w:t>写阅历。</w:t>
      </w:r>
    </w:p>
    <w:p>
      <w:pPr>
        <w:pStyle w:val="ListParagraph"/>
        <w:numPr>
          <w:ilvl w:val="0"/>
          <w:numId w:val="5"/>
        </w:numPr>
        <w:tabs>
          <w:tab w:val="left" w:pos="1671"/>
        </w:tabs>
        <w:spacing w:before="0" w:after="0" w:line="506" w:lineRule="auto"/>
        <w:ind w:left="560" w:right="2666" w:firstLine="633"/>
        <w:jc w:val="left"/>
        <w:rPr>
          <w:sz w:val="31"/>
        </w:rPr>
      </w:pPr>
      <w:r>
        <w:rPr>
          <w:b/>
          <w:sz w:val="31"/>
        </w:rPr>
        <w:t>用于申请政府资金〔发改委资金、科技部资金、农业部资金〕的可行性争论报告</w:t>
      </w:r>
      <w:r>
        <w:rPr>
          <w:sz w:val="31"/>
        </w:rPr>
        <w:t>，</w:t>
      </w:r>
      <w:r>
        <w:rPr>
          <w:spacing w:val="1"/>
          <w:sz w:val="31"/>
        </w:rPr>
        <w:t xml:space="preserve"> </w:t>
      </w:r>
      <w:r>
        <w:rPr>
          <w:sz w:val="31"/>
        </w:rPr>
        <w:t>这类可行性报告通常需要出具国家发改委的甲级工程询问资格.</w:t>
      </w:r>
    </w:p>
    <w:p>
      <w:pPr>
        <w:pStyle w:val="BodyText"/>
        <w:rPr>
          <w:sz w:val="32"/>
        </w:rPr>
      </w:pPr>
    </w:p>
    <w:p>
      <w:pPr>
        <w:pStyle w:val="BodyText"/>
        <w:spacing w:before="271" w:line="417" w:lineRule="auto"/>
        <w:ind w:left="539" w:right="2442"/>
      </w:pPr>
      <w:r>
        <w:rPr>
          <w:b/>
          <w:color w:val="323232"/>
          <w:spacing w:val="7"/>
        </w:rPr>
        <w:t xml:space="preserve">摘要： </w:t>
      </w:r>
      <w:r>
        <w:rPr>
          <w:color w:val="323232"/>
        </w:rPr>
        <w:t>高科技的进展造就了空气干净业。空气干净伴随着高科技行业的进展而进展。空气干净已掩盖宙宇航行、周密制造、航空航天、集成电路、仪器工业、医学医疗、制药、化装品、微生物学、生物试验</w:t>
      </w:r>
      <w:r>
        <w:rPr>
          <w:color w:val="323232"/>
          <w:spacing w:val="-20"/>
        </w:rPr>
        <w:t>、遗传工程等行业及其争论机构。这些干净室就其掌握的对象来说，</w:t>
      </w:r>
      <w:r>
        <w:rPr>
          <w:color w:val="323232"/>
          <w:spacing w:val="-207"/>
        </w:rPr>
        <w:t xml:space="preserve"> </w:t>
      </w:r>
      <w:r>
        <w:rPr>
          <w:color w:val="323232"/>
          <w:spacing w:val="-8"/>
        </w:rPr>
        <w:t>分工业干净室和生物干净室两大类。微生物净化空调器即是以微生物为掌握对象的生物干净室专用空调。微生物净化空调器是将空气的干净</w:t>
      </w:r>
      <w:r>
        <w:rPr>
          <w:color w:val="323232"/>
        </w:rPr>
        <w:t>度〔含菌浓</w:t>
      </w:r>
      <w:r>
        <w:rPr>
          <w:color w:val="323232"/>
          <w:spacing w:val="-189"/>
        </w:rPr>
        <w:t>〕</w:t>
      </w:r>
      <w:r>
        <w:rPr>
          <w:color w:val="323232"/>
        </w:rPr>
        <w:t>、温度、湿度、速度、噪声、压力处理到肯定范围的工艺性设备。区分于其它空调的是其对空气的干净度、含菌浓度、高风处理量及防止空调的二次污染到达生物干净室建设的国家标准</w:t>
      </w:r>
      <w:r>
        <w:rPr>
          <w:color w:val="323232"/>
          <w:spacing w:val="1"/>
        </w:rPr>
        <w:t xml:space="preserve"> </w:t>
      </w:r>
      <w:r>
        <w:rPr>
          <w:color w:val="323232"/>
          <w:spacing w:val="-8"/>
        </w:rPr>
        <w:t>要求满足干净室对空调的特别要求。这点是其它专用工艺空调无法替</w:t>
      </w:r>
      <w:r>
        <w:rPr>
          <w:color w:val="323232"/>
        </w:rPr>
        <w:t>代的。</w:t>
      </w:r>
    </w:p>
    <w:p>
      <w:pPr>
        <w:pStyle w:val="BodyText"/>
      </w:pPr>
    </w:p>
    <w:p>
      <w:pPr>
        <w:pStyle w:val="BodyText"/>
        <w:spacing w:before="12"/>
        <w:rPr>
          <w:sz w:val="30"/>
        </w:rPr>
      </w:pPr>
    </w:p>
    <w:p>
      <w:pPr>
        <w:spacing w:before="0" w:line="417" w:lineRule="auto"/>
        <w:ind w:left="560" w:right="10126" w:hanging="22"/>
        <w:jc w:val="both"/>
        <w:rPr>
          <w:b/>
          <w:sz w:val="42"/>
        </w:rPr>
      </w:pPr>
      <w:r>
        <w:rPr>
          <w:b/>
          <w:color w:val="323232"/>
          <w:spacing w:val="-1"/>
          <w:sz w:val="42"/>
        </w:rPr>
        <w:t xml:space="preserve">关键词： </w:t>
      </w:r>
      <w:r>
        <w:rPr>
          <w:color w:val="323232"/>
          <w:spacing w:val="-3"/>
          <w:sz w:val="42"/>
        </w:rPr>
        <w:t>微生物 空气干净</w:t>
      </w:r>
      <w:r>
        <w:rPr>
          <w:b/>
          <w:color w:val="323232"/>
          <w:sz w:val="42"/>
        </w:rPr>
        <w:t>市场前景：</w:t>
      </w:r>
    </w:p>
    <w:p>
      <w:pPr>
        <w:pStyle w:val="BodyText"/>
        <w:spacing w:line="417" w:lineRule="auto"/>
        <w:ind w:left="560" w:right="2577" w:firstLine="842"/>
        <w:jc w:val="both"/>
      </w:pPr>
      <w:r>
        <w:rPr>
          <w:color w:val="323232"/>
          <w:spacing w:val="-7"/>
        </w:rPr>
        <w:t xml:space="preserve">目前国内各种体制的制药企业共有 </w:t>
      </w:r>
      <w:r>
        <w:rPr>
          <w:color w:val="323232"/>
        </w:rPr>
        <w:t>5146</w:t>
      </w:r>
      <w:r>
        <w:rPr>
          <w:color w:val="323232"/>
          <w:spacing w:val="-29"/>
        </w:rPr>
        <w:t xml:space="preserve"> 家，拿到 </w:t>
      </w:r>
      <w:r>
        <w:rPr>
          <w:color w:val="323232"/>
        </w:rPr>
        <w:t>GMP</w:t>
      </w:r>
      <w:r>
        <w:rPr>
          <w:color w:val="323232"/>
          <w:spacing w:val="-17"/>
        </w:rPr>
        <w:t xml:space="preserve"> 认证的共</w:t>
      </w:r>
      <w:r>
        <w:rPr>
          <w:color w:val="323232"/>
          <w:spacing w:val="-53"/>
        </w:rPr>
        <w:t xml:space="preserve">有 </w:t>
      </w:r>
      <w:r>
        <w:rPr>
          <w:color w:val="323232"/>
        </w:rPr>
        <w:t>1272</w:t>
      </w:r>
      <w:r>
        <w:rPr>
          <w:color w:val="323232"/>
          <w:spacing w:val="-37"/>
        </w:rPr>
        <w:t xml:space="preserve"> 家共拿到 </w:t>
      </w:r>
      <w:r>
        <w:rPr>
          <w:color w:val="323232"/>
        </w:rPr>
        <w:t>1624</w:t>
      </w:r>
      <w:r>
        <w:rPr>
          <w:color w:val="323232"/>
          <w:spacing w:val="-22"/>
        </w:rPr>
        <w:t xml:space="preserve"> 张</w:t>
      </w:r>
      <w:r>
        <w:rPr>
          <w:color w:val="323232"/>
        </w:rPr>
        <w:t>GMP</w:t>
      </w:r>
      <w:r>
        <w:rPr>
          <w:color w:val="323232"/>
          <w:spacing w:val="-37"/>
        </w:rPr>
        <w:t xml:space="preserve"> 证，占总数的 </w:t>
      </w:r>
      <w:r>
        <w:rPr>
          <w:color w:val="323232"/>
        </w:rPr>
        <w:t>25%〔</w:t>
      </w:r>
      <w:r>
        <w:rPr>
          <w:color w:val="323232"/>
          <w:spacing w:val="-23"/>
        </w:rPr>
        <w:t xml:space="preserve">此数据为 </w:t>
      </w:r>
      <w:r>
        <w:rPr>
          <w:color w:val="323232"/>
        </w:rPr>
        <w:t>2023</w:t>
      </w:r>
      <w:r>
        <w:rPr>
          <w:color w:val="323232"/>
          <w:spacing w:val="-71"/>
        </w:rPr>
        <w:t xml:space="preserve"> 年 </w:t>
      </w:r>
      <w:r>
        <w:rPr>
          <w:color w:val="323232"/>
        </w:rPr>
        <w:t>6</w:t>
      </w:r>
      <w:r>
        <w:rPr>
          <w:color w:val="323232"/>
          <w:spacing w:val="-208"/>
        </w:rPr>
        <w:t xml:space="preserve"> </w:t>
      </w:r>
      <w:r>
        <w:rPr>
          <w:color w:val="323232"/>
          <w:w w:val="100"/>
        </w:rPr>
        <w:t>月份统计</w:t>
      </w:r>
      <w:r>
        <w:rPr>
          <w:color w:val="323232"/>
          <w:spacing w:val="-213"/>
          <w:w w:val="100"/>
        </w:rPr>
        <w:t>〕</w:t>
      </w:r>
      <w:r>
        <w:rPr>
          <w:color w:val="323232"/>
          <w:spacing w:val="8"/>
          <w:w w:val="100"/>
        </w:rPr>
        <w:t>；兽药企业约</w:t>
      </w:r>
      <w:r>
        <w:rPr>
          <w:color w:val="323232"/>
          <w:w w:val="100"/>
        </w:rPr>
        <w:t>2023</w:t>
      </w:r>
      <w:r>
        <w:rPr>
          <w:color w:val="323232"/>
          <w:spacing w:val="-106"/>
        </w:rPr>
        <w:t xml:space="preserve"> </w:t>
      </w:r>
      <w:r>
        <w:rPr>
          <w:color w:val="323232"/>
          <w:spacing w:val="-1"/>
          <w:w w:val="100"/>
        </w:rPr>
        <w:t>家，通过率不会超过人药。医院手术部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https://d.book118.com/547156006124006024</w:t>
        </w:r>
      </w:hyperlink>
    </w:p>
    <w:p>
      <w:pPr>
        <w:spacing w:after="0" w:line="417" w:lineRule="auto"/>
        <w:jc w:val="both"/>
      </w:pPr>
    </w:p>
    <w:sectPr>
      <w:pgSz w:w="17860" w:h="25260"/>
      <w:pgMar w:top="2200" w:right="0" w:bottom="280" w:left="21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5894B"/>
    <w:multiLevelType w:val="hybridMultilevel"/>
    <w:tmpl w:val="00000000"/>
    <w:lvl w:ilvl="0">
      <w:start w:val="1"/>
      <w:numFmt w:val="decimal"/>
      <w:lvlText w:val="(%1)"/>
      <w:lvlJc w:val="left"/>
      <w:pPr>
        <w:ind w:left="560" w:hanging="477"/>
        <w:jc w:val="left"/>
      </w:pPr>
      <w:rPr>
        <w:rFonts w:ascii="宋体" w:eastAsia="宋体" w:hAnsi="宋体" w:cs="宋体" w:hint="default"/>
        <w:spacing w:val="-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7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477"/>
      </w:pPr>
      <w:rPr>
        <w:rFonts w:hint="default"/>
      </w:rPr>
    </w:lvl>
  </w:abstractNum>
  <w:abstractNum w:abstractNumId="1">
    <w:nsid w:val="322C8FBB"/>
    <w:multiLevelType w:val="hybridMultilevel"/>
    <w:tmpl w:val="00000000"/>
    <w:lvl w:ilvl="0">
      <w:start w:val="1"/>
      <w:numFmt w:val="decimal"/>
      <w:lvlText w:val="%1."/>
      <w:lvlJc w:val="left"/>
      <w:pPr>
        <w:ind w:left="560" w:hanging="423"/>
        <w:jc w:val="left"/>
      </w:pPr>
      <w:rPr>
        <w:rFonts w:ascii="宋体" w:eastAsia="宋体" w:hAnsi="宋体" w:cs="宋体" w:hint="default"/>
        <w:color w:val="32323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7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423"/>
      </w:pPr>
      <w:rPr>
        <w:rFonts w:hint="default"/>
      </w:rPr>
    </w:lvl>
  </w:abstractNum>
  <w:abstractNum w:abstractNumId="2">
    <w:nsid w:val="49884981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540"/>
        <w:jc w:val="left"/>
      </w:pPr>
      <w:rPr>
        <w:rFonts w:ascii="宋体" w:eastAsia="宋体" w:hAnsi="宋体" w:cs="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4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3" w:hanging="540"/>
      </w:pPr>
      <w:rPr>
        <w:rFonts w:hint="default"/>
      </w:rPr>
    </w:lvl>
  </w:abstractNum>
  <w:abstractNum w:abstractNumId="3">
    <w:nsid w:val="4BE2F25B"/>
    <w:multiLevelType w:val="hybridMultilevel"/>
    <w:tmpl w:val="00000000"/>
    <w:lvl w:ilvl="0">
      <w:start w:val="1"/>
      <w:numFmt w:val="decimal"/>
      <w:lvlText w:val="(%1)"/>
      <w:lvlJc w:val="left"/>
      <w:pPr>
        <w:ind w:left="560" w:hanging="477"/>
        <w:jc w:val="left"/>
      </w:pPr>
      <w:rPr>
        <w:rFonts w:ascii="宋体" w:eastAsia="宋体" w:hAnsi="宋体" w:cs="宋体" w:hint="default"/>
        <w:spacing w:val="-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7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7" w:hanging="477"/>
      </w:pPr>
      <w:rPr>
        <w:rFonts w:hint="default"/>
      </w:rPr>
    </w:lvl>
  </w:abstractNum>
  <w:abstractNum w:abstractNumId="4">
    <w:nsid w:val="6899370B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540"/>
        <w:jc w:val="left"/>
      </w:pPr>
      <w:rPr>
        <w:rFonts w:ascii="宋体" w:eastAsia="宋体" w:hAnsi="宋体" w:cs="宋体" w:hint="default"/>
        <w:color w:val="32323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4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3" w:hanging="5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56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560" w:firstLine="8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4715600612400602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2023-10-16T07:04:12Z</dcterms:created>
  <dcterms:modified xsi:type="dcterms:W3CDTF">2023-10-16T07:04:12Z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2023-01-24T00:00:00Z</vt:filetime>
  </property>
  <property fmtid="{D5CDD505-2E9C-101B-9397-08002B2CF9AE}" pid="3" name="LastSaved">
    <vt:filetime>2023-10-16T00:00:00Z</vt:filetime>
  </property>
</Properties>
</file>