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35" w:lineRule="auto"/>
        <w:rPr>
          <w:rFonts w:ascii="Arial"/>
          <w:sz w:val="21"/>
        </w:rPr>
      </w:pPr>
    </w:p>
    <w:p>
      <w:pPr>
        <w:spacing w:before="98" w:line="222" w:lineRule="auto"/>
        <w:ind w:left="3104"/>
        <w:outlineLvl w:val="0"/>
        <w:rPr>
          <w:rFonts w:ascii="SimHei" w:eastAsia="SimHei" w:hAnsi="SimHei" w:cs="SimHei"/>
          <w:sz w:val="30"/>
          <w:szCs w:val="30"/>
        </w:rPr>
      </w:pPr>
      <w:r>
        <w:rPr>
          <w:rFonts w:ascii="SimHei" w:eastAsia="SimHei" w:hAnsi="SimHei" w:cs="SimHei"/>
          <w:b/>
          <w:bCs/>
          <w:spacing w:val="6"/>
          <w:sz w:val="30"/>
          <w:szCs w:val="30"/>
        </w:rPr>
        <w:t>高压电容电桥检定规程</w:t>
      </w:r>
    </w:p>
    <w:p>
      <w:pPr>
        <w:spacing w:line="246" w:lineRule="auto"/>
        <w:rPr>
          <w:rFonts w:ascii="Arial"/>
          <w:sz w:val="21"/>
        </w:rPr>
      </w:pPr>
    </w:p>
    <w:p>
      <w:pPr>
        <w:spacing w:line="246" w:lineRule="auto"/>
        <w:rPr>
          <w:rFonts w:ascii="Arial"/>
          <w:sz w:val="21"/>
        </w:rPr>
      </w:pPr>
    </w:p>
    <w:p>
      <w:pPr>
        <w:spacing w:before="74" w:line="223" w:lineRule="auto"/>
        <w:ind w:left="33"/>
        <w:rPr>
          <w:rFonts w:ascii="SimHei" w:eastAsia="SimHei" w:hAnsi="SimHei" w:cs="SimHei"/>
          <w:sz w:val="23"/>
          <w:szCs w:val="23"/>
        </w:rPr>
      </w:pPr>
      <w:r>
        <w:rPr>
          <w:rFonts w:ascii="SimHei" w:eastAsia="SimHei" w:hAnsi="SimHei" w:cs="SimHei"/>
          <w:b/>
          <w:bCs/>
          <w:spacing w:val="-12"/>
          <w:sz w:val="23"/>
          <w:szCs w:val="23"/>
        </w:rPr>
        <w:t>1</w:t>
      </w:r>
      <w:r>
        <w:rPr>
          <w:rFonts w:ascii="SimHei" w:eastAsia="SimHei" w:hAnsi="SimHei" w:cs="SimHei"/>
          <w:spacing w:val="13"/>
          <w:sz w:val="23"/>
          <w:szCs w:val="23"/>
        </w:rPr>
        <w:t xml:space="preserve">  </w:t>
      </w:r>
      <w:r>
        <w:rPr>
          <w:rFonts w:ascii="SimHei" w:eastAsia="SimHei" w:hAnsi="SimHei" w:cs="SimHei"/>
          <w:b/>
          <w:bCs/>
          <w:spacing w:val="-12"/>
          <w:sz w:val="23"/>
          <w:szCs w:val="23"/>
        </w:rPr>
        <w:t>范围</w:t>
      </w:r>
    </w:p>
    <w:p>
      <w:pPr>
        <w:pStyle w:val="BodyText"/>
        <w:spacing w:before="275" w:line="271" w:lineRule="auto"/>
        <w:ind w:left="29" w:right="9" w:firstLine="489"/>
        <w:jc w:val="both"/>
      </w:pPr>
      <w:r>
        <w:rPr>
          <w:spacing w:val="18"/>
        </w:rPr>
        <w:t>本规程适用于在50</w:t>
      </w:r>
      <w:r>
        <w:rPr>
          <w:rFonts w:ascii="Times New Roman" w:eastAsia="Times New Roman" w:hAnsi="Times New Roman" w:cs="Times New Roman"/>
        </w:rPr>
        <w:t>Hz</w:t>
      </w:r>
      <w:r>
        <w:rPr>
          <w:spacing w:val="18"/>
        </w:rPr>
        <w:t>电源条件下测量电容量和介质损耗因数的西林型、电流比较</w:t>
      </w:r>
      <w:r>
        <w:rPr>
          <w:spacing w:val="11"/>
        </w:rPr>
        <w:t xml:space="preserve"> </w:t>
      </w:r>
      <w:r>
        <w:rPr>
          <w:spacing w:val="12"/>
        </w:rPr>
        <w:t>仪型以及电子式、数字式高压电容电桥的首次检</w:t>
      </w:r>
      <w:r>
        <w:rPr>
          <w:spacing w:val="11"/>
        </w:rPr>
        <w:t>定、后续检定和使用中的检验。基于高</w:t>
      </w:r>
      <w:r>
        <w:t xml:space="preserve"> </w:t>
      </w:r>
      <w:r>
        <w:rPr>
          <w:spacing w:val="12"/>
        </w:rPr>
        <w:t>压电容电桥原理的高压介损仪的电桥部分按本规程检定，电桥</w:t>
      </w:r>
      <w:r>
        <w:rPr>
          <w:spacing w:val="11"/>
        </w:rPr>
        <w:t>部分与高压电容器组合后</w:t>
      </w:r>
      <w:r>
        <w:t xml:space="preserve"> </w:t>
      </w:r>
      <w:r>
        <w:rPr>
          <w:spacing w:val="5"/>
        </w:rPr>
        <w:t>按规程附录</w:t>
      </w:r>
      <w:r>
        <w:rPr>
          <w:spacing w:val="-66"/>
        </w:rPr>
        <w:t xml:space="preserve"> </w:t>
      </w:r>
      <w:r>
        <w:rPr>
          <w:rFonts w:ascii="Times New Roman" w:eastAsia="Times New Roman" w:hAnsi="Times New Roman" w:cs="Times New Roman"/>
          <w:spacing w:val="5"/>
        </w:rPr>
        <w:t xml:space="preserve">F </w:t>
      </w:r>
      <w:r>
        <w:rPr>
          <w:spacing w:val="5"/>
        </w:rPr>
        <w:t>校准。</w:t>
      </w:r>
    </w:p>
    <w:p>
      <w:pPr>
        <w:pStyle w:val="BodyText"/>
        <w:spacing w:before="97" w:line="219" w:lineRule="auto"/>
        <w:ind w:left="519"/>
      </w:pPr>
      <w:r>
        <w:rPr>
          <w:spacing w:val="12"/>
        </w:rPr>
        <w:t>本规程不适用于高压电容电桥附加作交流电桥使用的</w:t>
      </w:r>
      <w:r>
        <w:rPr>
          <w:spacing w:val="11"/>
        </w:rPr>
        <w:t>桥路部分的检定。</w:t>
      </w:r>
    </w:p>
    <w:p>
      <w:pPr>
        <w:spacing w:before="253" w:line="221" w:lineRule="auto"/>
        <w:ind w:left="33"/>
        <w:rPr>
          <w:rFonts w:ascii="SimHei" w:eastAsia="SimHei" w:hAnsi="SimHei" w:cs="SimHei"/>
          <w:sz w:val="23"/>
          <w:szCs w:val="23"/>
        </w:rPr>
      </w:pPr>
      <w:r>
        <w:rPr>
          <w:rFonts w:ascii="SimHei" w:eastAsia="SimHei" w:hAnsi="SimHei" w:cs="SimHei"/>
          <w:b/>
          <w:bCs/>
          <w:spacing w:val="-6"/>
          <w:sz w:val="23"/>
          <w:szCs w:val="23"/>
        </w:rPr>
        <w:t>2</w:t>
      </w:r>
      <w:r>
        <w:rPr>
          <w:rFonts w:ascii="SimHei" w:eastAsia="SimHei" w:hAnsi="SimHei" w:cs="SimHei"/>
          <w:spacing w:val="6"/>
          <w:sz w:val="23"/>
          <w:szCs w:val="23"/>
        </w:rPr>
        <w:t xml:space="preserve">  </w:t>
      </w:r>
      <w:r>
        <w:rPr>
          <w:rFonts w:ascii="SimHei" w:eastAsia="SimHei" w:hAnsi="SimHei" w:cs="SimHei"/>
          <w:b/>
          <w:bCs/>
          <w:spacing w:val="-6"/>
          <w:sz w:val="23"/>
          <w:szCs w:val="23"/>
        </w:rPr>
        <w:t>概述</w:t>
      </w:r>
    </w:p>
    <w:p>
      <w:pPr>
        <w:pStyle w:val="BodyText"/>
        <w:spacing w:before="290" w:line="219" w:lineRule="auto"/>
        <w:ind w:left="29"/>
      </w:pPr>
      <w:r>
        <w:rPr>
          <w:spacing w:val="9"/>
        </w:rPr>
        <w:t>2.1</w:t>
      </w:r>
      <w:r>
        <w:rPr>
          <w:spacing w:val="3"/>
        </w:rPr>
        <w:t xml:space="preserve">  </w:t>
      </w:r>
      <w:r>
        <w:rPr>
          <w:spacing w:val="9"/>
        </w:rPr>
        <w:t>高压电容电桥的工作原理</w:t>
      </w:r>
    </w:p>
    <w:p>
      <w:pPr>
        <w:pStyle w:val="BodyText"/>
        <w:spacing w:before="78" w:line="271" w:lineRule="auto"/>
        <w:ind w:left="29" w:right="21" w:firstLine="489"/>
        <w:jc w:val="both"/>
      </w:pPr>
      <w:r>
        <w:rPr>
          <w:spacing w:val="11"/>
        </w:rPr>
        <w:t>高压电容电桥从工作原理上可以认为是一种测量工频电流比率的装置。当工频高压</w:t>
      </w:r>
      <w:r>
        <w:rPr>
          <w:spacing w:val="14"/>
        </w:rPr>
        <w:t xml:space="preserve"> </w:t>
      </w:r>
      <w:r>
        <w:rPr>
          <w:spacing w:val="12"/>
        </w:rPr>
        <w:t>施加在高压标准电容器和被测设备上时，即产生与它们的电容量和介质损耗因数成比例</w:t>
      </w:r>
      <w:r>
        <w:rPr>
          <w:spacing w:val="11"/>
        </w:rPr>
        <w:t xml:space="preserve"> </w:t>
      </w:r>
      <w:r>
        <w:rPr>
          <w:spacing w:val="11"/>
        </w:rPr>
        <w:t>的同相及正交工频电流分量，这两个工频电流分量经电桥作比例测量后，即可得到被测</w:t>
      </w:r>
      <w:r>
        <w:t xml:space="preserve"> </w:t>
      </w:r>
      <w:r>
        <w:rPr>
          <w:spacing w:val="11"/>
        </w:rPr>
        <w:t>设备相对于高压标准电容器的电容量比值与介质损耗</w:t>
      </w:r>
      <w:r>
        <w:rPr>
          <w:spacing w:val="10"/>
        </w:rPr>
        <w:t>因数差值。</w:t>
      </w:r>
    </w:p>
    <w:p>
      <w:pPr>
        <w:pStyle w:val="BodyText"/>
        <w:spacing w:before="79" w:line="219" w:lineRule="auto"/>
        <w:ind w:left="29"/>
      </w:pPr>
      <w:r>
        <w:rPr>
          <w:spacing w:val="6"/>
        </w:rPr>
        <w:t>2.2</w:t>
      </w:r>
      <w:r>
        <w:rPr>
          <w:spacing w:val="116"/>
        </w:rPr>
        <w:t xml:space="preserve"> </w:t>
      </w:r>
      <w:r>
        <w:rPr>
          <w:spacing w:val="6"/>
        </w:rPr>
        <w:t>高压电容电桥的分类</w:t>
      </w:r>
    </w:p>
    <w:p>
      <w:pPr>
        <w:pStyle w:val="BodyText"/>
        <w:spacing w:before="87" w:line="219" w:lineRule="auto"/>
        <w:ind w:left="29"/>
      </w:pPr>
      <w:r>
        <w:rPr>
          <w:spacing w:val="5"/>
        </w:rPr>
        <w:t>2.2.1</w:t>
      </w:r>
      <w:r>
        <w:rPr>
          <w:spacing w:val="117"/>
        </w:rPr>
        <w:t xml:space="preserve"> </w:t>
      </w:r>
      <w:r>
        <w:rPr>
          <w:spacing w:val="5"/>
        </w:rPr>
        <w:t>西林型高压电容电桥</w:t>
      </w:r>
    </w:p>
    <w:p>
      <w:pPr>
        <w:pStyle w:val="BodyText"/>
        <w:spacing w:before="107" w:line="250" w:lineRule="auto"/>
        <w:ind w:left="29" w:right="50" w:firstLine="489"/>
      </w:pPr>
      <w:r>
        <w:rPr>
          <w:spacing w:val="11"/>
        </w:rPr>
        <w:t>电桥的电流比例臂由电阻器构成。流过参考电流的比例臂上并联有移相电容器。采</w:t>
      </w:r>
      <w:r>
        <w:rPr>
          <w:spacing w:val="13"/>
        </w:rPr>
        <w:t xml:space="preserve"> </w:t>
      </w:r>
      <w:r>
        <w:rPr>
          <w:spacing w:val="4"/>
        </w:rPr>
        <w:t>用电势平衡指示。</w:t>
      </w:r>
    </w:p>
    <w:p>
      <w:pPr>
        <w:pStyle w:val="BodyText"/>
        <w:spacing w:before="77" w:line="219" w:lineRule="auto"/>
        <w:ind w:left="29"/>
      </w:pPr>
      <w:r>
        <w:rPr>
          <w:spacing w:val="8"/>
        </w:rPr>
        <w:t>2.2.2  电流比较仪型高压电容电桥</w:t>
      </w:r>
    </w:p>
    <w:p>
      <w:pPr>
        <w:pStyle w:val="BodyText"/>
        <w:spacing w:before="105" w:line="266" w:lineRule="auto"/>
        <w:ind w:left="29" w:right="47" w:firstLine="489"/>
        <w:jc w:val="both"/>
      </w:pPr>
      <w:r>
        <w:rPr>
          <w:spacing w:val="11"/>
        </w:rPr>
        <w:t>电桥的电流比例臂由电流比较仪的比例绕组构成。流过参考电流的比例臂上附有移</w:t>
      </w:r>
      <w:r>
        <w:rPr>
          <w:spacing w:val="15"/>
        </w:rPr>
        <w:t xml:space="preserve"> </w:t>
      </w:r>
      <w:r>
        <w:rPr>
          <w:spacing w:val="12"/>
        </w:rPr>
        <w:t>相电路，采用磁势平衡指示。按移相方式可以把</w:t>
      </w:r>
      <w:r>
        <w:rPr>
          <w:spacing w:val="11"/>
        </w:rPr>
        <w:t>这类电桥分为有源与无源两种。属于无</w:t>
      </w:r>
      <w:r>
        <w:t xml:space="preserve"> </w:t>
      </w:r>
      <w:r>
        <w:rPr>
          <w:spacing w:val="18"/>
        </w:rPr>
        <w:t>源的一种用阻容电路直接移相；属于有源的一种用电子放大元件配合阻容元件正交移</w:t>
      </w:r>
      <w:r>
        <w:rPr>
          <w:spacing w:val="5"/>
        </w:rPr>
        <w:t xml:space="preserve"> </w:t>
      </w:r>
      <w:r>
        <w:rPr>
          <w:spacing w:val="9"/>
        </w:rPr>
        <w:t>相。用磁势合成方法实现所需相移。</w:t>
      </w:r>
    </w:p>
    <w:p>
      <w:pPr>
        <w:pStyle w:val="BodyText"/>
        <w:spacing w:before="97" w:line="219" w:lineRule="auto"/>
        <w:ind w:left="33"/>
      </w:pPr>
      <w:r>
        <w:rPr>
          <w:b/>
          <w:bCs/>
          <w:spacing w:val="3"/>
        </w:rPr>
        <w:t>2.2.3</w:t>
      </w:r>
      <w:r>
        <w:rPr>
          <w:spacing w:val="3"/>
        </w:rPr>
        <w:t xml:space="preserve">  电子式高压电容电桥</w:t>
      </w:r>
    </w:p>
    <w:p>
      <w:pPr>
        <w:pStyle w:val="BodyText"/>
        <w:spacing w:before="84" w:line="255" w:lineRule="auto"/>
        <w:ind w:left="33" w:right="75" w:firstLine="486"/>
      </w:pPr>
      <w:r>
        <w:rPr>
          <w:spacing w:val="17"/>
        </w:rPr>
        <w:t>使用电子电路(包括模拟电路和数字电路)测量幅值比和相位差的高压电容电桥。</w:t>
      </w:r>
      <w:r>
        <w:rPr>
          <w:spacing w:val="1"/>
        </w:rPr>
        <w:t xml:space="preserve"> </w:t>
      </w:r>
      <w:r>
        <w:rPr>
          <w:b/>
          <w:bCs/>
          <w:spacing w:val="3"/>
        </w:rPr>
        <w:t>2.2.4</w:t>
      </w:r>
      <w:r>
        <w:rPr>
          <w:spacing w:val="3"/>
        </w:rPr>
        <w:t xml:space="preserve">  数字式高压电容电桥</w:t>
      </w:r>
    </w:p>
    <w:p>
      <w:pPr>
        <w:pStyle w:val="BodyText"/>
        <w:spacing w:before="106" w:line="218" w:lineRule="auto"/>
        <w:ind w:left="519"/>
      </w:pPr>
      <w:r>
        <w:rPr>
          <w:spacing w:val="11"/>
        </w:rPr>
        <w:t>采用数字信号处理方法测量幅值比和相位差的高压电容</w:t>
      </w:r>
      <w:r>
        <w:rPr>
          <w:spacing w:val="10"/>
        </w:rPr>
        <w:t>电桥。</w:t>
      </w:r>
    </w:p>
    <w:p>
      <w:pPr>
        <w:pStyle w:val="BodyText"/>
        <w:spacing w:before="89" w:line="219" w:lineRule="auto"/>
        <w:ind w:left="29"/>
      </w:pPr>
      <w:r>
        <w:rPr>
          <w:spacing w:val="2"/>
        </w:rPr>
        <w:t>2.3</w:t>
      </w:r>
      <w:r>
        <w:rPr>
          <w:spacing w:val="14"/>
        </w:rPr>
        <w:t xml:space="preserve">  </w:t>
      </w:r>
      <w:r>
        <w:rPr>
          <w:spacing w:val="2"/>
        </w:rPr>
        <w:t>高压介损仪</w:t>
      </w:r>
    </w:p>
    <w:p>
      <w:pPr>
        <w:pStyle w:val="BodyText"/>
        <w:spacing w:before="47" w:line="261" w:lineRule="auto"/>
        <w:ind w:left="29" w:right="30" w:firstLine="489"/>
        <w:sectPr>
          <w:headerReference w:type="default" r:id="rId4"/>
          <w:footerReference w:type="default" r:id="rId5"/>
          <w:pgSz w:w="11800" w:h="16840"/>
          <w:pgMar w:top="1779" w:right="1110" w:bottom="1032" w:left="1430" w:header="1460" w:footer="972" w:gutter="0"/>
          <w:cols w:space="708"/>
        </w:sectPr>
      </w:pPr>
      <w:r>
        <w:rPr>
          <w:spacing w:val="12"/>
        </w:rPr>
        <w:t>本规程涉及的高压介损仪是一种由高压电容电桥、高压试验电源和高压标</w:t>
      </w:r>
      <w:r>
        <w:rPr>
          <w:spacing w:val="11"/>
        </w:rPr>
        <w:t>准电容器</w:t>
      </w:r>
      <w:r>
        <w:t xml:space="preserve"> </w:t>
      </w:r>
      <w:r>
        <w:rPr>
          <w:spacing w:val="14"/>
        </w:rPr>
        <w:t>组成的测量装置。高压试验电源通常不高于10</w:t>
      </w:r>
      <w:r>
        <w:rPr>
          <w:rFonts w:ascii="Times New Roman" w:eastAsia="Times New Roman" w:hAnsi="Times New Roman" w:cs="Times New Roman"/>
        </w:rPr>
        <w:t>kV</w:t>
      </w:r>
      <w:r>
        <w:rPr>
          <w:rFonts w:ascii="Times New Roman" w:eastAsia="Times New Roman" w:hAnsi="Times New Roman" w:cs="Times New Roman"/>
          <w:spacing w:val="14"/>
        </w:rPr>
        <w:t>,</w:t>
      </w:r>
      <w:r>
        <w:rPr>
          <w:rFonts w:ascii="Times New Roman" w:eastAsia="Times New Roman" w:hAnsi="Times New Roman" w:cs="Times New Roman"/>
          <w:spacing w:val="19"/>
        </w:rPr>
        <w:t xml:space="preserve">  </w:t>
      </w:r>
      <w:r>
        <w:rPr>
          <w:spacing w:val="13"/>
        </w:rPr>
        <w:t>频率40</w:t>
      </w:r>
      <w:r>
        <w:rPr>
          <w:rFonts w:ascii="Times New Roman" w:eastAsia="Times New Roman" w:hAnsi="Times New Roman" w:cs="Times New Roman"/>
        </w:rPr>
        <w:t>Hz</w:t>
      </w:r>
      <w:r>
        <w:rPr>
          <w:spacing w:val="13"/>
        </w:rPr>
        <w:t>～</w:t>
      </w:r>
      <w:r>
        <w:rPr>
          <w:rFonts w:ascii="Times New Roman" w:eastAsia="Times New Roman" w:hAnsi="Times New Roman" w:cs="Times New Roman"/>
          <w:spacing w:val="13"/>
        </w:rPr>
        <w:t>70</w:t>
      </w:r>
      <w:r>
        <w:rPr>
          <w:rFonts w:ascii="Times New Roman" w:eastAsia="Times New Roman" w:hAnsi="Times New Roman" w:cs="Times New Roman"/>
        </w:rPr>
        <w:t>Hz</w:t>
      </w:r>
      <w:r>
        <w:rPr>
          <w:spacing w:val="13"/>
        </w:rPr>
        <w:t>。</w:t>
      </w:r>
    </w:p>
    <w:p>
      <w:pPr>
        <w:spacing w:before="277" w:line="222" w:lineRule="auto"/>
        <w:ind w:left="33"/>
        <w:rPr>
          <w:rFonts w:ascii="SimHei" w:eastAsia="SimHei" w:hAnsi="SimHei" w:cs="SimHei"/>
          <w:sz w:val="23"/>
          <w:szCs w:val="23"/>
        </w:rPr>
      </w:pPr>
      <w:r>
        <w:rPr>
          <w:rFonts w:ascii="SimHei" w:eastAsia="SimHei" w:hAnsi="SimHei" w:cs="SimHei"/>
          <w:b/>
          <w:bCs/>
          <w:spacing w:val="4"/>
          <w:sz w:val="23"/>
          <w:szCs w:val="23"/>
        </w:rPr>
        <w:t>3</w:t>
      </w:r>
      <w:r>
        <w:rPr>
          <w:rFonts w:ascii="SimHei" w:eastAsia="SimHei" w:hAnsi="SimHei" w:cs="SimHei"/>
          <w:spacing w:val="110"/>
          <w:sz w:val="23"/>
          <w:szCs w:val="23"/>
        </w:rPr>
        <w:t xml:space="preserve"> </w:t>
      </w:r>
      <w:r>
        <w:rPr>
          <w:rFonts w:ascii="SimHei" w:eastAsia="SimHei" w:hAnsi="SimHei" w:cs="SimHei"/>
          <w:b/>
          <w:bCs/>
          <w:spacing w:val="4"/>
          <w:sz w:val="23"/>
          <w:szCs w:val="23"/>
        </w:rPr>
        <w:t>计量性能要求</w:t>
      </w:r>
    </w:p>
    <w:p>
      <w:pPr>
        <w:pStyle w:val="BodyText"/>
        <w:spacing w:before="267" w:line="219" w:lineRule="auto"/>
        <w:ind w:left="29"/>
      </w:pPr>
      <w:r>
        <w:rPr>
          <w:spacing w:val="8"/>
        </w:rPr>
        <w:t>3.1  高压电容电桥的准确度等级</w:t>
      </w:r>
    </w:p>
    <w:p>
      <w:pPr>
        <w:pStyle w:val="BodyText"/>
        <w:spacing w:before="96" w:line="219" w:lineRule="auto"/>
        <w:ind w:left="29"/>
      </w:pPr>
      <w:r>
        <w:rPr>
          <w:spacing w:val="8"/>
        </w:rPr>
        <w:t>3.1.1</w:t>
      </w:r>
      <w:r>
        <w:rPr>
          <w:spacing w:val="131"/>
        </w:rPr>
        <w:t xml:space="preserve"> </w:t>
      </w:r>
      <w:r>
        <w:rPr>
          <w:spacing w:val="8"/>
        </w:rPr>
        <w:t>高压电容电桥的准确度按电容比率和介质损耗因数分别定级如下：</w:t>
      </w:r>
    </w:p>
    <w:p>
      <w:pPr>
        <w:pStyle w:val="BodyText"/>
        <w:spacing w:before="95" w:line="216" w:lineRule="auto"/>
        <w:ind w:right="18"/>
        <w:jc w:val="right"/>
      </w:pPr>
      <w:r>
        <w:rPr>
          <w:spacing w:val="24"/>
        </w:rPr>
        <w:t>电容比率测量准确度级别为0.001,0.002,0.</w:t>
      </w:r>
      <w:r>
        <w:rPr>
          <w:spacing w:val="23"/>
        </w:rPr>
        <w:t>005,0.01,0.02,0.05,0.1,0.2,</w:t>
      </w:r>
    </w:p>
    <w:p>
      <w:pPr>
        <w:spacing w:line="216" w:lineRule="auto"/>
        <w:sectPr>
          <w:headerReference w:type="default" r:id="rId6"/>
          <w:footerReference w:type="default" r:id="rId7"/>
          <w:type w:val="nextPage"/>
          <w:pgSz w:w="11800" w:h="16840"/>
          <w:pgMar w:top="1779" w:right="1110" w:bottom="1032" w:left="1430" w:header="1460" w:footer="972" w:gutter="0"/>
          <w:pgNumType w:start="2"/>
          <w:cols w:space="708"/>
          <w:titlePg w:val="0"/>
        </w:sectPr>
      </w:pPr>
    </w:p>
    <w:p>
      <w:pPr>
        <w:pStyle w:val="BodyText"/>
        <w:spacing w:before="268" w:line="184" w:lineRule="auto"/>
        <w:ind w:left="19"/>
        <w:rPr>
          <w:sz w:val="22"/>
          <w:szCs w:val="22"/>
        </w:rPr>
      </w:pPr>
      <w:r>
        <w:rPr>
          <w:spacing w:val="-4"/>
          <w:sz w:val="22"/>
          <w:szCs w:val="22"/>
        </w:rPr>
        <w:t>0.5,1,2,5。</w:t>
      </w:r>
    </w:p>
    <w:p>
      <w:pPr>
        <w:pStyle w:val="BodyText"/>
        <w:spacing w:before="117" w:line="216" w:lineRule="auto"/>
        <w:ind w:left="509"/>
        <w:rPr>
          <w:sz w:val="22"/>
          <w:szCs w:val="22"/>
        </w:rPr>
      </w:pPr>
      <w:r>
        <w:rPr>
          <w:spacing w:val="29"/>
          <w:sz w:val="22"/>
          <w:szCs w:val="22"/>
        </w:rPr>
        <w:t>介质损耗因数差值测量准确度级别为0</w:t>
      </w:r>
      <w:r>
        <w:rPr>
          <w:spacing w:val="-61"/>
          <w:sz w:val="22"/>
          <w:szCs w:val="22"/>
        </w:rPr>
        <w:t xml:space="preserve"> </w:t>
      </w:r>
      <w:r>
        <w:rPr>
          <w:spacing w:val="29"/>
          <w:sz w:val="22"/>
          <w:szCs w:val="22"/>
        </w:rPr>
        <w:t>.</w:t>
      </w:r>
      <w:r>
        <w:rPr>
          <w:spacing w:val="-62"/>
          <w:sz w:val="22"/>
          <w:szCs w:val="22"/>
        </w:rPr>
        <w:t xml:space="preserve"> </w:t>
      </w:r>
      <w:r>
        <w:rPr>
          <w:spacing w:val="29"/>
          <w:sz w:val="22"/>
          <w:szCs w:val="22"/>
        </w:rPr>
        <w:t>5,</w:t>
      </w:r>
      <w:r>
        <w:rPr>
          <w:spacing w:val="28"/>
          <w:sz w:val="22"/>
          <w:szCs w:val="22"/>
        </w:rPr>
        <w:t>1,2,5,10。</w:t>
      </w:r>
    </w:p>
    <w:p>
      <w:pPr>
        <w:pStyle w:val="BodyText"/>
        <w:spacing w:before="85" w:line="258" w:lineRule="auto"/>
        <w:ind w:left="39" w:right="69" w:hanging="29"/>
        <w:rPr>
          <w:sz w:val="22"/>
          <w:szCs w:val="22"/>
        </w:rPr>
      </w:pPr>
      <w:r>
        <w:rPr>
          <w:spacing w:val="22"/>
          <w:sz w:val="22"/>
          <w:szCs w:val="22"/>
        </w:rPr>
        <w:t>3.1.2  高压电容电桥通过量程扩展器增加的附加量程，其准确度应当用准确度级别或</w:t>
      </w:r>
      <w:r>
        <w:rPr>
          <w:spacing w:val="17"/>
          <w:sz w:val="22"/>
          <w:szCs w:val="22"/>
        </w:rPr>
        <w:t xml:space="preserve"> </w:t>
      </w:r>
      <w:r>
        <w:rPr>
          <w:spacing w:val="14"/>
          <w:sz w:val="22"/>
          <w:szCs w:val="22"/>
        </w:rPr>
        <w:t>用公式、图表表示。</w:t>
      </w:r>
    </w:p>
    <w:p>
      <w:pPr>
        <w:pStyle w:val="BodyText"/>
        <w:spacing w:before="104" w:line="219" w:lineRule="auto"/>
        <w:ind w:left="10"/>
        <w:rPr>
          <w:sz w:val="22"/>
          <w:szCs w:val="22"/>
        </w:rPr>
      </w:pPr>
      <w:r>
        <w:rPr>
          <w:spacing w:val="18"/>
          <w:sz w:val="22"/>
          <w:szCs w:val="22"/>
        </w:rPr>
        <w:t>3.2  高压介损仪电桥部分的准确度等级</w:t>
      </w:r>
    </w:p>
    <w:p>
      <w:pPr>
        <w:pStyle w:val="BodyText"/>
        <w:spacing w:before="99" w:line="219" w:lineRule="auto"/>
        <w:ind w:left="509"/>
        <w:rPr>
          <w:sz w:val="22"/>
          <w:szCs w:val="22"/>
        </w:rPr>
      </w:pPr>
      <w:r>
        <w:rPr>
          <w:spacing w:val="20"/>
          <w:sz w:val="22"/>
          <w:szCs w:val="22"/>
        </w:rPr>
        <w:t>高压介损仪电桥部分的准确度参照高压电容电桥定</w:t>
      </w:r>
      <w:r>
        <w:rPr>
          <w:spacing w:val="19"/>
          <w:sz w:val="22"/>
          <w:szCs w:val="22"/>
        </w:rPr>
        <w:t>级。</w:t>
      </w:r>
    </w:p>
    <w:p>
      <w:pPr>
        <w:pStyle w:val="BodyText"/>
        <w:spacing w:before="79" w:line="219" w:lineRule="auto"/>
        <w:ind w:left="29"/>
        <w:rPr>
          <w:sz w:val="22"/>
          <w:szCs w:val="22"/>
        </w:rPr>
      </w:pPr>
      <w:r>
        <w:rPr>
          <w:spacing w:val="15"/>
          <w:sz w:val="22"/>
          <w:szCs w:val="22"/>
        </w:rPr>
        <w:t>3.3  高压电容电桥的基本误差</w:t>
      </w:r>
    </w:p>
    <w:p>
      <w:pPr>
        <w:pStyle w:val="BodyText"/>
        <w:spacing w:before="99" w:line="219" w:lineRule="auto"/>
        <w:ind w:left="529"/>
        <w:rPr>
          <w:sz w:val="22"/>
          <w:szCs w:val="22"/>
        </w:rPr>
      </w:pPr>
      <w:r>
        <w:rPr>
          <w:spacing w:val="20"/>
          <w:sz w:val="22"/>
          <w:szCs w:val="22"/>
        </w:rPr>
        <w:t>西林型高压电容电桥和自动变换量程的电子式或</w:t>
      </w:r>
      <w:r>
        <w:rPr>
          <w:spacing w:val="19"/>
          <w:sz w:val="22"/>
          <w:szCs w:val="22"/>
        </w:rPr>
        <w:t>数字式电桥的基本误差为：</w:t>
      </w:r>
    </w:p>
    <w:p>
      <w:pPr>
        <w:spacing w:before="111" w:line="460" w:lineRule="exact"/>
        <w:ind w:firstLine="3329"/>
      </w:pPr>
      <w:r>
        <w:rPr>
          <w:position w:val="-9"/>
        </w:rPr>
        <w:drawing>
          <wp:inline distT="0" distB="0" distL="0" distR="0">
            <wp:extent cx="1644638" cy="29211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644638" cy="292117"/>
                    </a:xfrm>
                    <a:prstGeom prst="rect">
                      <a:avLst/>
                    </a:prstGeom>
                  </pic:spPr>
                </pic:pic>
              </a:graphicData>
            </a:graphic>
          </wp:inline>
        </w:drawing>
      </w:r>
    </w:p>
    <w:p>
      <w:pPr>
        <w:spacing w:before="160" w:line="480" w:lineRule="exact"/>
        <w:ind w:firstLine="3419"/>
      </w:pPr>
      <w:r>
        <w:rPr>
          <w:position w:val="-9"/>
        </w:rPr>
        <w:drawing>
          <wp:inline distT="0" distB="0" distL="0" distR="0">
            <wp:extent cx="1524001" cy="30482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524001" cy="304827"/>
                    </a:xfrm>
                    <a:prstGeom prst="rect">
                      <a:avLst/>
                    </a:prstGeom>
                  </pic:spPr>
                </pic:pic>
              </a:graphicData>
            </a:graphic>
          </wp:inline>
        </w:drawing>
      </w:r>
    </w:p>
    <w:p>
      <w:pPr>
        <w:pStyle w:val="BodyText"/>
        <w:spacing w:before="138" w:line="219" w:lineRule="auto"/>
        <w:ind w:left="539"/>
        <w:rPr>
          <w:sz w:val="22"/>
          <w:szCs w:val="22"/>
        </w:rPr>
      </w:pPr>
      <w:r>
        <w:rPr>
          <w:spacing w:val="21"/>
          <w:sz w:val="22"/>
          <w:szCs w:val="22"/>
        </w:rPr>
        <w:t>电流比较仪型高压电容电桥和手动变换量程的电子式或数字式电桥的基本误差为</w:t>
      </w:r>
    </w:p>
    <w:p>
      <w:pPr>
        <w:spacing w:before="111" w:line="490" w:lineRule="exact"/>
        <w:ind w:firstLine="3439"/>
      </w:pPr>
      <w:r>
        <w:rPr>
          <w:position w:val="-9"/>
        </w:rPr>
        <w:drawing>
          <wp:inline distT="0" distB="0" distL="0" distR="0">
            <wp:extent cx="1498600" cy="31112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498600" cy="311128"/>
                    </a:xfrm>
                    <a:prstGeom prst="rect">
                      <a:avLst/>
                    </a:prstGeom>
                  </pic:spPr>
                </pic:pic>
              </a:graphicData>
            </a:graphic>
          </wp:inline>
        </w:drawing>
      </w:r>
    </w:p>
    <w:p>
      <w:pPr>
        <w:spacing w:before="160" w:line="480" w:lineRule="exact"/>
        <w:ind w:firstLine="3409"/>
      </w:pPr>
      <w:r>
        <w:rPr>
          <w:position w:val="-9"/>
        </w:rPr>
        <w:drawing>
          <wp:inline distT="0" distB="0" distL="0" distR="0">
            <wp:extent cx="1524000" cy="30472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524000" cy="304720"/>
                    </a:xfrm>
                    <a:prstGeom prst="rect">
                      <a:avLst/>
                    </a:prstGeom>
                  </pic:spPr>
                </pic:pic>
              </a:graphicData>
            </a:graphic>
          </wp:inline>
        </w:drawing>
      </w:r>
    </w:p>
    <w:p>
      <w:pPr>
        <w:pStyle w:val="BodyText"/>
        <w:spacing w:before="139" w:line="219" w:lineRule="auto"/>
        <w:ind w:left="539"/>
        <w:rPr>
          <w:sz w:val="22"/>
          <w:szCs w:val="22"/>
        </w:rPr>
      </w:pPr>
      <w:r>
        <w:rPr>
          <w:spacing w:val="11"/>
          <w:sz w:val="22"/>
          <w:szCs w:val="22"/>
        </w:rPr>
        <w:t>各符号的意义为：</w:t>
      </w:r>
    </w:p>
    <w:p>
      <w:pPr>
        <w:pStyle w:val="BodyText"/>
        <w:spacing w:before="109" w:line="219" w:lineRule="auto"/>
        <w:ind w:left="529"/>
        <w:rPr>
          <w:sz w:val="22"/>
          <w:szCs w:val="22"/>
        </w:rPr>
      </w:pPr>
      <w:r>
        <w:rPr>
          <w:spacing w:val="12"/>
          <w:sz w:val="22"/>
          <w:szCs w:val="22"/>
        </w:rPr>
        <w:t>△</w:t>
      </w:r>
      <w:r>
        <w:rPr>
          <w:rFonts w:ascii="Times New Roman" w:eastAsia="Times New Roman" w:hAnsi="Times New Roman" w:cs="Times New Roman"/>
          <w:spacing w:val="12"/>
          <w:sz w:val="22"/>
          <w:szCs w:val="22"/>
        </w:rPr>
        <w:t>X——</w:t>
      </w:r>
      <w:r>
        <w:rPr>
          <w:spacing w:val="12"/>
          <w:sz w:val="22"/>
          <w:szCs w:val="22"/>
        </w:rPr>
        <w:t>电容比率示值绝对误差限值；</w:t>
      </w:r>
    </w:p>
    <w:p>
      <w:pPr>
        <w:pStyle w:val="BodyText"/>
        <w:spacing w:before="98" w:line="219" w:lineRule="auto"/>
        <w:ind w:left="529"/>
        <w:rPr>
          <w:sz w:val="22"/>
          <w:szCs w:val="22"/>
        </w:rPr>
      </w:pPr>
      <w:r>
        <w:rPr>
          <w:spacing w:val="14"/>
          <w:sz w:val="22"/>
          <w:szCs w:val="22"/>
        </w:rPr>
        <w:t>△</w:t>
      </w:r>
      <w:r>
        <w:rPr>
          <w:rFonts w:ascii="Times New Roman" w:eastAsia="Times New Roman" w:hAnsi="Times New Roman" w:cs="Times New Roman"/>
          <w:spacing w:val="14"/>
          <w:sz w:val="22"/>
          <w:szCs w:val="22"/>
        </w:rPr>
        <w:t>D——</w:t>
      </w:r>
      <w:r>
        <w:rPr>
          <w:spacing w:val="14"/>
          <w:sz w:val="22"/>
          <w:szCs w:val="22"/>
        </w:rPr>
        <w:t>介质损耗因数示值绝对误差限值；</w:t>
      </w:r>
    </w:p>
    <w:p>
      <w:pPr>
        <w:pStyle w:val="BodyText"/>
        <w:spacing w:before="80" w:line="219" w:lineRule="auto"/>
        <w:ind w:left="539"/>
        <w:rPr>
          <w:sz w:val="22"/>
          <w:szCs w:val="22"/>
        </w:rPr>
      </w:pPr>
      <w:r>
        <w:rPr>
          <w:spacing w:val="16"/>
          <w:sz w:val="22"/>
          <w:szCs w:val="22"/>
        </w:rPr>
        <w:t>A——</w:t>
      </w:r>
      <w:r>
        <w:rPr>
          <w:spacing w:val="-14"/>
          <w:sz w:val="22"/>
          <w:szCs w:val="22"/>
        </w:rPr>
        <w:t xml:space="preserve"> </w:t>
      </w:r>
      <w:r>
        <w:rPr>
          <w:spacing w:val="16"/>
          <w:sz w:val="22"/>
          <w:szCs w:val="22"/>
        </w:rPr>
        <w:t>用百分数表示的电容比率测量准确度级别；</w:t>
      </w:r>
    </w:p>
    <w:p>
      <w:pPr>
        <w:pStyle w:val="BodyText"/>
        <w:spacing w:before="118" w:line="219" w:lineRule="auto"/>
        <w:ind w:left="539"/>
        <w:rPr>
          <w:sz w:val="22"/>
          <w:szCs w:val="22"/>
        </w:rPr>
      </w:pPr>
      <w:r>
        <w:rPr>
          <w:spacing w:val="17"/>
          <w:sz w:val="22"/>
          <w:szCs w:val="22"/>
        </w:rPr>
        <w:t>B——</w:t>
      </w:r>
      <w:r>
        <w:rPr>
          <w:spacing w:val="-26"/>
          <w:sz w:val="22"/>
          <w:szCs w:val="22"/>
        </w:rPr>
        <w:t xml:space="preserve"> </w:t>
      </w:r>
      <w:r>
        <w:rPr>
          <w:spacing w:val="17"/>
          <w:sz w:val="22"/>
          <w:szCs w:val="22"/>
        </w:rPr>
        <w:t>用百分数表示的介质损耗因数差值测</w:t>
      </w:r>
      <w:r>
        <w:rPr>
          <w:spacing w:val="16"/>
          <w:sz w:val="22"/>
          <w:szCs w:val="22"/>
        </w:rPr>
        <w:t>量准确度级别；</w:t>
      </w:r>
    </w:p>
    <w:p>
      <w:pPr>
        <w:pStyle w:val="BodyText"/>
        <w:spacing w:before="80" w:line="219" w:lineRule="auto"/>
        <w:ind w:left="539"/>
        <w:rPr>
          <w:sz w:val="22"/>
          <w:szCs w:val="22"/>
        </w:rPr>
      </w:pPr>
      <w:r>
        <w:rPr>
          <w:rFonts w:ascii="Times New Roman" w:eastAsia="Times New Roman" w:hAnsi="Times New Roman" w:cs="Times New Roman"/>
          <w:spacing w:val="10"/>
          <w:sz w:val="22"/>
          <w:szCs w:val="22"/>
        </w:rPr>
        <w:t>X</w:t>
      </w:r>
      <w:r>
        <w:rPr>
          <w:rFonts w:ascii="Times New Roman" w:eastAsia="Times New Roman" w:hAnsi="Times New Roman" w:cs="Times New Roman"/>
          <w:strike/>
          <w:spacing w:val="7"/>
          <w:sz w:val="22"/>
          <w:szCs w:val="22"/>
        </w:rPr>
        <w:t xml:space="preserve">        </w:t>
      </w:r>
      <w:r>
        <w:rPr>
          <w:spacing w:val="10"/>
          <w:sz w:val="22"/>
          <w:szCs w:val="22"/>
        </w:rPr>
        <w:t>电容比率测量示值；</w:t>
      </w:r>
    </w:p>
    <w:p>
      <w:pPr>
        <w:pStyle w:val="BodyText"/>
        <w:spacing w:before="98" w:line="219" w:lineRule="auto"/>
        <w:ind w:left="560"/>
        <w:rPr>
          <w:sz w:val="22"/>
          <w:szCs w:val="22"/>
        </w:rPr>
      </w:pPr>
      <w:r>
        <w:rPr>
          <w:spacing w:val="12"/>
          <w:sz w:val="22"/>
          <w:szCs w:val="22"/>
        </w:rPr>
        <w:t>D—— 介质损耗因数测量示值；</w:t>
      </w:r>
    </w:p>
    <w:p>
      <w:pPr>
        <w:pStyle w:val="BodyText"/>
        <w:spacing w:before="110" w:line="265" w:lineRule="auto"/>
        <w:ind w:left="40" w:firstLine="489"/>
        <w:rPr>
          <w:sz w:val="22"/>
          <w:szCs w:val="22"/>
        </w:rPr>
      </w:pPr>
      <w:r>
        <w:rPr>
          <w:spacing w:val="12"/>
          <w:sz w:val="22"/>
          <w:szCs w:val="22"/>
        </w:rPr>
        <w:t>R</w:t>
      </w:r>
      <w:r>
        <w:rPr>
          <w:rFonts w:ascii="Calibri" w:eastAsia="Calibri" w:hAnsi="Calibri" w:cs="Calibri"/>
          <w:spacing w:val="12"/>
          <w:sz w:val="22"/>
          <w:szCs w:val="22"/>
        </w:rPr>
        <w:t>₄</w:t>
      </w:r>
      <w:r>
        <w:rPr>
          <w:spacing w:val="12"/>
          <w:sz w:val="22"/>
          <w:szCs w:val="22"/>
        </w:rPr>
        <w:t>——</w:t>
      </w:r>
      <w:r>
        <w:rPr>
          <w:spacing w:val="44"/>
          <w:sz w:val="22"/>
          <w:szCs w:val="22"/>
        </w:rPr>
        <w:t xml:space="preserve"> </w:t>
      </w:r>
      <w:r>
        <w:rPr>
          <w:spacing w:val="12"/>
          <w:sz w:val="22"/>
          <w:szCs w:val="22"/>
        </w:rPr>
        <w:t>电容比率量程定标值。它等于该量程最大比率值按一位有效数字化整的数值。</w:t>
      </w:r>
      <w:r>
        <w:rPr>
          <w:sz w:val="22"/>
          <w:szCs w:val="22"/>
        </w:rPr>
        <w:t xml:space="preserve"> </w:t>
      </w:r>
      <w:r>
        <w:rPr>
          <w:spacing w:val="4"/>
          <w:sz w:val="22"/>
          <w:szCs w:val="22"/>
        </w:rPr>
        <w:t>3.4  稳定性</w:t>
      </w:r>
    </w:p>
    <w:p>
      <w:pPr>
        <w:pStyle w:val="BodyText"/>
        <w:spacing w:before="109" w:line="271" w:lineRule="auto"/>
        <w:ind w:left="29" w:right="40" w:firstLine="509"/>
        <w:rPr>
          <w:sz w:val="22"/>
          <w:szCs w:val="22"/>
        </w:rPr>
      </w:pPr>
      <w:r>
        <w:rPr>
          <w:spacing w:val="24"/>
          <w:sz w:val="22"/>
          <w:szCs w:val="22"/>
        </w:rPr>
        <w:t>在遵守制造厂规定的使用、运输及贮存条件下，2年内电桥应符合原</w:t>
      </w:r>
      <w:r>
        <w:rPr>
          <w:spacing w:val="23"/>
          <w:sz w:val="22"/>
          <w:szCs w:val="22"/>
        </w:rPr>
        <w:t>准确度级别基</w:t>
      </w:r>
      <w:r>
        <w:rPr>
          <w:sz w:val="22"/>
          <w:szCs w:val="22"/>
        </w:rPr>
        <w:t xml:space="preserve"> </w:t>
      </w:r>
      <w:r>
        <w:rPr>
          <w:spacing w:val="27"/>
          <w:sz w:val="22"/>
          <w:szCs w:val="22"/>
        </w:rPr>
        <w:t>本误差的规定。在遵守制造厂规定的使用条</w:t>
      </w:r>
      <w:r>
        <w:rPr>
          <w:spacing w:val="26"/>
          <w:sz w:val="22"/>
          <w:szCs w:val="22"/>
        </w:rPr>
        <w:t>件下，环境温度每变化10℃所引起的电桥</w:t>
      </w:r>
      <w:r>
        <w:rPr>
          <w:sz w:val="22"/>
          <w:szCs w:val="22"/>
        </w:rPr>
        <w:t xml:space="preserve"> </w:t>
      </w:r>
      <w:r>
        <w:rPr>
          <w:spacing w:val="19"/>
          <w:sz w:val="22"/>
          <w:szCs w:val="22"/>
        </w:rPr>
        <w:t>误差值的变化，应不大于电桥基本误差限值的1/3。</w:t>
      </w:r>
    </w:p>
    <w:p>
      <w:pPr>
        <w:spacing w:before="271" w:line="222" w:lineRule="auto"/>
        <w:ind w:left="40"/>
        <w:rPr>
          <w:rFonts w:ascii="SimHei" w:eastAsia="SimHei" w:hAnsi="SimHei" w:cs="SimHei"/>
          <w:sz w:val="22"/>
          <w:szCs w:val="22"/>
        </w:rPr>
      </w:pPr>
      <w:r>
        <w:rPr>
          <w:rFonts w:ascii="SimHei" w:eastAsia="SimHei" w:hAnsi="SimHei" w:cs="SimHei"/>
          <w:spacing w:val="12"/>
          <w:sz w:val="22"/>
          <w:szCs w:val="22"/>
        </w:rPr>
        <w:t>4</w:t>
      </w:r>
      <w:r>
        <w:rPr>
          <w:rFonts w:ascii="SimHei" w:eastAsia="SimHei" w:hAnsi="SimHei" w:cs="SimHei"/>
          <w:spacing w:val="12"/>
          <w:sz w:val="22"/>
          <w:szCs w:val="22"/>
        </w:rPr>
        <w:t xml:space="preserve">  </w:t>
      </w:r>
      <w:r>
        <w:rPr>
          <w:rFonts w:ascii="SimHei" w:eastAsia="SimHei" w:hAnsi="SimHei" w:cs="SimHei"/>
          <w:spacing w:val="12"/>
          <w:sz w:val="22"/>
          <w:szCs w:val="22"/>
        </w:rPr>
        <w:t>通用技术要求</w:t>
      </w:r>
    </w:p>
    <w:p>
      <w:pPr>
        <w:pStyle w:val="BodyText"/>
        <w:spacing w:before="276" w:line="219" w:lineRule="auto"/>
        <w:ind w:left="19"/>
        <w:rPr>
          <w:sz w:val="22"/>
          <w:szCs w:val="22"/>
        </w:rPr>
      </w:pPr>
      <w:r>
        <w:rPr>
          <w:spacing w:val="17"/>
          <w:sz w:val="22"/>
          <w:szCs w:val="22"/>
        </w:rPr>
        <w:t>4.1  屏蔽支路调节器与工频检流计</w:t>
      </w:r>
    </w:p>
    <w:p>
      <w:pPr>
        <w:pStyle w:val="BodyText"/>
        <w:spacing w:before="117" w:line="261" w:lineRule="auto"/>
        <w:ind w:left="29" w:right="68" w:firstLine="520"/>
        <w:rPr>
          <w:sz w:val="22"/>
          <w:szCs w:val="22"/>
        </w:rPr>
        <w:sectPr>
          <w:headerReference w:type="default" r:id="rId12"/>
          <w:footerReference w:type="default" r:id="rId13"/>
          <w:pgSz w:w="11800" w:h="16820"/>
          <w:pgMar w:top="1830" w:right="1560" w:bottom="1035" w:left="990" w:header="1587" w:footer="886" w:gutter="0"/>
          <w:pgNumType w:start="3"/>
          <w:cols w:space="708"/>
        </w:sectPr>
      </w:pPr>
      <w:r>
        <w:rPr>
          <w:spacing w:val="20"/>
          <w:sz w:val="22"/>
          <w:szCs w:val="22"/>
        </w:rPr>
        <w:t>与高压电容电桥配套使用的屏蔽支路调节器，无论是手动调</w:t>
      </w:r>
      <w:r>
        <w:rPr>
          <w:spacing w:val="19"/>
          <w:sz w:val="22"/>
          <w:szCs w:val="22"/>
        </w:rPr>
        <w:t>节或自动调节，在调整</w:t>
      </w:r>
      <w:r>
        <w:rPr>
          <w:sz w:val="22"/>
          <w:szCs w:val="22"/>
        </w:rPr>
        <w:t xml:space="preserve"> </w:t>
      </w:r>
      <w:r>
        <w:rPr>
          <w:spacing w:val="19"/>
          <w:sz w:val="22"/>
          <w:szCs w:val="22"/>
        </w:rPr>
        <w:t>到电桥规定的平衡状态时，所引起的测量值的变化量应小于电桥允许误差的1/10。</w:t>
      </w:r>
    </w:p>
    <w:p>
      <w:pPr>
        <w:pStyle w:val="BodyText"/>
        <w:spacing w:before="96" w:line="285" w:lineRule="auto"/>
        <w:ind w:right="36" w:firstLine="539"/>
        <w:rPr>
          <w:sz w:val="22"/>
          <w:szCs w:val="22"/>
        </w:rPr>
      </w:pPr>
      <w:r>
        <w:rPr>
          <w:spacing w:val="21"/>
          <w:sz w:val="22"/>
          <w:szCs w:val="22"/>
        </w:rPr>
        <w:t>与电桥配套使用的工频检流计，其高次谐波抑制比和交叉调制系数两项</w:t>
      </w:r>
      <w:r>
        <w:rPr>
          <w:spacing w:val="20"/>
          <w:sz w:val="22"/>
          <w:szCs w:val="22"/>
        </w:rPr>
        <w:t>指标，对介</w:t>
      </w:r>
      <w:r>
        <w:rPr>
          <w:sz w:val="22"/>
          <w:szCs w:val="22"/>
        </w:rPr>
        <w:t xml:space="preserve"> </w:t>
      </w:r>
      <w:r>
        <w:rPr>
          <w:spacing w:val="26"/>
          <w:sz w:val="22"/>
          <w:szCs w:val="22"/>
        </w:rPr>
        <w:t>质损耗因数差值测量准确度为0</w:t>
      </w:r>
      <w:r>
        <w:rPr>
          <w:spacing w:val="-47"/>
          <w:sz w:val="22"/>
          <w:szCs w:val="22"/>
        </w:rPr>
        <w:t xml:space="preserve"> </w:t>
      </w:r>
      <w:r>
        <w:rPr>
          <w:spacing w:val="26"/>
          <w:sz w:val="22"/>
          <w:szCs w:val="22"/>
        </w:rPr>
        <w:t>.</w:t>
      </w:r>
      <w:r>
        <w:rPr>
          <w:spacing w:val="-61"/>
          <w:sz w:val="22"/>
          <w:szCs w:val="22"/>
        </w:rPr>
        <w:t xml:space="preserve"> </w:t>
      </w:r>
      <w:r>
        <w:rPr>
          <w:spacing w:val="26"/>
          <w:sz w:val="22"/>
          <w:szCs w:val="22"/>
        </w:rPr>
        <w:t>5级的电桥，应不小于50</w:t>
      </w:r>
      <w:r>
        <w:rPr>
          <w:rFonts w:ascii="Times New Roman" w:eastAsia="Times New Roman" w:hAnsi="Times New Roman" w:cs="Times New Roman"/>
          <w:sz w:val="22"/>
          <w:szCs w:val="22"/>
        </w:rPr>
        <w:t>dB</w:t>
      </w:r>
      <w:r>
        <w:rPr>
          <w:rFonts w:ascii="Times New Roman" w:eastAsia="Times New Roman" w:hAnsi="Times New Roman" w:cs="Times New Roman"/>
          <w:spacing w:val="26"/>
          <w:sz w:val="22"/>
          <w:szCs w:val="22"/>
        </w:rPr>
        <w:t>,</w:t>
      </w:r>
      <w:r>
        <w:rPr>
          <w:rFonts w:ascii="Times New Roman" w:eastAsia="Times New Roman" w:hAnsi="Times New Roman" w:cs="Times New Roman"/>
          <w:spacing w:val="7"/>
          <w:sz w:val="22"/>
          <w:szCs w:val="22"/>
        </w:rPr>
        <w:t xml:space="preserve">   </w:t>
      </w:r>
      <w:r>
        <w:rPr>
          <w:spacing w:val="26"/>
          <w:sz w:val="22"/>
          <w:szCs w:val="22"/>
        </w:rPr>
        <w:t>对 1</w:t>
      </w:r>
      <w:r>
        <w:rPr>
          <w:spacing w:val="-53"/>
          <w:sz w:val="22"/>
          <w:szCs w:val="22"/>
        </w:rPr>
        <w:t xml:space="preserve"> </w:t>
      </w:r>
      <w:r>
        <w:rPr>
          <w:spacing w:val="26"/>
          <w:sz w:val="22"/>
          <w:szCs w:val="22"/>
        </w:rPr>
        <w:t>级应不小于40</w:t>
      </w:r>
      <w:r>
        <w:rPr>
          <w:rFonts w:ascii="Times New Roman" w:eastAsia="Times New Roman" w:hAnsi="Times New Roman" w:cs="Times New Roman"/>
          <w:sz w:val="22"/>
          <w:szCs w:val="22"/>
        </w:rPr>
        <w:t>dB</w:t>
      </w:r>
      <w:r>
        <w:rPr>
          <w:rFonts w:ascii="Times New Roman" w:eastAsia="Times New Roman" w:hAnsi="Times New Roman" w:cs="Times New Roman"/>
          <w:spacing w:val="26"/>
          <w:sz w:val="22"/>
          <w:szCs w:val="22"/>
        </w:rPr>
        <w:t>,</w:t>
      </w:r>
      <w:r>
        <w:rPr>
          <w:rFonts w:ascii="Times New Roman" w:eastAsia="Times New Roman" w:hAnsi="Times New Roman" w:cs="Times New Roman"/>
          <w:sz w:val="22"/>
          <w:szCs w:val="22"/>
        </w:rPr>
        <w:t xml:space="preserve">  </w:t>
      </w:r>
      <w:r>
        <w:rPr>
          <w:spacing w:val="23"/>
          <w:sz w:val="22"/>
          <w:szCs w:val="22"/>
        </w:rPr>
        <w:t>其他情况应不小于30</w:t>
      </w:r>
      <w:r>
        <w:rPr>
          <w:sz w:val="22"/>
          <w:szCs w:val="22"/>
        </w:rPr>
        <w:t>dB</w:t>
      </w:r>
      <w:r>
        <w:rPr>
          <w:spacing w:val="23"/>
          <w:sz w:val="22"/>
          <w:szCs w:val="22"/>
        </w:rPr>
        <w:t>。 工频检流计的阻尼时间应小于4s。</w:t>
      </w:r>
      <w:r>
        <w:rPr>
          <w:spacing w:val="-48"/>
          <w:sz w:val="22"/>
          <w:szCs w:val="22"/>
        </w:rPr>
        <w:t xml:space="preserve"> </w:t>
      </w:r>
      <w:r>
        <w:rPr>
          <w:spacing w:val="23"/>
          <w:sz w:val="22"/>
          <w:szCs w:val="22"/>
        </w:rPr>
        <w:t>工频检流计的灵敏度应满</w:t>
      </w:r>
      <w:r>
        <w:rPr>
          <w:sz w:val="22"/>
          <w:szCs w:val="22"/>
        </w:rPr>
        <w:t xml:space="preserve"> </w:t>
      </w:r>
      <w:r>
        <w:rPr>
          <w:spacing w:val="22"/>
          <w:sz w:val="22"/>
          <w:szCs w:val="22"/>
        </w:rPr>
        <w:t>足如下要求：当参考电流处于电桥规定的最低工作范围时、若电桥测量臂偏</w:t>
      </w:r>
      <w:r>
        <w:rPr>
          <w:spacing w:val="21"/>
          <w:sz w:val="22"/>
          <w:szCs w:val="22"/>
        </w:rPr>
        <w:t>调量相当于</w:t>
      </w:r>
      <w:r>
        <w:rPr>
          <w:sz w:val="22"/>
          <w:szCs w:val="22"/>
        </w:rPr>
        <w:t xml:space="preserve"> </w:t>
      </w:r>
      <w:r>
        <w:rPr>
          <w:spacing w:val="25"/>
          <w:sz w:val="22"/>
          <w:szCs w:val="22"/>
        </w:rPr>
        <w:t>允许误差的1/10,则检流计的偏转不小于1</w:t>
      </w:r>
      <w:r>
        <w:rPr>
          <w:rFonts w:ascii="Times New Roman" w:eastAsia="Times New Roman" w:hAnsi="Times New Roman" w:cs="Times New Roman"/>
          <w:sz w:val="22"/>
          <w:szCs w:val="22"/>
        </w:rPr>
        <w:t>mm</w:t>
      </w:r>
      <w:r>
        <w:rPr>
          <w:spacing w:val="25"/>
          <w:sz w:val="22"/>
          <w:szCs w:val="22"/>
        </w:rPr>
        <w:t>。</w:t>
      </w:r>
    </w:p>
    <w:p>
      <w:pPr>
        <w:spacing w:line="285" w:lineRule="auto"/>
        <w:rPr>
          <w:sz w:val="22"/>
          <w:szCs w:val="22"/>
        </w:rPr>
        <w:sectPr>
          <w:headerReference w:type="default" r:id="rId14"/>
          <w:footerReference w:type="default" r:id="rId15"/>
          <w:type w:val="nextPage"/>
          <w:pgSz w:w="11800" w:h="16820"/>
          <w:pgMar w:top="1830" w:right="1560" w:bottom="1035" w:left="990" w:header="1587" w:footer="886" w:gutter="0"/>
          <w:pgNumType w:start="4"/>
          <w:cols w:space="708"/>
          <w:titlePg w:val="0"/>
        </w:sectPr>
      </w:pPr>
    </w:p>
    <w:p>
      <w:pPr>
        <w:pStyle w:val="BodyText"/>
        <w:spacing w:before="219" w:line="219" w:lineRule="auto"/>
        <w:ind w:left="729"/>
        <w:rPr>
          <w:sz w:val="22"/>
          <w:szCs w:val="22"/>
        </w:rPr>
      </w:pPr>
      <w:r>
        <w:rPr>
          <w:spacing w:val="27"/>
          <w:sz w:val="22"/>
          <w:szCs w:val="22"/>
        </w:rPr>
        <w:t>屏蔽支路调节器与工频检流计在通电预热3</w:t>
      </w:r>
      <w:r>
        <w:rPr>
          <w:rFonts w:ascii="Times New Roman" w:eastAsia="Times New Roman" w:hAnsi="Times New Roman" w:cs="Times New Roman"/>
          <w:sz w:val="22"/>
          <w:szCs w:val="22"/>
        </w:rPr>
        <w:t>min</w:t>
      </w:r>
      <w:r>
        <w:rPr>
          <w:rFonts w:ascii="Times New Roman" w:eastAsia="Times New Roman" w:hAnsi="Times New Roman" w:cs="Times New Roman"/>
          <w:spacing w:val="27"/>
          <w:sz w:val="22"/>
          <w:szCs w:val="22"/>
        </w:rPr>
        <w:t xml:space="preserve"> </w:t>
      </w:r>
      <w:r>
        <w:rPr>
          <w:spacing w:val="27"/>
          <w:sz w:val="22"/>
          <w:szCs w:val="22"/>
        </w:rPr>
        <w:t>后，其零位漂移对测量结果的影响</w:t>
      </w:r>
    </w:p>
    <w:p>
      <w:pPr>
        <w:pStyle w:val="BodyText"/>
        <w:spacing w:before="69" w:line="4950" w:lineRule="exact"/>
      </w:pPr>
      <w:r>
        <w:rPr>
          <w:position w:val="-99"/>
        </w:rPr>
        <w:pict>
          <v:group id="_x0000_i1025" style="width:478.05pt;height:247.55pt;mso-position-horizontal-relative:char;mso-position-vertical-relative:line" coordorigin="0,0" coordsize="9560,495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560;height:4951;position:absolute" filled="f" stroked="f">
              <v:imagedata r:id="rId16" o:title=""/>
            </v:shape>
            <v:shapetype id="_x0000_t202" coordsize="21600,21600" o:spt="202" path="m,l,21600r21600,l21600,xe">
              <v:stroke joinstyle="miter"/>
              <v:path gradientshapeok="t" o:connecttype="rect"/>
            </v:shapetype>
            <v:shape id="_x0000_s1027" type="#_x0000_t202" style="width:9600;height:4991;left:-20;position:absolute;top:-20" filled="f" stroked="f">
              <o:lock v:ext="edit" aspectratio="f"/>
              <v:textbox inset="0,0,0,0">
                <w:txbxContent>
                  <w:p>
                    <w:pPr>
                      <w:spacing w:before="59" w:line="219" w:lineRule="auto"/>
                      <w:ind w:left="249"/>
                      <w:rPr>
                        <w:rFonts w:ascii="SimSun" w:eastAsia="SimSun" w:hAnsi="SimSun" w:cs="SimSun"/>
                        <w:sz w:val="22"/>
                        <w:szCs w:val="22"/>
                      </w:rPr>
                    </w:pPr>
                    <w:r>
                      <w:rPr>
                        <w:rFonts w:ascii="SimSun" w:eastAsia="SimSun" w:hAnsi="SimSun" w:cs="SimSun"/>
                        <w:spacing w:val="14"/>
                        <w:sz w:val="22"/>
                        <w:szCs w:val="22"/>
                      </w:rPr>
                      <w:t>应小于允许误差的1/10。</w:t>
                    </w:r>
                  </w:p>
                  <w:p>
                    <w:pPr>
                      <w:spacing w:before="89" w:line="220" w:lineRule="auto"/>
                      <w:ind w:left="249"/>
                      <w:rPr>
                        <w:rFonts w:ascii="SimSun" w:eastAsia="SimSun" w:hAnsi="SimSun" w:cs="SimSun"/>
                        <w:sz w:val="22"/>
                        <w:szCs w:val="22"/>
                      </w:rPr>
                    </w:pPr>
                    <w:r>
                      <w:rPr>
                        <w:rFonts w:ascii="SimSun" w:eastAsia="SimSun" w:hAnsi="SimSun" w:cs="SimSun"/>
                        <w:spacing w:val="11"/>
                        <w:sz w:val="22"/>
                        <w:szCs w:val="22"/>
                      </w:rPr>
                      <w:t>4.2</w:t>
                    </w:r>
                    <w:r>
                      <w:rPr>
                        <w:rFonts w:ascii="SimSun" w:eastAsia="SimSun" w:hAnsi="SimSun" w:cs="SimSun"/>
                        <w:spacing w:val="71"/>
                        <w:sz w:val="22"/>
                        <w:szCs w:val="22"/>
                      </w:rPr>
                      <w:t xml:space="preserve"> </w:t>
                    </w:r>
                    <w:r>
                      <w:rPr>
                        <w:rFonts w:ascii="SimSun" w:eastAsia="SimSun" w:hAnsi="SimSun" w:cs="SimSun"/>
                        <w:spacing w:val="11"/>
                        <w:sz w:val="22"/>
                        <w:szCs w:val="22"/>
                      </w:rPr>
                      <w:t>外观及标记</w:t>
                    </w:r>
                  </w:p>
                  <w:p>
                    <w:pPr>
                      <w:spacing w:before="77" w:line="280" w:lineRule="auto"/>
                      <w:ind w:left="249" w:right="29" w:firstLine="499"/>
                      <w:jc w:val="both"/>
                      <w:rPr>
                        <w:rFonts w:ascii="SimSun" w:eastAsia="SimSun" w:hAnsi="SimSun" w:cs="SimSun"/>
                        <w:sz w:val="22"/>
                        <w:szCs w:val="22"/>
                      </w:rPr>
                    </w:pPr>
                    <w:r>
                      <w:rPr>
                        <w:rFonts w:ascii="SimSun" w:eastAsia="SimSun" w:hAnsi="SimSun" w:cs="SimSun"/>
                        <w:spacing w:val="25"/>
                        <w:sz w:val="22"/>
                        <w:szCs w:val="22"/>
                      </w:rPr>
                      <w:t>高压电容电桥及配套器件外观应完好，各转换开关和接线端钮的标记应齐全清晰，</w:t>
                    </w:r>
                    <w:r>
                      <w:rPr>
                        <w:rFonts w:ascii="SimSun" w:eastAsia="SimSun" w:hAnsi="SimSun" w:cs="SimSun"/>
                        <w:sz w:val="22"/>
                        <w:szCs w:val="22"/>
                      </w:rPr>
                      <w:t xml:space="preserve"> </w:t>
                    </w:r>
                    <w:r>
                      <w:rPr>
                        <w:rFonts w:ascii="SimSun" w:eastAsia="SimSun" w:hAnsi="SimSun" w:cs="SimSun"/>
                        <w:spacing w:val="22"/>
                        <w:sz w:val="22"/>
                        <w:szCs w:val="22"/>
                      </w:rPr>
                      <w:t>接插件接触良好，开关转动灵活，定位准确</w:t>
                    </w:r>
                    <w:r>
                      <w:rPr>
                        <w:rFonts w:ascii="SimSun" w:eastAsia="SimSun" w:hAnsi="SimSun" w:cs="SimSun"/>
                        <w:spacing w:val="21"/>
                        <w:sz w:val="22"/>
                        <w:szCs w:val="22"/>
                      </w:rPr>
                      <w:t>。高压电桥上应有型号、名称、原理接线图</w:t>
                    </w:r>
                    <w:r>
                      <w:rPr>
                        <w:rFonts w:ascii="SimSun" w:eastAsia="SimSun" w:hAnsi="SimSun" w:cs="SimSun"/>
                        <w:sz w:val="22"/>
                        <w:szCs w:val="22"/>
                      </w:rPr>
                      <w:t xml:space="preserve">  </w:t>
                    </w:r>
                    <w:r>
                      <w:rPr>
                        <w:rFonts w:ascii="SimSun" w:eastAsia="SimSun" w:hAnsi="SimSun" w:cs="SimSun"/>
                        <w:spacing w:val="21"/>
                        <w:sz w:val="22"/>
                        <w:szCs w:val="22"/>
                      </w:rPr>
                      <w:t>以及使用频率、量程、准确度级别、参考电流工作范围和出厂编</w:t>
                    </w:r>
                    <w:r>
                      <w:rPr>
                        <w:rFonts w:ascii="SimSun" w:eastAsia="SimSun" w:hAnsi="SimSun" w:cs="SimSun"/>
                        <w:spacing w:val="20"/>
                        <w:sz w:val="22"/>
                        <w:szCs w:val="22"/>
                      </w:rPr>
                      <w:t>号等标记。</w:t>
                    </w:r>
                  </w:p>
                  <w:p>
                    <w:pPr>
                      <w:spacing w:before="101" w:line="221" w:lineRule="auto"/>
                      <w:ind w:left="249"/>
                      <w:rPr>
                        <w:rFonts w:ascii="SimSun" w:eastAsia="SimSun" w:hAnsi="SimSun" w:cs="SimSun"/>
                        <w:sz w:val="22"/>
                        <w:szCs w:val="22"/>
                      </w:rPr>
                    </w:pPr>
                    <w:r>
                      <w:rPr>
                        <w:rFonts w:ascii="SimSun" w:eastAsia="SimSun" w:hAnsi="SimSun" w:cs="SimSun"/>
                        <w:spacing w:val="-4"/>
                        <w:sz w:val="22"/>
                        <w:szCs w:val="22"/>
                      </w:rPr>
                      <w:t>4.3</w:t>
                    </w:r>
                    <w:r>
                      <w:rPr>
                        <w:rFonts w:ascii="SimSun" w:eastAsia="SimSun" w:hAnsi="SimSun" w:cs="SimSun"/>
                        <w:spacing w:val="68"/>
                        <w:sz w:val="22"/>
                        <w:szCs w:val="22"/>
                      </w:rPr>
                      <w:t xml:space="preserve"> </w:t>
                    </w:r>
                    <w:r>
                      <w:rPr>
                        <w:rFonts w:ascii="SimSun" w:eastAsia="SimSun" w:hAnsi="SimSun" w:cs="SimSun"/>
                        <w:spacing w:val="-4"/>
                        <w:sz w:val="22"/>
                        <w:szCs w:val="22"/>
                      </w:rPr>
                      <w:t>绝</w:t>
                    </w:r>
                    <w:r>
                      <w:rPr>
                        <w:rFonts w:ascii="SimSun" w:eastAsia="SimSun" w:hAnsi="SimSun" w:cs="SimSun"/>
                        <w:spacing w:val="-41"/>
                        <w:sz w:val="22"/>
                        <w:szCs w:val="22"/>
                      </w:rPr>
                      <w:t xml:space="preserve"> </w:t>
                    </w:r>
                    <w:r>
                      <w:rPr>
                        <w:rFonts w:ascii="SimSun" w:eastAsia="SimSun" w:hAnsi="SimSun" w:cs="SimSun"/>
                        <w:spacing w:val="-4"/>
                        <w:sz w:val="22"/>
                        <w:szCs w:val="22"/>
                      </w:rPr>
                      <w:t>缘</w:t>
                    </w:r>
                  </w:p>
                  <w:p>
                    <w:pPr>
                      <w:spacing w:before="72" w:line="232" w:lineRule="auto"/>
                      <w:ind w:left="249" w:right="130" w:firstLine="499"/>
                      <w:rPr>
                        <w:rFonts w:ascii="SimSun" w:eastAsia="SimSun" w:hAnsi="SimSun" w:cs="SimSun"/>
                        <w:sz w:val="27"/>
                        <w:szCs w:val="27"/>
                      </w:rPr>
                    </w:pPr>
                    <w:r>
                      <w:rPr>
                        <w:rFonts w:ascii="SimSun" w:eastAsia="SimSun" w:hAnsi="SimSun" w:cs="SimSun"/>
                        <w:spacing w:val="22"/>
                        <w:sz w:val="22"/>
                        <w:szCs w:val="22"/>
                      </w:rPr>
                      <w:t>配有交流电源插座的高压电容电桥，插座与电桥外壳可触及的金属部件之间的绝缘</w:t>
                    </w:r>
                    <w:r>
                      <w:rPr>
                        <w:rFonts w:ascii="SimSun" w:eastAsia="SimSun" w:hAnsi="SimSun" w:cs="SimSun"/>
                        <w:spacing w:val="6"/>
                        <w:sz w:val="22"/>
                        <w:szCs w:val="22"/>
                      </w:rPr>
                      <w:t xml:space="preserve"> </w:t>
                    </w:r>
                    <w:r>
                      <w:rPr>
                        <w:rFonts w:ascii="SimSun" w:eastAsia="SimSun" w:hAnsi="SimSun" w:cs="SimSun"/>
                        <w:spacing w:val="-11"/>
                        <w:sz w:val="27"/>
                        <w:szCs w:val="27"/>
                      </w:rPr>
                      <w:t>电阻应不小于10</w:t>
                    </w:r>
                    <w:r>
                      <w:rPr>
                        <w:rFonts w:ascii="Times New Roman" w:eastAsia="Times New Roman" w:hAnsi="Times New Roman" w:cs="Times New Roman"/>
                        <w:spacing w:val="-11"/>
                        <w:sz w:val="27"/>
                        <w:szCs w:val="27"/>
                      </w:rPr>
                      <w:t>MΩ,</w:t>
                    </w:r>
                    <w:r>
                      <w:rPr>
                        <w:rFonts w:ascii="SimSun" w:eastAsia="SimSun" w:hAnsi="SimSun" w:cs="SimSun"/>
                        <w:spacing w:val="-11"/>
                        <w:sz w:val="27"/>
                        <w:szCs w:val="27"/>
                      </w:rPr>
                      <w:t>并能耐受50</w:t>
                    </w:r>
                    <w:r>
                      <w:rPr>
                        <w:rFonts w:ascii="Times New Roman" w:eastAsia="Times New Roman" w:hAnsi="Times New Roman" w:cs="Times New Roman"/>
                        <w:spacing w:val="-11"/>
                        <w:sz w:val="27"/>
                        <w:szCs w:val="27"/>
                      </w:rPr>
                      <w:t>Hz,1.5kV</w:t>
                    </w:r>
                    <w:r>
                      <w:rPr>
                        <w:rFonts w:ascii="Times New Roman" w:eastAsia="Times New Roman" w:hAnsi="Times New Roman" w:cs="Times New Roman"/>
                        <w:spacing w:val="31"/>
                        <w:w w:val="101"/>
                        <w:sz w:val="27"/>
                        <w:szCs w:val="27"/>
                      </w:rPr>
                      <w:t xml:space="preserve"> </w:t>
                    </w:r>
                    <w:r>
                      <w:rPr>
                        <w:rFonts w:ascii="SimSun" w:eastAsia="SimSun" w:hAnsi="SimSun" w:cs="SimSun"/>
                        <w:spacing w:val="-11"/>
                        <w:sz w:val="27"/>
                        <w:szCs w:val="27"/>
                      </w:rPr>
                      <w:t>正弦电压1</w:t>
                    </w:r>
                    <w:r>
                      <w:rPr>
                        <w:rFonts w:ascii="Times New Roman" w:eastAsia="Times New Roman" w:hAnsi="Times New Roman" w:cs="Times New Roman"/>
                        <w:spacing w:val="-11"/>
                        <w:sz w:val="27"/>
                        <w:szCs w:val="27"/>
                      </w:rPr>
                      <w:t>min</w:t>
                    </w:r>
                    <w:r>
                      <w:rPr>
                        <w:rFonts w:ascii="Times New Roman" w:eastAsia="Times New Roman" w:hAnsi="Times New Roman" w:cs="Times New Roman"/>
                        <w:spacing w:val="21"/>
                        <w:w w:val="101"/>
                        <w:sz w:val="27"/>
                        <w:szCs w:val="27"/>
                      </w:rPr>
                      <w:t xml:space="preserve"> </w:t>
                    </w:r>
                    <w:r>
                      <w:rPr>
                        <w:rFonts w:ascii="SimSun" w:eastAsia="SimSun" w:hAnsi="SimSun" w:cs="SimSun"/>
                        <w:spacing w:val="-11"/>
                        <w:sz w:val="27"/>
                        <w:szCs w:val="27"/>
                      </w:rPr>
                      <w:t>试验。</w:t>
                    </w:r>
                  </w:p>
                  <w:p>
                    <w:pPr>
                      <w:spacing w:before="106" w:line="255" w:lineRule="auto"/>
                      <w:ind w:left="249" w:right="110" w:firstLine="499"/>
                      <w:rPr>
                        <w:rFonts w:ascii="SimSun" w:eastAsia="SimSun" w:hAnsi="SimSun" w:cs="SimSun"/>
                        <w:sz w:val="22"/>
                        <w:szCs w:val="22"/>
                      </w:rPr>
                    </w:pPr>
                    <w:r>
                      <w:rPr>
                        <w:rFonts w:ascii="SimSun" w:eastAsia="SimSun" w:hAnsi="SimSun" w:cs="SimSun"/>
                        <w:spacing w:val="23"/>
                        <w:sz w:val="22"/>
                        <w:szCs w:val="22"/>
                      </w:rPr>
                      <w:t>若电桥具有与高压直接连结的端钮，则该端钮与外壳可触及</w:t>
                    </w:r>
                    <w:r>
                      <w:rPr>
                        <w:rFonts w:ascii="SimSun" w:eastAsia="SimSun" w:hAnsi="SimSun" w:cs="SimSun"/>
                        <w:spacing w:val="22"/>
                        <w:sz w:val="22"/>
                        <w:szCs w:val="22"/>
                      </w:rPr>
                      <w:t>的金属部件之间的绝缘</w:t>
                    </w:r>
                    <w:r>
                      <w:rPr>
                        <w:rFonts w:ascii="SimSun" w:eastAsia="SimSun" w:hAnsi="SimSun" w:cs="SimSun"/>
                        <w:sz w:val="22"/>
                        <w:szCs w:val="22"/>
                      </w:rPr>
                      <w:t xml:space="preserve"> </w:t>
                    </w:r>
                    <w:r>
                      <w:rPr>
                        <w:rFonts w:ascii="SimSun" w:eastAsia="SimSun" w:hAnsi="SimSun" w:cs="SimSun"/>
                        <w:spacing w:val="9"/>
                        <w:sz w:val="22"/>
                        <w:szCs w:val="22"/>
                      </w:rPr>
                      <w:t>电阻应大于100</w:t>
                    </w:r>
                    <w:r>
                      <w:rPr>
                        <w:rFonts w:ascii="Times New Roman" w:eastAsia="Times New Roman" w:hAnsi="Times New Roman" w:cs="Times New Roman"/>
                        <w:spacing w:val="9"/>
                        <w:sz w:val="22"/>
                        <w:szCs w:val="22"/>
                      </w:rPr>
                      <w:t xml:space="preserve">MΩ,  </w:t>
                    </w:r>
                    <w:r>
                      <w:rPr>
                        <w:rFonts w:ascii="SimSun" w:eastAsia="SimSun" w:hAnsi="SimSun" w:cs="SimSun"/>
                        <w:spacing w:val="9"/>
                        <w:sz w:val="22"/>
                        <w:szCs w:val="22"/>
                      </w:rPr>
                      <w:t>并能耐受50</w:t>
                    </w:r>
                    <w:r>
                      <w:rPr>
                        <w:rFonts w:ascii="Times New Roman" w:eastAsia="Times New Roman" w:hAnsi="Times New Roman" w:cs="Times New Roman"/>
                        <w:sz w:val="22"/>
                        <w:szCs w:val="22"/>
                      </w:rPr>
                      <w:t>Hz</w:t>
                    </w:r>
                    <w:r>
                      <w:rPr>
                        <w:rFonts w:ascii="Times New Roman" w:eastAsia="Times New Roman" w:hAnsi="Times New Roman" w:cs="Times New Roman"/>
                        <w:spacing w:val="9"/>
                        <w:sz w:val="22"/>
                        <w:szCs w:val="22"/>
                      </w:rPr>
                      <w:t>,15</w:t>
                    </w:r>
                    <w:r>
                      <w:rPr>
                        <w:rFonts w:ascii="Times New Roman" w:eastAsia="Times New Roman" w:hAnsi="Times New Roman" w:cs="Times New Roman"/>
                        <w:sz w:val="22"/>
                        <w:szCs w:val="22"/>
                      </w:rPr>
                      <w:t>kV</w:t>
                    </w:r>
                    <w:r>
                      <w:rPr>
                        <w:rFonts w:ascii="Times New Roman" w:eastAsia="Times New Roman" w:hAnsi="Times New Roman" w:cs="Times New Roman"/>
                        <w:spacing w:val="9"/>
                        <w:sz w:val="22"/>
                        <w:szCs w:val="22"/>
                      </w:rPr>
                      <w:t xml:space="preserve">    </w:t>
                    </w:r>
                    <w:r>
                      <w:rPr>
                        <w:rFonts w:ascii="SimSun" w:eastAsia="SimSun" w:hAnsi="SimSun" w:cs="SimSun"/>
                        <w:spacing w:val="9"/>
                        <w:sz w:val="22"/>
                        <w:szCs w:val="22"/>
                      </w:rPr>
                      <w:t>正</w:t>
                    </w:r>
                    <w:r>
                      <w:rPr>
                        <w:rFonts w:ascii="SimSun" w:eastAsia="SimSun" w:hAnsi="SimSun" w:cs="SimSun"/>
                        <w:spacing w:val="-31"/>
                        <w:sz w:val="22"/>
                        <w:szCs w:val="22"/>
                      </w:rPr>
                      <w:t xml:space="preserve"> </w:t>
                    </w:r>
                    <w:r>
                      <w:rPr>
                        <w:rFonts w:ascii="SimSun" w:eastAsia="SimSun" w:hAnsi="SimSun" w:cs="SimSun"/>
                        <w:spacing w:val="9"/>
                        <w:sz w:val="22"/>
                        <w:szCs w:val="22"/>
                      </w:rPr>
                      <w:t>弦</w:t>
                    </w:r>
                    <w:r>
                      <w:rPr>
                        <w:rFonts w:ascii="SimSun" w:eastAsia="SimSun" w:hAnsi="SimSun" w:cs="SimSun"/>
                        <w:spacing w:val="-24"/>
                        <w:sz w:val="22"/>
                        <w:szCs w:val="22"/>
                      </w:rPr>
                      <w:t xml:space="preserve"> </w:t>
                    </w:r>
                    <w:r>
                      <w:rPr>
                        <w:rFonts w:ascii="SimSun" w:eastAsia="SimSun" w:hAnsi="SimSun" w:cs="SimSun"/>
                        <w:spacing w:val="9"/>
                        <w:sz w:val="22"/>
                        <w:szCs w:val="22"/>
                      </w:rPr>
                      <w:t>电</w:t>
                    </w:r>
                    <w:r>
                      <w:rPr>
                        <w:rFonts w:ascii="SimSun" w:eastAsia="SimSun" w:hAnsi="SimSun" w:cs="SimSun"/>
                        <w:spacing w:val="-49"/>
                        <w:sz w:val="22"/>
                        <w:szCs w:val="22"/>
                      </w:rPr>
                      <w:t xml:space="preserve"> </w:t>
                    </w:r>
                    <w:r>
                      <w:rPr>
                        <w:rFonts w:ascii="SimSun" w:eastAsia="SimSun" w:hAnsi="SimSun" w:cs="SimSun"/>
                        <w:spacing w:val="9"/>
                        <w:sz w:val="22"/>
                        <w:szCs w:val="22"/>
                      </w:rPr>
                      <w:t>压</w:t>
                    </w:r>
                    <w:r>
                      <w:rPr>
                        <w:rFonts w:ascii="SimSun" w:eastAsia="SimSun" w:hAnsi="SimSun" w:cs="SimSun"/>
                        <w:spacing w:val="-34"/>
                        <w:sz w:val="22"/>
                        <w:szCs w:val="22"/>
                      </w:rPr>
                      <w:t xml:space="preserve"> </w:t>
                    </w:r>
                    <w:r>
                      <w:rPr>
                        <w:rFonts w:ascii="SimSun" w:eastAsia="SimSun" w:hAnsi="SimSun" w:cs="SimSun"/>
                        <w:spacing w:val="9"/>
                        <w:sz w:val="22"/>
                        <w:szCs w:val="22"/>
                      </w:rPr>
                      <w:t>1</w:t>
                    </w:r>
                    <w:r>
                      <w:rPr>
                        <w:rFonts w:ascii="Times New Roman" w:eastAsia="Times New Roman" w:hAnsi="Times New Roman" w:cs="Times New Roman"/>
                        <w:sz w:val="22"/>
                        <w:szCs w:val="22"/>
                      </w:rPr>
                      <w:t>min</w:t>
                    </w:r>
                    <w:r>
                      <w:rPr>
                        <w:rFonts w:ascii="Times New Roman" w:eastAsia="Times New Roman" w:hAnsi="Times New Roman" w:cs="Times New Roman"/>
                        <w:spacing w:val="9"/>
                        <w:sz w:val="22"/>
                        <w:szCs w:val="22"/>
                      </w:rPr>
                      <w:t xml:space="preserve"> </w:t>
                    </w:r>
                    <w:r>
                      <w:rPr>
                        <w:rFonts w:ascii="SimSun" w:eastAsia="SimSun" w:hAnsi="SimSun" w:cs="SimSun"/>
                        <w:spacing w:val="9"/>
                        <w:sz w:val="22"/>
                        <w:szCs w:val="22"/>
                      </w:rPr>
                      <w:t>试验。</w:t>
                    </w:r>
                  </w:p>
                  <w:p>
                    <w:pPr>
                      <w:spacing w:before="289" w:line="220" w:lineRule="auto"/>
                      <w:ind w:left="253"/>
                      <w:rPr>
                        <w:rFonts w:ascii="SimSun" w:eastAsia="SimSun" w:hAnsi="SimSun" w:cs="SimSun"/>
                        <w:sz w:val="22"/>
                        <w:szCs w:val="22"/>
                      </w:rPr>
                    </w:pPr>
                    <w:r>
                      <w:rPr>
                        <w:rFonts w:ascii="SimSun" w:eastAsia="SimSun" w:hAnsi="SimSun" w:cs="SimSun"/>
                        <w:b/>
                        <w:bCs/>
                        <w:spacing w:val="16"/>
                        <w:sz w:val="22"/>
                        <w:szCs w:val="22"/>
                      </w:rPr>
                      <w:t>5</w:t>
                    </w:r>
                    <w:r>
                      <w:rPr>
                        <w:rFonts w:ascii="SimSun" w:eastAsia="SimSun" w:hAnsi="SimSun" w:cs="SimSun"/>
                        <w:spacing w:val="6"/>
                        <w:sz w:val="22"/>
                        <w:szCs w:val="22"/>
                      </w:rPr>
                      <w:t xml:space="preserve">  </w:t>
                    </w:r>
                    <w:r>
                      <w:rPr>
                        <w:rFonts w:ascii="SimSun" w:eastAsia="SimSun" w:hAnsi="SimSun" w:cs="SimSun"/>
                        <w:b/>
                        <w:bCs/>
                        <w:spacing w:val="16"/>
                        <w:sz w:val="22"/>
                        <w:szCs w:val="22"/>
                      </w:rPr>
                      <w:t>计量器具控制</w:t>
                    </w:r>
                  </w:p>
                  <w:p>
                    <w:pPr>
                      <w:spacing w:before="281" w:line="219" w:lineRule="auto"/>
                      <w:ind w:left="749"/>
                      <w:rPr>
                        <w:rFonts w:ascii="SimSun" w:eastAsia="SimSun" w:hAnsi="SimSun" w:cs="SimSun"/>
                        <w:sz w:val="22"/>
                        <w:szCs w:val="22"/>
                      </w:rPr>
                    </w:pPr>
                    <w:r>
                      <w:rPr>
                        <w:rFonts w:ascii="SimSun" w:eastAsia="SimSun" w:hAnsi="SimSun" w:cs="SimSun"/>
                        <w:spacing w:val="20"/>
                        <w:sz w:val="22"/>
                        <w:szCs w:val="22"/>
                      </w:rPr>
                      <w:t>计量器具控制包括首次检定、后续检定和使用中的检验。</w:t>
                    </w:r>
                  </w:p>
                  <w:p>
                    <w:pPr>
                      <w:spacing w:before="109" w:line="219" w:lineRule="auto"/>
                      <w:ind w:left="249"/>
                      <w:rPr>
                        <w:rFonts w:ascii="SimSun" w:eastAsia="SimSun" w:hAnsi="SimSun" w:cs="SimSun"/>
                        <w:sz w:val="22"/>
                        <w:szCs w:val="22"/>
                      </w:rPr>
                    </w:pPr>
                    <w:r>
                      <w:rPr>
                        <w:rFonts w:ascii="SimSun" w:eastAsia="SimSun" w:hAnsi="SimSun" w:cs="SimSun"/>
                        <w:spacing w:val="9"/>
                        <w:sz w:val="22"/>
                        <w:szCs w:val="22"/>
                      </w:rPr>
                      <w:t>5.1</w:t>
                    </w:r>
                    <w:r>
                      <w:rPr>
                        <w:rFonts w:ascii="SimSun" w:eastAsia="SimSun" w:hAnsi="SimSun" w:cs="SimSun"/>
                        <w:spacing w:val="22"/>
                        <w:sz w:val="22"/>
                        <w:szCs w:val="22"/>
                      </w:rPr>
                      <w:t xml:space="preserve">  </w:t>
                    </w:r>
                    <w:r>
                      <w:rPr>
                        <w:rFonts w:ascii="SimSun" w:eastAsia="SimSun" w:hAnsi="SimSun" w:cs="SimSun"/>
                        <w:spacing w:val="9"/>
                        <w:sz w:val="22"/>
                        <w:szCs w:val="22"/>
                      </w:rPr>
                      <w:t>检定条件</w:t>
                    </w:r>
                  </w:p>
                </w:txbxContent>
              </v:textbox>
            </v:shape>
            <w10:wrap type="none"/>
          </v:group>
        </w:pict>
      </w:r>
    </w:p>
    <w:p>
      <w:pPr>
        <w:pStyle w:val="BodyText"/>
        <w:spacing w:before="109" w:line="219" w:lineRule="auto"/>
        <w:ind w:left="229"/>
        <w:rPr>
          <w:sz w:val="22"/>
          <w:szCs w:val="22"/>
        </w:rPr>
      </w:pPr>
      <w:r>
        <w:rPr>
          <w:spacing w:val="13"/>
          <w:sz w:val="22"/>
          <w:szCs w:val="22"/>
        </w:rPr>
        <w:t>5.1.1</w:t>
      </w:r>
      <w:r>
        <w:rPr>
          <w:spacing w:val="11"/>
          <w:sz w:val="22"/>
          <w:szCs w:val="22"/>
        </w:rPr>
        <w:t xml:space="preserve">  </w:t>
      </w:r>
      <w:r>
        <w:rPr>
          <w:spacing w:val="13"/>
          <w:sz w:val="22"/>
          <w:szCs w:val="22"/>
        </w:rPr>
        <w:t>环境与电源条件</w:t>
      </w:r>
    </w:p>
    <w:p>
      <w:pPr>
        <w:pStyle w:val="BodyText"/>
        <w:spacing w:before="144" w:line="212" w:lineRule="auto"/>
        <w:ind w:left="729"/>
        <w:rPr>
          <w:sz w:val="22"/>
          <w:szCs w:val="22"/>
        </w:rPr>
      </w:pPr>
      <w:r>
        <w:rPr>
          <w:spacing w:val="21"/>
          <w:sz w:val="22"/>
          <w:szCs w:val="22"/>
        </w:rPr>
        <w:t>检定场所的布置应使被检电桥与高压引线的距离大于</w:t>
      </w:r>
      <w:r>
        <w:rPr>
          <w:spacing w:val="-4"/>
          <w:sz w:val="22"/>
          <w:szCs w:val="22"/>
        </w:rPr>
        <w:t xml:space="preserve"> </w:t>
      </w:r>
      <w:r>
        <w:rPr>
          <w:spacing w:val="21"/>
          <w:sz w:val="22"/>
          <w:szCs w:val="22"/>
        </w:rPr>
        <w:t>√</w:t>
      </w:r>
      <w:r>
        <w:rPr>
          <w:rFonts w:ascii="Times New Roman" w:eastAsia="Times New Roman" w:hAnsi="Times New Roman" w:cs="Times New Roman"/>
          <w:sz w:val="22"/>
          <w:szCs w:val="22"/>
        </w:rPr>
        <w:t>Um</w:t>
      </w:r>
      <w:r>
        <w:rPr>
          <w:rFonts w:ascii="Times New Roman" w:eastAsia="Times New Roman" w:hAnsi="Times New Roman" w:cs="Times New Roman"/>
          <w:spacing w:val="21"/>
          <w:sz w:val="22"/>
          <w:szCs w:val="22"/>
        </w:rPr>
        <w:t xml:space="preserve">;   </w:t>
      </w:r>
      <w:r>
        <w:rPr>
          <w:spacing w:val="21"/>
          <w:sz w:val="22"/>
          <w:szCs w:val="22"/>
        </w:rPr>
        <w:t>与电流母线的距离大</w:t>
      </w:r>
    </w:p>
    <w:p>
      <w:pPr>
        <w:pStyle w:val="BodyText"/>
        <w:spacing w:before="192" w:line="220" w:lineRule="auto"/>
        <w:ind w:left="229"/>
        <w:rPr>
          <w:sz w:val="22"/>
          <w:szCs w:val="22"/>
        </w:rPr>
      </w:pPr>
      <w:r>
        <w:rPr>
          <w:spacing w:val="4"/>
          <w:sz w:val="22"/>
          <w:szCs w:val="22"/>
        </w:rPr>
        <w:t>于</w:t>
      </w:r>
      <w:r>
        <w:rPr>
          <w:sz w:val="22"/>
          <w:szCs w:val="22"/>
        </w:rPr>
        <w:t>Tm</w:t>
      </w:r>
      <w:r>
        <w:rPr>
          <w:spacing w:val="4"/>
          <w:sz w:val="22"/>
          <w:szCs w:val="22"/>
        </w:rPr>
        <w:t>。</w:t>
      </w:r>
      <w:r>
        <w:rPr>
          <w:spacing w:val="49"/>
          <w:sz w:val="22"/>
          <w:szCs w:val="22"/>
        </w:rPr>
        <w:t xml:space="preserve">  </w:t>
      </w:r>
      <w:r>
        <w:rPr>
          <w:spacing w:val="4"/>
          <w:sz w:val="22"/>
          <w:szCs w:val="22"/>
        </w:rPr>
        <w:t>其</w:t>
      </w:r>
      <w:r>
        <w:rPr>
          <w:spacing w:val="-25"/>
          <w:sz w:val="22"/>
          <w:szCs w:val="22"/>
        </w:rPr>
        <w:t xml:space="preserve"> </w:t>
      </w:r>
      <w:r>
        <w:rPr>
          <w:spacing w:val="4"/>
          <w:sz w:val="22"/>
          <w:szCs w:val="22"/>
        </w:rPr>
        <w:t>中</w:t>
      </w:r>
      <w:r>
        <w:rPr>
          <w:spacing w:val="-27"/>
          <w:sz w:val="22"/>
          <w:szCs w:val="22"/>
        </w:rPr>
        <w:t xml:space="preserve"> </w:t>
      </w:r>
      <w:r>
        <w:rPr>
          <w:spacing w:val="4"/>
          <w:sz w:val="22"/>
          <w:szCs w:val="22"/>
        </w:rPr>
        <w:t>：U 的单位为</w:t>
      </w:r>
      <w:r>
        <w:rPr>
          <w:sz w:val="22"/>
          <w:szCs w:val="22"/>
        </w:rPr>
        <w:t>kV</w:t>
      </w:r>
      <w:r>
        <w:rPr>
          <w:spacing w:val="4"/>
          <w:sz w:val="22"/>
          <w:szCs w:val="22"/>
        </w:rPr>
        <w:t>;I</w:t>
      </w:r>
      <w:r>
        <w:rPr>
          <w:spacing w:val="23"/>
          <w:sz w:val="22"/>
          <w:szCs w:val="22"/>
        </w:rPr>
        <w:t xml:space="preserve">  </w:t>
      </w:r>
      <w:r>
        <w:rPr>
          <w:spacing w:val="4"/>
          <w:sz w:val="22"/>
          <w:szCs w:val="22"/>
        </w:rPr>
        <w:t>的单位为</w:t>
      </w:r>
      <w:r>
        <w:rPr>
          <w:spacing w:val="-21"/>
          <w:sz w:val="22"/>
          <w:szCs w:val="22"/>
        </w:rPr>
        <w:t xml:space="preserve"> </w:t>
      </w:r>
      <w:r>
        <w:rPr>
          <w:spacing w:val="4"/>
          <w:sz w:val="22"/>
          <w:szCs w:val="22"/>
        </w:rPr>
        <w:t>A。</w:t>
      </w:r>
    </w:p>
    <w:p>
      <w:pPr>
        <w:pStyle w:val="BodyText"/>
        <w:spacing w:before="47" w:line="379" w:lineRule="exact"/>
        <w:ind w:left="729"/>
        <w:rPr>
          <w:sz w:val="22"/>
          <w:szCs w:val="22"/>
        </w:rPr>
      </w:pPr>
      <w:r>
        <w:rPr>
          <w:spacing w:val="21"/>
          <w:position w:val="11"/>
          <w:sz w:val="22"/>
          <w:szCs w:val="22"/>
        </w:rPr>
        <w:t>因外界电磁场影响而引起的误差，不应超过电桥允许误差的1/10。或者当改变高压</w:t>
      </w:r>
    </w:p>
    <w:p>
      <w:pPr>
        <w:pStyle w:val="BodyText"/>
        <w:spacing w:before="1" w:line="219" w:lineRule="auto"/>
        <w:ind w:left="229"/>
        <w:rPr>
          <w:sz w:val="22"/>
          <w:szCs w:val="22"/>
        </w:rPr>
      </w:pPr>
      <w:r>
        <w:rPr>
          <w:spacing w:val="21"/>
          <w:sz w:val="22"/>
          <w:szCs w:val="22"/>
        </w:rPr>
        <w:t>试验电源的极性时，前后两次示值之差，不</w:t>
      </w:r>
      <w:r>
        <w:rPr>
          <w:spacing w:val="20"/>
          <w:sz w:val="22"/>
          <w:szCs w:val="22"/>
        </w:rPr>
        <w:t>超过电桥在这一点允许误差的1/5。</w:t>
      </w:r>
    </w:p>
    <w:p>
      <w:pPr>
        <w:pStyle w:val="BodyText"/>
        <w:spacing w:before="88" w:line="261" w:lineRule="auto"/>
        <w:ind w:left="229" w:right="109" w:firstLine="499"/>
        <w:rPr>
          <w:sz w:val="22"/>
          <w:szCs w:val="22"/>
        </w:rPr>
      </w:pPr>
      <w:r>
        <w:rPr>
          <w:spacing w:val="25"/>
          <w:sz w:val="22"/>
          <w:szCs w:val="22"/>
        </w:rPr>
        <w:t>检定电桥时，应满足表1规定的参考条件。检定前，被检电桥与检定装置在满足表</w:t>
      </w:r>
      <w:r>
        <w:rPr>
          <w:spacing w:val="9"/>
          <w:sz w:val="22"/>
          <w:szCs w:val="22"/>
        </w:rPr>
        <w:t xml:space="preserve"> </w:t>
      </w:r>
      <w:r>
        <w:rPr>
          <w:spacing w:val="20"/>
          <w:sz w:val="22"/>
          <w:szCs w:val="22"/>
        </w:rPr>
        <w:t>1</w:t>
      </w:r>
      <w:r>
        <w:rPr>
          <w:spacing w:val="-53"/>
          <w:sz w:val="22"/>
          <w:szCs w:val="22"/>
        </w:rPr>
        <w:t xml:space="preserve"> </w:t>
      </w:r>
      <w:r>
        <w:rPr>
          <w:spacing w:val="20"/>
          <w:sz w:val="22"/>
          <w:szCs w:val="22"/>
        </w:rPr>
        <w:t>规定的环境条件下存放时间应超过24</w:t>
      </w:r>
      <w:r>
        <w:rPr>
          <w:rFonts w:ascii="Times New Roman" w:eastAsia="Times New Roman" w:hAnsi="Times New Roman" w:cs="Times New Roman"/>
          <w:spacing w:val="20"/>
          <w:sz w:val="22"/>
          <w:szCs w:val="22"/>
        </w:rPr>
        <w:t>h</w:t>
      </w:r>
      <w:r>
        <w:rPr>
          <w:spacing w:val="20"/>
          <w:sz w:val="22"/>
          <w:szCs w:val="22"/>
        </w:rPr>
        <w:t>。</w:t>
      </w:r>
    </w:p>
    <w:p>
      <w:pPr>
        <w:pStyle w:val="BodyText"/>
        <w:spacing w:before="79" w:line="202" w:lineRule="auto"/>
        <w:ind w:left="3969"/>
        <w:rPr>
          <w:sz w:val="22"/>
          <w:szCs w:val="22"/>
        </w:rPr>
      </w:pPr>
      <w:r>
        <w:rPr>
          <w:spacing w:val="1"/>
          <w:sz w:val="22"/>
          <w:szCs w:val="22"/>
        </w:rPr>
        <w:t>表1</w:t>
      </w:r>
      <w:r>
        <w:rPr>
          <w:spacing w:val="77"/>
          <w:sz w:val="22"/>
          <w:szCs w:val="22"/>
        </w:rPr>
        <w:t xml:space="preserve"> </w:t>
      </w:r>
      <w:r>
        <w:rPr>
          <w:spacing w:val="1"/>
          <w:sz w:val="22"/>
          <w:szCs w:val="22"/>
        </w:rPr>
        <w:t>检定参考条件</w:t>
      </w:r>
    </w:p>
    <w:p>
      <w:pPr>
        <w:pStyle w:val="BodyText"/>
        <w:spacing w:line="1810" w:lineRule="exact"/>
        <w:ind w:firstLine="90"/>
      </w:pPr>
      <w:r>
        <w:rPr>
          <w:position w:val="-36"/>
        </w:rPr>
        <w:pict>
          <v:group id="_x0000_i1028" style="width:467.5pt;height:90.55pt;mso-position-horizontal-relative:char;mso-position-vertical-relative:line" coordorigin="0,0" coordsize="9350,1811" filled="f" stroked="f">
            <v:shape id="_x0000_s1029" type="#_x0000_t75" style="width:9350;height:1811;position:absolute" filled="f" stroked="f">
              <v:imagedata r:id="rId17" o:title=""/>
            </v:shape>
            <v:shape id="_x0000_s1030" type="#_x0000_t202" style="width:6267;height:1471;left:619;position:absolute;top:218" filled="f" stroked="f">
              <o:lock v:ext="edit" aspectratio="f"/>
              <v:textbox inset="0,0,0,0">
                <w:txbxContent>
                  <w:p>
                    <w:pPr>
                      <w:spacing w:before="19" w:line="222" w:lineRule="auto"/>
                      <w:ind w:left="20"/>
                      <w:rPr>
                        <w:rFonts w:ascii="SimHei" w:eastAsia="SimHei" w:hAnsi="SimHei" w:cs="SimHei"/>
                        <w:sz w:val="22"/>
                        <w:szCs w:val="22"/>
                      </w:rPr>
                    </w:pPr>
                    <w:r>
                      <w:rPr>
                        <w:rFonts w:ascii="SimHei" w:eastAsia="SimHei" w:hAnsi="SimHei" w:cs="SimHei"/>
                        <w:spacing w:val="5"/>
                        <w:sz w:val="22"/>
                        <w:szCs w:val="22"/>
                      </w:rPr>
                      <w:t>应电的充进则底</w:t>
                    </w:r>
                  </w:p>
                  <w:p>
                    <w:pPr>
                      <w:spacing w:before="70" w:line="533" w:lineRule="exact"/>
                      <w:ind w:left="5640"/>
                      <w:rPr>
                        <w:rFonts w:ascii="SimSun" w:eastAsia="SimSun" w:hAnsi="SimSun" w:cs="SimSun"/>
                        <w:sz w:val="22"/>
                        <w:szCs w:val="22"/>
                      </w:rPr>
                    </w:pPr>
                    <w:r>
                      <w:rPr>
                        <w:rFonts w:ascii="SimSun" w:eastAsia="SimSun" w:hAnsi="SimSun" w:cs="SimSun"/>
                        <w:position w:val="24"/>
                        <w:sz w:val="22"/>
                        <w:szCs w:val="22"/>
                      </w:rPr>
                      <w:t>四</w:t>
                    </w:r>
                  </w:p>
                  <w:p>
                    <w:pPr>
                      <w:spacing w:line="183" w:lineRule="auto"/>
                      <w:ind w:left="5580"/>
                      <w:rPr>
                        <w:rFonts w:ascii="SimSun" w:eastAsia="SimSun" w:hAnsi="SimSun" w:cs="SimSun"/>
                        <w:sz w:val="22"/>
                        <w:szCs w:val="22"/>
                      </w:rPr>
                    </w:pPr>
                    <w:r>
                      <w:rPr>
                        <w:rFonts w:ascii="SimSun" w:eastAsia="SimSun" w:hAnsi="SimSun" w:cs="SimSun"/>
                        <w:sz w:val="22"/>
                        <w:szCs w:val="22"/>
                      </w:rPr>
                      <w:t>0</w:t>
                    </w:r>
                  </w:p>
                  <w:p>
                    <w:pPr>
                      <w:spacing w:before="193" w:line="182" w:lineRule="auto"/>
                      <w:ind w:right="7"/>
                      <w:jc w:val="right"/>
                      <w:rPr>
                        <w:rFonts w:ascii="SimSun" w:eastAsia="SimSun" w:hAnsi="SimSun" w:cs="SimSun"/>
                        <w:sz w:val="22"/>
                        <w:szCs w:val="22"/>
                      </w:rPr>
                    </w:pPr>
                    <w:r>
                      <w:rPr>
                        <w:rFonts w:ascii="SimSun" w:eastAsia="SimSun" w:hAnsi="SimSun" w:cs="SimSun"/>
                        <w:sz w:val="22"/>
                        <w:szCs w:val="22"/>
                      </w:rPr>
                      <w:t>5</w:t>
                    </w:r>
                  </w:p>
                </w:txbxContent>
              </v:textbox>
            </v:shape>
            <v:shape id="_x0000_s1031" type="#_x0000_t75" style="width:1556;height:231;left:559;position:absolute;top:570" filled="f" stroked="f">
              <v:imagedata r:id="rId18" o:title=""/>
            </v:shape>
            <v:shape id="_x0000_s1032" type="#_x0000_t202" style="width:865;height:467;left:4449;position:absolute;top:883" filled="f" stroked="f">
              <o:lock v:ext="edit" aspectratio="f"/>
              <v:textbox inset="0,0,0,0">
                <w:txbxContent>
                  <w:p>
                    <w:pPr>
                      <w:spacing w:before="19" w:line="221" w:lineRule="auto"/>
                      <w:ind w:left="20"/>
                      <w:rPr>
                        <w:rFonts w:ascii="SimHei" w:eastAsia="SimHei" w:hAnsi="SimHei" w:cs="SimHei"/>
                        <w:sz w:val="42"/>
                        <w:szCs w:val="42"/>
                      </w:rPr>
                    </w:pPr>
                    <w:r>
                      <w:rPr>
                        <w:rFonts w:ascii="SimHei" w:eastAsia="SimHei" w:hAnsi="SimHei" w:cs="SimHei"/>
                        <w:spacing w:val="-4"/>
                        <w:sz w:val="42"/>
                        <w:szCs w:val="42"/>
                      </w:rPr>
                      <w:t>磁酸</w:t>
                    </w:r>
                  </w:p>
                </w:txbxContent>
              </v:textbox>
            </v:shape>
            <v:shape id="_x0000_s1033" type="#_x0000_t75" style="width:905;height:345;left:939;position:absolute;top:905" filled="f" stroked="f">
              <v:imagedata r:id="rId19" o:title=""/>
            </v:shape>
            <v:shape id="_x0000_s1034" type="#_x0000_t75" style="width:1245;height:251;left:2424;position:absolute;top:959" filled="f" stroked="f">
              <v:imagedata r:id="rId20" o:title=""/>
            </v:shape>
            <v:shape id="_x0000_s1035" type="#_x0000_t202" style="width:520;height:540;left:829;position:absolute;top:1255" filled="f" stroked="f">
              <o:lock v:ext="edit" aspectratio="f"/>
              <v:textbox inset="0,0,0,0">
                <w:txbxContent>
                  <w:p>
                    <w:pPr>
                      <w:spacing w:before="21" w:line="221" w:lineRule="auto"/>
                      <w:jc w:val="right"/>
                      <w:rPr>
                        <w:rFonts w:ascii="SimSun" w:eastAsia="SimSun" w:hAnsi="SimSun" w:cs="SimSun"/>
                        <w:sz w:val="50"/>
                        <w:szCs w:val="50"/>
                      </w:rPr>
                    </w:pPr>
                    <w:r>
                      <w:rPr>
                        <w:rFonts w:ascii="SimSun" w:eastAsia="SimSun" w:hAnsi="SimSun" w:cs="SimSun"/>
                        <w:color w:val="861043"/>
                        <w:sz w:val="50"/>
                        <w:szCs w:val="50"/>
                      </w:rPr>
                      <w:t>应</w:t>
                    </w:r>
                  </w:p>
                </w:txbxContent>
              </v:textbox>
            </v:shape>
            <v:shape id="_x0000_s1036" type="#_x0000_t75" style="width:840;height:211;left:4399;position:absolute;top:599" filled="f" stroked="f">
              <v:imagedata r:id="rId21" o:title=""/>
            </v:shape>
            <v:shape id="_x0000_s1037" type="#_x0000_t202" style="width:830;height:260;left:7939;position:absolute;top:230" filled="f" stroked="f">
              <o:lock v:ext="edit" aspectratio="f"/>
              <v:textbox inset="0,0,0,0">
                <w:txbxContent>
                  <w:p>
                    <w:pPr>
                      <w:spacing w:before="19" w:line="221" w:lineRule="auto"/>
                      <w:ind w:left="20"/>
                      <w:rPr>
                        <w:rFonts w:ascii="SimSun" w:eastAsia="SimSun" w:hAnsi="SimSun" w:cs="SimSun"/>
                        <w:sz w:val="22"/>
                        <w:szCs w:val="22"/>
                      </w:rPr>
                    </w:pPr>
                    <w:r>
                      <w:rPr>
                        <w:rFonts w:ascii="SimSun" w:eastAsia="SimSun" w:hAnsi="SimSun" w:cs="SimSun"/>
                        <w:spacing w:val="-6"/>
                        <w:sz w:val="22"/>
                        <w:szCs w:val="22"/>
                      </w:rPr>
                      <w:t>体</w:t>
                    </w:r>
                    <w:r>
                      <w:rPr>
                        <w:rFonts w:ascii="SimSun" w:eastAsia="SimSun" w:hAnsi="SimSun" w:cs="SimSun"/>
                        <w:spacing w:val="-33"/>
                        <w:sz w:val="22"/>
                        <w:szCs w:val="22"/>
                      </w:rPr>
                      <w:t xml:space="preserve"> </w:t>
                    </w:r>
                    <w:r>
                      <w:rPr>
                        <w:rFonts w:ascii="SimSun" w:eastAsia="SimSun" w:hAnsi="SimSun" w:cs="SimSun"/>
                        <w:spacing w:val="-6"/>
                        <w:sz w:val="22"/>
                        <w:szCs w:val="22"/>
                      </w:rPr>
                      <w:t>地</w:t>
                    </w:r>
                    <w:r>
                      <w:rPr>
                        <w:rFonts w:ascii="SimSun" w:eastAsia="SimSun" w:hAnsi="SimSun" w:cs="SimSun"/>
                        <w:spacing w:val="-32"/>
                        <w:sz w:val="22"/>
                        <w:szCs w:val="22"/>
                      </w:rPr>
                      <w:t xml:space="preserve"> </w:t>
                    </w:r>
                    <w:r>
                      <w:rPr>
                        <w:rFonts w:ascii="SimSun" w:eastAsia="SimSun" w:hAnsi="SimSun" w:cs="SimSun"/>
                        <w:spacing w:val="-6"/>
                        <w:sz w:val="22"/>
                        <w:szCs w:val="22"/>
                      </w:rPr>
                      <w:t>开</w:t>
                    </w:r>
                  </w:p>
                </w:txbxContent>
              </v:textbox>
            </v:shape>
            <v:shape id="_x0000_s1038" type="#_x0000_t75" style="width:1100;height:140;left:2479;position:absolute;top:599" filled="f" stroked="f">
              <v:imagedata r:id="rId22" o:title=""/>
            </v:shape>
            <v:shape id="_x0000_s1039" type="#_x0000_t202" style="width:691;height:260;left:2909;position:absolute;top:199" filled="f" stroked="f">
              <o:lock v:ext="edit" aspectratio="f"/>
              <v:textbox inset="0,0,0,0">
                <w:txbxContent>
                  <w:p>
                    <w:pPr>
                      <w:spacing w:before="20" w:line="220" w:lineRule="auto"/>
                      <w:ind w:left="20"/>
                      <w:rPr>
                        <w:rFonts w:ascii="SimSun" w:eastAsia="SimSun" w:hAnsi="SimSun" w:cs="SimSun"/>
                        <w:sz w:val="22"/>
                        <w:szCs w:val="22"/>
                      </w:rPr>
                    </w:pPr>
                    <w:r>
                      <w:rPr>
                        <w:rFonts w:ascii="SimSun" w:eastAsia="SimSun" w:hAnsi="SimSun" w:cs="SimSun"/>
                        <w:spacing w:val="-2"/>
                        <w:sz w:val="22"/>
                        <w:szCs w:val="22"/>
                      </w:rPr>
                      <w:t>应动顺</w:t>
                    </w:r>
                  </w:p>
                </w:txbxContent>
              </v:textbox>
            </v:shape>
            <v:shape id="_x0000_s1040" type="#_x0000_t75" style="width:680;height:200;left:2909;position:absolute;top:1439" filled="f" stroked="f">
              <v:imagedata r:id="rId23" o:title=""/>
            </v:shape>
            <v:shape id="_x0000_s1041" type="#_x0000_t75" style="width:765;height:176;left:6194;position:absolute;top:249" filled="f" stroked="f">
              <v:imagedata r:id="rId24" o:title=""/>
            </v:shape>
            <v:shape id="_x0000_s1042" type="#_x0000_t75" style="width:705;height:171;left:4479;position:absolute;top:249" filled="f" stroked="f">
              <v:imagedata r:id="rId25" o:title=""/>
            </v:shape>
            <v:shape id="_x0000_s1043" type="#_x0000_t75" style="width:840;height:130;left:7959;position:absolute;top:610" filled="f" stroked="f">
              <v:imagedata r:id="rId26" o:title=""/>
            </v:shape>
            <v:shape id="_x0000_s1044" type="#_x0000_t75" style="width:161;height:176;left:4639;position:absolute;top:1479" filled="f" stroked="f">
              <v:imagedata r:id="rId27" o:title=""/>
            </v:shape>
            <w10:wrap type="none"/>
          </v:group>
        </w:pict>
      </w:r>
    </w:p>
    <w:p>
      <w:pPr>
        <w:spacing w:line="365" w:lineRule="auto"/>
        <w:rPr>
          <w:rFonts w:ascii="Arial"/>
          <w:sz w:val="21"/>
        </w:rPr>
      </w:pPr>
    </w:p>
    <w:p>
      <w:pPr>
        <w:pStyle w:val="BodyText"/>
        <w:spacing w:before="72" w:line="219" w:lineRule="auto"/>
        <w:ind w:left="229"/>
        <w:rPr>
          <w:sz w:val="22"/>
          <w:szCs w:val="22"/>
        </w:rPr>
      </w:pPr>
      <w:r>
        <w:rPr>
          <w:spacing w:val="8"/>
          <w:sz w:val="22"/>
          <w:szCs w:val="22"/>
        </w:rPr>
        <w:t>5.1.2</w:t>
      </w:r>
      <w:r>
        <w:rPr>
          <w:spacing w:val="29"/>
          <w:sz w:val="22"/>
          <w:szCs w:val="22"/>
        </w:rPr>
        <w:t xml:space="preserve">  </w:t>
      </w:r>
      <w:r>
        <w:rPr>
          <w:spacing w:val="8"/>
          <w:sz w:val="22"/>
          <w:szCs w:val="22"/>
        </w:rPr>
        <w:t>检定用设备</w:t>
      </w:r>
    </w:p>
    <w:p>
      <w:pPr>
        <w:pStyle w:val="BodyText"/>
        <w:spacing w:before="89" w:line="260" w:lineRule="auto"/>
        <w:ind w:left="229" w:right="110"/>
        <w:rPr>
          <w:sz w:val="22"/>
          <w:szCs w:val="22"/>
        </w:rPr>
      </w:pPr>
      <w:hyperlink r:id="rId28" w:history="1">
        <w:r>
          <w:rPr>
            <w:spacing w:val="28"/>
            <w:sz w:val="22"/>
            <w:szCs w:val="22"/>
          </w:rPr>
          <w:t>5.1.2.1</w:t>
        </w:r>
      </w:hyperlink>
      <w:r>
        <w:rPr>
          <w:spacing w:val="28"/>
          <w:sz w:val="22"/>
          <w:szCs w:val="22"/>
        </w:rPr>
        <w:t xml:space="preserve">  高压电容电桥的电容比率基本误差使用电容量具(或交流电阻量具)整体检</w:t>
      </w:r>
      <w:r>
        <w:rPr>
          <w:spacing w:val="12"/>
          <w:sz w:val="22"/>
          <w:szCs w:val="22"/>
        </w:rPr>
        <w:t xml:space="preserve"> </w:t>
      </w:r>
      <w:r>
        <w:rPr>
          <w:spacing w:val="22"/>
          <w:sz w:val="22"/>
          <w:szCs w:val="22"/>
        </w:rPr>
        <w:t>定。高压电容电桥的介质损耗因数基本误差使用工频损耗因数量具整体检定。</w:t>
      </w:r>
    </w:p>
    <w:p>
      <w:pPr>
        <w:pStyle w:val="BodyText"/>
        <w:spacing w:before="74" w:line="270" w:lineRule="auto"/>
        <w:ind w:left="229" w:right="97" w:firstLine="499"/>
        <w:rPr>
          <w:sz w:val="22"/>
          <w:szCs w:val="22"/>
        </w:rPr>
        <w:sectPr>
          <w:headerReference w:type="default" r:id="rId29"/>
          <w:footerReference w:type="default" r:id="rId30"/>
          <w:pgSz w:w="11800" w:h="16820"/>
          <w:pgMar w:top="1800" w:right="979" w:bottom="1032" w:left="1260" w:header="1478" w:footer="873" w:gutter="0"/>
          <w:pgNumType w:start="5"/>
          <w:cols w:space="708"/>
        </w:sectPr>
      </w:pPr>
      <w:r>
        <w:rPr>
          <w:spacing w:val="19"/>
          <w:sz w:val="22"/>
          <w:szCs w:val="22"/>
        </w:rPr>
        <w:t>电容量具提供的电容比率不确定度</w:t>
      </w:r>
      <w:r>
        <w:rPr>
          <w:spacing w:val="-33"/>
          <w:sz w:val="22"/>
          <w:szCs w:val="22"/>
        </w:rPr>
        <w:t xml:space="preserve"> </w:t>
      </w:r>
      <w:r>
        <w:rPr>
          <w:rFonts w:ascii="Times New Roman" w:eastAsia="Times New Roman" w:hAnsi="Times New Roman" w:cs="Times New Roman"/>
          <w:spacing w:val="19"/>
          <w:sz w:val="22"/>
          <w:szCs w:val="22"/>
        </w:rPr>
        <w:t>(p=95</w:t>
      </w:r>
      <w:r>
        <w:rPr>
          <w:rFonts w:ascii="Times New Roman" w:eastAsia="Times New Roman" w:hAnsi="Times New Roman" w:cs="Times New Roman"/>
          <w:spacing w:val="18"/>
          <w:sz w:val="22"/>
          <w:szCs w:val="22"/>
        </w:rPr>
        <w:t xml:space="preserve">%)        </w:t>
      </w:r>
      <w:r>
        <w:rPr>
          <w:spacing w:val="18"/>
          <w:sz w:val="22"/>
          <w:szCs w:val="22"/>
        </w:rPr>
        <w:t>和工频损耗因数量具提供的损耗因</w:t>
      </w:r>
      <w:r>
        <w:rPr>
          <w:sz w:val="22"/>
          <w:szCs w:val="22"/>
        </w:rPr>
        <w:t xml:space="preserve"> </w:t>
      </w:r>
      <w:r>
        <w:rPr>
          <w:spacing w:val="14"/>
          <w:sz w:val="22"/>
          <w:szCs w:val="22"/>
        </w:rPr>
        <w:t xml:space="preserve">数不确定度 </w:t>
      </w:r>
      <w:r>
        <w:rPr>
          <w:rFonts w:ascii="Times New Roman" w:eastAsia="Times New Roman" w:hAnsi="Times New Roman" w:cs="Times New Roman"/>
          <w:spacing w:val="14"/>
          <w:sz w:val="22"/>
          <w:szCs w:val="22"/>
        </w:rPr>
        <w:t xml:space="preserve">(p=95%)      </w:t>
      </w:r>
      <w:r>
        <w:rPr>
          <w:rFonts w:ascii="Times New Roman" w:eastAsia="Times New Roman" w:hAnsi="Times New Roman" w:cs="Times New Roman"/>
          <w:spacing w:val="13"/>
          <w:sz w:val="22"/>
          <w:szCs w:val="22"/>
        </w:rPr>
        <w:t xml:space="preserve"> </w:t>
      </w:r>
      <w:r>
        <w:rPr>
          <w:spacing w:val="13"/>
          <w:sz w:val="22"/>
          <w:szCs w:val="22"/>
        </w:rPr>
        <w:t>不得大于被检电桥允许误差的1/3。</w:t>
      </w:r>
    </w:p>
    <w:p>
      <w:pPr>
        <w:pStyle w:val="BodyText"/>
        <w:spacing w:before="113" w:line="219" w:lineRule="auto"/>
        <w:ind w:left="233"/>
        <w:rPr>
          <w:sz w:val="22"/>
          <w:szCs w:val="22"/>
        </w:rPr>
      </w:pPr>
      <w:hyperlink r:id="rId31" w:history="1">
        <w:r>
          <w:rPr>
            <w:b/>
            <w:bCs/>
            <w:spacing w:val="21"/>
            <w:sz w:val="22"/>
            <w:szCs w:val="22"/>
          </w:rPr>
          <w:t>5.1.2.2</w:t>
        </w:r>
      </w:hyperlink>
      <w:r>
        <w:rPr>
          <w:spacing w:val="21"/>
          <w:sz w:val="22"/>
          <w:szCs w:val="22"/>
        </w:rPr>
        <w:t xml:space="preserve">  绝缘电阻表的测量误差应不大于10</w:t>
      </w:r>
      <w:r>
        <w:rPr>
          <w:spacing w:val="20"/>
          <w:sz w:val="22"/>
          <w:szCs w:val="22"/>
        </w:rPr>
        <w:t>%。输出电压为1000</w:t>
      </w:r>
      <w:r>
        <w:rPr>
          <w:rFonts w:ascii="Times New Roman" w:eastAsia="Times New Roman" w:hAnsi="Times New Roman" w:cs="Times New Roman"/>
          <w:spacing w:val="20"/>
          <w:sz w:val="22"/>
          <w:szCs w:val="22"/>
        </w:rPr>
        <w:t>V</w:t>
      </w:r>
      <w:r>
        <w:rPr>
          <w:rFonts w:ascii="Times New Roman" w:eastAsia="Times New Roman" w:hAnsi="Times New Roman" w:cs="Times New Roman"/>
          <w:spacing w:val="-12"/>
          <w:sz w:val="22"/>
          <w:szCs w:val="22"/>
        </w:rPr>
        <w:t xml:space="preserve"> </w:t>
      </w:r>
      <w:r>
        <w:rPr>
          <w:spacing w:val="20"/>
          <w:sz w:val="22"/>
          <w:szCs w:val="22"/>
        </w:rPr>
        <w:t>或1500</w:t>
      </w:r>
      <w:r>
        <w:rPr>
          <w:rFonts w:ascii="Times New Roman" w:eastAsia="Times New Roman" w:hAnsi="Times New Roman" w:cs="Times New Roman"/>
          <w:spacing w:val="20"/>
          <w:sz w:val="22"/>
          <w:szCs w:val="22"/>
        </w:rPr>
        <w:t>V</w:t>
      </w:r>
      <w:r>
        <w:rPr>
          <w:spacing w:val="20"/>
          <w:sz w:val="22"/>
          <w:szCs w:val="22"/>
        </w:rPr>
        <w:t>。</w:t>
      </w:r>
    </w:p>
    <w:p>
      <w:pPr>
        <w:pStyle w:val="BodyText"/>
        <w:spacing w:before="54" w:line="212" w:lineRule="auto"/>
        <w:ind w:left="233"/>
        <w:rPr>
          <w:sz w:val="22"/>
          <w:szCs w:val="22"/>
        </w:rPr>
      </w:pPr>
      <w:hyperlink r:id="rId32" w:history="1">
        <w:r>
          <w:rPr>
            <w:b/>
            <w:bCs/>
            <w:spacing w:val="22"/>
            <w:sz w:val="22"/>
            <w:szCs w:val="22"/>
          </w:rPr>
          <w:t>5.1.2.3</w:t>
        </w:r>
      </w:hyperlink>
      <w:r>
        <w:rPr>
          <w:spacing w:val="22"/>
          <w:sz w:val="22"/>
          <w:szCs w:val="22"/>
        </w:rPr>
        <w:t xml:space="preserve">  工频耐压试验装置的高压输出容量应不小于500</w:t>
      </w:r>
      <w:r>
        <w:rPr>
          <w:rFonts w:ascii="Times New Roman" w:eastAsia="Times New Roman" w:hAnsi="Times New Roman" w:cs="Times New Roman"/>
          <w:sz w:val="22"/>
          <w:szCs w:val="22"/>
        </w:rPr>
        <w:t>VA</w:t>
      </w:r>
      <w:r>
        <w:rPr>
          <w:rFonts w:ascii="Times New Roman" w:eastAsia="Times New Roman" w:hAnsi="Times New Roman" w:cs="Times New Roman"/>
          <w:spacing w:val="22"/>
          <w:sz w:val="22"/>
          <w:szCs w:val="22"/>
        </w:rPr>
        <w:t xml:space="preserve">,  </w:t>
      </w:r>
      <w:r>
        <w:rPr>
          <w:rFonts w:ascii="Times New Roman" w:eastAsia="Times New Roman" w:hAnsi="Times New Roman" w:cs="Times New Roman"/>
          <w:spacing w:val="21"/>
          <w:sz w:val="22"/>
          <w:szCs w:val="22"/>
        </w:rPr>
        <w:t xml:space="preserve"> </w:t>
      </w:r>
      <w:r>
        <w:rPr>
          <w:spacing w:val="21"/>
          <w:sz w:val="22"/>
          <w:szCs w:val="22"/>
        </w:rPr>
        <w:t>波形失真不大于5%。试</w:t>
      </w:r>
    </w:p>
    <w:p>
      <w:pPr>
        <w:pStyle w:val="BodyText"/>
        <w:spacing w:before="153" w:line="220" w:lineRule="auto"/>
        <w:ind w:left="229"/>
        <w:rPr>
          <w:sz w:val="22"/>
          <w:szCs w:val="22"/>
        </w:rPr>
      </w:pPr>
      <w:r>
        <w:rPr>
          <w:spacing w:val="30"/>
          <w:sz w:val="22"/>
          <w:szCs w:val="22"/>
        </w:rPr>
        <w:t>验电压的测量误差不大于3%。</w:t>
      </w:r>
    </w:p>
    <w:p>
      <w:pPr>
        <w:pStyle w:val="BodyText"/>
        <w:spacing w:before="77" w:line="219" w:lineRule="auto"/>
        <w:ind w:left="229"/>
        <w:rPr>
          <w:sz w:val="22"/>
          <w:szCs w:val="22"/>
        </w:rPr>
      </w:pPr>
      <w:r>
        <w:rPr>
          <w:spacing w:val="15"/>
          <w:sz w:val="22"/>
          <w:szCs w:val="22"/>
        </w:rPr>
        <w:t>5.2</w:t>
      </w:r>
      <w:r>
        <w:rPr>
          <w:spacing w:val="76"/>
          <w:sz w:val="22"/>
          <w:szCs w:val="22"/>
        </w:rPr>
        <w:t xml:space="preserve"> </w:t>
      </w:r>
      <w:r>
        <w:rPr>
          <w:spacing w:val="15"/>
          <w:sz w:val="22"/>
          <w:szCs w:val="22"/>
        </w:rPr>
        <w:t>检定项目</w:t>
      </w:r>
    </w:p>
    <w:p>
      <w:pPr>
        <w:spacing w:line="219" w:lineRule="auto"/>
        <w:rPr>
          <w:sz w:val="22"/>
          <w:szCs w:val="22"/>
        </w:rPr>
        <w:sectPr>
          <w:headerReference w:type="default" r:id="rId33"/>
          <w:footerReference w:type="default" r:id="rId34"/>
          <w:type w:val="nextPage"/>
          <w:pgSz w:w="11800" w:h="16820"/>
          <w:pgMar w:top="1800" w:right="979" w:bottom="1032" w:left="1260" w:header="1478" w:footer="873" w:gutter="0"/>
          <w:pgNumType w:start="6"/>
          <w:cols w:space="708"/>
          <w:titlePg w:val="0"/>
        </w:sectPr>
      </w:pPr>
    </w:p>
    <w:p>
      <w:pPr>
        <w:pStyle w:val="BodyText"/>
        <w:spacing w:before="226" w:line="219" w:lineRule="auto"/>
        <w:ind w:left="653"/>
      </w:pPr>
      <w:r>
        <w:rPr>
          <w:b/>
          <w:bCs/>
          <w:spacing w:val="11"/>
        </w:rPr>
        <w:t>高压电容电桥的检定项目按表2规定。</w:t>
      </w:r>
    </w:p>
    <w:p>
      <w:pPr>
        <w:pStyle w:val="BodyText"/>
        <w:spacing w:before="67" w:line="219" w:lineRule="auto"/>
        <w:ind w:left="3433"/>
      </w:pPr>
      <w:r>
        <w:rPr>
          <w:b/>
          <w:bCs/>
        </w:rPr>
        <w:t>表2高压电容电桥检定项目</w:t>
      </w:r>
    </w:p>
    <w:p>
      <w:pPr>
        <w:pStyle w:val="BodyText"/>
        <w:spacing w:before="20" w:line="4650" w:lineRule="exact"/>
        <w:ind w:firstLine="30"/>
      </w:pPr>
      <w:r>
        <w:rPr>
          <w:position w:val="-93"/>
        </w:rPr>
        <w:pict>
          <v:group id="_x0000_i1045" style="width:473.5pt;height:232.55pt;mso-position-horizontal-relative:char;mso-position-vertical-relative:line" coordorigin="0,0" coordsize="9470,4651" filled="f" stroked="f">
            <v:shape id="_x0000_s1046" type="#_x0000_t75" style="width:9470;height:4651;position:absolute" filled="f" stroked="f">
              <v:imagedata r:id="rId35" o:title=""/>
            </v:shape>
            <v:shape id="_x0000_s1047" type="#_x0000_t202" style="width:4882;height:4242;left:279;position:absolute;top:169" filled="f" stroked="f">
              <o:lock v:ext="edit" aspectratio="f"/>
              <v:textbox inset="0,0,0,0">
                <w:txbxContent>
                  <w:p>
                    <w:pPr>
                      <w:spacing w:before="20" w:line="168" w:lineRule="auto"/>
                      <w:ind w:left="1599"/>
                      <w:rPr>
                        <w:rFonts w:ascii="SimSun" w:eastAsia="SimSun" w:hAnsi="SimSun" w:cs="SimSun"/>
                        <w:sz w:val="23"/>
                        <w:szCs w:val="23"/>
                      </w:rPr>
                    </w:pPr>
                    <w:r>
                      <w:rPr>
                        <w:rFonts w:ascii="SimSun" w:eastAsia="SimSun" w:hAnsi="SimSun" w:cs="SimSun"/>
                        <w:spacing w:val="-18"/>
                        <w:sz w:val="23"/>
                        <w:szCs w:val="23"/>
                      </w:rPr>
                      <w:t>检定类别</w:t>
                    </w:r>
                  </w:p>
                  <w:p>
                    <w:pPr>
                      <w:spacing w:line="158" w:lineRule="auto"/>
                      <w:ind w:left="3309"/>
                      <w:rPr>
                        <w:rFonts w:ascii="SimHei" w:eastAsia="SimHei" w:hAnsi="SimHei" w:cs="SimHei"/>
                        <w:sz w:val="23"/>
                        <w:szCs w:val="23"/>
                      </w:rPr>
                    </w:pPr>
                    <w:r>
                      <w:rPr>
                        <w:rFonts w:ascii="SimHei" w:eastAsia="SimHei" w:hAnsi="SimHei" w:cs="SimHei"/>
                        <w:spacing w:val="-17"/>
                        <w:sz w:val="23"/>
                        <w:szCs w:val="23"/>
                      </w:rPr>
                      <w:t>置次检定</w:t>
                    </w:r>
                  </w:p>
                  <w:p>
                    <w:pPr>
                      <w:spacing w:before="1" w:line="206" w:lineRule="auto"/>
                      <w:ind w:left="100"/>
                      <w:rPr>
                        <w:rFonts w:ascii="SimSun" w:eastAsia="SimSun" w:hAnsi="SimSun" w:cs="SimSun"/>
                        <w:sz w:val="23"/>
                        <w:szCs w:val="23"/>
                      </w:rPr>
                    </w:pPr>
                    <w:r>
                      <w:rPr>
                        <w:rFonts w:ascii="SimSun" w:eastAsia="SimSun" w:hAnsi="SimSun" w:cs="SimSun"/>
                        <w:spacing w:val="-17"/>
                        <w:sz w:val="23"/>
                        <w:szCs w:val="23"/>
                      </w:rPr>
                      <w:t>校定项目</w:t>
                    </w:r>
                  </w:p>
                  <w:p>
                    <w:pPr>
                      <w:spacing w:before="145" w:line="219" w:lineRule="auto"/>
                      <w:ind w:left="519"/>
                      <w:rPr>
                        <w:rFonts w:ascii="SimSun" w:eastAsia="SimSun" w:hAnsi="SimSun" w:cs="SimSun"/>
                        <w:sz w:val="23"/>
                        <w:szCs w:val="23"/>
                      </w:rPr>
                    </w:pPr>
                    <w:r>
                      <w:rPr>
                        <w:rFonts w:ascii="SimSun" w:eastAsia="SimSun" w:hAnsi="SimSun" w:cs="SimSun"/>
                        <w:spacing w:val="-19"/>
                        <w:w w:val="99"/>
                        <w:sz w:val="23"/>
                        <w:szCs w:val="23"/>
                      </w:rPr>
                      <w:t>外观及标志检春</w:t>
                    </w:r>
                  </w:p>
                  <w:p>
                    <w:pPr>
                      <w:spacing w:before="135" w:line="219" w:lineRule="auto"/>
                      <w:ind w:left="689"/>
                      <w:rPr>
                        <w:rFonts w:ascii="SimSun" w:eastAsia="SimSun" w:hAnsi="SimSun" w:cs="SimSun"/>
                        <w:sz w:val="23"/>
                        <w:szCs w:val="23"/>
                      </w:rPr>
                    </w:pPr>
                    <w:r>
                      <w:rPr>
                        <w:rFonts w:ascii="SimSun" w:eastAsia="SimSun" w:hAnsi="SimSun" w:cs="SimSun"/>
                        <w:color w:val="E74B9E"/>
                        <w:spacing w:val="-19"/>
                        <w:w w:val="96"/>
                        <w:sz w:val="23"/>
                        <w:szCs w:val="23"/>
                      </w:rPr>
                      <w:t>工频甜压试脆</w:t>
                    </w:r>
                  </w:p>
                  <w:p>
                    <w:pPr>
                      <w:spacing w:before="146" w:line="221" w:lineRule="auto"/>
                      <w:ind w:left="630"/>
                      <w:rPr>
                        <w:rFonts w:ascii="SimHei" w:eastAsia="SimHei" w:hAnsi="SimHei" w:cs="SimHei"/>
                        <w:sz w:val="23"/>
                        <w:szCs w:val="23"/>
                      </w:rPr>
                    </w:pPr>
                    <w:r>
                      <w:rPr>
                        <w:rFonts w:ascii="SimHei" w:eastAsia="SimHei" w:hAnsi="SimHei" w:cs="SimHei"/>
                        <w:spacing w:val="-18"/>
                        <w:sz w:val="23"/>
                        <w:szCs w:val="23"/>
                      </w:rPr>
                      <w:t>胞缘电阳试能</w:t>
                    </w:r>
                  </w:p>
                  <w:p>
                    <w:pPr>
                      <w:spacing w:before="137" w:line="219" w:lineRule="auto"/>
                      <w:ind w:left="20"/>
                      <w:rPr>
                        <w:rFonts w:ascii="SimSun" w:eastAsia="SimSun" w:hAnsi="SimSun" w:cs="SimSun"/>
                        <w:sz w:val="23"/>
                        <w:szCs w:val="23"/>
                      </w:rPr>
                    </w:pPr>
                    <w:r>
                      <w:rPr>
                        <w:rFonts w:ascii="SimSun" w:eastAsia="SimSun" w:hAnsi="SimSun" w:cs="SimSun"/>
                        <w:spacing w:val="-19"/>
                        <w:sz w:val="23"/>
                        <w:szCs w:val="23"/>
                      </w:rPr>
                      <w:t>检流计灵敏度及屏敲支路圆</w:t>
                    </w:r>
                  </w:p>
                  <w:p>
                    <w:pPr>
                      <w:spacing w:before="58" w:line="220" w:lineRule="auto"/>
                      <w:ind w:left="39"/>
                      <w:rPr>
                        <w:rFonts w:ascii="SimSun" w:eastAsia="SimSun" w:hAnsi="SimSun" w:cs="SimSun"/>
                        <w:sz w:val="23"/>
                        <w:szCs w:val="23"/>
                      </w:rPr>
                    </w:pPr>
                    <w:r>
                      <w:rPr>
                        <w:rFonts w:ascii="SimSun" w:eastAsia="SimSun" w:hAnsi="SimSun" w:cs="SimSun"/>
                        <w:spacing w:val="-11"/>
                        <w:sz w:val="23"/>
                        <w:szCs w:val="23"/>
                      </w:rPr>
                      <w:t>节器细度试形(西称型和电</w:t>
                    </w:r>
                  </w:p>
                  <w:p>
                    <w:pPr>
                      <w:spacing w:before="45" w:line="219" w:lineRule="auto"/>
                      <w:ind w:left="510"/>
                      <w:rPr>
                        <w:rFonts w:ascii="SimSun" w:eastAsia="SimSun" w:hAnsi="SimSun" w:cs="SimSun"/>
                        <w:sz w:val="23"/>
                        <w:szCs w:val="23"/>
                      </w:rPr>
                    </w:pPr>
                    <w:r>
                      <w:rPr>
                        <w:rFonts w:ascii="SimSun" w:eastAsia="SimSun" w:hAnsi="SimSun" w:cs="SimSun"/>
                        <w:spacing w:val="-18"/>
                        <w:sz w:val="23"/>
                        <w:szCs w:val="23"/>
                      </w:rPr>
                      <w:t>观比较仪型电桥)</w:t>
                    </w:r>
                  </w:p>
                  <w:p>
                    <w:pPr>
                      <w:spacing w:before="155" w:line="221" w:lineRule="auto"/>
                      <w:ind w:left="630"/>
                      <w:rPr>
                        <w:rFonts w:ascii="SimHei" w:eastAsia="SimHei" w:hAnsi="SimHei" w:cs="SimHei"/>
                        <w:sz w:val="23"/>
                        <w:szCs w:val="23"/>
                      </w:rPr>
                    </w:pPr>
                    <w:r>
                      <w:rPr>
                        <w:rFonts w:ascii="SimHei" w:eastAsia="SimHei" w:hAnsi="SimHei" w:cs="SimHei"/>
                        <w:spacing w:val="-16"/>
                        <w:w w:val="96"/>
                        <w:sz w:val="23"/>
                        <w:szCs w:val="23"/>
                      </w:rPr>
                      <w:t>基本洪差试验</w:t>
                    </w:r>
                  </w:p>
                  <w:p>
                    <w:pPr>
                      <w:spacing w:before="135" w:line="221" w:lineRule="auto"/>
                      <w:ind w:left="719"/>
                      <w:rPr>
                        <w:rFonts w:ascii="SimHei" w:eastAsia="SimHei" w:hAnsi="SimHei" w:cs="SimHei"/>
                        <w:sz w:val="23"/>
                        <w:szCs w:val="23"/>
                      </w:rPr>
                    </w:pPr>
                    <w:r>
                      <w:rPr>
                        <w:rFonts w:ascii="SimHei" w:eastAsia="SimHei" w:hAnsi="SimHei" w:cs="SimHei"/>
                        <w:color w:val="CA5891"/>
                        <w:spacing w:val="-15"/>
                        <w:w w:val="98"/>
                        <w:sz w:val="23"/>
                        <w:szCs w:val="23"/>
                      </w:rPr>
                      <w:t>概定性试脂</w:t>
                    </w:r>
                  </w:p>
                  <w:p>
                    <w:pPr>
                      <w:spacing w:before="152" w:line="220" w:lineRule="auto"/>
                      <w:ind w:right="7"/>
                      <w:jc w:val="right"/>
                      <w:rPr>
                        <w:rFonts w:ascii="FangSong" w:eastAsia="FangSong" w:hAnsi="FangSong" w:cs="FangSong"/>
                        <w:sz w:val="23"/>
                        <w:szCs w:val="23"/>
                      </w:rPr>
                    </w:pPr>
                    <w:r>
                      <w:rPr>
                        <w:rFonts w:ascii="FangSong" w:eastAsia="FangSong" w:hAnsi="FangSong" w:cs="FangSong"/>
                        <w:color w:val="DC388A"/>
                        <w:spacing w:val="-13"/>
                        <w:sz w:val="23"/>
                        <w:szCs w:val="23"/>
                      </w:rPr>
                      <w:t>注：“4”来乐必检项目，“一康并司不检现的</w:t>
                    </w:r>
                  </w:p>
                </w:txbxContent>
              </v:textbox>
            </v:shape>
            <v:shape id="_x0000_s1048" type="#_x0000_t202" style="width:1060;height:340;left:7660;position:absolute;top:281" filled="f" stroked="f">
              <o:lock v:ext="edit" aspectratio="f"/>
              <v:textbox inset="0,0,0,0">
                <w:txbxContent>
                  <w:p>
                    <w:pPr>
                      <w:spacing w:before="20" w:line="219" w:lineRule="auto"/>
                      <w:ind w:left="20"/>
                      <w:rPr>
                        <w:rFonts w:ascii="SimSun" w:eastAsia="SimSun" w:hAnsi="SimSun" w:cs="SimSun"/>
                        <w:sz w:val="30"/>
                        <w:szCs w:val="30"/>
                      </w:rPr>
                    </w:pPr>
                    <w:r>
                      <w:rPr>
                        <w:rFonts w:ascii="SimSun" w:eastAsia="SimSun" w:hAnsi="SimSun" w:cs="SimSun"/>
                        <w:spacing w:val="39"/>
                        <w:sz w:val="30"/>
                        <w:szCs w:val="30"/>
                      </w:rPr>
                      <w:t>使加听</w:t>
                    </w:r>
                  </w:p>
                </w:txbxContent>
              </v:textbox>
            </v:shape>
            <v:shape id="_x0000_s1049" type="#_x0000_t202" style="width:845;height:270;left:5650;position:absolute;top:371" filled="f" stroked="f">
              <o:lock v:ext="edit" aspectratio="f"/>
              <v:textbox inset="0,0,0,0">
                <w:txbxContent>
                  <w:p>
                    <w:pPr>
                      <w:spacing w:before="19" w:line="221" w:lineRule="auto"/>
                      <w:jc w:val="right"/>
                      <w:rPr>
                        <w:rFonts w:ascii="SimSun" w:eastAsia="SimSun" w:hAnsi="SimSun" w:cs="SimSun"/>
                        <w:sz w:val="23"/>
                        <w:szCs w:val="23"/>
                      </w:rPr>
                    </w:pPr>
                    <w:r>
                      <w:rPr>
                        <w:rFonts w:ascii="SimSun" w:eastAsia="SimSun" w:hAnsi="SimSun" w:cs="SimSun"/>
                        <w:color w:val="6D173F"/>
                        <w:spacing w:val="-19"/>
                        <w:w w:val="96"/>
                        <w:sz w:val="23"/>
                        <w:szCs w:val="23"/>
                      </w:rPr>
                      <w:t>溶</w:t>
                    </w:r>
                    <w:r>
                      <w:rPr>
                        <w:rFonts w:ascii="SimSun" w:eastAsia="SimSun" w:hAnsi="SimSun" w:cs="SimSun"/>
                        <w:color w:val="6D173F"/>
                        <w:spacing w:val="18"/>
                        <w:sz w:val="23"/>
                        <w:szCs w:val="23"/>
                      </w:rPr>
                      <w:t xml:space="preserve">   </w:t>
                    </w:r>
                    <w:r>
                      <w:rPr>
                        <w:rFonts w:ascii="SimSun" w:eastAsia="SimSun" w:hAnsi="SimSun" w:cs="SimSun"/>
                        <w:color w:val="6D173F"/>
                        <w:spacing w:val="-19"/>
                        <w:w w:val="96"/>
                        <w:sz w:val="23"/>
                        <w:szCs w:val="23"/>
                      </w:rPr>
                      <w:t>测</w:t>
                    </w:r>
                  </w:p>
                </w:txbxContent>
              </v:textbox>
            </v:shape>
            <w10:wrap type="none"/>
          </v:group>
        </w:pict>
      </w:r>
    </w:p>
    <w:p>
      <w:pPr>
        <w:spacing w:line="253" w:lineRule="auto"/>
        <w:rPr>
          <w:rFonts w:ascii="Arial"/>
          <w:sz w:val="21"/>
        </w:rPr>
      </w:pPr>
    </w:p>
    <w:p>
      <w:pPr>
        <w:pStyle w:val="BodyText"/>
        <w:spacing w:before="74" w:line="219" w:lineRule="auto"/>
        <w:ind w:left="140"/>
      </w:pPr>
      <w:r>
        <w:rPr>
          <w:spacing w:val="2"/>
        </w:rPr>
        <w:t>5.3</w:t>
      </w:r>
      <w:r>
        <w:rPr>
          <w:spacing w:val="113"/>
        </w:rPr>
        <w:t xml:space="preserve"> </w:t>
      </w:r>
      <w:r>
        <w:rPr>
          <w:spacing w:val="2"/>
        </w:rPr>
        <w:t>检定方法</w:t>
      </w:r>
    </w:p>
    <w:p>
      <w:pPr>
        <w:pStyle w:val="BodyText"/>
        <w:spacing w:before="97" w:line="219" w:lineRule="auto"/>
        <w:ind w:left="140"/>
      </w:pPr>
      <w:r>
        <w:rPr>
          <w:spacing w:val="4"/>
        </w:rPr>
        <w:t>5.3.1</w:t>
      </w:r>
      <w:r>
        <w:rPr>
          <w:spacing w:val="113"/>
        </w:rPr>
        <w:t xml:space="preserve"> </w:t>
      </w:r>
      <w:r>
        <w:rPr>
          <w:spacing w:val="4"/>
        </w:rPr>
        <w:t>外观及标志检查</w:t>
      </w:r>
    </w:p>
    <w:p>
      <w:pPr>
        <w:pStyle w:val="BodyText"/>
        <w:spacing w:before="107" w:line="272" w:lineRule="auto"/>
        <w:ind w:left="140" w:right="167" w:firstLine="509"/>
        <w:jc w:val="both"/>
      </w:pPr>
      <w:r>
        <w:rPr>
          <w:spacing w:val="14"/>
        </w:rPr>
        <w:t>外观及标志的检查，应符合本规程第4.2条要求。西林型和电流比较仪型电桥全部</w:t>
      </w:r>
      <w:r>
        <w:rPr>
          <w:spacing w:val="8"/>
        </w:rPr>
        <w:t xml:space="preserve"> </w:t>
      </w:r>
      <w:r>
        <w:rPr>
          <w:spacing w:val="17"/>
        </w:rPr>
        <w:t>转换开关应做不少于10次的全行程切换。桥体外壳上标明的接地端子，应单独可靠接</w:t>
      </w:r>
      <w:r>
        <w:rPr>
          <w:spacing w:val="12"/>
        </w:rPr>
        <w:t xml:space="preserve"> </w:t>
      </w:r>
      <w:r>
        <w:rPr>
          <w:spacing w:val="-5"/>
        </w:rPr>
        <w:t>地</w:t>
      </w:r>
      <w:r>
        <w:rPr>
          <w:spacing w:val="-58"/>
        </w:rPr>
        <w:t xml:space="preserve"> </w:t>
      </w:r>
      <w:r>
        <w:rPr>
          <w:spacing w:val="-5"/>
        </w:rPr>
        <w:t>。</w:t>
      </w:r>
    </w:p>
    <w:p>
      <w:pPr>
        <w:pStyle w:val="BodyText"/>
        <w:spacing w:before="84" w:line="219" w:lineRule="auto"/>
        <w:ind w:left="649"/>
      </w:pPr>
      <w:r>
        <w:rPr>
          <w:spacing w:val="10"/>
        </w:rPr>
        <w:t>如发现电桥有严重影响计量性能的缺陷，应修复后再检定。</w:t>
      </w:r>
    </w:p>
    <w:p>
      <w:pPr>
        <w:pStyle w:val="BodyText"/>
        <w:spacing w:before="88" w:line="221" w:lineRule="auto"/>
        <w:ind w:left="140"/>
      </w:pPr>
      <w:r>
        <w:rPr>
          <w:spacing w:val="2"/>
        </w:rPr>
        <w:t>5.3.2  绝缘试验</w:t>
      </w:r>
    </w:p>
    <w:p>
      <w:pPr>
        <w:pStyle w:val="BodyText"/>
        <w:spacing w:before="74" w:line="2099" w:lineRule="exact"/>
      </w:pPr>
      <w:r>
        <w:rPr>
          <w:position w:val="-41"/>
        </w:rPr>
        <w:pict>
          <v:group id="_x0000_i1050" style="width:475.55pt;height:104.95pt;mso-position-horizontal-relative:char;mso-position-vertical-relative:line" coordorigin="0,0" coordsize="9510,2098" filled="f" stroked="f">
            <v:shape id="_x0000_s1051" type="#_x0000_t75" style="width:9510;height:2051;position:absolute" filled="f" stroked="f">
              <v:imagedata r:id="rId36" o:title=""/>
            </v:shape>
            <v:shape id="_x0000_s1052" type="#_x0000_t202" style="width:9550;height:2138;left:-20;position:absolute;top:-20" filled="f" stroked="f">
              <o:lock v:ext="edit" aspectratio="f"/>
              <v:textbox inset="0,0,0,0">
                <w:txbxContent>
                  <w:p>
                    <w:pPr>
                      <w:spacing w:before="27" w:line="278" w:lineRule="auto"/>
                      <w:ind w:left="160" w:right="191" w:firstLine="509"/>
                      <w:jc w:val="both"/>
                      <w:rPr>
                        <w:rFonts w:ascii="SimSun" w:eastAsia="SimSun" w:hAnsi="SimSun" w:cs="SimSun"/>
                        <w:sz w:val="23"/>
                        <w:szCs w:val="23"/>
                      </w:rPr>
                    </w:pPr>
                    <w:r>
                      <w:rPr>
                        <w:rFonts w:ascii="SimSun" w:eastAsia="SimSun" w:hAnsi="SimSun" w:cs="SimSun"/>
                        <w:spacing w:val="11"/>
                        <w:sz w:val="23"/>
                        <w:szCs w:val="23"/>
                      </w:rPr>
                      <w:t>高压电容电桥工频耐压试验应在仪器的电源开关接通状态下进行。试验时应逐渐地</w:t>
                    </w:r>
                    <w:r>
                      <w:rPr>
                        <w:rFonts w:ascii="SimSun" w:eastAsia="SimSun" w:hAnsi="SimSun" w:cs="SimSun"/>
                        <w:spacing w:val="12"/>
                        <w:sz w:val="23"/>
                        <w:szCs w:val="23"/>
                      </w:rPr>
                      <w:t xml:space="preserve"> </w:t>
                    </w:r>
                    <w:r>
                      <w:rPr>
                        <w:rFonts w:ascii="SimSun" w:eastAsia="SimSun" w:hAnsi="SimSun" w:cs="SimSun"/>
                        <w:spacing w:val="21"/>
                        <w:sz w:val="23"/>
                        <w:szCs w:val="23"/>
                      </w:rPr>
                      <w:t>升高电压至规定值，偏差不大于3%,并在此电</w:t>
                    </w:r>
                    <w:r>
                      <w:rPr>
                        <w:rFonts w:ascii="SimSun" w:eastAsia="SimSun" w:hAnsi="SimSun" w:cs="SimSun"/>
                        <w:spacing w:val="20"/>
                        <w:sz w:val="23"/>
                        <w:szCs w:val="23"/>
                      </w:rPr>
                      <w:t>压下保持1</w:t>
                    </w:r>
                    <w:r>
                      <w:rPr>
                        <w:rFonts w:ascii="Times New Roman" w:eastAsia="Times New Roman" w:hAnsi="Times New Roman" w:cs="Times New Roman"/>
                        <w:sz w:val="23"/>
                        <w:szCs w:val="23"/>
                      </w:rPr>
                      <w:t>min</w:t>
                    </w:r>
                    <w:r>
                      <w:rPr>
                        <w:rFonts w:ascii="SimSun" w:eastAsia="SimSun" w:hAnsi="SimSun" w:cs="SimSun"/>
                        <w:spacing w:val="20"/>
                        <w:sz w:val="23"/>
                        <w:szCs w:val="23"/>
                      </w:rPr>
                      <w:t>。试验中应避免试验电源</w:t>
                    </w:r>
                    <w:r>
                      <w:rPr>
                        <w:rFonts w:ascii="SimSun" w:eastAsia="SimSun" w:hAnsi="SimSun" w:cs="SimSun"/>
                        <w:sz w:val="23"/>
                        <w:szCs w:val="23"/>
                      </w:rPr>
                      <w:t xml:space="preserve"> </w:t>
                    </w:r>
                    <w:r>
                      <w:rPr>
                        <w:rFonts w:ascii="SimSun" w:eastAsia="SimSun" w:hAnsi="SimSun" w:cs="SimSun"/>
                        <w:spacing w:val="11"/>
                        <w:sz w:val="23"/>
                        <w:szCs w:val="23"/>
                      </w:rPr>
                      <w:t>突然接通和分断。测量试验电压时，推荐采用在试验变压器的高压输出端直接测量的方</w:t>
                    </w:r>
                    <w:r>
                      <w:rPr>
                        <w:rFonts w:ascii="SimSun" w:eastAsia="SimSun" w:hAnsi="SimSun" w:cs="SimSun"/>
                        <w:spacing w:val="10"/>
                        <w:sz w:val="23"/>
                        <w:szCs w:val="23"/>
                      </w:rPr>
                      <w:t xml:space="preserve"> </w:t>
                    </w:r>
                    <w:r>
                      <w:rPr>
                        <w:rFonts w:ascii="SimSun" w:eastAsia="SimSun" w:hAnsi="SimSun" w:cs="SimSun"/>
                        <w:spacing w:val="11"/>
                        <w:sz w:val="23"/>
                        <w:szCs w:val="23"/>
                      </w:rPr>
                      <w:t>法。试验过程中应无击穿或闪络等破坏性放电现象产</w:t>
                    </w:r>
                    <w:r>
                      <w:rPr>
                        <w:rFonts w:ascii="SimSun" w:eastAsia="SimSun" w:hAnsi="SimSun" w:cs="SimSun"/>
                        <w:spacing w:val="10"/>
                        <w:sz w:val="23"/>
                        <w:szCs w:val="23"/>
                      </w:rPr>
                      <w:t>生。</w:t>
                    </w:r>
                  </w:p>
                  <w:p>
                    <w:pPr>
                      <w:spacing w:before="97" w:line="219" w:lineRule="auto"/>
                      <w:ind w:left="669"/>
                      <w:rPr>
                        <w:rFonts w:ascii="SimSun" w:eastAsia="SimSun" w:hAnsi="SimSun" w:cs="SimSun"/>
                        <w:sz w:val="23"/>
                        <w:szCs w:val="23"/>
                      </w:rPr>
                    </w:pPr>
                    <w:r>
                      <w:rPr>
                        <w:rFonts w:ascii="SimSun" w:eastAsia="SimSun" w:hAnsi="SimSun" w:cs="SimSun"/>
                        <w:spacing w:val="13"/>
                        <w:sz w:val="23"/>
                        <w:szCs w:val="23"/>
                      </w:rPr>
                      <w:t>绝缘电阻试验应在仪器的电源开关接通状态下进行，试验结果应符合4.3条</w:t>
                    </w:r>
                    <w:r>
                      <w:rPr>
                        <w:rFonts w:ascii="SimSun" w:eastAsia="SimSun" w:hAnsi="SimSun" w:cs="SimSun"/>
                        <w:spacing w:val="12"/>
                        <w:sz w:val="23"/>
                        <w:szCs w:val="23"/>
                      </w:rPr>
                      <w:t>规定。</w:t>
                    </w:r>
                  </w:p>
                  <w:p>
                    <w:pPr>
                      <w:spacing w:before="107" w:line="219" w:lineRule="auto"/>
                      <w:ind w:left="160"/>
                      <w:rPr>
                        <w:rFonts w:ascii="SimSun" w:eastAsia="SimSun" w:hAnsi="SimSun" w:cs="SimSun"/>
                        <w:sz w:val="23"/>
                        <w:szCs w:val="23"/>
                      </w:rPr>
                    </w:pPr>
                    <w:r>
                      <w:rPr>
                        <w:rFonts w:ascii="SimSun" w:eastAsia="SimSun" w:hAnsi="SimSun" w:cs="SimSun"/>
                        <w:spacing w:val="10"/>
                        <w:sz w:val="23"/>
                        <w:szCs w:val="23"/>
                      </w:rPr>
                      <w:t>5.3.3</w:t>
                    </w:r>
                    <w:r>
                      <w:rPr>
                        <w:rFonts w:ascii="SimSun" w:eastAsia="SimSun" w:hAnsi="SimSun" w:cs="SimSun"/>
                        <w:spacing w:val="11"/>
                        <w:sz w:val="23"/>
                        <w:szCs w:val="23"/>
                      </w:rPr>
                      <w:t xml:space="preserve">  </w:t>
                    </w:r>
                    <w:r>
                      <w:rPr>
                        <w:rFonts w:ascii="SimSun" w:eastAsia="SimSun" w:hAnsi="SimSun" w:cs="SimSun"/>
                        <w:spacing w:val="10"/>
                        <w:sz w:val="23"/>
                        <w:szCs w:val="23"/>
                      </w:rPr>
                      <w:t>检流计灵敏度及屏蔽支路调节器细度试验</w:t>
                    </w:r>
                  </w:p>
                </w:txbxContent>
              </v:textbox>
            </v:shape>
            <w10:wrap type="none"/>
          </v:group>
        </w:pict>
      </w:r>
    </w:p>
    <w:p>
      <w:pPr>
        <w:pStyle w:val="BodyText"/>
        <w:spacing w:before="111" w:line="286" w:lineRule="auto"/>
        <w:ind w:left="140" w:right="151" w:firstLine="509"/>
        <w:jc w:val="both"/>
        <w:sectPr>
          <w:headerReference w:type="default" r:id="rId37"/>
          <w:footerReference w:type="default" r:id="rId38"/>
          <w:pgSz w:w="11820" w:h="16760"/>
          <w:pgMar w:top="1770" w:right="1360" w:bottom="988" w:left="949" w:header="1460" w:footer="849" w:gutter="0"/>
          <w:pgNumType w:start="7"/>
          <w:cols w:space="708"/>
        </w:sectPr>
      </w:pPr>
      <w:r>
        <w:rPr>
          <w:spacing w:val="16"/>
        </w:rPr>
        <w:t>检流计灵敏度及屏蔽支路调节器细度用两台电容试</w:t>
      </w:r>
      <w:r>
        <w:rPr>
          <w:spacing w:val="15"/>
        </w:rPr>
        <w:t xml:space="preserve">品在电桥正常测量状态下试验 </w:t>
      </w:r>
      <w:r>
        <w:rPr>
          <w:spacing w:val="18"/>
        </w:rPr>
        <w:t>并在正常参考电流和最大允许参考电流下各进行一次。在调整到电桥规</w:t>
      </w:r>
      <w:r>
        <w:rPr>
          <w:spacing w:val="17"/>
        </w:rPr>
        <w:t>定的平衡状态</w:t>
      </w:r>
      <w:r>
        <w:t xml:space="preserve"> </w:t>
      </w:r>
      <w:r>
        <w:rPr>
          <w:spacing w:val="14"/>
        </w:rPr>
        <w:t>时，偏调电桥测量臂使测量值偏离该点允许测量误差的1/10,引起检</w:t>
      </w:r>
      <w:r>
        <w:rPr>
          <w:spacing w:val="13"/>
        </w:rPr>
        <w:t>流计的偏转应不小</w:t>
      </w:r>
      <w:r>
        <w:t xml:space="preserve"> </w:t>
      </w:r>
      <w:r>
        <w:rPr>
          <w:spacing w:val="11"/>
        </w:rPr>
        <w:t>于1</w:t>
      </w:r>
      <w:r>
        <w:rPr>
          <w:rFonts w:ascii="Times New Roman" w:eastAsia="Times New Roman" w:hAnsi="Times New Roman" w:cs="Times New Roman"/>
        </w:rPr>
        <w:t>mm</w:t>
      </w:r>
      <w:r>
        <w:rPr>
          <w:spacing w:val="11"/>
        </w:rPr>
        <w:t>。在调整到电桥规定的平衡状态时，偏调电桥屏蔽支路一个最小分度，检流计的</w:t>
      </w:r>
      <w:r>
        <w:rPr>
          <w:spacing w:val="16"/>
        </w:rPr>
        <w:t xml:space="preserve"> </w:t>
      </w:r>
      <w:r>
        <w:rPr>
          <w:spacing w:val="11"/>
        </w:rPr>
        <w:t>偏转应不大于1</w:t>
      </w:r>
      <w:r>
        <w:rPr>
          <w:rFonts w:ascii="Times New Roman" w:eastAsia="Times New Roman" w:hAnsi="Times New Roman" w:cs="Times New Roman"/>
        </w:rPr>
        <w:t>mm</w:t>
      </w:r>
      <w:r>
        <w:rPr>
          <w:spacing w:val="11"/>
        </w:rPr>
        <w:t>。有源电流比较仪电桥的屏蔽支路调节器</w:t>
      </w:r>
      <w:r>
        <w:rPr>
          <w:spacing w:val="10"/>
        </w:rPr>
        <w:t>为反馈式电子放大器，不进</w:t>
      </w:r>
      <w:r>
        <w:t xml:space="preserve"> </w:t>
      </w:r>
      <w:r>
        <w:rPr>
          <w:spacing w:val="13"/>
        </w:rPr>
        <w:t>行调节细度试验，只在电桥正常参考电流和最大</w:t>
      </w:r>
      <w:r>
        <w:rPr>
          <w:spacing w:val="12"/>
        </w:rPr>
        <w:t>允许参考电流下各进行一次检流计灵敏</w:t>
      </w:r>
      <w:r>
        <w:t xml:space="preserve"> </w:t>
      </w:r>
      <w:r>
        <w:rPr>
          <w:spacing w:val="1"/>
        </w:rPr>
        <w:t>度试验。</w:t>
      </w:r>
    </w:p>
    <w:p>
      <w:pPr>
        <w:pStyle w:val="BodyText"/>
        <w:spacing w:before="94" w:line="219" w:lineRule="auto"/>
        <w:ind w:left="140"/>
      </w:pPr>
      <w:r>
        <w:rPr>
          <w:spacing w:val="6"/>
        </w:rPr>
        <w:t>5.3.4</w:t>
      </w:r>
      <w:r>
        <w:rPr>
          <w:spacing w:val="8"/>
        </w:rPr>
        <w:t xml:space="preserve">  </w:t>
      </w:r>
      <w:r>
        <w:rPr>
          <w:spacing w:val="6"/>
        </w:rPr>
        <w:t>基本误差试验</w:t>
      </w:r>
    </w:p>
    <w:p>
      <w:pPr>
        <w:pStyle w:val="BodyText"/>
        <w:spacing w:before="77" w:line="219" w:lineRule="auto"/>
        <w:ind w:left="649"/>
      </w:pPr>
      <w:r>
        <w:rPr>
          <w:spacing w:val="21"/>
        </w:rPr>
        <w:t>电桥的电容比率基本误差选用能满足</w:t>
      </w:r>
      <w:hyperlink r:id="rId28" w:history="1">
        <w:r>
          <w:rPr>
            <w:spacing w:val="21"/>
          </w:rPr>
          <w:t>5.1.2.1</w:t>
        </w:r>
      </w:hyperlink>
      <w:r>
        <w:rPr>
          <w:spacing w:val="-45"/>
        </w:rPr>
        <w:t xml:space="preserve"> </w:t>
      </w:r>
      <w:r>
        <w:rPr>
          <w:spacing w:val="21"/>
        </w:rPr>
        <w:t>条要求的电容量具(或交流电阻量</w:t>
      </w:r>
    </w:p>
    <w:p>
      <w:pPr>
        <w:spacing w:line="219" w:lineRule="auto"/>
        <w:sectPr>
          <w:headerReference w:type="default" r:id="rId39"/>
          <w:footerReference w:type="default" r:id="rId40"/>
          <w:type w:val="nextPage"/>
          <w:pgSz w:w="11820" w:h="16760"/>
          <w:pgMar w:top="1770" w:right="1360" w:bottom="988" w:left="949" w:header="1460" w:footer="849" w:gutter="0"/>
          <w:pgNumType w:start="8"/>
          <w:cols w:space="708"/>
          <w:titlePg w:val="0"/>
        </w:sectPr>
      </w:pPr>
    </w:p>
    <w:p>
      <w:pPr>
        <w:pStyle w:val="BodyText"/>
        <w:spacing w:before="225" w:line="261" w:lineRule="auto"/>
        <w:ind w:left="39" w:right="31" w:hanging="9"/>
        <w:jc w:val="both"/>
      </w:pPr>
      <w:r>
        <w:rPr>
          <w:spacing w:val="17"/>
        </w:rPr>
        <w:t>具),使用图1的电容比较线路或附录</w:t>
      </w:r>
      <w:r>
        <w:rPr>
          <w:spacing w:val="-66"/>
        </w:rPr>
        <w:t xml:space="preserve"> </w:t>
      </w:r>
      <w:r>
        <w:rPr>
          <w:rFonts w:ascii="Times New Roman" w:eastAsia="Times New Roman" w:hAnsi="Times New Roman" w:cs="Times New Roman"/>
          <w:spacing w:val="17"/>
        </w:rPr>
        <w:t xml:space="preserve">A1 </w:t>
      </w:r>
      <w:r>
        <w:rPr>
          <w:spacing w:val="17"/>
        </w:rPr>
        <w:t>图的等功率电桥线路</w:t>
      </w:r>
      <w:r>
        <w:rPr>
          <w:spacing w:val="16"/>
        </w:rPr>
        <w:t>整体检定。电桥的损耗因</w:t>
      </w:r>
      <w:r>
        <w:t xml:space="preserve"> </w:t>
      </w:r>
      <w:r>
        <w:rPr>
          <w:spacing w:val="15"/>
        </w:rPr>
        <w:t>数基本误差选用能满足</w:t>
      </w:r>
      <w:hyperlink r:id="rId28" w:history="1">
        <w:r>
          <w:rPr>
            <w:spacing w:val="15"/>
          </w:rPr>
          <w:t>5.1.2.1</w:t>
        </w:r>
      </w:hyperlink>
      <w:r>
        <w:rPr>
          <w:spacing w:val="-43"/>
        </w:rPr>
        <w:t xml:space="preserve"> </w:t>
      </w:r>
      <w:r>
        <w:rPr>
          <w:spacing w:val="15"/>
        </w:rPr>
        <w:t>条要求的工频损耗因数量具，使用图2的电容比较线路</w:t>
      </w:r>
      <w:r>
        <w:t xml:space="preserve"> </w:t>
      </w:r>
      <w:r>
        <w:rPr>
          <w:spacing w:val="9"/>
        </w:rPr>
        <w:t>或附录</w:t>
      </w:r>
      <w:r>
        <w:rPr>
          <w:spacing w:val="-22"/>
        </w:rPr>
        <w:t xml:space="preserve"> </w:t>
      </w:r>
      <w:r>
        <w:rPr>
          <w:rFonts w:ascii="Times New Roman" w:eastAsia="Times New Roman" w:hAnsi="Times New Roman" w:cs="Times New Roman"/>
          <w:spacing w:val="9"/>
        </w:rPr>
        <w:t>B1</w:t>
      </w:r>
      <w:r>
        <w:rPr>
          <w:spacing w:val="9"/>
        </w:rPr>
        <w:t>图的低压导纳线路整体检定。</w:t>
      </w:r>
    </w:p>
    <w:p>
      <w:pPr>
        <w:pStyle w:val="BodyText"/>
        <w:spacing w:before="78" w:line="219" w:lineRule="auto"/>
        <w:ind w:left="530"/>
      </w:pPr>
      <w:r>
        <w:rPr>
          <w:spacing w:val="11"/>
        </w:rPr>
        <w:t>检定时的参考电流应不小于电桥规定的最小工作电流。</w:t>
      </w:r>
    </w:p>
    <w:p>
      <w:pPr>
        <w:pStyle w:val="BodyText"/>
        <w:spacing w:before="107" w:line="219" w:lineRule="auto"/>
        <w:ind w:left="519"/>
      </w:pPr>
      <w:r>
        <w:rPr>
          <w:spacing w:val="9"/>
        </w:rPr>
        <w:t>检定时读取有效数字的舍入误差应为允许误差的1/10～1/100。</w:t>
      </w:r>
    </w:p>
    <w:p>
      <w:pPr>
        <w:spacing w:before="213" w:line="185" w:lineRule="auto"/>
        <w:ind w:left="3700"/>
        <w:rPr>
          <w:rFonts w:ascii="Times New Roman" w:eastAsia="Times New Roman" w:hAnsi="Times New Roman" w:cs="Times New Roman"/>
          <w:sz w:val="14"/>
          <w:szCs w:val="14"/>
        </w:rPr>
      </w:pPr>
      <w:r>
        <w:rPr>
          <w:rFonts w:ascii="Times New Roman" w:eastAsia="Times New Roman" w:hAnsi="Times New Roman" w:cs="Times New Roman"/>
          <w:sz w:val="14"/>
          <w:szCs w:val="14"/>
        </w:rPr>
        <w:t>T</w:t>
      </w:r>
    </w:p>
    <w:p>
      <w:pPr>
        <w:spacing w:line="2829" w:lineRule="exact"/>
        <w:ind w:firstLine="2750"/>
      </w:pPr>
      <w:r>
        <w:rPr>
          <w:position w:val="-56"/>
        </w:rPr>
        <w:drawing>
          <wp:inline distT="0" distB="0" distL="0" distR="0">
            <wp:extent cx="2165319" cy="179702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1"/>
                    <a:stretch>
                      <a:fillRect/>
                    </a:stretch>
                  </pic:blipFill>
                  <pic:spPr>
                    <a:xfrm>
                      <a:off x="0" y="0"/>
                      <a:ext cx="2165319" cy="1797025"/>
                    </a:xfrm>
                    <a:prstGeom prst="rect">
                      <a:avLst/>
                    </a:prstGeom>
                  </pic:spPr>
                </pic:pic>
              </a:graphicData>
            </a:graphic>
          </wp:inline>
        </w:drawing>
      </w:r>
    </w:p>
    <w:p>
      <w:pPr>
        <w:spacing w:line="283" w:lineRule="auto"/>
        <w:rPr>
          <w:rFonts w:ascii="Arial"/>
          <w:sz w:val="21"/>
        </w:rPr>
      </w:pPr>
    </w:p>
    <w:p>
      <w:pPr>
        <w:pStyle w:val="BodyText"/>
        <w:spacing w:before="75" w:line="219" w:lineRule="auto"/>
        <w:ind w:left="3020"/>
      </w:pPr>
      <w:r>
        <w:rPr>
          <w:spacing w:val="-15"/>
        </w:rPr>
        <w:t>图1</w:t>
      </w:r>
      <w:r>
        <w:rPr>
          <w:spacing w:val="91"/>
        </w:rPr>
        <w:t xml:space="preserve"> </w:t>
      </w:r>
      <w:r>
        <w:rPr>
          <w:spacing w:val="-15"/>
        </w:rPr>
        <w:t>用电容比较线路检定电容比率</w:t>
      </w:r>
    </w:p>
    <w:p>
      <w:pPr>
        <w:pStyle w:val="BodyText"/>
        <w:spacing w:before="47" w:line="228" w:lineRule="auto"/>
        <w:ind w:left="2059"/>
        <w:rPr>
          <w:sz w:val="20"/>
          <w:szCs w:val="20"/>
        </w:rPr>
      </w:pPr>
      <w:r>
        <w:rPr>
          <w:spacing w:val="-25"/>
          <w:sz w:val="20"/>
          <w:szCs w:val="20"/>
        </w:rPr>
        <w:t>图中：TD</w:t>
      </w:r>
      <w:r>
        <w:rPr>
          <w:spacing w:val="-34"/>
          <w:sz w:val="20"/>
          <w:szCs w:val="20"/>
        </w:rPr>
        <w:t xml:space="preserve"> </w:t>
      </w:r>
      <w:r>
        <w:rPr>
          <w:spacing w:val="-25"/>
          <w:sz w:val="22"/>
          <w:szCs w:val="22"/>
        </w:rPr>
        <w:t>一调还器；</w:t>
      </w:r>
      <w:r>
        <w:rPr>
          <w:spacing w:val="-25"/>
          <w:sz w:val="20"/>
          <w:szCs w:val="20"/>
        </w:rPr>
        <w:t>T—</w:t>
      </w:r>
      <w:r>
        <w:rPr>
          <w:rFonts w:ascii="KaiTi" w:eastAsia="KaiTi" w:hAnsi="KaiTi" w:cs="KaiTi"/>
          <w:spacing w:val="-25"/>
          <w:sz w:val="22"/>
          <w:szCs w:val="22"/>
        </w:rPr>
        <w:t>试验变压器</w:t>
      </w:r>
      <w:r>
        <w:rPr>
          <w:spacing w:val="-25"/>
          <w:sz w:val="20"/>
          <w:szCs w:val="20"/>
        </w:rPr>
        <w:t>；C</w:t>
      </w:r>
      <w:r>
        <w:rPr>
          <w:rFonts w:ascii="Calibri" w:eastAsia="Calibri" w:hAnsi="Calibri" w:cs="Calibri"/>
          <w:spacing w:val="-25"/>
          <w:sz w:val="20"/>
          <w:szCs w:val="20"/>
        </w:rPr>
        <w:t>₁</w:t>
      </w:r>
      <w:r>
        <w:rPr>
          <w:spacing w:val="-25"/>
          <w:sz w:val="20"/>
          <w:szCs w:val="20"/>
        </w:rPr>
        <w:t xml:space="preserve">、C: </w:t>
      </w:r>
      <w:r>
        <w:rPr>
          <w:spacing w:val="-25"/>
          <w:sz w:val="22"/>
          <w:szCs w:val="22"/>
        </w:rPr>
        <w:t>一标准空气</w:t>
      </w:r>
      <w:r>
        <w:rPr>
          <w:spacing w:val="-26"/>
          <w:sz w:val="22"/>
          <w:szCs w:val="22"/>
        </w:rPr>
        <w:t>电容</w:t>
      </w:r>
      <w:r>
        <w:rPr>
          <w:spacing w:val="-26"/>
          <w:sz w:val="20"/>
          <w:szCs w:val="20"/>
        </w:rPr>
        <w:t>器；</w:t>
      </w:r>
    </w:p>
    <w:p>
      <w:pPr>
        <w:pStyle w:val="BodyText"/>
        <w:spacing w:before="50" w:line="214" w:lineRule="auto"/>
        <w:ind w:left="3969"/>
      </w:pPr>
      <w:r>
        <w:rPr>
          <w:spacing w:val="-25"/>
        </w:rPr>
        <w:t>C-tgδ-被检电桥</w:t>
      </w:r>
    </w:p>
    <w:p>
      <w:pPr>
        <w:spacing w:line="295" w:lineRule="auto"/>
        <w:rPr>
          <w:rFonts w:ascii="Arial"/>
          <w:sz w:val="21"/>
        </w:rPr>
      </w:pPr>
    </w:p>
    <w:p>
      <w:pPr>
        <w:spacing w:before="42" w:line="185" w:lineRule="auto"/>
        <w:ind w:left="3889"/>
        <w:rPr>
          <w:rFonts w:ascii="Times New Roman" w:eastAsia="Times New Roman" w:hAnsi="Times New Roman" w:cs="Times New Roman"/>
          <w:sz w:val="14"/>
          <w:szCs w:val="14"/>
        </w:rPr>
      </w:pPr>
      <w:r>
        <w:drawing>
          <wp:anchor distT="0" distB="0" distL="0" distR="0" simplePos="0" relativeHeight="251658240" behindDoc="0" locked="0" layoutInCell="1" allowOverlap="1">
            <wp:simplePos x="0" y="0"/>
            <wp:positionH relativeFrom="column">
              <wp:posOffset>1835143</wp:posOffset>
            </wp:positionH>
            <wp:positionV relativeFrom="paragraph">
              <wp:posOffset>66893</wp:posOffset>
            </wp:positionV>
            <wp:extent cx="2235197" cy="1892303"/>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2"/>
                    <a:stretch>
                      <a:fillRect/>
                    </a:stretch>
                  </pic:blipFill>
                  <pic:spPr>
                    <a:xfrm>
                      <a:off x="0" y="0"/>
                      <a:ext cx="2235197" cy="1892303"/>
                    </a:xfrm>
                    <a:prstGeom prst="rect">
                      <a:avLst/>
                    </a:prstGeom>
                  </pic:spPr>
                </pic:pic>
              </a:graphicData>
            </a:graphic>
          </wp:anchor>
        </w:drawing>
      </w:r>
      <w:r>
        <w:rPr>
          <w:rFonts w:ascii="Times New Roman" w:eastAsia="Times New Roman" w:hAnsi="Times New Roman" w:cs="Times New Roman"/>
          <w:sz w:val="14"/>
          <w:szCs w:val="14"/>
        </w:rPr>
        <w:t>T</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75" w:line="219" w:lineRule="auto"/>
        <w:ind w:left="3039"/>
        <w:sectPr>
          <w:headerReference w:type="default" r:id="rId43"/>
          <w:footerReference w:type="default" r:id="rId44"/>
          <w:pgSz w:w="11820" w:h="16840"/>
          <w:pgMar w:top="1800" w:right="1025" w:bottom="1084" w:left="1510" w:header="1540" w:footer="936" w:gutter="0"/>
          <w:pgNumType w:start="9"/>
          <w:cols w:space="708"/>
        </w:sectPr>
      </w:pPr>
      <w:r>
        <w:rPr>
          <w:spacing w:val="-13"/>
        </w:rPr>
        <w:t>图2</w:t>
      </w:r>
      <w:r>
        <w:rPr>
          <w:spacing w:val="79"/>
        </w:rPr>
        <w:t xml:space="preserve"> </w:t>
      </w:r>
      <w:r>
        <w:rPr>
          <w:spacing w:val="-13"/>
        </w:rPr>
        <w:t>用电容比较线路检定损耗因数</w:t>
      </w:r>
    </w:p>
    <w:p>
      <w:pPr>
        <w:pStyle w:val="BodyText"/>
        <w:spacing w:before="16" w:line="213" w:lineRule="auto"/>
        <w:ind w:left="2070"/>
        <w:rPr>
          <w:rFonts w:ascii="SimHei" w:eastAsia="SimHei" w:hAnsi="SimHei" w:cs="SimHei"/>
          <w:sz w:val="22"/>
          <w:szCs w:val="22"/>
        </w:rPr>
      </w:pPr>
      <w:r>
        <w:rPr>
          <w:rFonts w:ascii="SimHei" w:eastAsia="SimHei" w:hAnsi="SimHei" w:cs="SimHei"/>
          <w:spacing w:val="-25"/>
          <w:sz w:val="20"/>
          <w:szCs w:val="20"/>
        </w:rPr>
        <w:t>图中：TD</w:t>
      </w:r>
      <w:r>
        <w:rPr>
          <w:rFonts w:ascii="SimHei" w:eastAsia="SimHei" w:hAnsi="SimHei" w:cs="SimHei"/>
          <w:spacing w:val="-32"/>
          <w:sz w:val="20"/>
          <w:szCs w:val="20"/>
        </w:rPr>
        <w:t xml:space="preserve"> </w:t>
      </w:r>
      <w:r>
        <w:rPr>
          <w:spacing w:val="-25"/>
          <w:sz w:val="20"/>
          <w:szCs w:val="20"/>
        </w:rPr>
        <w:t>一</w:t>
      </w:r>
      <w:r>
        <w:rPr>
          <w:rFonts w:ascii="SimHei" w:eastAsia="SimHei" w:hAnsi="SimHei" w:cs="SimHei"/>
          <w:spacing w:val="-25"/>
          <w:sz w:val="22"/>
          <w:szCs w:val="22"/>
        </w:rPr>
        <w:t>调胚器；</w:t>
      </w:r>
      <w:r>
        <w:rPr>
          <w:rFonts w:ascii="SimHei" w:eastAsia="SimHei" w:hAnsi="SimHei" w:cs="SimHei"/>
          <w:spacing w:val="-25"/>
          <w:sz w:val="20"/>
          <w:szCs w:val="20"/>
        </w:rPr>
        <w:t>T</w:t>
      </w:r>
      <w:r>
        <w:rPr>
          <w:rFonts w:ascii="SimHei" w:eastAsia="SimHei" w:hAnsi="SimHei" w:cs="SimHei"/>
          <w:spacing w:val="-25"/>
          <w:sz w:val="22"/>
          <w:szCs w:val="22"/>
        </w:rPr>
        <w:t>一试验变压器；</w:t>
      </w:r>
      <w:r>
        <w:rPr>
          <w:rFonts w:ascii="SimHei" w:eastAsia="SimHei" w:hAnsi="SimHei" w:cs="SimHei"/>
          <w:spacing w:val="-25"/>
          <w:sz w:val="20"/>
          <w:szCs w:val="20"/>
        </w:rPr>
        <w:t>C</w:t>
      </w:r>
      <w:r>
        <w:rPr>
          <w:rFonts w:ascii="Calibri" w:eastAsia="Calibri" w:hAnsi="Calibri" w:cs="Calibri"/>
          <w:spacing w:val="-25"/>
          <w:sz w:val="20"/>
          <w:szCs w:val="20"/>
        </w:rPr>
        <w:t>₁</w:t>
      </w:r>
      <w:r>
        <w:rPr>
          <w:rFonts w:ascii="SimHei" w:eastAsia="SimHei" w:hAnsi="SimHei" w:cs="SimHei"/>
          <w:spacing w:val="-25"/>
          <w:sz w:val="20"/>
          <w:szCs w:val="20"/>
        </w:rPr>
        <w:t>、C;</w:t>
      </w:r>
      <w:r>
        <w:rPr>
          <w:rFonts w:ascii="SimHei" w:eastAsia="SimHei" w:hAnsi="SimHei" w:cs="SimHei"/>
          <w:spacing w:val="-25"/>
          <w:sz w:val="20"/>
          <w:szCs w:val="20"/>
        </w:rPr>
        <w:t xml:space="preserve"> </w:t>
      </w:r>
      <w:r>
        <w:rPr>
          <w:rFonts w:ascii="SimHei" w:eastAsia="SimHei" w:hAnsi="SimHei" w:cs="SimHei"/>
          <w:spacing w:val="-25"/>
          <w:sz w:val="22"/>
          <w:szCs w:val="22"/>
        </w:rPr>
        <w:t>一标准空气电容器；</w:t>
      </w:r>
    </w:p>
    <w:p>
      <w:pPr>
        <w:pStyle w:val="BodyText"/>
        <w:spacing w:before="79" w:line="214" w:lineRule="auto"/>
        <w:ind w:left="3380"/>
        <w:rPr>
          <w:sz w:val="22"/>
          <w:szCs w:val="22"/>
        </w:rPr>
      </w:pPr>
      <w:r>
        <w:rPr>
          <w:spacing w:val="-19"/>
          <w:w w:val="98"/>
          <w:sz w:val="20"/>
          <w:szCs w:val="20"/>
        </w:rPr>
        <w:t>R</w:t>
      </w:r>
      <w:r>
        <w:rPr>
          <w:spacing w:val="-19"/>
          <w:w w:val="98"/>
          <w:sz w:val="22"/>
          <w:szCs w:val="22"/>
        </w:rPr>
        <w:t>一交流电阻；C-tg6—被检电桥</w:t>
      </w:r>
    </w:p>
    <w:p>
      <w:pPr>
        <w:pStyle w:val="BodyText"/>
        <w:spacing w:before="222" w:line="219" w:lineRule="auto"/>
        <w:ind w:left="60"/>
      </w:pPr>
      <w:hyperlink r:id="rId45" w:history="1">
        <w:r>
          <w:rPr>
            <w:spacing w:val="5"/>
          </w:rPr>
          <w:t>5.3.4.1</w:t>
        </w:r>
      </w:hyperlink>
      <w:r>
        <w:rPr>
          <w:spacing w:val="5"/>
        </w:rPr>
        <w:t xml:space="preserve">  电容比率基本误差检定</w:t>
      </w:r>
    </w:p>
    <w:p>
      <w:pPr>
        <w:pStyle w:val="BodyText"/>
        <w:spacing w:before="43" w:line="279" w:lineRule="auto"/>
        <w:ind w:left="49" w:right="24" w:firstLine="530"/>
      </w:pPr>
      <w:r>
        <w:rPr>
          <w:rFonts w:ascii="Times New Roman" w:eastAsia="Times New Roman" w:hAnsi="Times New Roman" w:cs="Times New Roman"/>
          <w:spacing w:val="19"/>
        </w:rPr>
        <w:t>I)</w:t>
      </w:r>
      <w:r>
        <w:rPr>
          <w:rFonts w:ascii="Times New Roman" w:eastAsia="Times New Roman" w:hAnsi="Times New Roman" w:cs="Times New Roman"/>
        </w:rPr>
        <w:t xml:space="preserve">   </w:t>
      </w:r>
      <w:r>
        <w:rPr>
          <w:spacing w:val="19"/>
        </w:rPr>
        <w:t>检定高压电容电桥电容比率测量准确度时，</w:t>
      </w:r>
      <w:r>
        <w:rPr>
          <w:spacing w:val="18"/>
        </w:rPr>
        <w:t>介质损耗因数盘的置数</w:t>
      </w:r>
      <w:r>
        <w:rPr>
          <w:spacing w:val="-15"/>
        </w:rPr>
        <w:t xml:space="preserve"> </w:t>
      </w:r>
      <w:r>
        <w:rPr>
          <w:rFonts w:ascii="Times New Roman" w:eastAsia="Times New Roman" w:hAnsi="Times New Roman" w:cs="Times New Roman"/>
          <w:spacing w:val="18"/>
        </w:rPr>
        <w:t xml:space="preserve">D </w:t>
      </w:r>
      <w:r>
        <w:rPr>
          <w:spacing w:val="18"/>
        </w:rPr>
        <w:t>应满足</w:t>
      </w:r>
      <w:r>
        <w:t xml:space="preserve"> </w:t>
      </w:r>
      <w:r>
        <w:rPr>
          <w:position w:val="-15"/>
        </w:rPr>
        <w:drawing>
          <wp:inline distT="0" distB="0" distL="0" distR="0">
            <wp:extent cx="692175" cy="29845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6"/>
                    <a:stretch>
                      <a:fillRect/>
                    </a:stretch>
                  </pic:blipFill>
                  <pic:spPr>
                    <a:xfrm>
                      <a:off x="0" y="0"/>
                      <a:ext cx="692175" cy="298452"/>
                    </a:xfrm>
                    <a:prstGeom prst="rect">
                      <a:avLst/>
                    </a:prstGeom>
                  </pic:spPr>
                </pic:pic>
              </a:graphicData>
            </a:graphic>
          </wp:inline>
        </w:drawing>
      </w:r>
      <w:r>
        <w:rPr>
          <w:spacing w:val="-5"/>
        </w:rPr>
        <w:t xml:space="preserve"> </w:t>
      </w:r>
      <w:r>
        <w:rPr>
          <w:spacing w:val="7"/>
        </w:rPr>
        <w:t xml:space="preserve">其中， </w:t>
      </w:r>
      <w:r>
        <w:rPr>
          <w:rFonts w:ascii="Times New Roman" w:eastAsia="Times New Roman" w:hAnsi="Times New Roman" w:cs="Times New Roman"/>
          <w:spacing w:val="7"/>
        </w:rPr>
        <w:t xml:space="preserve">A </w:t>
      </w:r>
      <w:r>
        <w:rPr>
          <w:spacing w:val="7"/>
        </w:rPr>
        <w:t>为该量程的电容比率测量准确度等级指数。</w:t>
      </w:r>
    </w:p>
    <w:p>
      <w:pPr>
        <w:pStyle w:val="BodyText"/>
        <w:spacing w:before="117" w:line="252" w:lineRule="auto"/>
        <w:ind w:left="99" w:firstLine="460"/>
      </w:pPr>
      <w:r>
        <w:rPr>
          <w:spacing w:val="22"/>
        </w:rPr>
        <w:t>2)西林型电桥的基本量程应逐盘逐点检定。检定选点推荐按表3系列进</w:t>
      </w:r>
      <w:r>
        <w:rPr>
          <w:spacing w:val="21"/>
        </w:rPr>
        <w:t>行，检定</w:t>
      </w:r>
      <w:r>
        <w:t xml:space="preserve"> </w:t>
      </w:r>
      <w:r>
        <w:rPr>
          <w:spacing w:val="7"/>
        </w:rPr>
        <w:t>盘位一般是×10002,×100Ω和×10</w:t>
      </w:r>
      <w:r>
        <w:rPr>
          <w:spacing w:val="6"/>
        </w:rPr>
        <w:t>Ω。</w:t>
      </w:r>
    </w:p>
    <w:p>
      <w:pPr>
        <w:pStyle w:val="BodyText"/>
        <w:spacing w:before="75" w:line="262" w:lineRule="auto"/>
        <w:ind w:left="119" w:right="22" w:firstLine="469"/>
      </w:pPr>
      <w:r>
        <w:rPr>
          <w:spacing w:val="14"/>
        </w:rPr>
        <w:t>检定电流比较仪型电桥的基本量程时，检定选点参照表4系列进行。可以只对第一</w:t>
      </w:r>
      <w:r>
        <w:rPr>
          <w:spacing w:val="2"/>
        </w:rPr>
        <w:t xml:space="preserve"> </w:t>
      </w:r>
      <w:r>
        <w:rPr>
          <w:spacing w:val="-1"/>
        </w:rPr>
        <w:t>盘逐点检定。</w:t>
      </w:r>
    </w:p>
    <w:p>
      <w:pPr>
        <w:spacing w:line="262" w:lineRule="auto"/>
        <w:sectPr>
          <w:headerReference w:type="default" r:id="rId47"/>
          <w:footerReference w:type="default" r:id="rId48"/>
          <w:type w:val="nextPage"/>
          <w:pgSz w:w="11820" w:h="16840"/>
          <w:pgMar w:top="1800" w:right="1025" w:bottom="1084" w:left="1510" w:header="1540" w:footer="936" w:gutter="0"/>
          <w:pgNumType w:start="10"/>
          <w:cols w:space="708"/>
          <w:titlePg w:val="0"/>
        </w:sectPr>
      </w:pPr>
    </w:p>
    <w:p>
      <w:pPr>
        <w:pStyle w:val="BodyText"/>
        <w:spacing w:before="237" w:line="257" w:lineRule="auto"/>
        <w:ind w:left="40" w:right="41" w:firstLine="480"/>
        <w:rPr>
          <w:sz w:val="22"/>
          <w:szCs w:val="22"/>
        </w:rPr>
      </w:pPr>
      <w:r>
        <w:rPr>
          <w:spacing w:val="21"/>
          <w:sz w:val="22"/>
          <w:szCs w:val="22"/>
        </w:rPr>
        <w:t>非基本量程的检定，可以简化为只对各量程的起始部分，中间部分及最大部分各选</w:t>
      </w:r>
      <w:r>
        <w:rPr>
          <w:spacing w:val="1"/>
          <w:sz w:val="22"/>
          <w:szCs w:val="22"/>
        </w:rPr>
        <w:t xml:space="preserve"> </w:t>
      </w:r>
      <w:r>
        <w:rPr>
          <w:spacing w:val="10"/>
          <w:sz w:val="22"/>
          <w:szCs w:val="22"/>
        </w:rPr>
        <w:t>一点检定。</w:t>
      </w:r>
    </w:p>
    <w:p>
      <w:pPr>
        <w:spacing w:before="68" w:line="222" w:lineRule="auto"/>
        <w:ind w:left="3310"/>
        <w:rPr>
          <w:rFonts w:ascii="SimHei" w:eastAsia="SimHei" w:hAnsi="SimHei" w:cs="SimHei"/>
          <w:sz w:val="22"/>
          <w:szCs w:val="22"/>
        </w:rPr>
      </w:pPr>
      <w:r>
        <w:rPr>
          <w:rFonts w:ascii="SimHei" w:eastAsia="SimHei" w:hAnsi="SimHei" w:cs="SimHei"/>
          <w:spacing w:val="-7"/>
          <w:sz w:val="22"/>
          <w:szCs w:val="22"/>
        </w:rPr>
        <w:t>表3</w:t>
      </w:r>
      <w:r>
        <w:rPr>
          <w:rFonts w:ascii="SimHei" w:eastAsia="SimHei" w:hAnsi="SimHei" w:cs="SimHei"/>
          <w:spacing w:val="103"/>
          <w:sz w:val="22"/>
          <w:szCs w:val="22"/>
        </w:rPr>
        <w:t xml:space="preserve"> </w:t>
      </w:r>
      <w:r>
        <w:rPr>
          <w:rFonts w:ascii="SimHei" w:eastAsia="SimHei" w:hAnsi="SimHei" w:cs="SimHei"/>
          <w:spacing w:val="-7"/>
          <w:sz w:val="22"/>
          <w:szCs w:val="22"/>
        </w:rPr>
        <w:t>西林型电桥推荐检定点</w:t>
      </w:r>
    </w:p>
    <w:p>
      <w:pPr>
        <w:spacing w:line="61" w:lineRule="exact"/>
      </w:pPr>
    </w:p>
    <w:tbl>
      <w:tblPr>
        <w:tblStyle w:val="TableNormal0"/>
        <w:tblW w:w="907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03"/>
        <w:gridCol w:w="1478"/>
        <w:gridCol w:w="1488"/>
        <w:gridCol w:w="1468"/>
        <w:gridCol w:w="1479"/>
        <w:gridCol w:w="1463"/>
      </w:tblGrid>
      <w:tr>
        <w:tblPrEx>
          <w:tblW w:w="907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3"/>
        </w:trPr>
        <w:tc>
          <w:tcPr>
            <w:tcW w:w="1703" w:type="dxa"/>
            <w:vAlign w:val="top"/>
          </w:tcPr>
          <w:p>
            <w:pPr>
              <w:pStyle w:val="TableText"/>
              <w:spacing w:before="103" w:line="219" w:lineRule="auto"/>
              <w:ind w:left="444"/>
            </w:pPr>
            <w:r>
              <w:rPr>
                <w:spacing w:val="-2"/>
              </w:rPr>
              <w:t>标称比率</w:t>
            </w:r>
          </w:p>
        </w:tc>
        <w:tc>
          <w:tcPr>
            <w:tcW w:w="1478" w:type="dxa"/>
            <w:vAlign w:val="top"/>
          </w:tcPr>
          <w:p>
            <w:pPr>
              <w:pStyle w:val="TableText"/>
              <w:spacing w:before="109" w:line="224" w:lineRule="auto"/>
              <w:ind w:left="581"/>
            </w:pPr>
            <w:r>
              <w:rPr>
                <w:spacing w:val="-3"/>
              </w:rPr>
              <w:t>3/9</w:t>
            </w:r>
          </w:p>
        </w:tc>
        <w:tc>
          <w:tcPr>
            <w:tcW w:w="1488" w:type="dxa"/>
            <w:vAlign w:val="top"/>
          </w:tcPr>
          <w:p>
            <w:pPr>
              <w:pStyle w:val="TableText"/>
              <w:spacing w:before="109" w:line="224" w:lineRule="auto"/>
              <w:ind w:left="583"/>
            </w:pPr>
            <w:r>
              <w:rPr>
                <w:spacing w:val="-3"/>
              </w:rPr>
              <w:t>3/8</w:t>
            </w:r>
          </w:p>
        </w:tc>
        <w:tc>
          <w:tcPr>
            <w:tcW w:w="1468" w:type="dxa"/>
            <w:vAlign w:val="top"/>
          </w:tcPr>
          <w:p>
            <w:pPr>
              <w:pStyle w:val="TableText"/>
              <w:spacing w:before="109" w:line="224" w:lineRule="auto"/>
              <w:ind w:left="575"/>
            </w:pPr>
            <w:r>
              <w:rPr>
                <w:spacing w:val="-3"/>
              </w:rPr>
              <w:t>3/7</w:t>
            </w:r>
          </w:p>
        </w:tc>
        <w:tc>
          <w:tcPr>
            <w:tcW w:w="1479" w:type="dxa"/>
            <w:vAlign w:val="top"/>
          </w:tcPr>
          <w:p>
            <w:pPr>
              <w:pStyle w:val="TableText"/>
              <w:spacing w:before="109" w:line="224" w:lineRule="auto"/>
              <w:ind w:left="587"/>
            </w:pPr>
            <w:r>
              <w:rPr>
                <w:spacing w:val="-3"/>
              </w:rPr>
              <w:t>3/6</w:t>
            </w:r>
          </w:p>
        </w:tc>
        <w:tc>
          <w:tcPr>
            <w:tcW w:w="1463" w:type="dxa"/>
            <w:vAlign w:val="top"/>
          </w:tcPr>
          <w:p>
            <w:pPr>
              <w:pStyle w:val="TableText"/>
              <w:spacing w:before="109" w:line="224" w:lineRule="auto"/>
              <w:ind w:left="578"/>
            </w:pPr>
            <w:r>
              <w:rPr>
                <w:spacing w:val="-3"/>
              </w:rPr>
              <w:t>3/5</w:t>
            </w:r>
          </w:p>
        </w:tc>
      </w:tr>
      <w:tr>
        <w:tblPrEx>
          <w:tblW w:w="9079" w:type="dxa"/>
          <w:tblInd w:w="70" w:type="dxa"/>
          <w:tblLayout w:type="fixed"/>
        </w:tblPrEx>
        <w:trPr>
          <w:trHeight w:val="407"/>
        </w:trPr>
        <w:tc>
          <w:tcPr>
            <w:tcW w:w="1703" w:type="dxa"/>
            <w:vAlign w:val="top"/>
          </w:tcPr>
          <w:p>
            <w:pPr>
              <w:pStyle w:val="TableText"/>
              <w:spacing w:before="110" w:line="219" w:lineRule="auto"/>
              <w:ind w:left="294"/>
            </w:pPr>
            <w:r>
              <w:rPr>
                <w:spacing w:val="7"/>
              </w:rPr>
              <w:t>电桥示值/Ω</w:t>
            </w:r>
          </w:p>
        </w:tc>
        <w:tc>
          <w:tcPr>
            <w:tcW w:w="1478" w:type="dxa"/>
            <w:vAlign w:val="top"/>
          </w:tcPr>
          <w:p>
            <w:pPr>
              <w:pStyle w:val="TableText"/>
              <w:spacing w:before="161" w:line="183" w:lineRule="auto"/>
              <w:ind w:left="381"/>
            </w:pPr>
            <w:r>
              <w:rPr>
                <w:spacing w:val="-2"/>
              </w:rPr>
              <w:t>9549.29</w:t>
            </w:r>
          </w:p>
        </w:tc>
        <w:tc>
          <w:tcPr>
            <w:tcW w:w="1488" w:type="dxa"/>
            <w:vAlign w:val="top"/>
          </w:tcPr>
          <w:p>
            <w:pPr>
              <w:pStyle w:val="TableText"/>
              <w:spacing w:before="161" w:line="183" w:lineRule="auto"/>
              <w:ind w:left="383"/>
            </w:pPr>
            <w:r>
              <w:rPr>
                <w:spacing w:val="-2"/>
              </w:rPr>
              <w:t>8488.26</w:t>
            </w:r>
          </w:p>
        </w:tc>
        <w:tc>
          <w:tcPr>
            <w:tcW w:w="1468" w:type="dxa"/>
            <w:vAlign w:val="top"/>
          </w:tcPr>
          <w:p>
            <w:pPr>
              <w:pStyle w:val="TableText"/>
              <w:spacing w:before="161" w:line="183" w:lineRule="auto"/>
              <w:ind w:left="375"/>
            </w:pPr>
            <w:r>
              <w:rPr>
                <w:spacing w:val="-2"/>
              </w:rPr>
              <w:t>7427.23</w:t>
            </w:r>
          </w:p>
        </w:tc>
        <w:tc>
          <w:tcPr>
            <w:tcW w:w="1479" w:type="dxa"/>
            <w:vAlign w:val="top"/>
          </w:tcPr>
          <w:p>
            <w:pPr>
              <w:pStyle w:val="TableText"/>
              <w:spacing w:before="161" w:line="183" w:lineRule="auto"/>
              <w:ind w:left="387"/>
            </w:pPr>
            <w:r>
              <w:rPr>
                <w:spacing w:val="-2"/>
              </w:rPr>
              <w:t>6366.20</w:t>
            </w:r>
          </w:p>
        </w:tc>
        <w:tc>
          <w:tcPr>
            <w:tcW w:w="1463" w:type="dxa"/>
            <w:vAlign w:val="top"/>
          </w:tcPr>
          <w:p>
            <w:pPr>
              <w:pStyle w:val="TableText"/>
              <w:spacing w:before="160" w:line="184" w:lineRule="auto"/>
              <w:ind w:left="378"/>
            </w:pPr>
            <w:r>
              <w:rPr>
                <w:spacing w:val="-2"/>
              </w:rPr>
              <w:t>5305.16</w:t>
            </w:r>
          </w:p>
        </w:tc>
      </w:tr>
      <w:tr>
        <w:tblPrEx>
          <w:tblW w:w="9079" w:type="dxa"/>
          <w:tblInd w:w="70" w:type="dxa"/>
          <w:tblLayout w:type="fixed"/>
        </w:tblPrEx>
        <w:trPr>
          <w:trHeight w:val="407"/>
        </w:trPr>
        <w:tc>
          <w:tcPr>
            <w:tcW w:w="1703" w:type="dxa"/>
            <w:vAlign w:val="top"/>
          </w:tcPr>
          <w:p>
            <w:pPr>
              <w:pStyle w:val="TableText"/>
              <w:spacing w:before="113" w:line="219" w:lineRule="auto"/>
              <w:ind w:left="444"/>
            </w:pPr>
            <w:r>
              <w:rPr>
                <w:spacing w:val="-2"/>
              </w:rPr>
              <w:t>标称比率</w:t>
            </w:r>
          </w:p>
        </w:tc>
        <w:tc>
          <w:tcPr>
            <w:tcW w:w="1478" w:type="dxa"/>
            <w:vAlign w:val="top"/>
          </w:tcPr>
          <w:p>
            <w:pPr>
              <w:pStyle w:val="TableText"/>
              <w:spacing w:before="118" w:line="224" w:lineRule="auto"/>
              <w:ind w:left="581"/>
            </w:pPr>
            <w:r>
              <w:rPr>
                <w:spacing w:val="-3"/>
              </w:rPr>
              <w:t>3/4</w:t>
            </w:r>
          </w:p>
        </w:tc>
        <w:tc>
          <w:tcPr>
            <w:tcW w:w="1488" w:type="dxa"/>
            <w:vAlign w:val="top"/>
          </w:tcPr>
          <w:p>
            <w:pPr>
              <w:pStyle w:val="TableText"/>
              <w:spacing w:before="118" w:line="224" w:lineRule="auto"/>
              <w:ind w:left="583"/>
            </w:pPr>
            <w:r>
              <w:rPr>
                <w:spacing w:val="-3"/>
              </w:rPr>
              <w:t>3/3</w:t>
            </w:r>
          </w:p>
        </w:tc>
        <w:tc>
          <w:tcPr>
            <w:tcW w:w="1468" w:type="dxa"/>
            <w:vAlign w:val="top"/>
          </w:tcPr>
          <w:p>
            <w:pPr>
              <w:pStyle w:val="TableText"/>
              <w:spacing w:before="118" w:line="224" w:lineRule="auto"/>
              <w:ind w:left="575"/>
            </w:pPr>
            <w:r>
              <w:rPr>
                <w:spacing w:val="-3"/>
              </w:rPr>
              <w:t>3/2</w:t>
            </w:r>
          </w:p>
        </w:tc>
        <w:tc>
          <w:tcPr>
            <w:tcW w:w="1479" w:type="dxa"/>
            <w:vAlign w:val="top"/>
          </w:tcPr>
          <w:p>
            <w:pPr>
              <w:pStyle w:val="TableText"/>
              <w:spacing w:before="118" w:line="224" w:lineRule="auto"/>
              <w:ind w:left="587"/>
            </w:pPr>
            <w:r>
              <w:rPr>
                <w:spacing w:val="-3"/>
              </w:rPr>
              <w:t>3/1</w:t>
            </w:r>
          </w:p>
        </w:tc>
        <w:tc>
          <w:tcPr>
            <w:tcW w:w="1463" w:type="dxa"/>
            <w:vAlign w:val="top"/>
          </w:tcPr>
          <w:p>
            <w:pPr>
              <w:tabs>
                <w:tab w:val="left" w:pos="786"/>
              </w:tabs>
              <w:spacing w:before="16" w:line="241" w:lineRule="exact"/>
              <w:ind w:left="668"/>
              <w:rPr>
                <w:rFonts w:ascii="Arial"/>
                <w:sz w:val="21"/>
              </w:rPr>
            </w:pPr>
            <w:r>
              <w:rPr>
                <w:rFonts w:ascii="Arial" w:eastAsia="Arial" w:hAnsi="Arial" w:cs="Arial"/>
                <w:sz w:val="21"/>
                <w:szCs w:val="21"/>
                <w:u w:val="single" w:color="auto"/>
              </w:rPr>
              <w:tab/>
            </w:r>
          </w:p>
        </w:tc>
      </w:tr>
      <w:tr>
        <w:tblPrEx>
          <w:tblW w:w="9079" w:type="dxa"/>
          <w:tblInd w:w="70" w:type="dxa"/>
          <w:tblLayout w:type="fixed"/>
        </w:tblPrEx>
        <w:trPr>
          <w:trHeight w:val="403"/>
        </w:trPr>
        <w:tc>
          <w:tcPr>
            <w:tcW w:w="1703" w:type="dxa"/>
            <w:vAlign w:val="top"/>
          </w:tcPr>
          <w:p>
            <w:pPr>
              <w:pStyle w:val="TableText"/>
              <w:spacing w:before="106" w:line="219" w:lineRule="auto"/>
              <w:ind w:left="294"/>
            </w:pPr>
            <w:r>
              <w:rPr>
                <w:spacing w:val="7"/>
              </w:rPr>
              <w:t>电桥示值/Ω</w:t>
            </w:r>
          </w:p>
        </w:tc>
        <w:tc>
          <w:tcPr>
            <w:tcW w:w="1478" w:type="dxa"/>
            <w:vAlign w:val="top"/>
          </w:tcPr>
          <w:p>
            <w:pPr>
              <w:pStyle w:val="TableText"/>
              <w:spacing w:before="156" w:line="184" w:lineRule="auto"/>
              <w:ind w:left="381"/>
            </w:pPr>
            <w:r>
              <w:rPr>
                <w:spacing w:val="-1"/>
              </w:rPr>
              <w:t>4244.13</w:t>
            </w:r>
          </w:p>
        </w:tc>
        <w:tc>
          <w:tcPr>
            <w:tcW w:w="1488" w:type="dxa"/>
            <w:vAlign w:val="top"/>
          </w:tcPr>
          <w:p>
            <w:pPr>
              <w:pStyle w:val="TableText"/>
              <w:spacing w:before="156" w:line="184" w:lineRule="auto"/>
              <w:ind w:left="383"/>
            </w:pPr>
            <w:r>
              <w:rPr>
                <w:spacing w:val="-2"/>
              </w:rPr>
              <w:t>3183.10</w:t>
            </w:r>
          </w:p>
        </w:tc>
        <w:tc>
          <w:tcPr>
            <w:tcW w:w="1468" w:type="dxa"/>
            <w:vAlign w:val="top"/>
          </w:tcPr>
          <w:p>
            <w:pPr>
              <w:pStyle w:val="TableText"/>
              <w:spacing w:before="156" w:line="184" w:lineRule="auto"/>
              <w:ind w:left="375"/>
            </w:pPr>
            <w:r>
              <w:rPr>
                <w:spacing w:val="-2"/>
              </w:rPr>
              <w:t>2122.07</w:t>
            </w:r>
          </w:p>
        </w:tc>
        <w:tc>
          <w:tcPr>
            <w:tcW w:w="1479" w:type="dxa"/>
            <w:vAlign w:val="top"/>
          </w:tcPr>
          <w:p>
            <w:pPr>
              <w:pStyle w:val="TableText"/>
              <w:spacing w:before="156" w:line="184" w:lineRule="auto"/>
              <w:ind w:left="387"/>
            </w:pPr>
            <w:r>
              <w:rPr>
                <w:spacing w:val="-3"/>
              </w:rPr>
              <w:t>1061.03</w:t>
            </w:r>
          </w:p>
        </w:tc>
        <w:tc>
          <w:tcPr>
            <w:tcW w:w="1463" w:type="dxa"/>
            <w:vAlign w:val="top"/>
          </w:tcPr>
          <w:p>
            <w:pPr>
              <w:rPr>
                <w:rFonts w:ascii="Arial"/>
                <w:sz w:val="21"/>
              </w:rPr>
            </w:pPr>
          </w:p>
        </w:tc>
      </w:tr>
    </w:tbl>
    <w:p>
      <w:pPr>
        <w:spacing w:line="390" w:lineRule="auto"/>
        <w:rPr>
          <w:rFonts w:ascii="Arial"/>
          <w:sz w:val="21"/>
        </w:rPr>
      </w:pPr>
    </w:p>
    <w:p>
      <w:pPr>
        <w:pStyle w:val="BodyText"/>
        <w:spacing w:before="71" w:line="219" w:lineRule="auto"/>
        <w:ind w:left="3200"/>
        <w:rPr>
          <w:sz w:val="22"/>
          <w:szCs w:val="22"/>
        </w:rPr>
      </w:pPr>
      <w:r>
        <w:rPr>
          <w:spacing w:val="-6"/>
          <w:sz w:val="22"/>
          <w:szCs w:val="22"/>
        </w:rPr>
        <w:t>表4</w:t>
      </w:r>
      <w:r>
        <w:rPr>
          <w:spacing w:val="106"/>
          <w:sz w:val="22"/>
          <w:szCs w:val="22"/>
        </w:rPr>
        <w:t xml:space="preserve"> </w:t>
      </w:r>
      <w:r>
        <w:rPr>
          <w:spacing w:val="-6"/>
          <w:sz w:val="22"/>
          <w:szCs w:val="22"/>
        </w:rPr>
        <w:t>电流比较仪型电桥检定点</w:t>
      </w:r>
    </w:p>
    <w:p>
      <w:pPr>
        <w:spacing w:line="65" w:lineRule="exact"/>
      </w:pPr>
    </w:p>
    <w:tbl>
      <w:tblPr>
        <w:tblStyle w:val="TableNormal0"/>
        <w:tblW w:w="907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03"/>
        <w:gridCol w:w="1478"/>
        <w:gridCol w:w="1479"/>
        <w:gridCol w:w="1478"/>
        <w:gridCol w:w="1469"/>
        <w:gridCol w:w="1463"/>
      </w:tblGrid>
      <w:tr>
        <w:tblPrEx>
          <w:tblW w:w="907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1703" w:type="dxa"/>
            <w:vAlign w:val="top"/>
          </w:tcPr>
          <w:p>
            <w:pPr>
              <w:pStyle w:val="TableText"/>
              <w:spacing w:before="103" w:line="219" w:lineRule="auto"/>
              <w:ind w:left="445"/>
            </w:pPr>
            <w:r>
              <w:rPr>
                <w:spacing w:val="-2"/>
              </w:rPr>
              <w:t>标称比率</w:t>
            </w:r>
          </w:p>
        </w:tc>
        <w:tc>
          <w:tcPr>
            <w:tcW w:w="1478" w:type="dxa"/>
            <w:vAlign w:val="top"/>
          </w:tcPr>
          <w:p>
            <w:pPr>
              <w:pStyle w:val="TableText"/>
              <w:spacing w:before="109" w:line="224" w:lineRule="auto"/>
              <w:ind w:left="582"/>
            </w:pPr>
            <w:r>
              <w:rPr>
                <w:spacing w:val="-6"/>
              </w:rPr>
              <w:t>1/9</w:t>
            </w:r>
          </w:p>
        </w:tc>
        <w:tc>
          <w:tcPr>
            <w:tcW w:w="1479" w:type="dxa"/>
            <w:vAlign w:val="top"/>
          </w:tcPr>
          <w:p>
            <w:pPr>
              <w:pStyle w:val="TableText"/>
              <w:spacing w:before="109" w:line="224" w:lineRule="auto"/>
              <w:ind w:left="583"/>
            </w:pPr>
            <w:r>
              <w:rPr>
                <w:spacing w:val="-3"/>
              </w:rPr>
              <w:t>2/9</w:t>
            </w:r>
          </w:p>
        </w:tc>
        <w:tc>
          <w:tcPr>
            <w:tcW w:w="1478" w:type="dxa"/>
            <w:vAlign w:val="top"/>
          </w:tcPr>
          <w:p>
            <w:pPr>
              <w:pStyle w:val="TableText"/>
              <w:spacing w:before="109" w:line="224" w:lineRule="auto"/>
              <w:ind w:left="585"/>
            </w:pPr>
            <w:r>
              <w:rPr>
                <w:spacing w:val="-3"/>
              </w:rPr>
              <w:t>3/9</w:t>
            </w:r>
          </w:p>
        </w:tc>
        <w:tc>
          <w:tcPr>
            <w:tcW w:w="1469" w:type="dxa"/>
            <w:vAlign w:val="top"/>
          </w:tcPr>
          <w:p>
            <w:pPr>
              <w:pStyle w:val="TableText"/>
              <w:spacing w:before="109" w:line="224" w:lineRule="auto"/>
              <w:ind w:left="576"/>
            </w:pPr>
            <w:r>
              <w:rPr>
                <w:spacing w:val="-2"/>
              </w:rPr>
              <w:t>4/9</w:t>
            </w:r>
          </w:p>
        </w:tc>
        <w:tc>
          <w:tcPr>
            <w:tcW w:w="1463" w:type="dxa"/>
            <w:vAlign w:val="top"/>
          </w:tcPr>
          <w:p>
            <w:pPr>
              <w:pStyle w:val="TableText"/>
              <w:spacing w:before="153" w:line="184" w:lineRule="auto"/>
              <w:ind w:left="578"/>
            </w:pPr>
            <w:r>
              <w:rPr>
                <w:spacing w:val="-3"/>
              </w:rPr>
              <w:t>519</w:t>
            </w:r>
          </w:p>
        </w:tc>
      </w:tr>
      <w:tr>
        <w:tblPrEx>
          <w:tblW w:w="9070" w:type="dxa"/>
          <w:tblInd w:w="80" w:type="dxa"/>
          <w:tblLayout w:type="fixed"/>
        </w:tblPrEx>
        <w:trPr>
          <w:trHeight w:val="408"/>
        </w:trPr>
        <w:tc>
          <w:tcPr>
            <w:tcW w:w="1703" w:type="dxa"/>
            <w:vAlign w:val="top"/>
          </w:tcPr>
          <w:p>
            <w:pPr>
              <w:pStyle w:val="TableText"/>
              <w:spacing w:before="110" w:line="219" w:lineRule="auto"/>
              <w:ind w:left="445"/>
            </w:pPr>
            <w:r>
              <w:rPr>
                <w:spacing w:val="1"/>
              </w:rPr>
              <w:t>电桥示值</w:t>
            </w:r>
          </w:p>
        </w:tc>
        <w:tc>
          <w:tcPr>
            <w:tcW w:w="1478" w:type="dxa"/>
            <w:vAlign w:val="top"/>
          </w:tcPr>
          <w:p>
            <w:pPr>
              <w:pStyle w:val="TableText"/>
              <w:spacing w:before="160" w:line="184" w:lineRule="auto"/>
              <w:ind w:left="331"/>
            </w:pPr>
            <w:r>
              <w:rPr>
                <w:spacing w:val="-2"/>
              </w:rPr>
              <w:t>0.111111</w:t>
            </w:r>
          </w:p>
        </w:tc>
        <w:tc>
          <w:tcPr>
            <w:tcW w:w="1479" w:type="dxa"/>
            <w:vAlign w:val="top"/>
          </w:tcPr>
          <w:p>
            <w:pPr>
              <w:pStyle w:val="TableText"/>
              <w:spacing w:before="161" w:line="183" w:lineRule="auto"/>
              <w:ind w:left="334"/>
            </w:pPr>
            <w:r>
              <w:rPr>
                <w:spacing w:val="-2"/>
              </w:rPr>
              <w:t>0.222222</w:t>
            </w:r>
          </w:p>
        </w:tc>
        <w:tc>
          <w:tcPr>
            <w:tcW w:w="1478" w:type="dxa"/>
            <w:vAlign w:val="top"/>
          </w:tcPr>
          <w:p>
            <w:pPr>
              <w:pStyle w:val="TableText"/>
              <w:spacing w:before="161" w:line="183" w:lineRule="auto"/>
              <w:ind w:left="335"/>
            </w:pPr>
            <w:r>
              <w:rPr>
                <w:spacing w:val="-2"/>
              </w:rPr>
              <w:t>0.333333</w:t>
            </w:r>
          </w:p>
        </w:tc>
        <w:tc>
          <w:tcPr>
            <w:tcW w:w="1469" w:type="dxa"/>
            <w:vAlign w:val="top"/>
          </w:tcPr>
          <w:p>
            <w:pPr>
              <w:pStyle w:val="TableText"/>
              <w:spacing w:before="161" w:line="183" w:lineRule="auto"/>
              <w:ind w:left="327"/>
            </w:pPr>
            <w:r>
              <w:rPr>
                <w:spacing w:val="-2"/>
              </w:rPr>
              <w:t>0.444444</w:t>
            </w:r>
          </w:p>
        </w:tc>
        <w:tc>
          <w:tcPr>
            <w:tcW w:w="1463" w:type="dxa"/>
            <w:vAlign w:val="top"/>
          </w:tcPr>
          <w:p>
            <w:pPr>
              <w:pStyle w:val="TableText"/>
              <w:spacing w:before="161" w:line="183" w:lineRule="auto"/>
              <w:ind w:left="327"/>
            </w:pPr>
            <w:r>
              <w:rPr>
                <w:spacing w:val="-2"/>
              </w:rPr>
              <w:t>0.555555</w:t>
            </w:r>
          </w:p>
        </w:tc>
      </w:tr>
      <w:tr>
        <w:tblPrEx>
          <w:tblW w:w="9070" w:type="dxa"/>
          <w:tblInd w:w="80" w:type="dxa"/>
          <w:tblLayout w:type="fixed"/>
        </w:tblPrEx>
        <w:trPr>
          <w:trHeight w:val="408"/>
        </w:trPr>
        <w:tc>
          <w:tcPr>
            <w:tcW w:w="1703" w:type="dxa"/>
            <w:vAlign w:val="top"/>
          </w:tcPr>
          <w:p>
            <w:pPr>
              <w:pStyle w:val="TableText"/>
              <w:spacing w:before="112" w:line="219" w:lineRule="auto"/>
              <w:ind w:left="445"/>
            </w:pPr>
            <w:r>
              <w:rPr>
                <w:spacing w:val="-2"/>
              </w:rPr>
              <w:t>标称比率</w:t>
            </w:r>
          </w:p>
        </w:tc>
        <w:tc>
          <w:tcPr>
            <w:tcW w:w="1478" w:type="dxa"/>
            <w:vAlign w:val="top"/>
          </w:tcPr>
          <w:p>
            <w:pPr>
              <w:pStyle w:val="TableText"/>
              <w:spacing w:before="118" w:line="224" w:lineRule="auto"/>
              <w:ind w:left="582"/>
            </w:pPr>
            <w:r>
              <w:rPr>
                <w:spacing w:val="-3"/>
              </w:rPr>
              <w:t>6/9</w:t>
            </w:r>
          </w:p>
        </w:tc>
        <w:tc>
          <w:tcPr>
            <w:tcW w:w="1479" w:type="dxa"/>
            <w:vAlign w:val="top"/>
          </w:tcPr>
          <w:p>
            <w:pPr>
              <w:pStyle w:val="TableText"/>
              <w:spacing w:before="118" w:line="224" w:lineRule="auto"/>
              <w:ind w:left="583"/>
            </w:pPr>
            <w:r>
              <w:rPr>
                <w:spacing w:val="-3"/>
              </w:rPr>
              <w:t>7/9</w:t>
            </w:r>
          </w:p>
        </w:tc>
        <w:tc>
          <w:tcPr>
            <w:tcW w:w="1478" w:type="dxa"/>
            <w:vAlign w:val="top"/>
          </w:tcPr>
          <w:p>
            <w:pPr>
              <w:pStyle w:val="TableText"/>
              <w:spacing w:before="118" w:line="224" w:lineRule="auto"/>
              <w:ind w:left="585"/>
            </w:pPr>
            <w:r>
              <w:rPr>
                <w:spacing w:val="-2"/>
              </w:rPr>
              <w:t>8/9</w:t>
            </w:r>
          </w:p>
        </w:tc>
        <w:tc>
          <w:tcPr>
            <w:tcW w:w="1469" w:type="dxa"/>
            <w:vAlign w:val="top"/>
          </w:tcPr>
          <w:p>
            <w:pPr>
              <w:pStyle w:val="TableText"/>
              <w:spacing w:before="118" w:line="224" w:lineRule="auto"/>
              <w:ind w:left="576"/>
            </w:pPr>
            <w:r>
              <w:rPr>
                <w:spacing w:val="-2"/>
              </w:rPr>
              <w:t>9/9</w:t>
            </w:r>
          </w:p>
        </w:tc>
        <w:tc>
          <w:tcPr>
            <w:tcW w:w="1463" w:type="dxa"/>
            <w:vAlign w:val="top"/>
          </w:tcPr>
          <w:p>
            <w:pPr>
              <w:rPr>
                <w:rFonts w:ascii="Arial"/>
                <w:sz w:val="21"/>
              </w:rPr>
            </w:pPr>
          </w:p>
        </w:tc>
      </w:tr>
      <w:tr>
        <w:tblPrEx>
          <w:tblW w:w="9070" w:type="dxa"/>
          <w:tblInd w:w="80" w:type="dxa"/>
          <w:tblLayout w:type="fixed"/>
        </w:tblPrEx>
        <w:trPr>
          <w:trHeight w:val="408"/>
        </w:trPr>
        <w:tc>
          <w:tcPr>
            <w:tcW w:w="1703" w:type="dxa"/>
            <w:vAlign w:val="top"/>
          </w:tcPr>
          <w:p>
            <w:pPr>
              <w:pStyle w:val="TableText"/>
              <w:spacing w:before="114" w:line="219" w:lineRule="auto"/>
              <w:ind w:left="445"/>
            </w:pPr>
            <w:r>
              <w:rPr>
                <w:spacing w:val="1"/>
              </w:rPr>
              <w:t>电桥示值</w:t>
            </w:r>
          </w:p>
        </w:tc>
        <w:tc>
          <w:tcPr>
            <w:tcW w:w="1478" w:type="dxa"/>
            <w:vAlign w:val="top"/>
          </w:tcPr>
          <w:p>
            <w:pPr>
              <w:pStyle w:val="TableText"/>
              <w:spacing w:before="165" w:line="183" w:lineRule="auto"/>
              <w:ind w:left="331"/>
            </w:pPr>
            <w:r>
              <w:rPr>
                <w:spacing w:val="-2"/>
              </w:rPr>
              <w:t>0.666666</w:t>
            </w:r>
          </w:p>
        </w:tc>
        <w:tc>
          <w:tcPr>
            <w:tcW w:w="1479" w:type="dxa"/>
            <w:vAlign w:val="top"/>
          </w:tcPr>
          <w:p>
            <w:pPr>
              <w:pStyle w:val="TableText"/>
              <w:spacing w:before="165" w:line="183" w:lineRule="auto"/>
              <w:ind w:left="334"/>
            </w:pPr>
            <w:r>
              <w:rPr>
                <w:spacing w:val="-2"/>
              </w:rPr>
              <w:t>0.777777</w:t>
            </w:r>
          </w:p>
        </w:tc>
        <w:tc>
          <w:tcPr>
            <w:tcW w:w="1478" w:type="dxa"/>
            <w:vAlign w:val="top"/>
          </w:tcPr>
          <w:p>
            <w:pPr>
              <w:pStyle w:val="TableText"/>
              <w:spacing w:before="165" w:line="183" w:lineRule="auto"/>
              <w:ind w:left="335"/>
            </w:pPr>
            <w:r>
              <w:rPr>
                <w:spacing w:val="-2"/>
              </w:rPr>
              <w:t>0.888888</w:t>
            </w:r>
          </w:p>
        </w:tc>
        <w:tc>
          <w:tcPr>
            <w:tcW w:w="1469" w:type="dxa"/>
            <w:vAlign w:val="top"/>
          </w:tcPr>
          <w:p>
            <w:pPr>
              <w:pStyle w:val="TableText"/>
              <w:spacing w:before="165" w:line="183" w:lineRule="auto"/>
              <w:ind w:left="327"/>
            </w:pPr>
            <w:r>
              <w:rPr>
                <w:spacing w:val="-2"/>
              </w:rPr>
              <w:t>0.999999</w:t>
            </w:r>
          </w:p>
        </w:tc>
        <w:tc>
          <w:tcPr>
            <w:tcW w:w="1463" w:type="dxa"/>
            <w:vAlign w:val="top"/>
          </w:tcPr>
          <w:p>
            <w:pPr>
              <w:pStyle w:val="TableText"/>
              <w:spacing w:before="212" w:line="41" w:lineRule="exact"/>
              <w:ind w:left="698"/>
              <w:rPr>
                <w:sz w:val="6"/>
                <w:szCs w:val="6"/>
              </w:rPr>
            </w:pPr>
            <w:r>
              <w:rPr>
                <w:position w:val="-1"/>
                <w:sz w:val="6"/>
                <w:szCs w:val="6"/>
              </w:rPr>
              <w:t>—</w:t>
            </w:r>
          </w:p>
        </w:tc>
      </w:tr>
      <w:tr>
        <w:tblPrEx>
          <w:tblW w:w="9070" w:type="dxa"/>
          <w:tblInd w:w="80" w:type="dxa"/>
          <w:tblLayout w:type="fixed"/>
        </w:tblPrEx>
        <w:trPr>
          <w:trHeight w:val="413"/>
        </w:trPr>
        <w:tc>
          <w:tcPr>
            <w:tcW w:w="9070" w:type="dxa"/>
            <w:gridSpan w:val="6"/>
            <w:vAlign w:val="top"/>
          </w:tcPr>
          <w:p>
            <w:pPr>
              <w:pStyle w:val="TableText"/>
              <w:spacing w:before="116" w:line="219" w:lineRule="auto"/>
              <w:ind w:left="544"/>
            </w:pPr>
            <w:r>
              <w:t>注；其他比率按十进关系类推。</w:t>
            </w:r>
          </w:p>
        </w:tc>
      </w:tr>
    </w:tbl>
    <w:p>
      <w:pPr>
        <w:spacing w:line="407" w:lineRule="auto"/>
        <w:rPr>
          <w:rFonts w:ascii="Arial"/>
          <w:sz w:val="21"/>
        </w:rPr>
      </w:pPr>
    </w:p>
    <w:p>
      <w:pPr>
        <w:pStyle w:val="BodyText"/>
        <w:spacing w:before="72" w:line="269" w:lineRule="auto"/>
        <w:ind w:left="50" w:right="6" w:firstLine="490"/>
        <w:jc w:val="both"/>
        <w:rPr>
          <w:sz w:val="22"/>
          <w:szCs w:val="22"/>
        </w:rPr>
      </w:pPr>
      <w:r>
        <w:rPr>
          <w:spacing w:val="20"/>
          <w:sz w:val="22"/>
          <w:szCs w:val="22"/>
        </w:rPr>
        <w:t>3)电子式和数字式电桥的基本电容比率检定点按0.1～0.9、1～9、10～100选取28</w:t>
      </w:r>
      <w:r>
        <w:rPr>
          <w:spacing w:val="2"/>
          <w:sz w:val="22"/>
          <w:szCs w:val="22"/>
        </w:rPr>
        <w:t xml:space="preserve"> </w:t>
      </w:r>
      <w:r>
        <w:rPr>
          <w:spacing w:val="27"/>
          <w:sz w:val="22"/>
          <w:szCs w:val="22"/>
        </w:rPr>
        <w:t>个点。在电桥技术条件还有规定的扩大区间，还应在每个递进的10倍区间按接近均匀</w:t>
      </w:r>
      <w:r>
        <w:rPr>
          <w:spacing w:val="14"/>
          <w:sz w:val="22"/>
          <w:szCs w:val="22"/>
        </w:rPr>
        <w:t xml:space="preserve"> </w:t>
      </w:r>
      <w:r>
        <w:rPr>
          <w:spacing w:val="25"/>
          <w:sz w:val="22"/>
          <w:szCs w:val="22"/>
        </w:rPr>
        <w:t>分布原则选取不少于3个点检测。</w:t>
      </w:r>
    </w:p>
    <w:p>
      <w:pPr>
        <w:pStyle w:val="BodyText"/>
        <w:spacing w:before="99" w:line="219" w:lineRule="auto"/>
        <w:ind w:left="40"/>
        <w:rPr>
          <w:sz w:val="22"/>
          <w:szCs w:val="22"/>
        </w:rPr>
      </w:pPr>
      <w:hyperlink r:id="rId49" w:history="1">
        <w:r>
          <w:rPr>
            <w:spacing w:val="13"/>
            <w:sz w:val="22"/>
            <w:szCs w:val="22"/>
          </w:rPr>
          <w:t>5.3.4.2</w:t>
        </w:r>
      </w:hyperlink>
      <w:r>
        <w:rPr>
          <w:spacing w:val="8"/>
          <w:sz w:val="22"/>
          <w:szCs w:val="22"/>
        </w:rPr>
        <w:t xml:space="preserve">  </w:t>
      </w:r>
      <w:r>
        <w:rPr>
          <w:spacing w:val="13"/>
          <w:sz w:val="22"/>
          <w:szCs w:val="22"/>
        </w:rPr>
        <w:t>介质损耗因数基本误差检定</w:t>
      </w:r>
    </w:p>
    <w:p>
      <w:pPr>
        <w:pStyle w:val="BodyText"/>
        <w:spacing w:before="109" w:line="267" w:lineRule="auto"/>
        <w:ind w:left="40" w:right="8" w:firstLine="509"/>
        <w:rPr>
          <w:sz w:val="22"/>
          <w:szCs w:val="22"/>
        </w:rPr>
      </w:pPr>
      <w:r>
        <w:rPr>
          <w:spacing w:val="27"/>
          <w:sz w:val="22"/>
          <w:szCs w:val="22"/>
        </w:rPr>
        <w:t>1)检定高压电容电桥介质损耗因数基本误差时，应使用电容比率基本</w:t>
      </w:r>
      <w:r>
        <w:rPr>
          <w:spacing w:val="26"/>
          <w:sz w:val="22"/>
          <w:szCs w:val="22"/>
        </w:rPr>
        <w:t>量程。测量</w:t>
      </w:r>
      <w:r>
        <w:rPr>
          <w:sz w:val="22"/>
          <w:szCs w:val="22"/>
        </w:rPr>
        <w:t xml:space="preserve"> </w:t>
      </w:r>
      <w:r>
        <w:rPr>
          <w:spacing w:val="22"/>
          <w:sz w:val="22"/>
          <w:szCs w:val="22"/>
        </w:rPr>
        <w:t>盘的第一盘应有非零示值，并考虑电容比率示值与介质损耗因数示值的</w:t>
      </w:r>
      <w:r>
        <w:rPr>
          <w:spacing w:val="21"/>
          <w:sz w:val="22"/>
          <w:szCs w:val="22"/>
        </w:rPr>
        <w:t>关系，这一关系</w:t>
      </w:r>
      <w:r>
        <w:rPr>
          <w:sz w:val="22"/>
          <w:szCs w:val="22"/>
        </w:rPr>
        <w:t xml:space="preserve"> </w:t>
      </w:r>
      <w:r>
        <w:rPr>
          <w:spacing w:val="27"/>
          <w:sz w:val="22"/>
          <w:szCs w:val="22"/>
        </w:rPr>
        <w:t>在表5中列出。</w:t>
      </w:r>
    </w:p>
    <w:p>
      <w:pPr>
        <w:pStyle w:val="BodyText"/>
        <w:spacing w:before="114" w:line="258" w:lineRule="auto"/>
        <w:ind w:left="30" w:right="2" w:firstLine="499"/>
        <w:rPr>
          <w:sz w:val="22"/>
          <w:szCs w:val="22"/>
        </w:rPr>
      </w:pPr>
      <w:r>
        <w:rPr>
          <w:spacing w:val="25"/>
          <w:sz w:val="22"/>
          <w:szCs w:val="22"/>
        </w:rPr>
        <w:t>介质损耗因数基本量程应逐盘逐点检定。检定的起始点对0.5级至2级为1×10~*,</w:t>
      </w:r>
      <w:r>
        <w:rPr>
          <w:spacing w:val="6"/>
          <w:sz w:val="22"/>
          <w:szCs w:val="22"/>
        </w:rPr>
        <w:t xml:space="preserve"> </w:t>
      </w:r>
      <w:r>
        <w:rPr>
          <w:spacing w:val="23"/>
          <w:sz w:val="22"/>
          <w:szCs w:val="22"/>
        </w:rPr>
        <w:t>5级和10级为1×10~³。最大点允许</w:t>
      </w:r>
      <w:r>
        <w:rPr>
          <w:spacing w:val="22"/>
          <w:sz w:val="22"/>
          <w:szCs w:val="22"/>
        </w:rPr>
        <w:t>只检定到1×10~'。</w:t>
      </w:r>
    </w:p>
    <w:p>
      <w:pPr>
        <w:pStyle w:val="BodyText"/>
        <w:spacing w:before="98" w:line="247" w:lineRule="auto"/>
        <w:ind w:left="50" w:right="20" w:firstLine="469"/>
        <w:rPr>
          <w:sz w:val="22"/>
          <w:szCs w:val="22"/>
        </w:rPr>
      </w:pPr>
      <w:r>
        <w:rPr>
          <w:spacing w:val="27"/>
          <w:sz w:val="22"/>
          <w:szCs w:val="22"/>
        </w:rPr>
        <w:t>非基本量程允许简化为只对各量程的起始部分、中间部分及最大部分各选一</w:t>
      </w:r>
      <w:r>
        <w:rPr>
          <w:spacing w:val="-57"/>
          <w:sz w:val="22"/>
          <w:szCs w:val="22"/>
        </w:rPr>
        <w:t xml:space="preserve"> </w:t>
      </w:r>
      <w:r>
        <w:rPr>
          <w:spacing w:val="27"/>
          <w:sz w:val="22"/>
          <w:szCs w:val="22"/>
        </w:rPr>
        <w:t>点检</w:t>
      </w:r>
      <w:r>
        <w:rPr>
          <w:sz w:val="22"/>
          <w:szCs w:val="22"/>
        </w:rPr>
        <w:t xml:space="preserve"> </w:t>
      </w:r>
      <w:r>
        <w:rPr>
          <w:spacing w:val="23"/>
          <w:sz w:val="22"/>
          <w:szCs w:val="22"/>
        </w:rPr>
        <w:t>定。检定时应根据受检电桥的类型和检定方法，参</w:t>
      </w:r>
      <w:r>
        <w:rPr>
          <w:spacing w:val="22"/>
          <w:sz w:val="22"/>
          <w:szCs w:val="22"/>
        </w:rPr>
        <w:t>照表6确定频率修正系数</w:t>
      </w:r>
      <w:r>
        <w:rPr>
          <w:spacing w:val="-19"/>
          <w:sz w:val="22"/>
          <w:szCs w:val="22"/>
        </w:rPr>
        <w:t xml:space="preserve"> </w:t>
      </w:r>
      <w:r>
        <w:rPr>
          <w:rFonts w:ascii="Times New Roman" w:eastAsia="Times New Roman" w:hAnsi="Times New Roman" w:cs="Times New Roman"/>
          <w:spacing w:val="22"/>
          <w:sz w:val="22"/>
          <w:szCs w:val="22"/>
        </w:rPr>
        <w:t>K,</w:t>
      </w:r>
      <w:r>
        <w:rPr>
          <w:spacing w:val="22"/>
          <w:sz w:val="22"/>
          <w:szCs w:val="22"/>
        </w:rPr>
        <w:t>。</w:t>
      </w:r>
    </w:p>
    <w:p>
      <w:pPr>
        <w:spacing w:before="110" w:line="222" w:lineRule="auto"/>
        <w:ind w:left="2469"/>
        <w:rPr>
          <w:rFonts w:ascii="SimHei" w:eastAsia="SimHei" w:hAnsi="SimHei" w:cs="SimHei"/>
          <w:sz w:val="22"/>
          <w:szCs w:val="22"/>
        </w:rPr>
      </w:pPr>
      <w:r>
        <w:rPr>
          <w:rFonts w:ascii="SimHei" w:eastAsia="SimHei" w:hAnsi="SimHei" w:cs="SimHei"/>
          <w:spacing w:val="-8"/>
          <w:sz w:val="22"/>
          <w:szCs w:val="22"/>
        </w:rPr>
        <w:t>表5</w:t>
      </w:r>
      <w:r>
        <w:rPr>
          <w:rFonts w:ascii="SimHei" w:eastAsia="SimHei" w:hAnsi="SimHei" w:cs="SimHei"/>
          <w:spacing w:val="99"/>
          <w:sz w:val="22"/>
          <w:szCs w:val="22"/>
        </w:rPr>
        <w:t xml:space="preserve"> </w:t>
      </w:r>
      <w:r>
        <w:rPr>
          <w:rFonts w:ascii="SimHei" w:eastAsia="SimHei" w:hAnsi="SimHei" w:cs="SimHei"/>
          <w:spacing w:val="-8"/>
          <w:sz w:val="22"/>
          <w:szCs w:val="22"/>
        </w:rPr>
        <w:t>电容比率示值与介质损耗因数示值的关系</w:t>
      </w:r>
    </w:p>
    <w:tbl>
      <w:tblPr>
        <w:tblStyle w:val="TableNormal0"/>
        <w:tblW w:w="90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83"/>
        <w:gridCol w:w="2547"/>
        <w:gridCol w:w="2527"/>
        <w:gridCol w:w="2522"/>
      </w:tblGrid>
      <w:tr>
        <w:tblPrEx>
          <w:tblW w:w="90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1483" w:type="dxa"/>
            <w:vAlign w:val="top"/>
          </w:tcPr>
          <w:p>
            <w:pPr>
              <w:pStyle w:val="TableText"/>
              <w:spacing w:before="103" w:line="219" w:lineRule="auto"/>
              <w:ind w:left="104"/>
              <w:rPr>
                <w:sz w:val="21"/>
                <w:szCs w:val="21"/>
              </w:rPr>
            </w:pPr>
            <w:r>
              <w:rPr>
                <w:spacing w:val="2"/>
                <w:sz w:val="21"/>
                <w:szCs w:val="21"/>
              </w:rPr>
              <w:t>等效电路类型</w:t>
            </w:r>
          </w:p>
        </w:tc>
        <w:tc>
          <w:tcPr>
            <w:tcW w:w="2547" w:type="dxa"/>
            <w:vAlign w:val="top"/>
          </w:tcPr>
          <w:p>
            <w:pPr>
              <w:pStyle w:val="TableText"/>
              <w:spacing w:before="103" w:line="219" w:lineRule="auto"/>
              <w:ind w:left="962"/>
              <w:rPr>
                <w:sz w:val="21"/>
                <w:szCs w:val="21"/>
              </w:rPr>
            </w:pPr>
            <w:r>
              <w:rPr>
                <w:spacing w:val="4"/>
                <w:sz w:val="21"/>
                <w:szCs w:val="21"/>
              </w:rPr>
              <w:t>西林型</w:t>
            </w:r>
          </w:p>
        </w:tc>
        <w:tc>
          <w:tcPr>
            <w:tcW w:w="2527" w:type="dxa"/>
            <w:vAlign w:val="top"/>
          </w:tcPr>
          <w:p>
            <w:pPr>
              <w:pStyle w:val="TableText"/>
              <w:spacing w:before="103" w:line="219" w:lineRule="auto"/>
              <w:ind w:left="435"/>
              <w:rPr>
                <w:sz w:val="21"/>
                <w:szCs w:val="21"/>
              </w:rPr>
            </w:pPr>
            <w:r>
              <w:rPr>
                <w:spacing w:val="1"/>
                <w:sz w:val="21"/>
                <w:szCs w:val="21"/>
              </w:rPr>
              <w:t>无源电流比较仪型</w:t>
            </w:r>
          </w:p>
        </w:tc>
        <w:tc>
          <w:tcPr>
            <w:tcW w:w="2522" w:type="dxa"/>
            <w:vAlign w:val="top"/>
          </w:tcPr>
          <w:p>
            <w:pPr>
              <w:pStyle w:val="TableText"/>
              <w:spacing w:before="103" w:line="219" w:lineRule="auto"/>
              <w:ind w:left="437"/>
              <w:rPr>
                <w:sz w:val="21"/>
                <w:szCs w:val="21"/>
              </w:rPr>
            </w:pPr>
            <w:r>
              <w:rPr>
                <w:spacing w:val="1"/>
                <w:sz w:val="21"/>
                <w:szCs w:val="21"/>
              </w:rPr>
              <w:t>有源电流比较仪型</w:t>
            </w:r>
          </w:p>
        </w:tc>
      </w:tr>
    </w:tbl>
    <w:p>
      <w:pPr>
        <w:sectPr>
          <w:headerReference w:type="default" r:id="rId50"/>
          <w:footerReference w:type="default" r:id="rId51"/>
          <w:pgSz w:w="11800" w:h="16820"/>
          <w:pgMar w:top="1819" w:right="1470" w:bottom="1032" w:left="1089" w:header="1583" w:footer="873" w:gutter="0"/>
          <w:pgNumType w:start="11"/>
          <w:cols w:space="708"/>
        </w:sectPr>
      </w:pPr>
    </w:p>
    <w:tbl>
      <w:tblPr>
        <w:tblStyle w:val="TableNormal1"/>
        <w:tblW w:w="90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83"/>
        <w:gridCol w:w="2547"/>
        <w:gridCol w:w="2527"/>
        <w:gridCol w:w="2522"/>
      </w:tblGrid>
      <w:tr>
        <w:tblPrEx>
          <w:tblW w:w="9079"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7"/>
        </w:trPr>
        <w:tc>
          <w:tcPr>
            <w:tcW w:w="1483" w:type="dxa"/>
            <w:vAlign w:val="top"/>
          </w:tcPr>
          <w:p>
            <w:pPr>
              <w:rPr>
                <w:rFonts w:ascii="Arial"/>
                <w:sz w:val="21"/>
              </w:rPr>
            </w:pPr>
          </w:p>
          <w:p>
            <w:pPr>
              <w:pStyle w:val="TableText"/>
              <w:spacing w:before="68" w:line="220" w:lineRule="auto"/>
              <w:ind w:left="525"/>
              <w:rPr>
                <w:sz w:val="21"/>
                <w:szCs w:val="21"/>
              </w:rPr>
            </w:pPr>
            <w:r>
              <w:rPr>
                <w:spacing w:val="4"/>
                <w:sz w:val="21"/>
                <w:szCs w:val="21"/>
              </w:rPr>
              <w:t>串联</w:t>
            </w:r>
          </w:p>
        </w:tc>
        <w:tc>
          <w:tcPr>
            <w:tcW w:w="2547" w:type="dxa"/>
            <w:vAlign w:val="top"/>
          </w:tcPr>
          <w:p>
            <w:pPr>
              <w:spacing w:before="161" w:line="490" w:lineRule="exact"/>
              <w:ind w:firstLine="892"/>
            </w:pPr>
            <w:r>
              <w:rPr>
                <w:position w:val="-9"/>
              </w:rPr>
              <w:drawing>
                <wp:inline distT="0" distB="0" distL="0" distR="0">
                  <wp:extent cx="482549" cy="311128"/>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2"/>
                          <a:stretch>
                            <a:fillRect/>
                          </a:stretch>
                        </pic:blipFill>
                        <pic:spPr>
                          <a:xfrm>
                            <a:off x="0" y="0"/>
                            <a:ext cx="482549" cy="311128"/>
                          </a:xfrm>
                          <a:prstGeom prst="rect">
                            <a:avLst/>
                          </a:prstGeom>
                        </pic:spPr>
                      </pic:pic>
                    </a:graphicData>
                  </a:graphic>
                </wp:inline>
              </w:drawing>
            </w:r>
          </w:p>
        </w:tc>
        <w:tc>
          <w:tcPr>
            <w:tcW w:w="2527" w:type="dxa"/>
            <w:vAlign w:val="top"/>
          </w:tcPr>
          <w:p>
            <w:pPr>
              <w:spacing w:before="181" w:line="480" w:lineRule="exact"/>
              <w:ind w:firstLine="885"/>
            </w:pPr>
            <w:r>
              <w:rPr>
                <w:position w:val="-9"/>
              </w:rPr>
              <w:drawing>
                <wp:inline distT="0" distB="0" distL="0" distR="0">
                  <wp:extent cx="482624" cy="30482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3"/>
                          <a:stretch>
                            <a:fillRect/>
                          </a:stretch>
                        </pic:blipFill>
                        <pic:spPr>
                          <a:xfrm>
                            <a:off x="0" y="0"/>
                            <a:ext cx="482624" cy="304827"/>
                          </a:xfrm>
                          <a:prstGeom prst="rect">
                            <a:avLst/>
                          </a:prstGeom>
                        </pic:spPr>
                      </pic:pic>
                    </a:graphicData>
                  </a:graphic>
                </wp:inline>
              </w:drawing>
            </w:r>
          </w:p>
        </w:tc>
        <w:tc>
          <w:tcPr>
            <w:tcW w:w="2522" w:type="dxa"/>
            <w:vAlign w:val="top"/>
          </w:tcPr>
          <w:p>
            <w:pPr>
              <w:spacing w:before="170" w:line="471" w:lineRule="exact"/>
              <w:ind w:firstLine="348"/>
            </w:pPr>
            <w:r>
              <w:rPr>
                <w:position w:val="-9"/>
              </w:rPr>
              <w:drawing>
                <wp:inline distT="0" distB="0" distL="0" distR="0">
                  <wp:extent cx="1155645" cy="29852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4"/>
                          <a:stretch>
                            <a:fillRect/>
                          </a:stretch>
                        </pic:blipFill>
                        <pic:spPr>
                          <a:xfrm>
                            <a:off x="0" y="0"/>
                            <a:ext cx="1155645" cy="298525"/>
                          </a:xfrm>
                          <a:prstGeom prst="rect">
                            <a:avLst/>
                          </a:prstGeom>
                        </pic:spPr>
                      </pic:pic>
                    </a:graphicData>
                  </a:graphic>
                </wp:inline>
              </w:drawing>
            </w:r>
          </w:p>
        </w:tc>
      </w:tr>
      <w:tr>
        <w:tblPrEx>
          <w:tblW w:w="9079" w:type="dxa"/>
          <w:tblInd w:w="80" w:type="dxa"/>
          <w:tblLayout w:type="fixed"/>
        </w:tblPrEx>
        <w:trPr>
          <w:trHeight w:val="827"/>
        </w:trPr>
        <w:tc>
          <w:tcPr>
            <w:tcW w:w="1483" w:type="dxa"/>
            <w:vAlign w:val="top"/>
          </w:tcPr>
          <w:p>
            <w:pPr>
              <w:spacing w:line="243" w:lineRule="auto"/>
              <w:rPr>
                <w:rFonts w:ascii="Arial"/>
                <w:sz w:val="21"/>
              </w:rPr>
            </w:pPr>
          </w:p>
          <w:p>
            <w:pPr>
              <w:pStyle w:val="TableText"/>
              <w:spacing w:before="68" w:line="219" w:lineRule="auto"/>
              <w:ind w:left="525"/>
              <w:rPr>
                <w:sz w:val="21"/>
                <w:szCs w:val="21"/>
              </w:rPr>
            </w:pPr>
            <w:r>
              <w:rPr>
                <w:spacing w:val="4"/>
                <w:sz w:val="21"/>
                <w:szCs w:val="21"/>
              </w:rPr>
              <w:t>并联</w:t>
            </w:r>
          </w:p>
        </w:tc>
        <w:tc>
          <w:tcPr>
            <w:tcW w:w="2547" w:type="dxa"/>
            <w:vAlign w:val="top"/>
          </w:tcPr>
          <w:p>
            <w:pPr>
              <w:spacing w:before="184" w:line="480" w:lineRule="exact"/>
              <w:ind w:firstLine="502"/>
            </w:pPr>
            <w:r>
              <w:rPr>
                <w:position w:val="-9"/>
              </w:rPr>
              <w:drawing>
                <wp:inline distT="0" distB="0" distL="0" distR="0">
                  <wp:extent cx="984205" cy="30482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5"/>
                          <a:stretch>
                            <a:fillRect/>
                          </a:stretch>
                        </pic:blipFill>
                        <pic:spPr>
                          <a:xfrm>
                            <a:off x="0" y="0"/>
                            <a:ext cx="984205" cy="304827"/>
                          </a:xfrm>
                          <a:prstGeom prst="rect">
                            <a:avLst/>
                          </a:prstGeom>
                        </pic:spPr>
                      </pic:pic>
                    </a:graphicData>
                  </a:graphic>
                </wp:inline>
              </w:drawing>
            </w:r>
          </w:p>
        </w:tc>
        <w:tc>
          <w:tcPr>
            <w:tcW w:w="2527" w:type="dxa"/>
            <w:vAlign w:val="top"/>
          </w:tcPr>
          <w:p>
            <w:pPr>
              <w:spacing w:before="184" w:line="480" w:lineRule="exact"/>
              <w:ind w:firstLine="505"/>
            </w:pPr>
            <w:r>
              <w:rPr>
                <w:position w:val="-9"/>
              </w:rPr>
              <w:drawing>
                <wp:inline distT="0" distB="0" distL="0" distR="0">
                  <wp:extent cx="971542" cy="304827"/>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6"/>
                          <a:stretch>
                            <a:fillRect/>
                          </a:stretch>
                        </pic:blipFill>
                        <pic:spPr>
                          <a:xfrm>
                            <a:off x="0" y="0"/>
                            <a:ext cx="971542" cy="304827"/>
                          </a:xfrm>
                          <a:prstGeom prst="rect">
                            <a:avLst/>
                          </a:prstGeom>
                        </pic:spPr>
                      </pic:pic>
                    </a:graphicData>
                  </a:graphic>
                </wp:inline>
              </w:drawing>
            </w:r>
          </w:p>
        </w:tc>
        <w:tc>
          <w:tcPr>
            <w:tcW w:w="2522" w:type="dxa"/>
            <w:vAlign w:val="top"/>
          </w:tcPr>
          <w:p>
            <w:pPr>
              <w:spacing w:before="173" w:line="481" w:lineRule="exact"/>
              <w:ind w:firstLine="888"/>
            </w:pPr>
            <w:r>
              <w:rPr>
                <w:position w:val="-9"/>
              </w:rPr>
              <w:drawing>
                <wp:inline distT="0" distB="0" distL="0" distR="0">
                  <wp:extent cx="476255" cy="304827"/>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7"/>
                          <a:stretch>
                            <a:fillRect/>
                          </a:stretch>
                        </pic:blipFill>
                        <pic:spPr>
                          <a:xfrm>
                            <a:off x="0" y="0"/>
                            <a:ext cx="476255" cy="304827"/>
                          </a:xfrm>
                          <a:prstGeom prst="rect">
                            <a:avLst/>
                          </a:prstGeom>
                        </pic:spPr>
                      </pic:pic>
                    </a:graphicData>
                  </a:graphic>
                </wp:inline>
              </w:drawing>
            </w:r>
          </w:p>
        </w:tc>
      </w:tr>
      <w:tr>
        <w:tblPrEx>
          <w:tblW w:w="9079" w:type="dxa"/>
          <w:tblInd w:w="80" w:type="dxa"/>
          <w:tblLayout w:type="fixed"/>
        </w:tblPrEx>
        <w:trPr>
          <w:trHeight w:val="822"/>
        </w:trPr>
        <w:tc>
          <w:tcPr>
            <w:tcW w:w="9079" w:type="dxa"/>
            <w:gridSpan w:val="4"/>
            <w:vAlign w:val="top"/>
          </w:tcPr>
          <w:p>
            <w:pPr>
              <w:pStyle w:val="TableText"/>
              <w:spacing w:before="129" w:line="386" w:lineRule="exact"/>
              <w:ind w:left="515"/>
              <w:rPr>
                <w:rFonts w:ascii="Calibri" w:eastAsia="Calibri" w:hAnsi="Calibri" w:cs="Calibri"/>
                <w:sz w:val="21"/>
                <w:szCs w:val="21"/>
              </w:rPr>
            </w:pPr>
            <w:r>
              <w:rPr>
                <w:spacing w:val="13"/>
                <w:position w:val="13"/>
                <w:sz w:val="21"/>
                <w:szCs w:val="21"/>
              </w:rPr>
              <w:t>注：电容比率示值与介质损耗因数示值的关系可用公式</w:t>
            </w:r>
            <w:r>
              <w:rPr>
                <w:position w:val="13"/>
                <w:sz w:val="21"/>
                <w:szCs w:val="21"/>
              </w:rPr>
              <w:t>Cx</w:t>
            </w:r>
            <w:r>
              <w:rPr>
                <w:spacing w:val="13"/>
                <w:position w:val="13"/>
                <w:sz w:val="21"/>
                <w:szCs w:val="21"/>
              </w:rPr>
              <w:t>/C</w:t>
            </w:r>
            <w:r>
              <w:rPr>
                <w:rFonts w:ascii="Calibri" w:eastAsia="Calibri" w:hAnsi="Calibri" w:cs="Calibri"/>
                <w:spacing w:val="13"/>
                <w:position w:val="13"/>
                <w:sz w:val="21"/>
                <w:szCs w:val="21"/>
              </w:rPr>
              <w:t>₂</w:t>
            </w:r>
            <w:r>
              <w:rPr>
                <w:spacing w:val="13"/>
                <w:position w:val="13"/>
                <w:sz w:val="21"/>
                <w:szCs w:val="21"/>
              </w:rPr>
              <w:t>=</w:t>
            </w:r>
            <w:r>
              <w:rPr>
                <w:position w:val="13"/>
                <w:sz w:val="21"/>
                <w:szCs w:val="21"/>
              </w:rPr>
              <w:t>KR</w:t>
            </w:r>
            <w:r>
              <w:rPr>
                <w:rFonts w:ascii="Calibri" w:eastAsia="Calibri" w:hAnsi="Calibri" w:cs="Calibri"/>
                <w:spacing w:val="13"/>
                <w:position w:val="13"/>
                <w:sz w:val="21"/>
                <w:szCs w:val="21"/>
              </w:rPr>
              <w:t>₄</w:t>
            </w:r>
            <w:r>
              <w:rPr>
                <w:spacing w:val="13"/>
                <w:position w:val="13"/>
                <w:sz w:val="21"/>
                <w:szCs w:val="21"/>
              </w:rPr>
              <w:t>/R</w:t>
            </w:r>
            <w:r>
              <w:rPr>
                <w:rFonts w:ascii="Calibri" w:eastAsia="Calibri" w:hAnsi="Calibri" w:cs="Calibri"/>
                <w:spacing w:val="13"/>
                <w:position w:val="13"/>
                <w:sz w:val="21"/>
                <w:szCs w:val="21"/>
              </w:rPr>
              <w:t>₃</w:t>
            </w:r>
            <w:r>
              <w:rPr>
                <w:spacing w:val="13"/>
                <w:position w:val="13"/>
                <w:sz w:val="21"/>
                <w:szCs w:val="21"/>
              </w:rPr>
              <w:t>或</w:t>
            </w:r>
            <w:r>
              <w:rPr>
                <w:position w:val="13"/>
                <w:sz w:val="21"/>
                <w:szCs w:val="21"/>
              </w:rPr>
              <w:t>Cy</w:t>
            </w:r>
            <w:r>
              <w:rPr>
                <w:spacing w:val="13"/>
                <w:position w:val="13"/>
                <w:sz w:val="21"/>
                <w:szCs w:val="21"/>
              </w:rPr>
              <w:t>/</w:t>
            </w:r>
            <w:r>
              <w:rPr>
                <w:position w:val="13"/>
                <w:sz w:val="21"/>
                <w:szCs w:val="21"/>
              </w:rPr>
              <w:t>Cs</w:t>
            </w:r>
            <w:r>
              <w:rPr>
                <w:spacing w:val="13"/>
                <w:position w:val="13"/>
                <w:sz w:val="21"/>
                <w:szCs w:val="21"/>
              </w:rPr>
              <w:t>=</w:t>
            </w:r>
            <w:r>
              <w:rPr>
                <w:position w:val="13"/>
                <w:sz w:val="21"/>
                <w:szCs w:val="21"/>
              </w:rPr>
              <w:t>Kpn</w:t>
            </w:r>
            <w:r>
              <w:rPr>
                <w:rFonts w:ascii="Calibri" w:eastAsia="Calibri" w:hAnsi="Calibri" w:cs="Calibri"/>
                <w:spacing w:val="13"/>
                <w:position w:val="13"/>
                <w:sz w:val="21"/>
                <w:szCs w:val="21"/>
              </w:rPr>
              <w:t>₂</w:t>
            </w:r>
          </w:p>
          <w:p>
            <w:pPr>
              <w:pStyle w:val="TableText"/>
              <w:spacing w:line="219" w:lineRule="auto"/>
              <w:ind w:left="125"/>
              <w:rPr>
                <w:sz w:val="21"/>
                <w:szCs w:val="21"/>
              </w:rPr>
            </w:pPr>
            <w:r>
              <w:rPr>
                <w:spacing w:val="12"/>
                <w:sz w:val="21"/>
                <w:szCs w:val="21"/>
              </w:rPr>
              <w:t>N</w:t>
            </w:r>
            <w:r>
              <w:rPr>
                <w:rFonts w:ascii="Calibri" w:eastAsia="Calibri" w:hAnsi="Calibri" w:cs="Calibri"/>
                <w:spacing w:val="12"/>
                <w:sz w:val="21"/>
                <w:szCs w:val="21"/>
              </w:rPr>
              <w:t>₁</w:t>
            </w:r>
            <w:r>
              <w:rPr>
                <w:spacing w:val="12"/>
                <w:sz w:val="21"/>
                <w:szCs w:val="21"/>
              </w:rPr>
              <w:t>表示。</w:t>
            </w:r>
          </w:p>
        </w:tc>
      </w:tr>
    </w:tbl>
    <w:p>
      <w:pPr>
        <w:rPr>
          <w:rFonts w:ascii="Arial"/>
          <w:sz w:val="21"/>
        </w:rPr>
      </w:pPr>
    </w:p>
    <w:p>
      <w:pPr>
        <w:rPr>
          <w:rFonts w:ascii="Arial" w:eastAsia="Arial" w:hAnsi="Arial" w:cs="Arial"/>
          <w:sz w:val="21"/>
          <w:szCs w:val="21"/>
        </w:rPr>
        <w:sectPr>
          <w:headerReference w:type="default" r:id="rId58"/>
          <w:footerReference w:type="default" r:id="rId59"/>
          <w:type w:val="nextPage"/>
          <w:pgSz w:w="11800" w:h="16820"/>
          <w:pgMar w:top="1819" w:right="1470" w:bottom="1032" w:left="1089" w:header="1583" w:footer="873" w:gutter="0"/>
          <w:pgNumType w:start="12"/>
          <w:cols w:space="708"/>
          <w:titlePg w:val="0"/>
        </w:sectPr>
      </w:pPr>
    </w:p>
    <w:p>
      <w:pPr>
        <w:spacing w:before="204" w:line="212" w:lineRule="auto"/>
        <w:ind w:left="3560"/>
        <w:rPr>
          <w:rFonts w:ascii="Times New Roman" w:eastAsia="Times New Roman" w:hAnsi="Times New Roman" w:cs="Times New Roman"/>
          <w:sz w:val="22"/>
          <w:szCs w:val="22"/>
        </w:rPr>
      </w:pPr>
      <w:r>
        <w:rPr>
          <w:rFonts w:ascii="SimHei" w:eastAsia="SimHei" w:hAnsi="SimHei" w:cs="SimHei"/>
          <w:spacing w:val="-4"/>
          <w:sz w:val="22"/>
          <w:szCs w:val="22"/>
        </w:rPr>
        <w:t>表6</w:t>
      </w:r>
      <w:r>
        <w:rPr>
          <w:rFonts w:ascii="SimHei" w:eastAsia="SimHei" w:hAnsi="SimHei" w:cs="SimHei"/>
          <w:spacing w:val="108"/>
          <w:sz w:val="22"/>
          <w:szCs w:val="22"/>
        </w:rPr>
        <w:t xml:space="preserve"> </w:t>
      </w:r>
      <w:r>
        <w:rPr>
          <w:rFonts w:ascii="SimHei" w:eastAsia="SimHei" w:hAnsi="SimHei" w:cs="SimHei"/>
          <w:spacing w:val="-4"/>
          <w:sz w:val="22"/>
          <w:szCs w:val="22"/>
        </w:rPr>
        <w:t>频率修正系数</w:t>
      </w:r>
      <w:r>
        <w:rPr>
          <w:rFonts w:ascii="SimHei" w:eastAsia="SimHei" w:hAnsi="SimHei" w:cs="SimHei"/>
          <w:spacing w:val="-22"/>
          <w:sz w:val="22"/>
          <w:szCs w:val="22"/>
        </w:rPr>
        <w:t xml:space="preserve"> </w:t>
      </w:r>
      <w:r>
        <w:rPr>
          <w:rFonts w:ascii="Times New Roman" w:eastAsia="Times New Roman" w:hAnsi="Times New Roman" w:cs="Times New Roman"/>
          <w:spacing w:val="-4"/>
          <w:sz w:val="22"/>
          <w:szCs w:val="22"/>
        </w:rPr>
        <w:t>K,</w:t>
      </w:r>
    </w:p>
    <w:p>
      <w:pPr>
        <w:spacing w:line="127" w:lineRule="exact"/>
      </w:pPr>
    </w:p>
    <w:tbl>
      <w:tblPr>
        <w:tblStyle w:val="TableNormal2"/>
        <w:tblW w:w="909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94"/>
        <w:gridCol w:w="2527"/>
        <w:gridCol w:w="2537"/>
        <w:gridCol w:w="2532"/>
      </w:tblGrid>
      <w:tr>
        <w:tblPrEx>
          <w:tblW w:w="9090" w:type="dxa"/>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1494" w:type="dxa"/>
            <w:vAlign w:val="top"/>
          </w:tcPr>
          <w:p>
            <w:pPr>
              <w:pStyle w:val="TableText"/>
              <w:spacing w:before="113" w:line="219" w:lineRule="auto"/>
              <w:ind w:left="335"/>
            </w:pPr>
            <w:r>
              <w:rPr>
                <w:spacing w:val="-2"/>
              </w:rPr>
              <w:t>检定方法</w:t>
            </w:r>
          </w:p>
        </w:tc>
        <w:tc>
          <w:tcPr>
            <w:tcW w:w="2527" w:type="dxa"/>
            <w:vAlign w:val="top"/>
          </w:tcPr>
          <w:p>
            <w:pPr>
              <w:pStyle w:val="TableText"/>
              <w:spacing w:before="113" w:line="219" w:lineRule="auto"/>
              <w:ind w:left="951"/>
            </w:pPr>
            <w:r>
              <w:rPr>
                <w:spacing w:val="4"/>
              </w:rPr>
              <w:t>西林型</w:t>
            </w:r>
          </w:p>
        </w:tc>
        <w:tc>
          <w:tcPr>
            <w:tcW w:w="2537" w:type="dxa"/>
            <w:vAlign w:val="top"/>
          </w:tcPr>
          <w:p>
            <w:pPr>
              <w:pStyle w:val="TableText"/>
              <w:spacing w:before="113" w:line="219" w:lineRule="auto"/>
              <w:ind w:left="464"/>
            </w:pPr>
            <w:r>
              <w:rPr>
                <w:spacing w:val="1"/>
              </w:rPr>
              <w:t>无源电流比较仪型</w:t>
            </w:r>
          </w:p>
        </w:tc>
        <w:tc>
          <w:tcPr>
            <w:tcW w:w="2532" w:type="dxa"/>
            <w:vAlign w:val="top"/>
          </w:tcPr>
          <w:p>
            <w:pPr>
              <w:pStyle w:val="TableText"/>
              <w:spacing w:before="113" w:line="219" w:lineRule="auto"/>
              <w:ind w:left="557"/>
            </w:pPr>
            <w:r>
              <w:rPr>
                <w:spacing w:val="-2"/>
              </w:rPr>
              <w:t>有源电流比较仪</w:t>
            </w:r>
          </w:p>
        </w:tc>
      </w:tr>
      <w:tr>
        <w:tblPrEx>
          <w:tblW w:w="9090" w:type="dxa"/>
          <w:tblInd w:w="80" w:type="dxa"/>
          <w:tblLayout w:type="fixed"/>
        </w:tblPrEx>
        <w:trPr>
          <w:trHeight w:val="818"/>
        </w:trPr>
        <w:tc>
          <w:tcPr>
            <w:tcW w:w="1494" w:type="dxa"/>
            <w:vAlign w:val="top"/>
          </w:tcPr>
          <w:p>
            <w:pPr>
              <w:spacing w:line="243" w:lineRule="auto"/>
              <w:rPr>
                <w:rFonts w:ascii="Arial"/>
                <w:sz w:val="21"/>
              </w:rPr>
            </w:pPr>
          </w:p>
          <w:p>
            <w:pPr>
              <w:pStyle w:val="TableText"/>
              <w:spacing w:before="65" w:line="221" w:lineRule="auto"/>
              <w:ind w:left="335"/>
            </w:pPr>
            <w:r>
              <w:rPr>
                <w:spacing w:val="3"/>
              </w:rPr>
              <w:t>低压导纳</w:t>
            </w:r>
          </w:p>
        </w:tc>
        <w:tc>
          <w:tcPr>
            <w:tcW w:w="2527" w:type="dxa"/>
            <w:vAlign w:val="top"/>
          </w:tcPr>
          <w:p>
            <w:pPr>
              <w:spacing w:before="141" w:line="500" w:lineRule="exact"/>
              <w:ind w:firstLine="1001"/>
            </w:pPr>
            <w:r>
              <w:rPr>
                <w:position w:val="-9"/>
              </w:rPr>
              <w:drawing>
                <wp:inline distT="0" distB="0" distL="0" distR="0">
                  <wp:extent cx="311111" cy="317487"/>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60"/>
                          <a:stretch>
                            <a:fillRect/>
                          </a:stretch>
                        </pic:blipFill>
                        <pic:spPr>
                          <a:xfrm>
                            <a:off x="0" y="0"/>
                            <a:ext cx="311111" cy="317487"/>
                          </a:xfrm>
                          <a:prstGeom prst="rect">
                            <a:avLst/>
                          </a:prstGeom>
                        </pic:spPr>
                      </pic:pic>
                    </a:graphicData>
                  </a:graphic>
                </wp:inline>
              </w:drawing>
            </w:r>
          </w:p>
        </w:tc>
        <w:tc>
          <w:tcPr>
            <w:tcW w:w="2537" w:type="dxa"/>
            <w:vAlign w:val="top"/>
          </w:tcPr>
          <w:p>
            <w:pPr>
              <w:spacing w:before="150" w:line="500" w:lineRule="exact"/>
              <w:ind w:firstLine="1004"/>
            </w:pPr>
            <w:r>
              <w:rPr>
                <w:position w:val="-9"/>
              </w:rPr>
              <w:drawing>
                <wp:inline distT="0" distB="0" distL="0" distR="0">
                  <wp:extent cx="330175" cy="31748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1"/>
                          <a:stretch>
                            <a:fillRect/>
                          </a:stretch>
                        </pic:blipFill>
                        <pic:spPr>
                          <a:xfrm>
                            <a:off x="0" y="0"/>
                            <a:ext cx="330175" cy="317487"/>
                          </a:xfrm>
                          <a:prstGeom prst="rect">
                            <a:avLst/>
                          </a:prstGeom>
                        </pic:spPr>
                      </pic:pic>
                    </a:graphicData>
                  </a:graphic>
                </wp:inline>
              </w:drawing>
            </w:r>
          </w:p>
        </w:tc>
        <w:tc>
          <w:tcPr>
            <w:tcW w:w="2532" w:type="dxa"/>
            <w:vAlign w:val="top"/>
          </w:tcPr>
          <w:p>
            <w:pPr>
              <w:spacing w:line="292" w:lineRule="auto"/>
              <w:rPr>
                <w:rFonts w:ascii="Arial"/>
                <w:sz w:val="21"/>
              </w:rPr>
            </w:pPr>
          </w:p>
          <w:p>
            <w:pPr>
              <w:pStyle w:val="TableText"/>
              <w:spacing w:before="65" w:line="184" w:lineRule="auto"/>
              <w:ind w:left="1206"/>
            </w:pPr>
            <w:r>
              <w:t>1</w:t>
            </w:r>
          </w:p>
        </w:tc>
      </w:tr>
      <w:tr>
        <w:tblPrEx>
          <w:tblW w:w="9090" w:type="dxa"/>
          <w:tblInd w:w="80" w:type="dxa"/>
          <w:tblLayout w:type="fixed"/>
        </w:tblPrEx>
        <w:trPr>
          <w:trHeight w:val="827"/>
        </w:trPr>
        <w:tc>
          <w:tcPr>
            <w:tcW w:w="1494" w:type="dxa"/>
            <w:vAlign w:val="top"/>
          </w:tcPr>
          <w:p>
            <w:pPr>
              <w:spacing w:line="254" w:lineRule="auto"/>
              <w:rPr>
                <w:rFonts w:ascii="Arial"/>
                <w:sz w:val="21"/>
              </w:rPr>
            </w:pPr>
          </w:p>
          <w:p>
            <w:pPr>
              <w:pStyle w:val="TableText"/>
              <w:spacing w:before="65" w:line="219" w:lineRule="auto"/>
              <w:ind w:left="335"/>
            </w:pPr>
            <w:r>
              <w:rPr>
                <w:spacing w:val="2"/>
              </w:rPr>
              <w:t>串联等效</w:t>
            </w:r>
          </w:p>
        </w:tc>
        <w:tc>
          <w:tcPr>
            <w:tcW w:w="2527" w:type="dxa"/>
            <w:vAlign w:val="top"/>
          </w:tcPr>
          <w:p>
            <w:pPr>
              <w:spacing w:line="304" w:lineRule="auto"/>
              <w:rPr>
                <w:rFonts w:ascii="Arial"/>
                <w:sz w:val="21"/>
              </w:rPr>
            </w:pPr>
          </w:p>
          <w:p>
            <w:pPr>
              <w:pStyle w:val="TableText"/>
              <w:spacing w:before="65" w:line="184" w:lineRule="auto"/>
              <w:ind w:left="1201"/>
            </w:pPr>
            <w:r>
              <w:t>1</w:t>
            </w:r>
          </w:p>
        </w:tc>
        <w:tc>
          <w:tcPr>
            <w:tcW w:w="2537" w:type="dxa"/>
            <w:vAlign w:val="top"/>
          </w:tcPr>
          <w:p>
            <w:pPr>
              <w:spacing w:line="304" w:lineRule="auto"/>
              <w:rPr>
                <w:rFonts w:ascii="Arial"/>
                <w:sz w:val="21"/>
              </w:rPr>
            </w:pPr>
          </w:p>
          <w:p>
            <w:pPr>
              <w:pStyle w:val="TableText"/>
              <w:spacing w:before="65" w:line="184" w:lineRule="auto"/>
              <w:ind w:left="1214"/>
            </w:pPr>
            <w:r>
              <w:t>1</w:t>
            </w:r>
          </w:p>
        </w:tc>
        <w:tc>
          <w:tcPr>
            <w:tcW w:w="2532" w:type="dxa"/>
            <w:vAlign w:val="top"/>
          </w:tcPr>
          <w:p>
            <w:pPr>
              <w:spacing w:before="153" w:line="520" w:lineRule="exact"/>
              <w:ind w:firstLine="1007"/>
            </w:pPr>
            <w:r>
              <w:rPr>
                <w:position w:val="-10"/>
              </w:rPr>
              <w:drawing>
                <wp:inline distT="0" distB="0" distL="0" distR="0">
                  <wp:extent cx="349240" cy="330212"/>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62"/>
                          <a:stretch>
                            <a:fillRect/>
                          </a:stretch>
                        </pic:blipFill>
                        <pic:spPr>
                          <a:xfrm>
                            <a:off x="0" y="0"/>
                            <a:ext cx="349240" cy="330212"/>
                          </a:xfrm>
                          <a:prstGeom prst="rect">
                            <a:avLst/>
                          </a:prstGeom>
                        </pic:spPr>
                      </pic:pic>
                    </a:graphicData>
                  </a:graphic>
                </wp:inline>
              </w:drawing>
            </w:r>
          </w:p>
        </w:tc>
      </w:tr>
      <w:tr>
        <w:tblPrEx>
          <w:tblW w:w="9090" w:type="dxa"/>
          <w:tblInd w:w="80" w:type="dxa"/>
          <w:tblLayout w:type="fixed"/>
        </w:tblPrEx>
        <w:trPr>
          <w:trHeight w:val="817"/>
        </w:trPr>
        <w:tc>
          <w:tcPr>
            <w:tcW w:w="1494" w:type="dxa"/>
            <w:vAlign w:val="top"/>
          </w:tcPr>
          <w:p>
            <w:pPr>
              <w:spacing w:line="247" w:lineRule="auto"/>
              <w:rPr>
                <w:rFonts w:ascii="Arial"/>
                <w:sz w:val="21"/>
              </w:rPr>
            </w:pPr>
          </w:p>
          <w:p>
            <w:pPr>
              <w:pStyle w:val="TableText"/>
              <w:spacing w:before="65" w:line="219" w:lineRule="auto"/>
              <w:ind w:left="335"/>
            </w:pPr>
            <w:r>
              <w:rPr>
                <w:spacing w:val="2"/>
              </w:rPr>
              <w:t>并联等效</w:t>
            </w:r>
          </w:p>
        </w:tc>
        <w:tc>
          <w:tcPr>
            <w:tcW w:w="2527" w:type="dxa"/>
            <w:vAlign w:val="top"/>
          </w:tcPr>
          <w:p>
            <w:pPr>
              <w:spacing w:before="135" w:line="520" w:lineRule="exact"/>
              <w:ind w:firstLine="991"/>
            </w:pPr>
            <w:r>
              <w:rPr>
                <w:position w:val="-10"/>
              </w:rPr>
              <w:drawing>
                <wp:inline distT="0" distB="0" distL="0" distR="0">
                  <wp:extent cx="330175" cy="33021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63"/>
                          <a:stretch>
                            <a:fillRect/>
                          </a:stretch>
                        </pic:blipFill>
                        <pic:spPr>
                          <a:xfrm>
                            <a:off x="0" y="0"/>
                            <a:ext cx="330175" cy="330211"/>
                          </a:xfrm>
                          <a:prstGeom prst="rect">
                            <a:avLst/>
                          </a:prstGeom>
                        </pic:spPr>
                      </pic:pic>
                    </a:graphicData>
                  </a:graphic>
                </wp:inline>
              </w:drawing>
            </w:r>
          </w:p>
        </w:tc>
        <w:tc>
          <w:tcPr>
            <w:tcW w:w="2537" w:type="dxa"/>
            <w:vAlign w:val="top"/>
          </w:tcPr>
          <w:p>
            <w:pPr>
              <w:pStyle w:val="TableText"/>
              <w:spacing w:before="157" w:line="214" w:lineRule="auto"/>
              <w:ind w:left="844"/>
              <w:rPr>
                <w:sz w:val="56"/>
                <w:szCs w:val="56"/>
              </w:rPr>
            </w:pPr>
            <w:r>
              <w:rPr>
                <w:spacing w:val="-27"/>
                <w:sz w:val="56"/>
                <w:szCs w:val="56"/>
              </w:rPr>
              <w:t>(f)</w:t>
            </w:r>
          </w:p>
        </w:tc>
        <w:tc>
          <w:tcPr>
            <w:tcW w:w="2532" w:type="dxa"/>
            <w:vAlign w:val="top"/>
          </w:tcPr>
          <w:p>
            <w:pPr>
              <w:spacing w:line="297" w:lineRule="auto"/>
              <w:rPr>
                <w:rFonts w:ascii="Arial"/>
                <w:sz w:val="21"/>
              </w:rPr>
            </w:pPr>
          </w:p>
          <w:p>
            <w:pPr>
              <w:pStyle w:val="TableText"/>
              <w:spacing w:before="65" w:line="184" w:lineRule="auto"/>
              <w:ind w:left="1206"/>
            </w:pPr>
            <w:r>
              <w:t>1</w:t>
            </w:r>
          </w:p>
        </w:tc>
      </w:tr>
      <w:tr>
        <w:tblPrEx>
          <w:tblW w:w="9090" w:type="dxa"/>
          <w:tblInd w:w="80" w:type="dxa"/>
          <w:tblLayout w:type="fixed"/>
        </w:tblPrEx>
        <w:trPr>
          <w:trHeight w:val="414"/>
        </w:trPr>
        <w:tc>
          <w:tcPr>
            <w:tcW w:w="9090" w:type="dxa"/>
            <w:gridSpan w:val="4"/>
            <w:vAlign w:val="top"/>
          </w:tcPr>
          <w:p>
            <w:pPr>
              <w:pStyle w:val="TableText"/>
              <w:spacing w:before="115" w:line="218" w:lineRule="auto"/>
              <w:ind w:left="555"/>
            </w:pPr>
            <w:r>
              <w:rPr>
                <w:spacing w:val="14"/>
              </w:rPr>
              <w:t>注：J</w:t>
            </w:r>
            <w:r>
              <w:rPr>
                <w:rFonts w:ascii="Calibri" w:eastAsia="Calibri" w:hAnsi="Calibri" w:cs="Calibri"/>
                <w:spacing w:val="14"/>
              </w:rPr>
              <w:t>₀</w:t>
            </w:r>
            <w:r>
              <w:rPr>
                <w:spacing w:val="14"/>
              </w:rPr>
              <w:t>=50</w:t>
            </w:r>
            <w:r>
              <w:t>Hz</w:t>
            </w:r>
          </w:p>
        </w:tc>
      </w:tr>
    </w:tbl>
    <w:p>
      <w:pPr>
        <w:spacing w:line="428" w:lineRule="auto"/>
        <w:rPr>
          <w:rFonts w:ascii="Arial"/>
          <w:sz w:val="21"/>
        </w:rPr>
      </w:pPr>
    </w:p>
    <w:p>
      <w:pPr>
        <w:pStyle w:val="BodyText"/>
        <w:spacing w:before="72" w:line="257" w:lineRule="auto"/>
        <w:ind w:left="20" w:right="72" w:firstLine="499"/>
        <w:rPr>
          <w:sz w:val="22"/>
          <w:szCs w:val="22"/>
        </w:rPr>
      </w:pPr>
      <w:r>
        <w:rPr>
          <w:spacing w:val="31"/>
          <w:sz w:val="22"/>
          <w:szCs w:val="22"/>
        </w:rPr>
        <w:t>2)电子式和数字式电桥介质损耗因数基本量程规定为：当</w:t>
      </w:r>
      <w:r>
        <w:rPr>
          <w:spacing w:val="-43"/>
          <w:sz w:val="22"/>
          <w:szCs w:val="22"/>
        </w:rPr>
        <w:t xml:space="preserve"> </w:t>
      </w:r>
      <w:r>
        <w:rPr>
          <w:rFonts w:ascii="Times New Roman" w:eastAsia="Times New Roman" w:hAnsi="Times New Roman" w:cs="Times New Roman"/>
          <w:spacing w:val="31"/>
          <w:sz w:val="22"/>
          <w:szCs w:val="22"/>
        </w:rPr>
        <w:t>X</w:t>
      </w:r>
      <w:r>
        <w:rPr>
          <w:rFonts w:ascii="Times New Roman" w:eastAsia="Times New Roman" w:hAnsi="Times New Roman" w:cs="Times New Roman"/>
          <w:spacing w:val="28"/>
          <w:sz w:val="22"/>
          <w:szCs w:val="22"/>
        </w:rPr>
        <w:t xml:space="preserve"> </w:t>
      </w:r>
      <w:r>
        <w:rPr>
          <w:spacing w:val="31"/>
          <w:sz w:val="22"/>
          <w:szCs w:val="22"/>
        </w:rPr>
        <w:t>读数为1~10中间的</w:t>
      </w:r>
      <w:r>
        <w:rPr>
          <w:sz w:val="22"/>
          <w:szCs w:val="22"/>
        </w:rPr>
        <w:t xml:space="preserve"> </w:t>
      </w:r>
      <w:r>
        <w:rPr>
          <w:spacing w:val="10"/>
          <w:sz w:val="22"/>
          <w:szCs w:val="22"/>
        </w:rPr>
        <w:t>某</w:t>
      </w:r>
      <w:r>
        <w:rPr>
          <w:spacing w:val="-38"/>
          <w:sz w:val="22"/>
          <w:szCs w:val="22"/>
        </w:rPr>
        <w:t xml:space="preserve"> </w:t>
      </w:r>
      <w:r>
        <w:rPr>
          <w:spacing w:val="10"/>
          <w:sz w:val="22"/>
          <w:szCs w:val="22"/>
        </w:rPr>
        <w:t>一</w:t>
      </w:r>
      <w:r>
        <w:rPr>
          <w:spacing w:val="-42"/>
          <w:sz w:val="22"/>
          <w:szCs w:val="22"/>
        </w:rPr>
        <w:t xml:space="preserve"> </w:t>
      </w:r>
      <w:r>
        <w:rPr>
          <w:spacing w:val="10"/>
          <w:sz w:val="22"/>
          <w:szCs w:val="22"/>
        </w:rPr>
        <w:t>值</w:t>
      </w:r>
      <w:r>
        <w:rPr>
          <w:spacing w:val="-31"/>
          <w:sz w:val="22"/>
          <w:szCs w:val="22"/>
        </w:rPr>
        <w:t xml:space="preserve"> </w:t>
      </w:r>
      <w:r>
        <w:rPr>
          <w:spacing w:val="10"/>
          <w:sz w:val="22"/>
          <w:szCs w:val="22"/>
        </w:rPr>
        <w:t>时</w:t>
      </w:r>
      <w:r>
        <w:rPr>
          <w:spacing w:val="-36"/>
          <w:sz w:val="22"/>
          <w:szCs w:val="22"/>
        </w:rPr>
        <w:t xml:space="preserve"> </w:t>
      </w:r>
      <w:r>
        <w:rPr>
          <w:spacing w:val="10"/>
          <w:sz w:val="22"/>
          <w:szCs w:val="22"/>
        </w:rPr>
        <w:t>.</w:t>
      </w:r>
      <w:r>
        <w:rPr>
          <w:rFonts w:ascii="Times New Roman" w:eastAsia="Times New Roman" w:hAnsi="Times New Roman" w:cs="Times New Roman"/>
          <w:spacing w:val="10"/>
          <w:sz w:val="22"/>
          <w:szCs w:val="22"/>
        </w:rPr>
        <w:t>D</w:t>
      </w:r>
      <w:r>
        <w:rPr>
          <w:rFonts w:ascii="Times New Roman" w:eastAsia="Times New Roman" w:hAnsi="Times New Roman" w:cs="Times New Roman"/>
          <w:spacing w:val="20"/>
          <w:sz w:val="22"/>
          <w:szCs w:val="22"/>
        </w:rPr>
        <w:t xml:space="preserve"> </w:t>
      </w:r>
      <w:r>
        <w:rPr>
          <w:spacing w:val="10"/>
          <w:sz w:val="22"/>
          <w:szCs w:val="22"/>
        </w:rPr>
        <w:t>按0、0.0001～0.0009、0.001～0.009、0.01～0.</w:t>
      </w:r>
      <w:r>
        <w:rPr>
          <w:spacing w:val="9"/>
          <w:sz w:val="22"/>
          <w:szCs w:val="22"/>
        </w:rPr>
        <w:t>1选取29个点。</w:t>
      </w:r>
    </w:p>
    <w:p>
      <w:pPr>
        <w:pStyle w:val="BodyText"/>
        <w:spacing w:before="97" w:line="262" w:lineRule="auto"/>
        <w:ind w:left="20" w:right="90" w:firstLine="489"/>
        <w:rPr>
          <w:sz w:val="22"/>
          <w:szCs w:val="22"/>
        </w:rPr>
      </w:pPr>
      <w:r>
        <w:rPr>
          <w:spacing w:val="27"/>
          <w:sz w:val="22"/>
          <w:szCs w:val="22"/>
        </w:rPr>
        <w:t>非基本量程允许简化为只对各量程的起始部分、中间部分及最大部分各选一</w:t>
      </w:r>
      <w:r>
        <w:rPr>
          <w:spacing w:val="-47"/>
          <w:sz w:val="22"/>
          <w:szCs w:val="22"/>
        </w:rPr>
        <w:t xml:space="preserve"> </w:t>
      </w:r>
      <w:r>
        <w:rPr>
          <w:spacing w:val="27"/>
          <w:sz w:val="22"/>
          <w:szCs w:val="22"/>
        </w:rPr>
        <w:t>点检</w:t>
      </w:r>
      <w:r>
        <w:rPr>
          <w:sz w:val="22"/>
          <w:szCs w:val="22"/>
        </w:rPr>
        <w:t xml:space="preserve"> </w:t>
      </w:r>
      <w:r>
        <w:rPr>
          <w:spacing w:val="-7"/>
          <w:sz w:val="22"/>
          <w:szCs w:val="22"/>
        </w:rPr>
        <w:t>定</w:t>
      </w:r>
      <w:r>
        <w:rPr>
          <w:spacing w:val="-45"/>
          <w:sz w:val="22"/>
          <w:szCs w:val="22"/>
        </w:rPr>
        <w:t xml:space="preserve"> </w:t>
      </w:r>
      <w:r>
        <w:rPr>
          <w:spacing w:val="-7"/>
          <w:sz w:val="22"/>
          <w:szCs w:val="22"/>
        </w:rPr>
        <w:t>。</w:t>
      </w:r>
    </w:p>
    <w:p>
      <w:pPr>
        <w:pStyle w:val="BodyText"/>
        <w:spacing w:before="107" w:line="219" w:lineRule="auto"/>
        <w:ind w:left="30"/>
        <w:rPr>
          <w:sz w:val="22"/>
          <w:szCs w:val="22"/>
        </w:rPr>
      </w:pPr>
      <w:r>
        <w:rPr>
          <w:spacing w:val="10"/>
          <w:sz w:val="22"/>
          <w:szCs w:val="22"/>
        </w:rPr>
        <w:t>5.3.5</w:t>
      </w:r>
      <w:r>
        <w:rPr>
          <w:spacing w:val="9"/>
          <w:sz w:val="22"/>
          <w:szCs w:val="22"/>
        </w:rPr>
        <w:t xml:space="preserve">  </w:t>
      </w:r>
      <w:r>
        <w:rPr>
          <w:spacing w:val="10"/>
          <w:sz w:val="22"/>
          <w:szCs w:val="22"/>
        </w:rPr>
        <w:t>稳定性试验</w:t>
      </w:r>
    </w:p>
    <w:p>
      <w:pPr>
        <w:pStyle w:val="BodyText"/>
        <w:spacing w:before="109" w:line="280" w:lineRule="auto"/>
        <w:ind w:left="49" w:firstLine="480"/>
        <w:jc w:val="both"/>
        <w:rPr>
          <w:sz w:val="22"/>
          <w:szCs w:val="22"/>
        </w:rPr>
      </w:pPr>
      <w:r>
        <w:rPr>
          <w:spacing w:val="24"/>
          <w:sz w:val="22"/>
          <w:szCs w:val="22"/>
        </w:rPr>
        <w:t>高压电容电桥的稳定性试验选用基本误差试验中正负误差最大的两个检</w:t>
      </w:r>
      <w:r>
        <w:rPr>
          <w:spacing w:val="23"/>
          <w:sz w:val="22"/>
          <w:szCs w:val="22"/>
        </w:rPr>
        <w:t>定点进行。</w:t>
      </w:r>
      <w:r>
        <w:rPr>
          <w:sz w:val="22"/>
          <w:szCs w:val="22"/>
        </w:rPr>
        <w:t xml:space="preserve"> </w:t>
      </w:r>
      <w:r>
        <w:rPr>
          <w:spacing w:val="22"/>
          <w:sz w:val="22"/>
          <w:szCs w:val="22"/>
        </w:rPr>
        <w:t>被检电桥置于规定的参考温度上、下限的环境，测</w:t>
      </w:r>
      <w:r>
        <w:rPr>
          <w:spacing w:val="21"/>
          <w:sz w:val="22"/>
          <w:szCs w:val="22"/>
        </w:rPr>
        <w:t>量出误差。与电桥在参考温度下的误</w:t>
      </w:r>
      <w:r>
        <w:rPr>
          <w:sz w:val="22"/>
          <w:szCs w:val="22"/>
        </w:rPr>
        <w:t xml:space="preserve"> </w:t>
      </w:r>
      <w:r>
        <w:rPr>
          <w:spacing w:val="19"/>
          <w:sz w:val="22"/>
          <w:szCs w:val="22"/>
        </w:rPr>
        <w:t>差比较，误差值的变化应不大于该检定点允许误差的</w:t>
      </w:r>
      <w:r>
        <w:rPr>
          <w:spacing w:val="18"/>
          <w:sz w:val="22"/>
          <w:szCs w:val="22"/>
        </w:rPr>
        <w:t>1/6。</w:t>
      </w:r>
    </w:p>
    <w:p>
      <w:pPr>
        <w:pStyle w:val="BodyText"/>
        <w:spacing w:before="99" w:line="219" w:lineRule="auto"/>
        <w:ind w:left="30"/>
        <w:rPr>
          <w:sz w:val="22"/>
          <w:szCs w:val="22"/>
        </w:rPr>
      </w:pPr>
      <w:r>
        <w:rPr>
          <w:spacing w:val="13"/>
          <w:sz w:val="22"/>
          <w:szCs w:val="22"/>
        </w:rPr>
        <w:t>5.4  检定结果的处理</w:t>
      </w:r>
    </w:p>
    <w:p>
      <w:pPr>
        <w:pStyle w:val="BodyText"/>
        <w:spacing w:before="98" w:line="219" w:lineRule="auto"/>
        <w:ind w:left="40"/>
        <w:rPr>
          <w:sz w:val="22"/>
          <w:szCs w:val="22"/>
        </w:rPr>
      </w:pPr>
      <w:r>
        <w:rPr>
          <w:spacing w:val="10"/>
          <w:sz w:val="22"/>
          <w:szCs w:val="22"/>
        </w:rPr>
        <w:t>5.4.1  数据处理</w:t>
      </w:r>
    </w:p>
    <w:p>
      <w:pPr>
        <w:pStyle w:val="BodyText"/>
        <w:spacing w:before="119" w:line="219" w:lineRule="auto"/>
        <w:ind w:left="540"/>
        <w:rPr>
          <w:sz w:val="22"/>
          <w:szCs w:val="22"/>
        </w:rPr>
      </w:pPr>
      <w:r>
        <w:rPr>
          <w:spacing w:val="22"/>
          <w:sz w:val="22"/>
          <w:szCs w:val="22"/>
        </w:rPr>
        <w:t>整体检定高压电容电桥电容比率测量准确度时.</w:t>
      </w:r>
      <w:r>
        <w:rPr>
          <w:spacing w:val="-50"/>
          <w:sz w:val="22"/>
          <w:szCs w:val="22"/>
        </w:rPr>
        <w:t xml:space="preserve"> </w:t>
      </w:r>
      <w:r>
        <w:rPr>
          <w:spacing w:val="22"/>
          <w:sz w:val="22"/>
          <w:szCs w:val="22"/>
        </w:rPr>
        <w:t>电桥的</w:t>
      </w:r>
      <w:r>
        <w:rPr>
          <w:spacing w:val="21"/>
          <w:sz w:val="22"/>
          <w:szCs w:val="22"/>
        </w:rPr>
        <w:t>测量误差按下式计算：</w:t>
      </w:r>
    </w:p>
    <w:p>
      <w:pPr>
        <w:spacing w:before="110" w:line="550" w:lineRule="exact"/>
        <w:ind w:firstLine="3940"/>
      </w:pPr>
      <w:r>
        <w:rPr>
          <w:position w:val="-10"/>
        </w:rPr>
        <w:drawing>
          <wp:inline distT="0" distB="0" distL="0" distR="0">
            <wp:extent cx="895354" cy="349246"/>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4"/>
                    <a:stretch>
                      <a:fillRect/>
                    </a:stretch>
                  </pic:blipFill>
                  <pic:spPr>
                    <a:xfrm>
                      <a:off x="0" y="0"/>
                      <a:ext cx="895354" cy="349246"/>
                    </a:xfrm>
                    <a:prstGeom prst="rect">
                      <a:avLst/>
                    </a:prstGeom>
                  </pic:spPr>
                </pic:pic>
              </a:graphicData>
            </a:graphic>
          </wp:inline>
        </w:drawing>
      </w:r>
    </w:p>
    <w:p>
      <w:pPr>
        <w:pStyle w:val="BodyText"/>
        <w:spacing w:before="188" w:line="236" w:lineRule="auto"/>
        <w:ind w:left="3630"/>
        <w:rPr>
          <w:rFonts w:ascii="Times New Roman" w:eastAsia="Times New Roman" w:hAnsi="Times New Roman" w:cs="Times New Roman"/>
          <w:sz w:val="22"/>
          <w:szCs w:val="22"/>
        </w:rPr>
      </w:pPr>
      <w:r>
        <w:rPr>
          <w:spacing w:val="-2"/>
          <w:sz w:val="22"/>
          <w:szCs w:val="22"/>
        </w:rPr>
        <w:t>△</w:t>
      </w:r>
      <w:r>
        <w:rPr>
          <w:rFonts w:ascii="Times New Roman" w:eastAsia="Times New Roman" w:hAnsi="Times New Roman" w:cs="Times New Roman"/>
          <w:spacing w:val="-2"/>
          <w:sz w:val="22"/>
          <w:szCs w:val="22"/>
        </w:rPr>
        <w:t>D=D-Dxo+Ds</w:t>
      </w:r>
    </w:p>
    <w:p>
      <w:pPr>
        <w:pStyle w:val="BodyText"/>
        <w:spacing w:before="79" w:line="261" w:lineRule="auto"/>
        <w:ind w:left="20" w:right="70" w:firstLine="529"/>
        <w:rPr>
          <w:sz w:val="22"/>
          <w:szCs w:val="22"/>
        </w:rPr>
      </w:pPr>
      <w:r>
        <w:rPr>
          <w:spacing w:val="21"/>
          <w:sz w:val="22"/>
          <w:szCs w:val="22"/>
        </w:rPr>
        <w:t>整体检定高压电容电桥介质损耗因数差值测量准确度时，电桥的测量误差按下式计</w:t>
      </w:r>
      <w:r>
        <w:rPr>
          <w:spacing w:val="12"/>
          <w:sz w:val="22"/>
          <w:szCs w:val="22"/>
        </w:rPr>
        <w:t xml:space="preserve"> </w:t>
      </w:r>
      <w:r>
        <w:rPr>
          <w:spacing w:val="-6"/>
          <w:sz w:val="22"/>
          <w:szCs w:val="22"/>
        </w:rPr>
        <w:t>算</w:t>
      </w:r>
      <w:r>
        <w:rPr>
          <w:spacing w:val="-49"/>
          <w:sz w:val="22"/>
          <w:szCs w:val="22"/>
        </w:rPr>
        <w:t xml:space="preserve"> </w:t>
      </w:r>
      <w:r>
        <w:rPr>
          <w:spacing w:val="-6"/>
          <w:sz w:val="22"/>
          <w:szCs w:val="22"/>
        </w:rPr>
        <w:t>：</w:t>
      </w:r>
    </w:p>
    <w:p>
      <w:pPr>
        <w:spacing w:before="110" w:line="540" w:lineRule="exact"/>
        <w:ind w:firstLine="3860"/>
      </w:pPr>
      <w:r>
        <w:rPr>
          <w:position w:val="-10"/>
        </w:rPr>
        <w:drawing>
          <wp:inline distT="0" distB="0" distL="0" distR="0">
            <wp:extent cx="1003286" cy="34293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5"/>
                    <a:stretch>
                      <a:fillRect/>
                    </a:stretch>
                  </pic:blipFill>
                  <pic:spPr>
                    <a:xfrm>
                      <a:off x="0" y="0"/>
                      <a:ext cx="1003286" cy="342937"/>
                    </a:xfrm>
                    <a:prstGeom prst="rect">
                      <a:avLst/>
                    </a:prstGeom>
                  </pic:spPr>
                </pic:pic>
              </a:graphicData>
            </a:graphic>
          </wp:inline>
        </w:drawing>
      </w:r>
    </w:p>
    <w:p>
      <w:pPr>
        <w:spacing w:before="160" w:line="540" w:lineRule="exact"/>
        <w:ind w:firstLine="3719"/>
      </w:pPr>
      <w:r>
        <w:rPr>
          <w:position w:val="-10"/>
        </w:rPr>
        <w:drawing>
          <wp:inline distT="0" distB="0" distL="0" distR="0">
            <wp:extent cx="1187476" cy="34293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6"/>
                    <a:stretch>
                      <a:fillRect/>
                    </a:stretch>
                  </pic:blipFill>
                  <pic:spPr>
                    <a:xfrm>
                      <a:off x="0" y="0"/>
                      <a:ext cx="1187476" cy="342937"/>
                    </a:xfrm>
                    <a:prstGeom prst="rect">
                      <a:avLst/>
                    </a:prstGeom>
                  </pic:spPr>
                </pic:pic>
              </a:graphicData>
            </a:graphic>
          </wp:inline>
        </w:drawing>
      </w:r>
    </w:p>
    <w:p>
      <w:pPr>
        <w:pStyle w:val="BodyText"/>
        <w:spacing w:before="159" w:line="219" w:lineRule="auto"/>
        <w:ind w:left="549"/>
        <w:rPr>
          <w:sz w:val="22"/>
          <w:szCs w:val="22"/>
        </w:rPr>
      </w:pPr>
      <w:r>
        <w:rPr>
          <w:spacing w:val="11"/>
          <w:sz w:val="22"/>
          <w:szCs w:val="22"/>
        </w:rPr>
        <w:t>各符号的意义为：</w:t>
      </w:r>
    </w:p>
    <w:p>
      <w:pPr>
        <w:pStyle w:val="BodyText"/>
        <w:spacing w:before="99" w:line="219" w:lineRule="auto"/>
        <w:ind w:left="1270"/>
        <w:rPr>
          <w:sz w:val="22"/>
          <w:szCs w:val="22"/>
        </w:rPr>
        <w:sectPr>
          <w:headerReference w:type="default" r:id="rId67"/>
          <w:footerReference w:type="default" r:id="rId68"/>
          <w:pgSz w:w="11820" w:h="16840"/>
          <w:pgMar w:top="1820" w:right="1059" w:bottom="1047" w:left="1449" w:header="1563" w:footer="909" w:gutter="0"/>
          <w:pgNumType w:start="13"/>
          <w:cols w:space="708"/>
        </w:sectPr>
      </w:pPr>
      <w:r>
        <w:rPr>
          <w:spacing w:val="11"/>
          <w:sz w:val="22"/>
          <w:szCs w:val="22"/>
        </w:rPr>
        <w:t>△</w:t>
      </w:r>
      <w:r>
        <w:rPr>
          <w:rFonts w:ascii="Times New Roman" w:eastAsia="Times New Roman" w:hAnsi="Times New Roman" w:cs="Times New Roman"/>
          <w:spacing w:val="11"/>
          <w:sz w:val="22"/>
          <w:szCs w:val="22"/>
        </w:rPr>
        <w:t>X——</w:t>
      </w:r>
      <w:r>
        <w:rPr>
          <w:spacing w:val="11"/>
          <w:sz w:val="22"/>
          <w:szCs w:val="22"/>
        </w:rPr>
        <w:t>电容比率绝对误差；</w:t>
      </w:r>
    </w:p>
    <w:p>
      <w:pPr>
        <w:pStyle w:val="BodyText"/>
        <w:spacing w:before="118" w:line="351" w:lineRule="exact"/>
        <w:ind w:left="1250"/>
        <w:rPr>
          <w:sz w:val="22"/>
          <w:szCs w:val="22"/>
        </w:rPr>
      </w:pPr>
      <w:r>
        <w:rPr>
          <w:spacing w:val="14"/>
          <w:position w:val="9"/>
          <w:sz w:val="22"/>
          <w:szCs w:val="22"/>
        </w:rPr>
        <w:t>△</w:t>
      </w:r>
      <w:r>
        <w:rPr>
          <w:rFonts w:ascii="Times New Roman" w:eastAsia="Times New Roman" w:hAnsi="Times New Roman" w:cs="Times New Roman"/>
          <w:spacing w:val="14"/>
          <w:position w:val="9"/>
          <w:sz w:val="22"/>
          <w:szCs w:val="22"/>
        </w:rPr>
        <w:t>D——</w:t>
      </w:r>
      <w:r>
        <w:rPr>
          <w:spacing w:val="14"/>
          <w:position w:val="9"/>
          <w:sz w:val="22"/>
          <w:szCs w:val="22"/>
        </w:rPr>
        <w:t>介质损耗因数差值绝对误差；</w:t>
      </w:r>
    </w:p>
    <w:p>
      <w:pPr>
        <w:pStyle w:val="BodyText"/>
        <w:spacing w:line="219" w:lineRule="auto"/>
        <w:ind w:left="1420"/>
        <w:rPr>
          <w:sz w:val="22"/>
          <w:szCs w:val="22"/>
        </w:rPr>
      </w:pPr>
      <w:r>
        <w:rPr>
          <w:spacing w:val="9"/>
          <w:sz w:val="22"/>
          <w:szCs w:val="22"/>
        </w:rPr>
        <w:t>X—— 电容比率示值；</w:t>
      </w:r>
    </w:p>
    <w:p>
      <w:pPr>
        <w:pStyle w:val="BodyText"/>
        <w:spacing w:before="108" w:line="219" w:lineRule="auto"/>
        <w:ind w:left="1429"/>
        <w:rPr>
          <w:sz w:val="22"/>
          <w:szCs w:val="22"/>
        </w:rPr>
      </w:pPr>
      <w:r>
        <w:rPr>
          <w:rFonts w:ascii="Arial" w:eastAsia="Arial" w:hAnsi="Arial" w:cs="Arial"/>
          <w:spacing w:val="8"/>
          <w:sz w:val="22"/>
          <w:szCs w:val="22"/>
        </w:rPr>
        <w:t>D</w:t>
      </w:r>
      <w:r>
        <w:rPr>
          <w:rFonts w:ascii="Arial" w:eastAsia="Arial" w:hAnsi="Arial" w:cs="Arial"/>
          <w:spacing w:val="-25"/>
          <w:sz w:val="22"/>
          <w:szCs w:val="22"/>
        </w:rPr>
        <w:t xml:space="preserve"> </w:t>
      </w:r>
      <w:r>
        <w:rPr>
          <w:rFonts w:ascii="Arial" w:eastAsia="Arial" w:hAnsi="Arial" w:cs="Arial"/>
          <w:spacing w:val="8"/>
          <w:sz w:val="22"/>
          <w:szCs w:val="22"/>
          <w:u w:val="single" w:color="auto"/>
        </w:rPr>
        <w:t xml:space="preserve">       </w:t>
      </w:r>
      <w:r>
        <w:rPr>
          <w:spacing w:val="8"/>
          <w:sz w:val="22"/>
          <w:szCs w:val="22"/>
        </w:rPr>
        <w:t>介质损耗因数示值；</w:t>
      </w:r>
    </w:p>
    <w:p>
      <w:pPr>
        <w:pStyle w:val="BodyText"/>
        <w:spacing w:before="116" w:line="212" w:lineRule="auto"/>
        <w:ind w:left="810"/>
        <w:rPr>
          <w:sz w:val="22"/>
          <w:szCs w:val="22"/>
        </w:rPr>
      </w:pPr>
      <w:r>
        <w:rPr>
          <w:rFonts w:ascii="Times New Roman" w:eastAsia="Times New Roman" w:hAnsi="Times New Roman" w:cs="Times New Roman"/>
          <w:spacing w:val="11"/>
          <w:sz w:val="22"/>
          <w:szCs w:val="22"/>
        </w:rPr>
        <w:t>C₁,</w:t>
      </w:r>
      <w:r>
        <w:rPr>
          <w:rFonts w:ascii="Times New Roman" w:eastAsia="Times New Roman" w:hAnsi="Times New Roman" w:cs="Times New Roman"/>
          <w:sz w:val="22"/>
          <w:szCs w:val="22"/>
        </w:rPr>
        <w:t>Dx</w:t>
      </w:r>
      <w:r>
        <w:rPr>
          <w:rFonts w:ascii="Times New Roman" w:eastAsia="Times New Roman" w:hAnsi="Times New Roman" w:cs="Times New Roman"/>
          <w:spacing w:val="11"/>
          <w:sz w:val="22"/>
          <w:szCs w:val="22"/>
        </w:rPr>
        <w:t xml:space="preserve">——    </w:t>
      </w:r>
      <w:r>
        <w:rPr>
          <w:spacing w:val="11"/>
          <w:sz w:val="22"/>
          <w:szCs w:val="22"/>
        </w:rPr>
        <w:t>接 在</w:t>
      </w:r>
      <w:r>
        <w:rPr>
          <w:spacing w:val="-51"/>
          <w:sz w:val="22"/>
          <w:szCs w:val="22"/>
        </w:rPr>
        <w:t xml:space="preserve"> </w:t>
      </w:r>
      <w:r>
        <w:rPr>
          <w:rFonts w:ascii="Times New Roman" w:eastAsia="Times New Roman" w:hAnsi="Times New Roman" w:cs="Times New Roman"/>
          <w:spacing w:val="11"/>
          <w:sz w:val="22"/>
          <w:szCs w:val="22"/>
        </w:rPr>
        <w:t xml:space="preserve">C,  </w:t>
      </w:r>
      <w:r>
        <w:rPr>
          <w:spacing w:val="11"/>
          <w:sz w:val="22"/>
          <w:szCs w:val="22"/>
        </w:rPr>
        <w:t>端钮上的电容与介质损耗因数值；</w:t>
      </w:r>
    </w:p>
    <w:p>
      <w:pPr>
        <w:spacing w:line="212" w:lineRule="auto"/>
        <w:rPr>
          <w:sz w:val="22"/>
          <w:szCs w:val="22"/>
        </w:rPr>
        <w:sectPr>
          <w:headerReference w:type="default" r:id="rId69"/>
          <w:footerReference w:type="default" r:id="rId70"/>
          <w:type w:val="nextPage"/>
          <w:pgSz w:w="11820" w:h="16840"/>
          <w:pgMar w:top="1820" w:right="1059" w:bottom="1047" w:left="1449" w:header="1563" w:footer="909" w:gutter="0"/>
          <w:pgNumType w:start="14"/>
          <w:cols w:space="708"/>
          <w:titlePg w:val="0"/>
        </w:sectPr>
      </w:pPr>
    </w:p>
    <w:p>
      <w:pPr>
        <w:spacing w:line="200" w:lineRule="exact"/>
      </w:pPr>
    </w:p>
    <w:p>
      <w:pPr>
        <w:spacing w:line="200" w:lineRule="exact"/>
        <w:sectPr>
          <w:headerReference w:type="default" r:id="rId71"/>
          <w:footerReference w:type="default" r:id="rId72"/>
          <w:pgSz w:w="11820" w:h="16820"/>
          <w:pgMar w:top="1800" w:right="1510" w:bottom="1065" w:left="1090" w:header="1488" w:footer="916" w:gutter="0"/>
          <w:pgNumType w:start="15"/>
          <w:cols w:num="1" w:space="708" w:equalWidth="0">
            <w:col w:w="9220" w:space="0"/>
          </w:cols>
        </w:sectPr>
      </w:pPr>
    </w:p>
    <w:p>
      <w:pPr>
        <w:spacing w:before="81" w:line="349" w:lineRule="exact"/>
        <w:ind w:left="789"/>
        <w:rPr>
          <w:rFonts w:ascii="Times New Roman" w:eastAsia="Times New Roman" w:hAnsi="Times New Roman" w:cs="Times New Roman"/>
          <w:sz w:val="22"/>
          <w:szCs w:val="22"/>
        </w:rPr>
      </w:pPr>
      <w:r>
        <w:rPr>
          <w:rFonts w:ascii="Times New Roman" w:eastAsia="Times New Roman" w:hAnsi="Times New Roman" w:cs="Times New Roman"/>
          <w:spacing w:val="-1"/>
          <w:position w:val="13"/>
          <w:sz w:val="22"/>
          <w:szCs w:val="22"/>
        </w:rPr>
        <w:t>Cs,D₅——</w:t>
      </w:r>
    </w:p>
    <w:p>
      <w:pPr>
        <w:spacing w:line="188" w:lineRule="auto"/>
        <w:ind w:left="59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C,D—</w:t>
      </w:r>
    </w:p>
    <w:p>
      <w:pPr>
        <w:spacing w:before="202" w:line="178" w:lineRule="auto"/>
        <w:ind w:left="63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Co,D₀——</w:t>
      </w:r>
    </w:p>
    <w:p>
      <w:pPr>
        <w:spacing w:line="14" w:lineRule="auto"/>
        <w:rPr>
          <w:rFonts w:ascii="Arial"/>
          <w:sz w:val="2"/>
        </w:rPr>
      </w:pPr>
      <w:r>
        <w:rPr>
          <w:rFonts w:ascii="Arial" w:eastAsia="Arial" w:hAnsi="Arial" w:cs="Arial"/>
          <w:sz w:val="2"/>
          <w:szCs w:val="2"/>
        </w:rPr>
        <w:br w:type="column"/>
      </w:r>
    </w:p>
    <w:p>
      <w:pPr>
        <w:pStyle w:val="BodyText"/>
        <w:spacing w:before="42" w:line="219" w:lineRule="auto"/>
        <w:rPr>
          <w:sz w:val="22"/>
          <w:szCs w:val="22"/>
        </w:rPr>
      </w:pPr>
      <w:r>
        <w:rPr>
          <w:spacing w:val="14"/>
          <w:sz w:val="22"/>
          <w:szCs w:val="22"/>
        </w:rPr>
        <w:t xml:space="preserve">接在 </w:t>
      </w:r>
      <w:r>
        <w:rPr>
          <w:rFonts w:ascii="Times New Roman" w:eastAsia="Times New Roman" w:hAnsi="Times New Roman" w:cs="Times New Roman"/>
          <w:sz w:val="22"/>
          <w:szCs w:val="22"/>
        </w:rPr>
        <w:t>Cs</w:t>
      </w:r>
      <w:r>
        <w:rPr>
          <w:rFonts w:ascii="Times New Roman" w:eastAsia="Times New Roman" w:hAnsi="Times New Roman" w:cs="Times New Roman"/>
          <w:spacing w:val="14"/>
          <w:sz w:val="22"/>
          <w:szCs w:val="22"/>
        </w:rPr>
        <w:t xml:space="preserve"> </w:t>
      </w:r>
      <w:r>
        <w:rPr>
          <w:spacing w:val="14"/>
          <w:sz w:val="22"/>
          <w:szCs w:val="22"/>
        </w:rPr>
        <w:t>端钮上的电容与介质损耗因数值：</w:t>
      </w:r>
    </w:p>
    <w:p>
      <w:pPr>
        <w:pStyle w:val="BodyText"/>
        <w:spacing w:before="88" w:line="401" w:lineRule="exact"/>
        <w:rPr>
          <w:sz w:val="22"/>
          <w:szCs w:val="22"/>
        </w:rPr>
      </w:pPr>
      <w:r>
        <w:rPr>
          <w:spacing w:val="17"/>
          <w:position w:val="14"/>
          <w:sz w:val="22"/>
          <w:szCs w:val="22"/>
        </w:rPr>
        <w:t xml:space="preserve">接在 </w:t>
      </w:r>
      <w:r>
        <w:rPr>
          <w:rFonts w:ascii="Times New Roman" w:eastAsia="Times New Roman" w:hAnsi="Times New Roman" w:cs="Times New Roman"/>
          <w:position w:val="14"/>
          <w:sz w:val="22"/>
          <w:szCs w:val="22"/>
        </w:rPr>
        <w:t>Cg</w:t>
      </w:r>
      <w:r>
        <w:rPr>
          <w:rFonts w:ascii="Times New Roman" w:eastAsia="Times New Roman" w:hAnsi="Times New Roman" w:cs="Times New Roman"/>
          <w:spacing w:val="-6"/>
          <w:position w:val="14"/>
          <w:sz w:val="22"/>
          <w:szCs w:val="22"/>
        </w:rPr>
        <w:t xml:space="preserve"> </w:t>
      </w:r>
      <w:r>
        <w:rPr>
          <w:spacing w:val="17"/>
          <w:position w:val="14"/>
          <w:sz w:val="22"/>
          <w:szCs w:val="22"/>
        </w:rPr>
        <w:t>端钮的等效电容与介质损耗因数值；</w:t>
      </w:r>
    </w:p>
    <w:p>
      <w:pPr>
        <w:pStyle w:val="BodyText"/>
        <w:spacing w:line="189" w:lineRule="auto"/>
        <w:rPr>
          <w:sz w:val="22"/>
          <w:szCs w:val="22"/>
        </w:rPr>
      </w:pPr>
      <w:r>
        <w:rPr>
          <w:spacing w:val="17"/>
          <w:sz w:val="22"/>
          <w:szCs w:val="22"/>
        </w:rPr>
        <w:t xml:space="preserve">接在 </w:t>
      </w:r>
      <w:r>
        <w:rPr>
          <w:rFonts w:ascii="Times New Roman" w:eastAsia="Times New Roman" w:hAnsi="Times New Roman" w:cs="Times New Roman"/>
          <w:sz w:val="22"/>
          <w:szCs w:val="22"/>
        </w:rPr>
        <w:t>Cs</w:t>
      </w:r>
      <w:r>
        <w:rPr>
          <w:rFonts w:ascii="Times New Roman" w:eastAsia="Times New Roman" w:hAnsi="Times New Roman" w:cs="Times New Roman"/>
          <w:spacing w:val="17"/>
          <w:sz w:val="22"/>
          <w:szCs w:val="22"/>
        </w:rPr>
        <w:t xml:space="preserve"> </w:t>
      </w:r>
      <w:r>
        <w:rPr>
          <w:spacing w:val="17"/>
          <w:sz w:val="22"/>
          <w:szCs w:val="22"/>
        </w:rPr>
        <w:t>端钮的等效电容与介质损耗因数值；</w:t>
      </w:r>
    </w:p>
    <w:p>
      <w:pPr>
        <w:spacing w:line="189" w:lineRule="auto"/>
        <w:rPr>
          <w:sz w:val="22"/>
          <w:szCs w:val="22"/>
        </w:rPr>
        <w:sectPr>
          <w:headerReference w:type="default" r:id="rId73"/>
          <w:footerReference w:type="default" r:id="rId74"/>
          <w:type w:val="continuous"/>
          <w:pgSz w:w="11820" w:h="16820"/>
          <w:pgMar w:top="1800" w:right="1510" w:bottom="1065" w:left="1090" w:header="1488" w:footer="916" w:gutter="0"/>
          <w:pgNumType w:start="16"/>
          <w:cols w:num="2" w:space="708" w:equalWidth="0">
            <w:col w:w="1970" w:space="100"/>
            <w:col w:w="7151" w:space="0"/>
          </w:cols>
        </w:sectPr>
      </w:pPr>
    </w:p>
    <w:p>
      <w:pPr>
        <w:pStyle w:val="BodyText"/>
        <w:spacing w:before="177" w:line="219" w:lineRule="auto"/>
        <w:ind w:left="1329"/>
        <w:rPr>
          <w:sz w:val="22"/>
          <w:szCs w:val="22"/>
        </w:rPr>
      </w:pPr>
      <w:r>
        <w:rPr>
          <w:rFonts w:ascii="Times New Roman" w:eastAsia="Times New Roman" w:hAnsi="Times New Roman" w:cs="Times New Roman"/>
          <w:spacing w:val="12"/>
          <w:sz w:val="22"/>
          <w:szCs w:val="22"/>
        </w:rPr>
        <w:t>D₀——</w:t>
      </w:r>
      <w:r>
        <w:rPr>
          <w:rFonts w:ascii="Times New Roman" w:eastAsia="Times New Roman" w:hAnsi="Times New Roman" w:cs="Times New Roman"/>
          <w:spacing w:val="41"/>
          <w:sz w:val="22"/>
          <w:szCs w:val="22"/>
        </w:rPr>
        <w:t xml:space="preserve"> </w:t>
      </w:r>
      <w:r>
        <w:rPr>
          <w:spacing w:val="12"/>
          <w:sz w:val="22"/>
          <w:szCs w:val="22"/>
        </w:rPr>
        <w:t>介质损耗因数零位值；</w:t>
      </w:r>
    </w:p>
    <w:p>
      <w:pPr>
        <w:pStyle w:val="BodyText"/>
        <w:spacing w:before="135" w:line="370" w:lineRule="exact"/>
        <w:ind w:left="1329"/>
        <w:rPr>
          <w:sz w:val="22"/>
          <w:szCs w:val="22"/>
        </w:rPr>
      </w:pPr>
      <w:r>
        <w:rPr>
          <w:rFonts w:ascii="Times New Roman" w:eastAsia="Times New Roman" w:hAnsi="Times New Roman" w:cs="Times New Roman"/>
          <w:spacing w:val="18"/>
          <w:position w:val="11"/>
          <w:sz w:val="22"/>
          <w:szCs w:val="22"/>
        </w:rPr>
        <w:t>K,——</w:t>
      </w:r>
      <w:r>
        <w:rPr>
          <w:rFonts w:ascii="Times New Roman" w:eastAsia="Times New Roman" w:hAnsi="Times New Roman" w:cs="Times New Roman"/>
          <w:spacing w:val="32"/>
          <w:position w:val="11"/>
          <w:sz w:val="22"/>
          <w:szCs w:val="22"/>
        </w:rPr>
        <w:t xml:space="preserve"> </w:t>
      </w:r>
      <w:r>
        <w:rPr>
          <w:spacing w:val="18"/>
          <w:position w:val="11"/>
          <w:sz w:val="22"/>
          <w:szCs w:val="22"/>
        </w:rPr>
        <w:t>修正系数，参照表5选取；</w:t>
      </w:r>
    </w:p>
    <w:p>
      <w:pPr>
        <w:pStyle w:val="BodyText"/>
        <w:spacing w:before="1" w:line="212" w:lineRule="auto"/>
        <w:ind w:left="1329"/>
        <w:rPr>
          <w:sz w:val="22"/>
          <w:szCs w:val="22"/>
        </w:rPr>
      </w:pPr>
      <w:r>
        <w:rPr>
          <w:rFonts w:ascii="Times New Roman" w:eastAsia="Times New Roman" w:hAnsi="Times New Roman" w:cs="Times New Roman"/>
          <w:spacing w:val="20"/>
          <w:sz w:val="22"/>
          <w:szCs w:val="22"/>
        </w:rPr>
        <w:t xml:space="preserve">K,—— </w:t>
      </w:r>
      <w:r>
        <w:rPr>
          <w:spacing w:val="20"/>
          <w:sz w:val="22"/>
          <w:szCs w:val="22"/>
        </w:rPr>
        <w:t>修正系数，参照表6选取。</w:t>
      </w:r>
    </w:p>
    <w:p>
      <w:pPr>
        <w:pStyle w:val="BodyText"/>
        <w:spacing w:before="132" w:line="264" w:lineRule="auto"/>
        <w:ind w:left="9" w:right="32"/>
        <w:rPr>
          <w:sz w:val="22"/>
          <w:szCs w:val="22"/>
        </w:rPr>
      </w:pPr>
      <w:r>
        <w:rPr>
          <w:spacing w:val="21"/>
          <w:sz w:val="22"/>
          <w:szCs w:val="22"/>
        </w:rPr>
        <w:t>5.4.2</w:t>
      </w:r>
      <w:r>
        <w:rPr>
          <w:spacing w:val="11"/>
          <w:sz w:val="22"/>
          <w:szCs w:val="22"/>
        </w:rPr>
        <w:t xml:space="preserve">  </w:t>
      </w:r>
      <w:r>
        <w:rPr>
          <w:spacing w:val="21"/>
          <w:sz w:val="22"/>
          <w:szCs w:val="22"/>
        </w:rPr>
        <w:t>被检电桥的受检量程按5.3.4条规定所选测量点的误差，均不超过3.3条规定的</w:t>
      </w:r>
      <w:r>
        <w:rPr>
          <w:spacing w:val="1"/>
          <w:sz w:val="22"/>
          <w:szCs w:val="22"/>
        </w:rPr>
        <w:t xml:space="preserve"> </w:t>
      </w:r>
      <w:r>
        <w:rPr>
          <w:spacing w:val="20"/>
          <w:sz w:val="22"/>
          <w:szCs w:val="22"/>
        </w:rPr>
        <w:t>基本误差范围，则该量程检定合格，否则为不合格。</w:t>
      </w:r>
    </w:p>
    <w:p>
      <w:pPr>
        <w:pStyle w:val="BodyText"/>
        <w:spacing w:before="100" w:line="219" w:lineRule="auto"/>
        <w:ind w:left="13"/>
        <w:rPr>
          <w:sz w:val="22"/>
          <w:szCs w:val="22"/>
        </w:rPr>
      </w:pPr>
      <w:r>
        <w:rPr>
          <w:b/>
          <w:bCs/>
          <w:spacing w:val="15"/>
          <w:sz w:val="22"/>
          <w:szCs w:val="22"/>
        </w:rPr>
        <w:t>5.4.3</w:t>
      </w:r>
      <w:r>
        <w:rPr>
          <w:spacing w:val="15"/>
          <w:sz w:val="22"/>
          <w:szCs w:val="22"/>
        </w:rPr>
        <w:t xml:space="preserve">  不合格量程按实际误差确定准确度级别。</w:t>
      </w:r>
    </w:p>
    <w:p>
      <w:pPr>
        <w:pStyle w:val="BodyText"/>
        <w:spacing w:before="88" w:line="219" w:lineRule="auto"/>
        <w:ind w:left="13"/>
        <w:rPr>
          <w:sz w:val="22"/>
          <w:szCs w:val="22"/>
        </w:rPr>
      </w:pPr>
      <w:r>
        <w:rPr>
          <w:b/>
          <w:bCs/>
          <w:spacing w:val="20"/>
          <w:sz w:val="22"/>
          <w:szCs w:val="22"/>
        </w:rPr>
        <w:t>5.4.4</w:t>
      </w:r>
      <w:r>
        <w:rPr>
          <w:spacing w:val="10"/>
          <w:sz w:val="22"/>
          <w:szCs w:val="22"/>
        </w:rPr>
        <w:t xml:space="preserve">  </w:t>
      </w:r>
      <w:r>
        <w:rPr>
          <w:spacing w:val="20"/>
          <w:sz w:val="22"/>
          <w:szCs w:val="22"/>
        </w:rPr>
        <w:t>受检电桥按表2检定项目试验合格，而且基本量程检定合格，可发</w:t>
      </w:r>
      <w:r>
        <w:rPr>
          <w:spacing w:val="19"/>
          <w:sz w:val="22"/>
          <w:szCs w:val="22"/>
        </w:rPr>
        <w:t>给检定证书。</w:t>
      </w:r>
    </w:p>
    <w:p>
      <w:pPr>
        <w:pStyle w:val="BodyText"/>
        <w:spacing w:before="109" w:line="219" w:lineRule="auto"/>
        <w:ind w:left="13"/>
        <w:rPr>
          <w:sz w:val="22"/>
          <w:szCs w:val="22"/>
        </w:rPr>
      </w:pPr>
      <w:r>
        <w:rPr>
          <w:b/>
          <w:bCs/>
          <w:spacing w:val="16"/>
          <w:sz w:val="22"/>
          <w:szCs w:val="22"/>
        </w:rPr>
        <w:t>5.4.5</w:t>
      </w:r>
      <w:r>
        <w:rPr>
          <w:spacing w:val="16"/>
          <w:sz w:val="22"/>
          <w:szCs w:val="22"/>
        </w:rPr>
        <w:t xml:space="preserve">  检定证书应给出各个受检量程检定结果和实际准确度等级。</w:t>
      </w:r>
    </w:p>
    <w:p>
      <w:pPr>
        <w:pStyle w:val="BodyText"/>
        <w:spacing w:before="90" w:line="269" w:lineRule="auto"/>
        <w:ind w:left="9" w:right="38" w:firstLine="3"/>
        <w:rPr>
          <w:sz w:val="22"/>
          <w:szCs w:val="22"/>
        </w:rPr>
      </w:pPr>
      <w:r>
        <w:rPr>
          <w:b/>
          <w:bCs/>
          <w:spacing w:val="23"/>
          <w:sz w:val="22"/>
          <w:szCs w:val="22"/>
        </w:rPr>
        <w:t>5.4.6</w:t>
      </w:r>
      <w:r>
        <w:rPr>
          <w:spacing w:val="10"/>
          <w:sz w:val="22"/>
          <w:szCs w:val="22"/>
        </w:rPr>
        <w:t xml:space="preserve">  </w:t>
      </w:r>
      <w:r>
        <w:rPr>
          <w:spacing w:val="23"/>
          <w:sz w:val="22"/>
          <w:szCs w:val="22"/>
        </w:rPr>
        <w:t>基本量程检定不合格，应当进行修理调校。经修理</w:t>
      </w:r>
      <w:r>
        <w:rPr>
          <w:spacing w:val="22"/>
          <w:sz w:val="22"/>
          <w:szCs w:val="22"/>
        </w:rPr>
        <w:t>调校后检定仍不合格，但降</w:t>
      </w:r>
      <w:r>
        <w:rPr>
          <w:sz w:val="22"/>
          <w:szCs w:val="22"/>
        </w:rPr>
        <w:t xml:space="preserve"> </w:t>
      </w:r>
      <w:r>
        <w:rPr>
          <w:spacing w:val="21"/>
          <w:sz w:val="22"/>
          <w:szCs w:val="22"/>
        </w:rPr>
        <w:t>级后能符合该级全部技术要求，允许降到该级使用，并发给该级的检定证书。在证书上</w:t>
      </w:r>
      <w:r>
        <w:rPr>
          <w:spacing w:val="10"/>
          <w:sz w:val="22"/>
          <w:szCs w:val="22"/>
        </w:rPr>
        <w:t xml:space="preserve"> </w:t>
      </w:r>
      <w:r>
        <w:rPr>
          <w:spacing w:val="13"/>
          <w:sz w:val="22"/>
          <w:szCs w:val="22"/>
        </w:rPr>
        <w:t>应注明降级情况。</w:t>
      </w:r>
    </w:p>
    <w:p>
      <w:pPr>
        <w:pStyle w:val="BodyText"/>
        <w:spacing w:before="119" w:line="219" w:lineRule="auto"/>
        <w:ind w:left="9"/>
        <w:rPr>
          <w:sz w:val="22"/>
          <w:szCs w:val="22"/>
        </w:rPr>
      </w:pPr>
      <w:r>
        <w:rPr>
          <w:spacing w:val="7"/>
          <w:sz w:val="22"/>
          <w:szCs w:val="22"/>
        </w:rPr>
        <w:t>5.5</w:t>
      </w:r>
      <w:r>
        <w:rPr>
          <w:spacing w:val="12"/>
          <w:sz w:val="22"/>
          <w:szCs w:val="22"/>
        </w:rPr>
        <w:t xml:space="preserve">  </w:t>
      </w:r>
      <w:r>
        <w:rPr>
          <w:spacing w:val="7"/>
          <w:sz w:val="22"/>
          <w:szCs w:val="22"/>
        </w:rPr>
        <w:t>检定周期</w:t>
      </w:r>
    </w:p>
    <w:p>
      <w:pPr>
        <w:pStyle w:val="BodyText"/>
        <w:spacing w:before="88" w:line="263" w:lineRule="auto"/>
        <w:ind w:left="9" w:right="39" w:firstLine="520"/>
        <w:jc w:val="both"/>
        <w:rPr>
          <w:sz w:val="22"/>
          <w:szCs w:val="22"/>
        </w:rPr>
      </w:pPr>
      <w:r>
        <w:rPr>
          <w:spacing w:val="23"/>
          <w:sz w:val="22"/>
          <w:szCs w:val="22"/>
        </w:rPr>
        <w:t>西林型和电流比较仪型高压电容电桥的检定周期一般不得超过2年。电子式和数字</w:t>
      </w:r>
      <w:r>
        <w:rPr>
          <w:spacing w:val="11"/>
          <w:sz w:val="22"/>
          <w:szCs w:val="22"/>
        </w:rPr>
        <w:t xml:space="preserve"> </w:t>
      </w:r>
      <w:r>
        <w:rPr>
          <w:spacing w:val="23"/>
          <w:sz w:val="22"/>
          <w:szCs w:val="22"/>
        </w:rPr>
        <w:t>式高压电容电桥的检定周期一般不得超过1</w:t>
      </w:r>
      <w:r>
        <w:rPr>
          <w:spacing w:val="-62"/>
          <w:sz w:val="22"/>
          <w:szCs w:val="22"/>
        </w:rPr>
        <w:t xml:space="preserve"> </w:t>
      </w:r>
      <w:r>
        <w:rPr>
          <w:spacing w:val="23"/>
          <w:sz w:val="22"/>
          <w:szCs w:val="22"/>
        </w:rPr>
        <w:t>年。使用频繁的高压电容电桥，应当</w:t>
      </w:r>
      <w:r>
        <w:rPr>
          <w:spacing w:val="22"/>
          <w:sz w:val="22"/>
          <w:szCs w:val="22"/>
        </w:rPr>
        <w:t>适当缩</w:t>
      </w:r>
      <w:r>
        <w:rPr>
          <w:sz w:val="22"/>
          <w:szCs w:val="22"/>
        </w:rPr>
        <w:t xml:space="preserve"> </w:t>
      </w:r>
      <w:r>
        <w:rPr>
          <w:spacing w:val="11"/>
          <w:sz w:val="22"/>
          <w:szCs w:val="22"/>
        </w:rPr>
        <w:t>短检定周期。</w:t>
      </w:r>
    </w:p>
    <w:p>
      <w:pPr>
        <w:spacing w:line="263" w:lineRule="auto"/>
        <w:rPr>
          <w:sz w:val="22"/>
          <w:szCs w:val="22"/>
        </w:rPr>
        <w:sectPr>
          <w:headerReference w:type="default" r:id="rId75"/>
          <w:footerReference w:type="default" r:id="rId76"/>
          <w:type w:val="continuous"/>
          <w:pgSz w:w="11820" w:h="16820"/>
          <w:pgMar w:top="1800" w:right="1510" w:bottom="1065" w:left="1090" w:header="1488" w:footer="916" w:gutter="0"/>
          <w:pgNumType w:start="17"/>
          <w:cols w:num="1" w:space="708" w:equalWidth="0">
            <w:col w:w="9220" w:space="0"/>
          </w:cols>
        </w:sectPr>
      </w:pPr>
    </w:p>
    <w:p>
      <w:pPr>
        <w:pStyle w:val="BodyText"/>
        <w:spacing w:before="228" w:line="222" w:lineRule="auto"/>
        <w:ind w:left="39"/>
        <w:rPr>
          <w:sz w:val="25"/>
          <w:szCs w:val="25"/>
        </w:rPr>
      </w:pPr>
      <w:r>
        <w:rPr>
          <w:rFonts w:ascii="SimHei" w:eastAsia="SimHei" w:hAnsi="SimHei" w:cs="SimHei"/>
          <w:spacing w:val="10"/>
          <w:sz w:val="25"/>
          <w:szCs w:val="25"/>
        </w:rPr>
        <w:t>附录</w:t>
      </w:r>
      <w:r>
        <w:rPr>
          <w:rFonts w:ascii="SimHei" w:eastAsia="SimHei" w:hAnsi="SimHei" w:cs="SimHei"/>
          <w:spacing w:val="-46"/>
          <w:sz w:val="25"/>
          <w:szCs w:val="25"/>
        </w:rPr>
        <w:t xml:space="preserve"> </w:t>
      </w:r>
      <w:r>
        <w:rPr>
          <w:spacing w:val="10"/>
          <w:sz w:val="25"/>
          <w:szCs w:val="25"/>
        </w:rPr>
        <w:t>A</w:t>
      </w:r>
    </w:p>
    <w:p>
      <w:pPr>
        <w:spacing w:line="403" w:lineRule="auto"/>
        <w:rPr>
          <w:rFonts w:ascii="Arial"/>
          <w:sz w:val="21"/>
        </w:rPr>
      </w:pPr>
    </w:p>
    <w:p>
      <w:pPr>
        <w:spacing w:before="72" w:line="221" w:lineRule="auto"/>
        <w:ind w:left="1839"/>
        <w:rPr>
          <w:rFonts w:ascii="SimHei" w:eastAsia="SimHei" w:hAnsi="SimHei" w:cs="SimHei"/>
          <w:sz w:val="22"/>
          <w:szCs w:val="22"/>
        </w:rPr>
      </w:pPr>
      <w:r>
        <w:rPr>
          <w:rFonts w:ascii="SimHei" w:eastAsia="SimHei" w:hAnsi="SimHei" w:cs="SimHei"/>
          <w:spacing w:val="-12"/>
          <w:sz w:val="22"/>
          <w:szCs w:val="22"/>
        </w:rPr>
        <w:t>等</w:t>
      </w:r>
      <w:r>
        <w:rPr>
          <w:rFonts w:ascii="SimHei" w:eastAsia="SimHei" w:hAnsi="SimHei" w:cs="SimHei"/>
          <w:spacing w:val="-34"/>
          <w:sz w:val="22"/>
          <w:szCs w:val="22"/>
        </w:rPr>
        <w:t xml:space="preserve"> </w:t>
      </w:r>
      <w:r>
        <w:rPr>
          <w:rFonts w:ascii="SimHei" w:eastAsia="SimHei" w:hAnsi="SimHei" w:cs="SimHei"/>
          <w:spacing w:val="-12"/>
          <w:sz w:val="22"/>
          <w:szCs w:val="22"/>
        </w:rPr>
        <w:t>功</w:t>
      </w:r>
      <w:r>
        <w:rPr>
          <w:rFonts w:ascii="SimHei" w:eastAsia="SimHei" w:hAnsi="SimHei" w:cs="SimHei"/>
          <w:spacing w:val="-37"/>
          <w:sz w:val="22"/>
          <w:szCs w:val="22"/>
        </w:rPr>
        <w:t xml:space="preserve"> </w:t>
      </w:r>
      <w:r>
        <w:rPr>
          <w:rFonts w:ascii="SimHei" w:eastAsia="SimHei" w:hAnsi="SimHei" w:cs="SimHei"/>
          <w:spacing w:val="-12"/>
          <w:sz w:val="22"/>
          <w:szCs w:val="22"/>
        </w:rPr>
        <w:t>率</w:t>
      </w:r>
      <w:r>
        <w:rPr>
          <w:rFonts w:ascii="SimHei" w:eastAsia="SimHei" w:hAnsi="SimHei" w:cs="SimHei"/>
          <w:spacing w:val="-25"/>
          <w:sz w:val="22"/>
          <w:szCs w:val="22"/>
        </w:rPr>
        <w:t xml:space="preserve"> </w:t>
      </w:r>
      <w:r>
        <w:rPr>
          <w:rFonts w:ascii="SimHei" w:eastAsia="SimHei" w:hAnsi="SimHei" w:cs="SimHei"/>
          <w:spacing w:val="-12"/>
          <w:sz w:val="22"/>
          <w:szCs w:val="22"/>
        </w:rPr>
        <w:t>电</w:t>
      </w:r>
      <w:r>
        <w:rPr>
          <w:rFonts w:ascii="SimHei" w:eastAsia="SimHei" w:hAnsi="SimHei" w:cs="SimHei"/>
          <w:spacing w:val="-39"/>
          <w:sz w:val="22"/>
          <w:szCs w:val="22"/>
        </w:rPr>
        <w:t xml:space="preserve"> </w:t>
      </w:r>
      <w:r>
        <w:rPr>
          <w:rFonts w:ascii="SimHei" w:eastAsia="SimHei" w:hAnsi="SimHei" w:cs="SimHei"/>
          <w:spacing w:val="-12"/>
          <w:sz w:val="22"/>
          <w:szCs w:val="22"/>
        </w:rPr>
        <w:t>桥</w:t>
      </w:r>
      <w:r>
        <w:rPr>
          <w:rFonts w:ascii="SimHei" w:eastAsia="SimHei" w:hAnsi="SimHei" w:cs="SimHei"/>
          <w:spacing w:val="-37"/>
          <w:sz w:val="22"/>
          <w:szCs w:val="22"/>
        </w:rPr>
        <w:t xml:space="preserve"> </w:t>
      </w:r>
      <w:r>
        <w:rPr>
          <w:rFonts w:ascii="SimHei" w:eastAsia="SimHei" w:hAnsi="SimHei" w:cs="SimHei"/>
          <w:spacing w:val="-12"/>
          <w:sz w:val="22"/>
          <w:szCs w:val="22"/>
        </w:rPr>
        <w:t>法</w:t>
      </w:r>
      <w:r>
        <w:rPr>
          <w:rFonts w:ascii="SimHei" w:eastAsia="SimHei" w:hAnsi="SimHei" w:cs="SimHei"/>
          <w:spacing w:val="-42"/>
          <w:sz w:val="22"/>
          <w:szCs w:val="22"/>
        </w:rPr>
        <w:t xml:space="preserve"> </w:t>
      </w:r>
      <w:r>
        <w:rPr>
          <w:rFonts w:ascii="SimHei" w:eastAsia="SimHei" w:hAnsi="SimHei" w:cs="SimHei"/>
          <w:spacing w:val="-12"/>
          <w:sz w:val="22"/>
          <w:szCs w:val="22"/>
        </w:rPr>
        <w:t>检</w:t>
      </w:r>
      <w:r>
        <w:rPr>
          <w:rFonts w:ascii="SimHei" w:eastAsia="SimHei" w:hAnsi="SimHei" w:cs="SimHei"/>
          <w:spacing w:val="-42"/>
          <w:sz w:val="22"/>
          <w:szCs w:val="22"/>
        </w:rPr>
        <w:t xml:space="preserve"> </w:t>
      </w:r>
      <w:r>
        <w:rPr>
          <w:rFonts w:ascii="SimHei" w:eastAsia="SimHei" w:hAnsi="SimHei" w:cs="SimHei"/>
          <w:spacing w:val="-12"/>
          <w:sz w:val="22"/>
          <w:szCs w:val="22"/>
        </w:rPr>
        <w:t>定</w:t>
      </w:r>
      <w:r>
        <w:rPr>
          <w:rFonts w:ascii="SimHei" w:eastAsia="SimHei" w:hAnsi="SimHei" w:cs="SimHei"/>
          <w:spacing w:val="-33"/>
          <w:sz w:val="22"/>
          <w:szCs w:val="22"/>
        </w:rPr>
        <w:t xml:space="preserve"> </w:t>
      </w:r>
      <w:r>
        <w:rPr>
          <w:rFonts w:ascii="SimHei" w:eastAsia="SimHei" w:hAnsi="SimHei" w:cs="SimHei"/>
          <w:spacing w:val="-12"/>
          <w:sz w:val="22"/>
          <w:szCs w:val="22"/>
        </w:rPr>
        <w:t>高</w:t>
      </w:r>
      <w:r>
        <w:rPr>
          <w:rFonts w:ascii="SimHei" w:eastAsia="SimHei" w:hAnsi="SimHei" w:cs="SimHei"/>
          <w:spacing w:val="-41"/>
          <w:sz w:val="22"/>
          <w:szCs w:val="22"/>
        </w:rPr>
        <w:t xml:space="preserve"> </w:t>
      </w:r>
      <w:r>
        <w:rPr>
          <w:rFonts w:ascii="SimHei" w:eastAsia="SimHei" w:hAnsi="SimHei" w:cs="SimHei"/>
          <w:spacing w:val="-12"/>
          <w:sz w:val="22"/>
          <w:szCs w:val="22"/>
        </w:rPr>
        <w:t>压</w:t>
      </w:r>
      <w:r>
        <w:rPr>
          <w:rFonts w:ascii="SimHei" w:eastAsia="SimHei" w:hAnsi="SimHei" w:cs="SimHei"/>
          <w:spacing w:val="-25"/>
          <w:sz w:val="22"/>
          <w:szCs w:val="22"/>
        </w:rPr>
        <w:t xml:space="preserve"> </w:t>
      </w:r>
      <w:r>
        <w:rPr>
          <w:rFonts w:ascii="SimHei" w:eastAsia="SimHei" w:hAnsi="SimHei" w:cs="SimHei"/>
          <w:spacing w:val="-12"/>
          <w:sz w:val="22"/>
          <w:szCs w:val="22"/>
        </w:rPr>
        <w:t>电</w:t>
      </w:r>
      <w:r>
        <w:rPr>
          <w:rFonts w:ascii="SimHei" w:eastAsia="SimHei" w:hAnsi="SimHei" w:cs="SimHei"/>
          <w:spacing w:val="-40"/>
          <w:sz w:val="22"/>
          <w:szCs w:val="22"/>
        </w:rPr>
        <w:t xml:space="preserve"> </w:t>
      </w:r>
      <w:r>
        <w:rPr>
          <w:rFonts w:ascii="SimHei" w:eastAsia="SimHei" w:hAnsi="SimHei" w:cs="SimHei"/>
          <w:spacing w:val="-12"/>
          <w:sz w:val="22"/>
          <w:szCs w:val="22"/>
        </w:rPr>
        <w:t>容</w:t>
      </w:r>
      <w:r>
        <w:rPr>
          <w:rFonts w:ascii="SimHei" w:eastAsia="SimHei" w:hAnsi="SimHei" w:cs="SimHei"/>
          <w:spacing w:val="-25"/>
          <w:sz w:val="22"/>
          <w:szCs w:val="22"/>
        </w:rPr>
        <w:t xml:space="preserve"> </w:t>
      </w:r>
      <w:r>
        <w:rPr>
          <w:rFonts w:ascii="SimHei" w:eastAsia="SimHei" w:hAnsi="SimHei" w:cs="SimHei"/>
          <w:spacing w:val="-12"/>
          <w:sz w:val="22"/>
          <w:szCs w:val="22"/>
        </w:rPr>
        <w:t>电</w:t>
      </w:r>
      <w:r>
        <w:rPr>
          <w:rFonts w:ascii="SimHei" w:eastAsia="SimHei" w:hAnsi="SimHei" w:cs="SimHei"/>
          <w:spacing w:val="-39"/>
          <w:sz w:val="22"/>
          <w:szCs w:val="22"/>
        </w:rPr>
        <w:t xml:space="preserve"> </w:t>
      </w:r>
      <w:r>
        <w:rPr>
          <w:rFonts w:ascii="SimHei" w:eastAsia="SimHei" w:hAnsi="SimHei" w:cs="SimHei"/>
          <w:spacing w:val="-12"/>
          <w:sz w:val="22"/>
          <w:szCs w:val="22"/>
        </w:rPr>
        <w:t>桥</w:t>
      </w:r>
      <w:r>
        <w:rPr>
          <w:rFonts w:ascii="SimHei" w:eastAsia="SimHei" w:hAnsi="SimHei" w:cs="SimHei"/>
          <w:spacing w:val="-27"/>
          <w:sz w:val="22"/>
          <w:szCs w:val="22"/>
        </w:rPr>
        <w:t xml:space="preserve"> </w:t>
      </w:r>
      <w:r>
        <w:rPr>
          <w:rFonts w:ascii="SimHei" w:eastAsia="SimHei" w:hAnsi="SimHei" w:cs="SimHei"/>
          <w:spacing w:val="-12"/>
          <w:sz w:val="22"/>
          <w:szCs w:val="22"/>
        </w:rPr>
        <w:t>的</w:t>
      </w:r>
      <w:r>
        <w:rPr>
          <w:rFonts w:ascii="SimHei" w:eastAsia="SimHei" w:hAnsi="SimHei" w:cs="SimHei"/>
          <w:spacing w:val="-38"/>
          <w:sz w:val="22"/>
          <w:szCs w:val="22"/>
        </w:rPr>
        <w:t xml:space="preserve"> </w:t>
      </w:r>
      <w:r>
        <w:rPr>
          <w:rFonts w:ascii="SimHei" w:eastAsia="SimHei" w:hAnsi="SimHei" w:cs="SimHei"/>
          <w:spacing w:val="-12"/>
          <w:sz w:val="22"/>
          <w:szCs w:val="22"/>
        </w:rPr>
        <w:t>原</w:t>
      </w:r>
      <w:r>
        <w:rPr>
          <w:rFonts w:ascii="SimHei" w:eastAsia="SimHei" w:hAnsi="SimHei" w:cs="SimHei"/>
          <w:spacing w:val="-40"/>
          <w:sz w:val="22"/>
          <w:szCs w:val="22"/>
        </w:rPr>
        <w:t xml:space="preserve"> </w:t>
      </w:r>
      <w:r>
        <w:rPr>
          <w:rFonts w:ascii="SimHei" w:eastAsia="SimHei" w:hAnsi="SimHei" w:cs="SimHei"/>
          <w:spacing w:val="-12"/>
          <w:sz w:val="22"/>
          <w:szCs w:val="22"/>
        </w:rPr>
        <w:t>理</w:t>
      </w:r>
      <w:r>
        <w:rPr>
          <w:rFonts w:ascii="SimHei" w:eastAsia="SimHei" w:hAnsi="SimHei" w:cs="SimHei"/>
          <w:spacing w:val="-31"/>
          <w:sz w:val="22"/>
          <w:szCs w:val="22"/>
        </w:rPr>
        <w:t xml:space="preserve"> </w:t>
      </w:r>
      <w:r>
        <w:rPr>
          <w:rFonts w:ascii="SimHei" w:eastAsia="SimHei" w:hAnsi="SimHei" w:cs="SimHei"/>
          <w:spacing w:val="-12"/>
          <w:sz w:val="22"/>
          <w:szCs w:val="22"/>
        </w:rPr>
        <w:t>与</w:t>
      </w:r>
      <w:r>
        <w:rPr>
          <w:rFonts w:ascii="SimHei" w:eastAsia="SimHei" w:hAnsi="SimHei" w:cs="SimHei"/>
          <w:spacing w:val="-31"/>
          <w:sz w:val="22"/>
          <w:szCs w:val="22"/>
        </w:rPr>
        <w:t xml:space="preserve"> </w:t>
      </w:r>
      <w:r>
        <w:rPr>
          <w:rFonts w:ascii="SimHei" w:eastAsia="SimHei" w:hAnsi="SimHei" w:cs="SimHei"/>
          <w:spacing w:val="-12"/>
          <w:sz w:val="22"/>
          <w:szCs w:val="22"/>
        </w:rPr>
        <w:t>步</w:t>
      </w:r>
      <w:r>
        <w:rPr>
          <w:rFonts w:ascii="SimHei" w:eastAsia="SimHei" w:hAnsi="SimHei" w:cs="SimHei"/>
          <w:spacing w:val="-41"/>
          <w:sz w:val="22"/>
          <w:szCs w:val="22"/>
        </w:rPr>
        <w:t xml:space="preserve"> </w:t>
      </w:r>
      <w:r>
        <w:rPr>
          <w:rFonts w:ascii="SimHei" w:eastAsia="SimHei" w:hAnsi="SimHei" w:cs="SimHei"/>
          <w:spacing w:val="-12"/>
          <w:sz w:val="22"/>
          <w:szCs w:val="22"/>
        </w:rPr>
        <w:t>骤</w:t>
      </w:r>
    </w:p>
    <w:p>
      <w:pPr>
        <w:spacing w:line="355" w:lineRule="auto"/>
        <w:rPr>
          <w:rFonts w:ascii="Arial"/>
          <w:sz w:val="21"/>
        </w:rPr>
      </w:pPr>
    </w:p>
    <w:p>
      <w:pPr>
        <w:pStyle w:val="BodyText"/>
        <w:spacing w:before="71" w:line="219" w:lineRule="auto"/>
        <w:ind w:left="39"/>
        <w:rPr>
          <w:sz w:val="22"/>
          <w:szCs w:val="22"/>
        </w:rPr>
      </w:pPr>
      <w:r>
        <w:rPr>
          <w:rFonts w:ascii="Times New Roman" w:eastAsia="Times New Roman" w:hAnsi="Times New Roman" w:cs="Times New Roman"/>
          <w:spacing w:val="6"/>
          <w:sz w:val="19"/>
          <w:szCs w:val="19"/>
        </w:rPr>
        <w:t xml:space="preserve">A.1      </w:t>
      </w:r>
      <w:r>
        <w:rPr>
          <w:spacing w:val="6"/>
          <w:sz w:val="22"/>
          <w:szCs w:val="22"/>
        </w:rPr>
        <w:t>原理线路</w:t>
      </w:r>
    </w:p>
    <w:p>
      <w:pPr>
        <w:pStyle w:val="BodyText"/>
        <w:spacing w:before="118" w:line="256" w:lineRule="auto"/>
        <w:ind w:left="49" w:right="26" w:firstLine="479"/>
        <w:rPr>
          <w:sz w:val="22"/>
          <w:szCs w:val="22"/>
        </w:rPr>
      </w:pPr>
      <w:r>
        <w:rPr>
          <w:spacing w:val="22"/>
          <w:sz w:val="22"/>
          <w:szCs w:val="22"/>
        </w:rPr>
        <w:t>等功率电桥，又称双边变压器比例臂电桥，因具有等功率测量</w:t>
      </w:r>
      <w:r>
        <w:rPr>
          <w:spacing w:val="21"/>
          <w:sz w:val="22"/>
          <w:szCs w:val="22"/>
        </w:rPr>
        <w:t>能力而得名。用等功</w:t>
      </w:r>
      <w:r>
        <w:rPr>
          <w:sz w:val="22"/>
          <w:szCs w:val="22"/>
        </w:rPr>
        <w:t xml:space="preserve"> </w:t>
      </w:r>
      <w:r>
        <w:rPr>
          <w:spacing w:val="21"/>
          <w:sz w:val="22"/>
          <w:szCs w:val="22"/>
        </w:rPr>
        <w:t>率电桥法检定高压电容电桥比例臂的原理线路</w:t>
      </w:r>
      <w:r>
        <w:rPr>
          <w:spacing w:val="20"/>
          <w:sz w:val="22"/>
          <w:szCs w:val="22"/>
        </w:rPr>
        <w:t>见图</w:t>
      </w:r>
      <w:r>
        <w:rPr>
          <w:spacing w:val="-58"/>
          <w:sz w:val="22"/>
          <w:szCs w:val="22"/>
        </w:rPr>
        <w:t xml:space="preserve"> </w:t>
      </w:r>
      <w:r>
        <w:rPr>
          <w:sz w:val="22"/>
          <w:szCs w:val="22"/>
        </w:rPr>
        <w:t>Al</w:t>
      </w:r>
      <w:r>
        <w:rPr>
          <w:spacing w:val="20"/>
          <w:sz w:val="22"/>
          <w:szCs w:val="22"/>
        </w:rPr>
        <w:t>。</w:t>
      </w:r>
    </w:p>
    <w:p>
      <w:pPr>
        <w:spacing w:line="157" w:lineRule="exact"/>
      </w:pPr>
    </w:p>
    <w:p>
      <w:pPr>
        <w:spacing w:line="157" w:lineRule="exact"/>
        <w:sectPr>
          <w:headerReference w:type="default" r:id="rId77"/>
          <w:footerReference w:type="default" r:id="rId78"/>
          <w:pgSz w:w="11820" w:h="16900"/>
          <w:pgMar w:top="1809" w:right="1038" w:bottom="1072" w:left="1520" w:header="1536" w:footer="913" w:gutter="0"/>
          <w:pgNumType w:start="18"/>
          <w:cols w:num="1" w:space="708" w:equalWidth="0">
            <w:col w:w="9262" w:space="0"/>
          </w:cols>
        </w:sectPr>
      </w:pPr>
    </w:p>
    <w:p>
      <w:pPr>
        <w:spacing w:before="93" w:line="101" w:lineRule="exact"/>
        <w:ind w:left="3459"/>
        <w:rPr>
          <w:rFonts w:ascii="Times New Roman" w:eastAsia="Times New Roman" w:hAnsi="Times New Roman" w:cs="Times New Roman"/>
          <w:sz w:val="15"/>
          <w:szCs w:val="15"/>
        </w:rPr>
      </w:pPr>
      <w:r>
        <w:rPr>
          <w:rFonts w:ascii="Times New Roman" w:eastAsia="Times New Roman" w:hAnsi="Times New Roman" w:cs="Times New Roman"/>
          <w:position w:val="-2"/>
          <w:sz w:val="15"/>
          <w:szCs w:val="15"/>
        </w:rPr>
        <w:t>T</w:t>
      </w:r>
    </w:p>
    <w:p>
      <w:pPr>
        <w:spacing w:line="14" w:lineRule="auto"/>
        <w:rPr>
          <w:rFonts w:ascii="Arial"/>
          <w:sz w:val="2"/>
        </w:rPr>
      </w:pPr>
      <w:r>
        <w:rPr>
          <w:rFonts w:ascii="Arial" w:eastAsia="Arial" w:hAnsi="Arial" w:cs="Arial"/>
          <w:sz w:val="2"/>
          <w:szCs w:val="2"/>
        </w:rPr>
        <w:br w:type="column"/>
      </w:r>
    </w:p>
    <w:p>
      <w:pPr>
        <w:spacing w:before="20" w:line="185" w:lineRule="auto"/>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IVD</w:t>
      </w:r>
    </w:p>
    <w:p>
      <w:pPr>
        <w:spacing w:line="185" w:lineRule="auto"/>
        <w:rPr>
          <w:rFonts w:ascii="Times New Roman" w:eastAsia="Times New Roman" w:hAnsi="Times New Roman" w:cs="Times New Roman"/>
          <w:sz w:val="15"/>
          <w:szCs w:val="15"/>
        </w:rPr>
        <w:sectPr>
          <w:headerReference w:type="default" r:id="rId79"/>
          <w:footerReference w:type="default" r:id="rId80"/>
          <w:type w:val="continuous"/>
          <w:pgSz w:w="11820" w:h="16900"/>
          <w:pgMar w:top="1809" w:right="1038" w:bottom="1072" w:left="1520" w:header="1536" w:footer="913" w:gutter="0"/>
          <w:pgNumType w:start="19"/>
          <w:cols w:num="2" w:space="708" w:equalWidth="0">
            <w:col w:w="4520" w:space="100"/>
            <w:col w:w="4642" w:space="0"/>
          </w:cols>
        </w:sectPr>
      </w:pPr>
    </w:p>
    <w:p>
      <w:pPr>
        <w:spacing w:before="40" w:line="3730" w:lineRule="exact"/>
        <w:ind w:firstLine="2479"/>
      </w:pPr>
      <w:r>
        <w:rPr>
          <w:position w:val="-74"/>
        </w:rPr>
        <w:drawing>
          <wp:inline distT="0" distB="0" distL="0" distR="0">
            <wp:extent cx="2711434" cy="2368549"/>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81"/>
                    <a:stretch>
                      <a:fillRect/>
                    </a:stretch>
                  </pic:blipFill>
                  <pic:spPr>
                    <a:xfrm>
                      <a:off x="0" y="0"/>
                      <a:ext cx="2711434" cy="2368549"/>
                    </a:xfrm>
                    <a:prstGeom prst="rect">
                      <a:avLst/>
                    </a:prstGeom>
                  </pic:spPr>
                </pic:pic>
              </a:graphicData>
            </a:graphic>
          </wp:inline>
        </w:drawing>
      </w:r>
    </w:p>
    <w:p>
      <w:pPr>
        <w:spacing w:line="314" w:lineRule="auto"/>
        <w:rPr>
          <w:rFonts w:ascii="Arial"/>
          <w:sz w:val="21"/>
        </w:rPr>
      </w:pPr>
    </w:p>
    <w:p>
      <w:pPr>
        <w:pStyle w:val="BodyText"/>
        <w:spacing w:before="62" w:line="219" w:lineRule="auto"/>
        <w:ind w:left="3389"/>
        <w:rPr>
          <w:sz w:val="19"/>
          <w:szCs w:val="19"/>
        </w:rPr>
      </w:pPr>
      <w:r>
        <w:rPr>
          <w:spacing w:val="13"/>
          <w:sz w:val="19"/>
          <w:szCs w:val="19"/>
        </w:rPr>
        <w:t>图</w:t>
      </w:r>
      <w:r>
        <w:rPr>
          <w:spacing w:val="-27"/>
          <w:sz w:val="19"/>
          <w:szCs w:val="19"/>
        </w:rPr>
        <w:t xml:space="preserve"> </w:t>
      </w:r>
      <w:r>
        <w:rPr>
          <w:rFonts w:ascii="Times New Roman" w:eastAsia="Times New Roman" w:hAnsi="Times New Roman" w:cs="Times New Roman"/>
          <w:spacing w:val="13"/>
          <w:sz w:val="19"/>
          <w:szCs w:val="19"/>
        </w:rPr>
        <w:t>A1</w:t>
      </w:r>
      <w:r>
        <w:rPr>
          <w:rFonts w:ascii="Times New Roman" w:eastAsia="Times New Roman" w:hAnsi="Times New Roman" w:cs="Times New Roman"/>
          <w:spacing w:val="2"/>
          <w:sz w:val="19"/>
          <w:szCs w:val="19"/>
        </w:rPr>
        <w:t xml:space="preserve">    </w:t>
      </w:r>
      <w:r>
        <w:rPr>
          <w:spacing w:val="13"/>
          <w:sz w:val="19"/>
          <w:szCs w:val="19"/>
        </w:rPr>
        <w:t>等功率电桥原理线路</w:t>
      </w:r>
    </w:p>
    <w:p>
      <w:pPr>
        <w:pStyle w:val="BodyText"/>
        <w:spacing w:before="75" w:line="220" w:lineRule="auto"/>
        <w:ind w:left="2039"/>
        <w:rPr>
          <w:sz w:val="19"/>
          <w:szCs w:val="19"/>
        </w:rPr>
      </w:pPr>
      <w:r>
        <w:rPr>
          <w:spacing w:val="-12"/>
          <w:sz w:val="19"/>
          <w:szCs w:val="19"/>
        </w:rPr>
        <w:t>图中：</w:t>
      </w:r>
      <w:r>
        <w:rPr>
          <w:spacing w:val="-45"/>
          <w:sz w:val="19"/>
          <w:szCs w:val="19"/>
        </w:rPr>
        <w:t xml:space="preserve"> </w:t>
      </w:r>
      <w:r>
        <w:rPr>
          <w:rFonts w:ascii="Times New Roman" w:eastAsia="Times New Roman" w:hAnsi="Times New Roman" w:cs="Times New Roman"/>
          <w:spacing w:val="-12"/>
          <w:sz w:val="19"/>
          <w:szCs w:val="19"/>
        </w:rPr>
        <w:t>TD</w:t>
      </w:r>
      <w:r>
        <w:rPr>
          <w:spacing w:val="-12"/>
          <w:sz w:val="19"/>
          <w:szCs w:val="19"/>
        </w:rPr>
        <w:t>一调压器；</w:t>
      </w:r>
      <w:r>
        <w:rPr>
          <w:spacing w:val="-30"/>
          <w:sz w:val="19"/>
          <w:szCs w:val="19"/>
        </w:rPr>
        <w:t xml:space="preserve"> </w:t>
      </w:r>
      <w:r>
        <w:rPr>
          <w:rFonts w:ascii="Times New Roman" w:eastAsia="Times New Roman" w:hAnsi="Times New Roman" w:cs="Times New Roman"/>
          <w:spacing w:val="-12"/>
          <w:sz w:val="19"/>
          <w:szCs w:val="19"/>
        </w:rPr>
        <w:t>T—</w:t>
      </w:r>
      <w:r>
        <w:rPr>
          <w:spacing w:val="-12"/>
          <w:sz w:val="19"/>
          <w:szCs w:val="19"/>
        </w:rPr>
        <w:t xml:space="preserve">试验变压器； </w:t>
      </w:r>
      <w:r>
        <w:rPr>
          <w:rFonts w:ascii="Times New Roman" w:eastAsia="Times New Roman" w:hAnsi="Times New Roman" w:cs="Times New Roman"/>
          <w:spacing w:val="-12"/>
          <w:sz w:val="19"/>
          <w:szCs w:val="19"/>
        </w:rPr>
        <w:t>IVD—</w:t>
      </w:r>
      <w:r>
        <w:rPr>
          <w:rFonts w:ascii="Times New Roman" w:eastAsia="Times New Roman" w:hAnsi="Times New Roman" w:cs="Times New Roman"/>
          <w:spacing w:val="-13"/>
          <w:sz w:val="19"/>
          <w:szCs w:val="19"/>
        </w:rPr>
        <w:t xml:space="preserve">kV  </w:t>
      </w:r>
      <w:r>
        <w:rPr>
          <w:spacing w:val="-13"/>
          <w:sz w:val="19"/>
          <w:szCs w:val="19"/>
        </w:rPr>
        <w:t>单盘感应分压器：</w:t>
      </w:r>
    </w:p>
    <w:p>
      <w:pPr>
        <w:pStyle w:val="BodyText"/>
        <w:spacing w:before="61" w:line="212" w:lineRule="auto"/>
        <w:ind w:left="2829"/>
        <w:rPr>
          <w:sz w:val="19"/>
          <w:szCs w:val="19"/>
        </w:rPr>
      </w:pPr>
      <w:r>
        <w:rPr>
          <w:rFonts w:ascii="Times New Roman" w:eastAsia="Times New Roman" w:hAnsi="Times New Roman" w:cs="Times New Roman"/>
          <w:spacing w:val="-9"/>
          <w:sz w:val="19"/>
          <w:szCs w:val="19"/>
        </w:rPr>
        <w:t>C;</w:t>
      </w:r>
      <w:r>
        <w:rPr>
          <w:rFonts w:ascii="Times New Roman" w:eastAsia="Times New Roman" w:hAnsi="Times New Roman" w:cs="Times New Roman"/>
          <w:spacing w:val="-14"/>
          <w:sz w:val="19"/>
          <w:szCs w:val="19"/>
        </w:rPr>
        <w:t xml:space="preserve"> </w:t>
      </w:r>
      <w:r>
        <w:rPr>
          <w:spacing w:val="-9"/>
          <w:sz w:val="19"/>
          <w:szCs w:val="19"/>
        </w:rPr>
        <w:t>、</w:t>
      </w:r>
      <w:r>
        <w:rPr>
          <w:rFonts w:ascii="Times New Roman" w:eastAsia="Times New Roman" w:hAnsi="Times New Roman" w:cs="Times New Roman"/>
          <w:spacing w:val="-9"/>
          <w:sz w:val="19"/>
          <w:szCs w:val="19"/>
        </w:rPr>
        <w:t xml:space="preserve">C: </w:t>
      </w:r>
      <w:r>
        <w:rPr>
          <w:spacing w:val="-9"/>
          <w:sz w:val="19"/>
          <w:szCs w:val="19"/>
        </w:rPr>
        <w:t xml:space="preserve">一标准空气电容器； </w:t>
      </w:r>
      <w:r>
        <w:rPr>
          <w:rFonts w:ascii="Times New Roman" w:eastAsia="Times New Roman" w:hAnsi="Times New Roman" w:cs="Times New Roman"/>
          <w:spacing w:val="-9"/>
          <w:sz w:val="19"/>
          <w:szCs w:val="19"/>
        </w:rPr>
        <w:t xml:space="preserve">C-gǒ—    </w:t>
      </w:r>
      <w:r>
        <w:rPr>
          <w:spacing w:val="-9"/>
          <w:sz w:val="19"/>
          <w:szCs w:val="19"/>
        </w:rPr>
        <w:t>被检电桥</w:t>
      </w:r>
    </w:p>
    <w:p>
      <w:pPr>
        <w:pStyle w:val="BodyText"/>
        <w:spacing w:before="250" w:line="212" w:lineRule="auto"/>
        <w:ind w:left="39"/>
        <w:rPr>
          <w:sz w:val="22"/>
          <w:szCs w:val="22"/>
        </w:rPr>
      </w:pPr>
      <w:r>
        <w:rPr>
          <w:rFonts w:ascii="Times New Roman" w:eastAsia="Times New Roman" w:hAnsi="Times New Roman" w:cs="Times New Roman"/>
          <w:spacing w:val="13"/>
          <w:sz w:val="19"/>
          <w:szCs w:val="19"/>
        </w:rPr>
        <w:t xml:space="preserve">A.2      </w:t>
      </w:r>
      <w:r>
        <w:rPr>
          <w:spacing w:val="13"/>
        </w:rPr>
        <w:t xml:space="preserve">检定 </w:t>
      </w:r>
      <w:r>
        <w:rPr>
          <w:rFonts w:ascii="Times New Roman" w:eastAsia="Times New Roman" w:hAnsi="Times New Roman" w:cs="Times New Roman"/>
          <w:spacing w:val="13"/>
        </w:rPr>
        <w:t>C;</w:t>
      </w:r>
      <w:r>
        <w:rPr>
          <w:rFonts w:ascii="Times New Roman" w:eastAsia="Times New Roman" w:hAnsi="Times New Roman" w:cs="Times New Roman"/>
          <w:spacing w:val="48"/>
          <w:w w:val="101"/>
        </w:rPr>
        <w:t xml:space="preserve"> </w:t>
      </w:r>
      <w:r>
        <w:rPr>
          <w:spacing w:val="13"/>
        </w:rPr>
        <w:t>和</w:t>
      </w:r>
      <w:r>
        <w:rPr>
          <w:spacing w:val="-66"/>
        </w:rPr>
        <w:t xml:space="preserve"> </w:t>
      </w:r>
      <w:r>
        <w:rPr>
          <w:rFonts w:ascii="Times New Roman" w:eastAsia="Times New Roman" w:hAnsi="Times New Roman" w:cs="Times New Roman"/>
        </w:rPr>
        <w:t>Cs</w:t>
      </w:r>
      <w:r>
        <w:rPr>
          <w:rFonts w:ascii="Times New Roman" w:eastAsia="Times New Roman" w:hAnsi="Times New Roman" w:cs="Times New Roman"/>
          <w:spacing w:val="13"/>
        </w:rPr>
        <w:t xml:space="preserve"> </w:t>
      </w:r>
      <w:r>
        <w:rPr>
          <w:spacing w:val="13"/>
          <w:sz w:val="22"/>
          <w:szCs w:val="22"/>
        </w:rPr>
        <w:t>端钮处于地电位的高压电容电桥步骤</w:t>
      </w:r>
    </w:p>
    <w:p>
      <w:pPr>
        <w:pStyle w:val="BodyText"/>
        <w:spacing w:before="94" w:line="212" w:lineRule="auto"/>
        <w:ind w:right="12"/>
        <w:jc w:val="right"/>
        <w:rPr>
          <w:sz w:val="22"/>
          <w:szCs w:val="22"/>
        </w:rPr>
      </w:pPr>
      <w:r>
        <w:rPr>
          <w:spacing w:val="7"/>
          <w:sz w:val="24"/>
          <w:szCs w:val="24"/>
        </w:rPr>
        <w:t>选取</w:t>
      </w:r>
      <w:r>
        <w:rPr>
          <w:spacing w:val="-21"/>
          <w:sz w:val="24"/>
          <w:szCs w:val="24"/>
        </w:rPr>
        <w:t xml:space="preserve"> </w:t>
      </w:r>
      <w:r>
        <w:rPr>
          <w:rFonts w:ascii="Times New Roman" w:eastAsia="Times New Roman" w:hAnsi="Times New Roman" w:cs="Times New Roman"/>
          <w:spacing w:val="7"/>
          <w:sz w:val="22"/>
          <w:szCs w:val="22"/>
        </w:rPr>
        <w:t>C₁=C₂=1000</w:t>
      </w:r>
      <w:r>
        <w:rPr>
          <w:rFonts w:ascii="Times New Roman" w:eastAsia="Times New Roman" w:hAnsi="Times New Roman" w:cs="Times New Roman"/>
          <w:sz w:val="22"/>
          <w:szCs w:val="22"/>
        </w:rPr>
        <w:t>pF</w:t>
      </w:r>
      <w:r>
        <w:rPr>
          <w:rFonts w:ascii="Times New Roman" w:eastAsia="Times New Roman" w:hAnsi="Times New Roman" w:cs="Times New Roman"/>
          <w:spacing w:val="7"/>
          <w:sz w:val="22"/>
          <w:szCs w:val="22"/>
        </w:rPr>
        <w:t xml:space="preserve">,C,           </w:t>
      </w:r>
      <w:r>
        <w:rPr>
          <w:spacing w:val="7"/>
          <w:sz w:val="24"/>
          <w:szCs w:val="24"/>
        </w:rPr>
        <w:t xml:space="preserve">和 </w:t>
      </w:r>
      <w:r>
        <w:rPr>
          <w:rFonts w:ascii="Times New Roman" w:eastAsia="Times New Roman" w:hAnsi="Times New Roman" w:cs="Times New Roman"/>
          <w:sz w:val="24"/>
          <w:szCs w:val="24"/>
        </w:rPr>
        <w:t>Cg</w:t>
      </w:r>
      <w:r>
        <w:rPr>
          <w:rFonts w:ascii="Times New Roman" w:eastAsia="Times New Roman" w:hAnsi="Times New Roman" w:cs="Times New Roman"/>
          <w:spacing w:val="-11"/>
          <w:sz w:val="24"/>
          <w:szCs w:val="24"/>
        </w:rPr>
        <w:t xml:space="preserve"> </w:t>
      </w:r>
      <w:r>
        <w:rPr>
          <w:spacing w:val="7"/>
          <w:sz w:val="22"/>
          <w:szCs w:val="22"/>
        </w:rPr>
        <w:t>端钮连</w:t>
      </w:r>
      <w:r>
        <w:rPr>
          <w:spacing w:val="6"/>
          <w:sz w:val="22"/>
          <w:szCs w:val="22"/>
        </w:rPr>
        <w:t>接，</w:t>
      </w:r>
      <w:r>
        <w:rPr>
          <w:spacing w:val="59"/>
          <w:sz w:val="22"/>
          <w:szCs w:val="22"/>
        </w:rPr>
        <w:t xml:space="preserve"> </w:t>
      </w:r>
      <w:r>
        <w:rPr>
          <w:rFonts w:ascii="Times New Roman" w:eastAsia="Times New Roman" w:hAnsi="Times New Roman" w:cs="Times New Roman"/>
          <w:spacing w:val="6"/>
          <w:sz w:val="24"/>
          <w:szCs w:val="24"/>
        </w:rPr>
        <w:t xml:space="preserve">C₂  </w:t>
      </w:r>
      <w:r>
        <w:rPr>
          <w:spacing w:val="6"/>
          <w:sz w:val="24"/>
          <w:szCs w:val="24"/>
        </w:rPr>
        <w:t>和</w:t>
      </w:r>
      <w:r>
        <w:rPr>
          <w:spacing w:val="-29"/>
          <w:sz w:val="24"/>
          <w:szCs w:val="24"/>
        </w:rPr>
        <w:t xml:space="preserve"> </w:t>
      </w:r>
      <w:r>
        <w:rPr>
          <w:rFonts w:ascii="Times New Roman" w:eastAsia="Times New Roman" w:hAnsi="Times New Roman" w:cs="Times New Roman"/>
          <w:sz w:val="24"/>
          <w:szCs w:val="24"/>
        </w:rPr>
        <w:t>Cs</w:t>
      </w:r>
      <w:r>
        <w:rPr>
          <w:rFonts w:ascii="Times New Roman" w:eastAsia="Times New Roman" w:hAnsi="Times New Roman" w:cs="Times New Roman"/>
          <w:spacing w:val="6"/>
          <w:sz w:val="24"/>
          <w:szCs w:val="24"/>
        </w:rPr>
        <w:t xml:space="preserve"> </w:t>
      </w:r>
      <w:r>
        <w:rPr>
          <w:spacing w:val="6"/>
          <w:sz w:val="22"/>
          <w:szCs w:val="22"/>
        </w:rPr>
        <w:t>端钮连接。使用被检电桥基</w:t>
      </w:r>
    </w:p>
    <w:p>
      <w:pPr>
        <w:pStyle w:val="BodyText"/>
        <w:spacing w:before="120" w:line="242" w:lineRule="auto"/>
        <w:ind w:left="69" w:right="19"/>
        <w:rPr>
          <w:sz w:val="24"/>
          <w:szCs w:val="24"/>
        </w:rPr>
      </w:pPr>
      <w:r>
        <w:rPr>
          <w:spacing w:val="14"/>
          <w:sz w:val="22"/>
          <w:szCs w:val="22"/>
        </w:rPr>
        <w:t>本量程的1:1挡测量，设电桥示值为</w:t>
      </w:r>
      <w:r>
        <w:rPr>
          <w:spacing w:val="-21"/>
          <w:sz w:val="22"/>
          <w:szCs w:val="22"/>
        </w:rPr>
        <w:t xml:space="preserve"> </w:t>
      </w:r>
      <w:r>
        <w:rPr>
          <w:spacing w:val="14"/>
          <w:sz w:val="25"/>
          <w:szCs w:val="25"/>
        </w:rPr>
        <w:t>X,</w:t>
      </w:r>
      <w:r>
        <w:rPr>
          <w:spacing w:val="-49"/>
          <w:sz w:val="25"/>
          <w:szCs w:val="25"/>
        </w:rPr>
        <w:t xml:space="preserve"> </w:t>
      </w:r>
      <w:r>
        <w:rPr>
          <w:spacing w:val="14"/>
          <w:sz w:val="25"/>
          <w:szCs w:val="25"/>
        </w:rPr>
        <w:t>和</w:t>
      </w:r>
      <w:r>
        <w:rPr>
          <w:spacing w:val="-24"/>
          <w:sz w:val="25"/>
          <w:szCs w:val="25"/>
        </w:rPr>
        <w:t xml:space="preserve"> </w:t>
      </w:r>
      <w:r>
        <w:rPr>
          <w:spacing w:val="14"/>
          <w:sz w:val="25"/>
          <w:szCs w:val="25"/>
        </w:rPr>
        <w:t>D</w:t>
      </w:r>
      <w:r>
        <w:rPr>
          <w:rFonts w:ascii="Calibri" w:eastAsia="Calibri" w:hAnsi="Calibri" w:cs="Calibri"/>
          <w:spacing w:val="14"/>
          <w:sz w:val="25"/>
          <w:szCs w:val="25"/>
        </w:rPr>
        <w:t>₁</w:t>
      </w:r>
      <w:r>
        <w:rPr>
          <w:rFonts w:ascii="Calibri" w:eastAsia="Calibri" w:hAnsi="Calibri" w:cs="Calibri"/>
          <w:spacing w:val="-22"/>
          <w:sz w:val="25"/>
          <w:szCs w:val="25"/>
        </w:rPr>
        <w:t xml:space="preserve"> </w:t>
      </w:r>
      <w:r>
        <w:rPr>
          <w:spacing w:val="14"/>
          <w:sz w:val="25"/>
          <w:szCs w:val="25"/>
        </w:rPr>
        <w:t>。</w:t>
      </w:r>
      <w:r>
        <w:rPr>
          <w:spacing w:val="-47"/>
          <w:sz w:val="25"/>
          <w:szCs w:val="25"/>
        </w:rPr>
        <w:t xml:space="preserve"> </w:t>
      </w:r>
      <w:r>
        <w:rPr>
          <w:spacing w:val="14"/>
          <w:sz w:val="25"/>
          <w:szCs w:val="25"/>
        </w:rPr>
        <w:t>然后</w:t>
      </w:r>
      <w:r>
        <w:rPr>
          <w:spacing w:val="-73"/>
          <w:sz w:val="25"/>
          <w:szCs w:val="25"/>
        </w:rPr>
        <w:t xml:space="preserve"> </w:t>
      </w:r>
      <w:r>
        <w:rPr>
          <w:spacing w:val="14"/>
          <w:sz w:val="25"/>
          <w:szCs w:val="25"/>
        </w:rPr>
        <w:t>C,</w:t>
      </w:r>
      <w:r>
        <w:rPr>
          <w:spacing w:val="-37"/>
          <w:sz w:val="25"/>
          <w:szCs w:val="25"/>
        </w:rPr>
        <w:t xml:space="preserve"> </w:t>
      </w:r>
      <w:r>
        <w:rPr>
          <w:spacing w:val="14"/>
          <w:sz w:val="25"/>
          <w:szCs w:val="25"/>
        </w:rPr>
        <w:t>和</w:t>
      </w:r>
      <w:r>
        <w:rPr>
          <w:spacing w:val="-25"/>
          <w:sz w:val="25"/>
          <w:szCs w:val="25"/>
        </w:rPr>
        <w:t xml:space="preserve"> </w:t>
      </w:r>
      <w:r>
        <w:rPr>
          <w:spacing w:val="14"/>
          <w:sz w:val="25"/>
          <w:szCs w:val="25"/>
        </w:rPr>
        <w:t>C</w:t>
      </w:r>
      <w:r>
        <w:rPr>
          <w:rFonts w:ascii="Calibri" w:eastAsia="Calibri" w:hAnsi="Calibri" w:cs="Calibri"/>
          <w:spacing w:val="14"/>
          <w:sz w:val="25"/>
          <w:szCs w:val="25"/>
        </w:rPr>
        <w:t>₂</w:t>
      </w:r>
      <w:r>
        <w:rPr>
          <w:rFonts w:ascii="Calibri" w:eastAsia="Calibri" w:hAnsi="Calibri" w:cs="Calibri"/>
          <w:spacing w:val="53"/>
          <w:sz w:val="25"/>
          <w:szCs w:val="25"/>
        </w:rPr>
        <w:t xml:space="preserve"> </w:t>
      </w:r>
      <w:r>
        <w:rPr>
          <w:spacing w:val="14"/>
          <w:sz w:val="22"/>
          <w:szCs w:val="22"/>
        </w:rPr>
        <w:t xml:space="preserve">交换，设电桥示值为 </w:t>
      </w:r>
      <w:r>
        <w:rPr>
          <w:spacing w:val="14"/>
          <w:sz w:val="25"/>
          <w:szCs w:val="25"/>
        </w:rPr>
        <w:t>X</w:t>
      </w:r>
      <w:r>
        <w:rPr>
          <w:rFonts w:ascii="Calibri" w:eastAsia="Calibri" w:hAnsi="Calibri" w:cs="Calibri"/>
          <w:spacing w:val="14"/>
          <w:sz w:val="25"/>
          <w:szCs w:val="25"/>
        </w:rPr>
        <w:t>₂</w:t>
      </w:r>
      <w:r>
        <w:rPr>
          <w:rFonts w:ascii="Calibri" w:eastAsia="Calibri" w:hAnsi="Calibri" w:cs="Calibri"/>
          <w:sz w:val="25"/>
          <w:szCs w:val="25"/>
        </w:rPr>
        <w:t xml:space="preserve"> </w:t>
      </w:r>
      <w:r>
        <w:rPr>
          <w:spacing w:val="-8"/>
          <w:sz w:val="24"/>
          <w:szCs w:val="24"/>
        </w:rPr>
        <w:t>和</w:t>
      </w:r>
      <w:r>
        <w:rPr>
          <w:spacing w:val="-16"/>
          <w:sz w:val="24"/>
          <w:szCs w:val="24"/>
        </w:rPr>
        <w:t xml:space="preserve"> </w:t>
      </w:r>
      <w:r>
        <w:rPr>
          <w:rFonts w:ascii="Times New Roman" w:eastAsia="Times New Roman" w:hAnsi="Times New Roman" w:cs="Times New Roman"/>
          <w:spacing w:val="-8"/>
          <w:sz w:val="24"/>
          <w:szCs w:val="24"/>
        </w:rPr>
        <w:t>D₂,</w:t>
      </w:r>
      <w:r>
        <w:rPr>
          <w:rFonts w:ascii="Times New Roman" w:eastAsia="Times New Roman" w:hAnsi="Times New Roman" w:cs="Times New Roman"/>
          <w:spacing w:val="24"/>
          <w:w w:val="101"/>
          <w:sz w:val="24"/>
          <w:szCs w:val="24"/>
        </w:rPr>
        <w:t xml:space="preserve">  </w:t>
      </w:r>
      <w:r>
        <w:rPr>
          <w:spacing w:val="-8"/>
          <w:sz w:val="24"/>
          <w:szCs w:val="24"/>
        </w:rPr>
        <w:t>则</w:t>
      </w:r>
    </w:p>
    <w:p>
      <w:pPr>
        <w:pStyle w:val="BodyText"/>
        <w:spacing w:before="100" w:line="291" w:lineRule="auto"/>
        <w:ind w:left="559" w:right="19" w:firstLine="2150"/>
        <w:rPr>
          <w:rFonts w:ascii="Times New Roman" w:eastAsia="Times New Roman" w:hAnsi="Times New Roman" w:cs="Times New Roman"/>
          <w:sz w:val="25"/>
          <w:szCs w:val="25"/>
        </w:rPr>
      </w:pPr>
      <w:r>
        <w:rPr>
          <w:rFonts w:ascii="Times New Roman" w:eastAsia="Times New Roman" w:hAnsi="Times New Roman" w:cs="Times New Roman"/>
          <w:position w:val="-17"/>
          <w:sz w:val="19"/>
          <w:szCs w:val="19"/>
        </w:rPr>
        <w:drawing>
          <wp:inline distT="0" distB="0" distL="0" distR="0">
            <wp:extent cx="2495570" cy="31754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82"/>
                    <a:stretch>
                      <a:fillRect/>
                    </a:stretch>
                  </pic:blipFill>
                  <pic:spPr>
                    <a:xfrm>
                      <a:off x="0" y="0"/>
                      <a:ext cx="2495570" cy="317545"/>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spacing w:val="-2"/>
          <w:sz w:val="19"/>
          <w:szCs w:val="19"/>
        </w:rPr>
        <w:t>(A1)</w:t>
      </w:r>
      <w:r>
        <w:rPr>
          <w:rFonts w:ascii="Times New Roman" w:eastAsia="Times New Roman" w:hAnsi="Times New Roman" w:cs="Times New Roman"/>
          <w:sz w:val="19"/>
          <w:szCs w:val="19"/>
        </w:rPr>
        <w:t xml:space="preserve">   </w:t>
      </w:r>
      <w:r>
        <w:rPr>
          <w:spacing w:val="16"/>
          <w:sz w:val="22"/>
          <w:szCs w:val="22"/>
        </w:rPr>
        <w:t>然后按规程</w:t>
      </w:r>
      <w:hyperlink r:id="rId45" w:history="1">
        <w:r>
          <w:rPr>
            <w:spacing w:val="16"/>
            <w:sz w:val="22"/>
            <w:szCs w:val="22"/>
          </w:rPr>
          <w:t>5.3.4.</w:t>
        </w:r>
        <w:r>
          <w:rPr>
            <w:spacing w:val="-62"/>
            <w:sz w:val="22"/>
            <w:szCs w:val="22"/>
          </w:rPr>
          <w:t xml:space="preserve"> </w:t>
        </w:r>
        <w:r>
          <w:rPr>
            <w:spacing w:val="16"/>
            <w:sz w:val="22"/>
            <w:szCs w:val="22"/>
          </w:rPr>
          <w:t>1</w:t>
        </w:r>
      </w:hyperlink>
      <w:r>
        <w:rPr>
          <w:spacing w:val="16"/>
          <w:sz w:val="22"/>
          <w:szCs w:val="22"/>
        </w:rPr>
        <w:t>条选点规定预置比率。当预置比率为</w:t>
      </w:r>
      <w:r>
        <w:rPr>
          <w:spacing w:val="-21"/>
          <w:sz w:val="22"/>
          <w:szCs w:val="22"/>
        </w:rPr>
        <w:t xml:space="preserve"> </w:t>
      </w:r>
      <w:r>
        <w:rPr>
          <w:rFonts w:ascii="Times New Roman" w:eastAsia="Times New Roman" w:hAnsi="Times New Roman" w:cs="Times New Roman"/>
          <w:spacing w:val="15"/>
          <w:sz w:val="25"/>
          <w:szCs w:val="25"/>
        </w:rPr>
        <w:t>K</w:t>
      </w:r>
      <w:r>
        <w:rPr>
          <w:spacing w:val="15"/>
          <w:sz w:val="25"/>
          <w:szCs w:val="25"/>
        </w:rPr>
        <w:t>时，</w:t>
      </w:r>
      <w:r>
        <w:rPr>
          <w:spacing w:val="-20"/>
          <w:sz w:val="25"/>
          <w:szCs w:val="25"/>
        </w:rPr>
        <w:t xml:space="preserve"> </w:t>
      </w:r>
      <w:r>
        <w:rPr>
          <w:rFonts w:ascii="Times New Roman" w:eastAsia="Times New Roman" w:hAnsi="Times New Roman" w:cs="Times New Roman"/>
          <w:spacing w:val="15"/>
          <w:sz w:val="25"/>
          <w:szCs w:val="25"/>
        </w:rPr>
        <w:t>C,</w:t>
      </w:r>
      <w:r>
        <w:rPr>
          <w:rFonts w:ascii="Times New Roman" w:eastAsia="Times New Roman" w:hAnsi="Times New Roman" w:cs="Times New Roman"/>
          <w:spacing w:val="28"/>
          <w:sz w:val="25"/>
          <w:szCs w:val="25"/>
        </w:rPr>
        <w:t xml:space="preserve"> </w:t>
      </w:r>
      <w:r>
        <w:rPr>
          <w:spacing w:val="15"/>
          <w:sz w:val="22"/>
          <w:szCs w:val="22"/>
        </w:rPr>
        <w:t>所加电压为</w:t>
      </w:r>
      <w:r>
        <w:rPr>
          <w:spacing w:val="-31"/>
          <w:sz w:val="22"/>
          <w:szCs w:val="22"/>
        </w:rPr>
        <w:t xml:space="preserve"> </w:t>
      </w:r>
      <w:r>
        <w:rPr>
          <w:rFonts w:ascii="Times New Roman" w:eastAsia="Times New Roman" w:hAnsi="Times New Roman" w:cs="Times New Roman"/>
          <w:spacing w:val="15"/>
          <w:sz w:val="25"/>
          <w:szCs w:val="25"/>
        </w:rPr>
        <w:t>C₂</w:t>
      </w:r>
    </w:p>
    <w:p>
      <w:pPr>
        <w:pStyle w:val="BodyText"/>
        <w:spacing w:before="116" w:line="216" w:lineRule="auto"/>
        <w:ind w:left="69"/>
      </w:pPr>
      <w:r>
        <w:rPr>
          <w:spacing w:val="11"/>
          <w:sz w:val="22"/>
          <w:szCs w:val="22"/>
        </w:rPr>
        <w:t xml:space="preserve">所加电压的 </w:t>
      </w:r>
      <w:r>
        <w:rPr>
          <w:spacing w:val="11"/>
        </w:rPr>
        <w:t xml:space="preserve">K </w:t>
      </w:r>
      <w:r>
        <w:rPr>
          <w:spacing w:val="11"/>
          <w:sz w:val="22"/>
          <w:szCs w:val="22"/>
        </w:rPr>
        <w:t>倍。设这时电桥示值为</w:t>
      </w:r>
      <w:r>
        <w:rPr>
          <w:spacing w:val="-30"/>
          <w:sz w:val="22"/>
          <w:szCs w:val="22"/>
        </w:rPr>
        <w:t xml:space="preserve"> </w:t>
      </w:r>
      <w:r>
        <w:rPr>
          <w:spacing w:val="11"/>
        </w:rPr>
        <w:t>X 和</w:t>
      </w:r>
      <w:r>
        <w:rPr>
          <w:spacing w:val="-55"/>
        </w:rPr>
        <w:t xml:space="preserve"> </w:t>
      </w:r>
      <w:r>
        <w:rPr>
          <w:spacing w:val="11"/>
        </w:rPr>
        <w:t>D,</w:t>
      </w:r>
      <w:r>
        <w:rPr>
          <w:spacing w:val="80"/>
        </w:rPr>
        <w:t xml:space="preserve"> </w:t>
      </w:r>
      <w:r>
        <w:rPr>
          <w:spacing w:val="11"/>
        </w:rPr>
        <w:t>则</w:t>
      </w:r>
    </w:p>
    <w:p>
      <w:pPr>
        <w:spacing w:line="64" w:lineRule="exact"/>
      </w:pPr>
    </w:p>
    <w:p>
      <w:pPr>
        <w:spacing w:line="64" w:lineRule="exact"/>
        <w:sectPr>
          <w:headerReference w:type="default" r:id="rId83"/>
          <w:footerReference w:type="default" r:id="rId84"/>
          <w:type w:val="continuous"/>
          <w:pgSz w:w="11820" w:h="16900"/>
          <w:pgMar w:top="1809" w:right="1038" w:bottom="1072" w:left="1520" w:header="1536" w:footer="913" w:gutter="0"/>
          <w:pgNumType w:start="20"/>
          <w:cols w:num="1" w:space="708" w:equalWidth="0">
            <w:col w:w="9262" w:space="0"/>
          </w:cols>
        </w:sectPr>
      </w:pPr>
    </w:p>
    <w:p>
      <w:pPr>
        <w:spacing w:line="580" w:lineRule="exact"/>
        <w:ind w:firstLine="4009"/>
      </w:pPr>
      <w:r>
        <w:rPr>
          <w:position w:val="-11"/>
        </w:rPr>
        <w:drawing>
          <wp:inline distT="0" distB="0" distL="0" distR="0">
            <wp:extent cx="838236" cy="36830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85"/>
                    <a:stretch>
                      <a:fillRect/>
                    </a:stretch>
                  </pic:blipFill>
                  <pic:spPr>
                    <a:xfrm>
                      <a:off x="0" y="0"/>
                      <a:ext cx="838236" cy="368305"/>
                    </a:xfrm>
                    <a:prstGeom prst="rect">
                      <a:avLst/>
                    </a:prstGeom>
                  </pic:spPr>
                </pic:pic>
              </a:graphicData>
            </a:graphic>
          </wp:inline>
        </w:drawing>
      </w:r>
    </w:p>
    <w:p>
      <w:pPr>
        <w:pStyle w:val="BodyText"/>
        <w:spacing w:before="129" w:line="219" w:lineRule="auto"/>
        <w:ind w:left="569"/>
        <w:rPr>
          <w:sz w:val="22"/>
          <w:szCs w:val="22"/>
        </w:rPr>
      </w:pPr>
      <w:r>
        <w:rPr>
          <w:spacing w:val="16"/>
          <w:sz w:val="22"/>
          <w:szCs w:val="22"/>
        </w:rPr>
        <w:t>根据规程5.4.</w:t>
      </w:r>
      <w:r>
        <w:rPr>
          <w:spacing w:val="-56"/>
          <w:sz w:val="22"/>
          <w:szCs w:val="22"/>
        </w:rPr>
        <w:t xml:space="preserve"> </w:t>
      </w:r>
      <w:r>
        <w:rPr>
          <w:spacing w:val="16"/>
          <w:sz w:val="22"/>
          <w:szCs w:val="22"/>
        </w:rPr>
        <w:t>1条可计算电桥误差为：</w:t>
      </w:r>
    </w:p>
    <w:p>
      <w:pPr>
        <w:pStyle w:val="BodyText"/>
        <w:spacing w:before="142" w:line="251" w:lineRule="auto"/>
        <w:ind w:left="4009" w:right="952" w:hanging="38"/>
        <w:rPr>
          <w:rFonts w:ascii="Times New Roman" w:eastAsia="Times New Roman" w:hAnsi="Times New Roman" w:cs="Times New Roman"/>
          <w:sz w:val="22"/>
          <w:szCs w:val="22"/>
        </w:rPr>
      </w:pPr>
      <w:r>
        <w:rPr>
          <w:i/>
          <w:iCs/>
          <w:spacing w:val="-1"/>
          <w:sz w:val="19"/>
          <w:szCs w:val="19"/>
        </w:rPr>
        <w:t>△</w:t>
      </w:r>
      <w:r>
        <w:rPr>
          <w:rFonts w:ascii="Times New Roman" w:eastAsia="Times New Roman" w:hAnsi="Times New Roman" w:cs="Times New Roman"/>
          <w:i/>
          <w:iCs/>
          <w:spacing w:val="-1"/>
          <w:sz w:val="19"/>
          <w:szCs w:val="19"/>
        </w:rPr>
        <w:t>X=X-KX₀</w:t>
      </w:r>
      <w:r>
        <w:rPr>
          <w:rFonts w:ascii="Times New Roman" w:eastAsia="Times New Roman" w:hAnsi="Times New Roman" w:cs="Times New Roman"/>
          <w:i/>
          <w:iCs/>
          <w:sz w:val="19"/>
          <w:szCs w:val="19"/>
        </w:rPr>
        <w:t xml:space="preserve">   </w:t>
      </w:r>
      <w:r>
        <w:rPr>
          <w:i/>
          <w:iCs/>
          <w:spacing w:val="-3"/>
        </w:rPr>
        <w:t>△</w:t>
      </w:r>
      <w:r>
        <w:rPr>
          <w:rFonts w:ascii="Times New Roman" w:eastAsia="Times New Roman" w:hAnsi="Times New Roman" w:cs="Times New Roman"/>
          <w:i/>
          <w:iCs/>
          <w:spacing w:val="-3"/>
          <w:sz w:val="22"/>
          <w:szCs w:val="22"/>
        </w:rPr>
        <w:t>D=D-D,</w:t>
      </w:r>
    </w:p>
    <w:p>
      <w:pPr>
        <w:pStyle w:val="BodyText"/>
        <w:spacing w:before="121" w:line="212" w:lineRule="auto"/>
        <w:ind w:left="559"/>
        <w:rPr>
          <w:rFonts w:ascii="Times New Roman" w:eastAsia="Times New Roman" w:hAnsi="Times New Roman" w:cs="Times New Roman"/>
          <w:sz w:val="22"/>
          <w:szCs w:val="22"/>
        </w:rPr>
      </w:pPr>
      <w:r>
        <w:rPr>
          <w:spacing w:val="7"/>
          <w:sz w:val="22"/>
          <w:szCs w:val="22"/>
        </w:rPr>
        <w:t>检定更大比率时，可选</w:t>
      </w:r>
      <w:r>
        <w:rPr>
          <w:spacing w:val="-48"/>
          <w:sz w:val="22"/>
          <w:szCs w:val="22"/>
        </w:rPr>
        <w:t xml:space="preserve"> </w:t>
      </w:r>
      <w:r>
        <w:rPr>
          <w:rFonts w:ascii="Times New Roman" w:eastAsia="Times New Roman" w:hAnsi="Times New Roman" w:cs="Times New Roman"/>
          <w:spacing w:val="7"/>
          <w:sz w:val="22"/>
          <w:szCs w:val="22"/>
        </w:rPr>
        <w:t>C₃=10000</w:t>
      </w:r>
      <w:r>
        <w:rPr>
          <w:rFonts w:ascii="Times New Roman" w:eastAsia="Times New Roman" w:hAnsi="Times New Roman" w:cs="Times New Roman"/>
          <w:sz w:val="22"/>
          <w:szCs w:val="22"/>
        </w:rPr>
        <w:t>pF</w:t>
      </w:r>
      <w:r>
        <w:rPr>
          <w:rFonts w:ascii="Times New Roman" w:eastAsia="Times New Roman" w:hAnsi="Times New Roman" w:cs="Times New Roman"/>
          <w:spacing w:val="-31"/>
          <w:sz w:val="22"/>
          <w:szCs w:val="22"/>
        </w:rPr>
        <w:t xml:space="preserve"> </w:t>
      </w:r>
      <w:r>
        <w:rPr>
          <w:spacing w:val="7"/>
          <w:sz w:val="22"/>
          <w:szCs w:val="22"/>
        </w:rPr>
        <w:t>、</w:t>
      </w:r>
      <w:r>
        <w:rPr>
          <w:rFonts w:ascii="Times New Roman" w:eastAsia="Times New Roman" w:hAnsi="Times New Roman" w:cs="Times New Roman"/>
          <w:spacing w:val="7"/>
          <w:sz w:val="22"/>
          <w:szCs w:val="22"/>
        </w:rPr>
        <w:t>C₂=</w:t>
      </w:r>
      <w:r>
        <w:rPr>
          <w:rFonts w:ascii="Times New Roman" w:eastAsia="Times New Roman" w:hAnsi="Times New Roman" w:cs="Times New Roman"/>
          <w:spacing w:val="6"/>
          <w:sz w:val="22"/>
          <w:szCs w:val="22"/>
        </w:rPr>
        <w:t>1000</w:t>
      </w:r>
      <w:r>
        <w:rPr>
          <w:rFonts w:ascii="Times New Roman" w:eastAsia="Times New Roman" w:hAnsi="Times New Roman" w:cs="Times New Roman"/>
          <w:sz w:val="22"/>
          <w:szCs w:val="22"/>
        </w:rPr>
        <w:t>pF</w:t>
      </w:r>
      <w:r>
        <w:rPr>
          <w:rFonts w:ascii="Times New Roman" w:eastAsia="Times New Roman" w:hAnsi="Times New Roman" w:cs="Times New Roman"/>
          <w:spacing w:val="6"/>
          <w:sz w:val="22"/>
          <w:szCs w:val="22"/>
        </w:rPr>
        <w:t>,</w:t>
      </w:r>
    </w:p>
    <w:p>
      <w:pPr>
        <w:pStyle w:val="BodyText"/>
        <w:spacing w:before="84"/>
        <w:ind w:left="49"/>
        <w:rPr>
          <w:sz w:val="22"/>
          <w:szCs w:val="22"/>
        </w:rPr>
      </w:pPr>
      <w:r>
        <w:rPr>
          <w:spacing w:val="18"/>
          <w:sz w:val="22"/>
          <w:szCs w:val="22"/>
        </w:rPr>
        <w:t>率测出</w:t>
      </w:r>
      <w:r>
        <w:rPr>
          <w:position w:val="-18"/>
          <w:sz w:val="22"/>
          <w:szCs w:val="22"/>
        </w:rPr>
        <w:drawing>
          <wp:inline distT="0" distB="0" distL="0" distR="0">
            <wp:extent cx="256162" cy="36830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86"/>
                    <a:stretch>
                      <a:fillRect/>
                    </a:stretch>
                  </pic:blipFill>
                  <pic:spPr>
                    <a:xfrm>
                      <a:off x="0" y="0"/>
                      <a:ext cx="256162" cy="368305"/>
                    </a:xfrm>
                    <a:prstGeom prst="rect">
                      <a:avLst/>
                    </a:prstGeom>
                  </pic:spPr>
                </pic:pic>
              </a:graphicData>
            </a:graphic>
          </wp:inline>
        </w:drawing>
      </w:r>
      <w:r>
        <w:rPr>
          <w:spacing w:val="39"/>
          <w:sz w:val="22"/>
          <w:szCs w:val="22"/>
        </w:rPr>
        <w:t xml:space="preserve"> </w:t>
      </w:r>
      <w:r>
        <w:rPr>
          <w:spacing w:val="18"/>
          <w:sz w:val="22"/>
          <w:szCs w:val="22"/>
        </w:rPr>
        <w:t>然后重复以上步骤。</w:t>
      </w:r>
    </w:p>
    <w:p>
      <w:pPr>
        <w:spacing w:line="14" w:lineRule="auto"/>
        <w:rPr>
          <w:rFonts w:ascii="Arial"/>
          <w:sz w:val="2"/>
        </w:rPr>
      </w:pPr>
      <w:r>
        <w:rPr>
          <w:rFonts w:ascii="Arial" w:eastAsia="Arial" w:hAnsi="Arial" w:cs="Arial"/>
          <w:sz w:val="2"/>
          <w:szCs w:val="2"/>
        </w:rPr>
        <w:br w:type="column"/>
      </w:r>
    </w:p>
    <w:p>
      <w:pPr>
        <w:spacing w:before="224" w:line="192" w:lineRule="auto"/>
        <w:ind w:left="2739"/>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(A2)</w:t>
      </w:r>
    </w:p>
    <w:p>
      <w:pPr>
        <w:spacing w:line="323" w:lineRule="auto"/>
        <w:rPr>
          <w:rFonts w:ascii="Arial"/>
          <w:sz w:val="21"/>
        </w:rPr>
      </w:pPr>
    </w:p>
    <w:p>
      <w:pPr>
        <w:spacing w:line="323" w:lineRule="auto"/>
        <w:rPr>
          <w:rFonts w:ascii="Arial"/>
          <w:sz w:val="21"/>
        </w:rPr>
      </w:pPr>
    </w:p>
    <w:p>
      <w:pPr>
        <w:spacing w:before="56" w:line="192" w:lineRule="auto"/>
        <w:ind w:left="2739"/>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(A3)</w:t>
      </w:r>
    </w:p>
    <w:p>
      <w:pPr>
        <w:pStyle w:val="BodyText"/>
        <w:spacing w:before="158" w:line="262" w:lineRule="auto"/>
        <w:ind w:firstLine="2739"/>
        <w:rPr>
          <w:sz w:val="26"/>
          <w:szCs w:val="26"/>
        </w:rPr>
      </w:pPr>
      <w:r>
        <w:rPr>
          <w:rFonts w:ascii="Times New Roman" w:eastAsia="Times New Roman" w:hAnsi="Times New Roman" w:cs="Times New Roman"/>
          <w:spacing w:val="-3"/>
          <w:sz w:val="22"/>
          <w:szCs w:val="22"/>
        </w:rPr>
        <w:t xml:space="preserve">(A4)  </w:t>
      </w:r>
      <w:r>
        <w:rPr>
          <w:spacing w:val="22"/>
          <w:sz w:val="22"/>
          <w:szCs w:val="22"/>
        </w:rPr>
        <w:t>用1/10的电压比和电桥1:1</w:t>
      </w:r>
      <w:r>
        <w:rPr>
          <w:spacing w:val="-22"/>
          <w:sz w:val="22"/>
          <w:szCs w:val="22"/>
        </w:rPr>
        <w:t xml:space="preserve"> </w:t>
      </w:r>
      <w:r>
        <w:rPr>
          <w:spacing w:val="22"/>
          <w:sz w:val="26"/>
          <w:szCs w:val="26"/>
        </w:rPr>
        <w:t>比</w:t>
      </w:r>
    </w:p>
    <w:p>
      <w:pPr>
        <w:spacing w:line="262" w:lineRule="auto"/>
        <w:rPr>
          <w:sz w:val="26"/>
          <w:szCs w:val="26"/>
        </w:rPr>
        <w:sectPr>
          <w:headerReference w:type="default" r:id="rId87"/>
          <w:footerReference w:type="default" r:id="rId88"/>
          <w:type w:val="continuous"/>
          <w:pgSz w:w="11820" w:h="16900"/>
          <w:pgMar w:top="1809" w:right="1038" w:bottom="1072" w:left="1520" w:header="1536" w:footer="913" w:gutter="0"/>
          <w:pgNumType w:start="21"/>
          <w:cols w:num="2" w:space="708" w:equalWidth="0">
            <w:col w:w="5930" w:space="100"/>
            <w:col w:w="3232" w:space="0"/>
          </w:cols>
        </w:sectPr>
      </w:pPr>
    </w:p>
    <w:p>
      <w:pPr>
        <w:pStyle w:val="BodyText"/>
        <w:spacing w:before="202" w:line="212" w:lineRule="auto"/>
        <w:ind w:left="49"/>
        <w:rPr>
          <w:sz w:val="24"/>
          <w:szCs w:val="24"/>
        </w:rPr>
      </w:pPr>
      <w:r>
        <w:rPr>
          <w:rFonts w:ascii="Times New Roman" w:eastAsia="Times New Roman" w:hAnsi="Times New Roman" w:cs="Times New Roman"/>
          <w:spacing w:val="1"/>
          <w:sz w:val="24"/>
          <w:szCs w:val="24"/>
        </w:rPr>
        <w:t>A.3</w:t>
      </w:r>
      <w:r>
        <w:rPr>
          <w:rFonts w:ascii="Times New Roman" w:eastAsia="Times New Roman" w:hAnsi="Times New Roman" w:cs="Times New Roman"/>
          <w:spacing w:val="22"/>
          <w:sz w:val="24"/>
          <w:szCs w:val="24"/>
        </w:rPr>
        <w:t xml:space="preserve">   </w:t>
      </w:r>
      <w:r>
        <w:rPr>
          <w:spacing w:val="1"/>
          <w:sz w:val="24"/>
          <w:szCs w:val="24"/>
        </w:rPr>
        <w:t xml:space="preserve">检定 </w:t>
      </w:r>
      <w:r>
        <w:rPr>
          <w:rFonts w:ascii="Times New Roman" w:eastAsia="Times New Roman" w:hAnsi="Times New Roman" w:cs="Times New Roman"/>
          <w:sz w:val="24"/>
          <w:szCs w:val="24"/>
        </w:rPr>
        <w:t>Cy</w:t>
      </w:r>
      <w:r>
        <w:rPr>
          <w:rFonts w:ascii="Times New Roman" w:eastAsia="Times New Roman" w:hAnsi="Times New Roman" w:cs="Times New Roman"/>
          <w:spacing w:val="1"/>
          <w:sz w:val="24"/>
          <w:szCs w:val="24"/>
        </w:rPr>
        <w:t xml:space="preserve"> </w:t>
      </w:r>
      <w:r>
        <w:rPr>
          <w:spacing w:val="1"/>
          <w:sz w:val="24"/>
          <w:szCs w:val="24"/>
        </w:rPr>
        <w:t>和</w:t>
      </w:r>
      <w:r>
        <w:rPr>
          <w:rFonts w:ascii="Times New Roman" w:eastAsia="Times New Roman" w:hAnsi="Times New Roman" w:cs="Times New Roman"/>
          <w:sz w:val="24"/>
          <w:szCs w:val="24"/>
        </w:rPr>
        <w:t>Cs</w:t>
      </w:r>
      <w:r>
        <w:rPr>
          <w:rFonts w:ascii="Times New Roman" w:eastAsia="Times New Roman" w:hAnsi="Times New Roman" w:cs="Times New Roman"/>
          <w:spacing w:val="1"/>
          <w:sz w:val="24"/>
          <w:szCs w:val="24"/>
        </w:rPr>
        <w:t xml:space="preserve"> </w:t>
      </w:r>
      <w:r>
        <w:rPr>
          <w:spacing w:val="1"/>
          <w:sz w:val="24"/>
          <w:szCs w:val="24"/>
        </w:rPr>
        <w:t>端钮不处于地电位的高压西林电桥步骤</w:t>
      </w:r>
    </w:p>
    <w:p>
      <w:pPr>
        <w:pStyle w:val="BodyText"/>
        <w:spacing w:before="127" w:line="228" w:lineRule="auto"/>
        <w:ind w:left="39" w:right="1" w:firstLine="500"/>
        <w:rPr>
          <w:sz w:val="24"/>
          <w:szCs w:val="24"/>
        </w:rPr>
      </w:pPr>
      <w:r>
        <w:rPr>
          <w:spacing w:val="8"/>
          <w:sz w:val="24"/>
          <w:szCs w:val="24"/>
        </w:rPr>
        <w:t>用</w:t>
      </w:r>
      <w:r>
        <w:rPr>
          <w:spacing w:val="-51"/>
          <w:sz w:val="24"/>
          <w:szCs w:val="24"/>
        </w:rPr>
        <w:t xml:space="preserve"> </w:t>
      </w:r>
      <w:r>
        <w:rPr>
          <w:spacing w:val="8"/>
          <w:sz w:val="24"/>
          <w:szCs w:val="24"/>
        </w:rPr>
        <w:t>A.2</w:t>
      </w:r>
      <w:r>
        <w:rPr>
          <w:spacing w:val="-38"/>
          <w:sz w:val="24"/>
          <w:szCs w:val="24"/>
        </w:rPr>
        <w:t xml:space="preserve"> </w:t>
      </w:r>
      <w:r>
        <w:rPr>
          <w:spacing w:val="8"/>
          <w:sz w:val="24"/>
          <w:szCs w:val="24"/>
        </w:rPr>
        <w:t>节所述步骤检定这类电桥的3/9,3/8,317,316,3/5,3/4比率时，只需在式</w:t>
      </w:r>
      <w:r>
        <w:rPr>
          <w:sz w:val="24"/>
          <w:szCs w:val="24"/>
        </w:rPr>
        <w:t xml:space="preserve"> </w:t>
      </w:r>
      <w:r>
        <w:rPr>
          <w:rFonts w:ascii="Times New Roman" w:eastAsia="Times New Roman" w:hAnsi="Times New Roman" w:cs="Times New Roman"/>
          <w:sz w:val="24"/>
          <w:szCs w:val="24"/>
        </w:rPr>
        <w:t>(A4)</w:t>
      </w:r>
      <w:r>
        <w:rPr>
          <w:rFonts w:ascii="Times New Roman" w:eastAsia="Times New Roman" w:hAnsi="Times New Roman" w:cs="Times New Roman"/>
          <w:spacing w:val="20"/>
          <w:sz w:val="24"/>
          <w:szCs w:val="24"/>
        </w:rPr>
        <w:t xml:space="preserve">  </w:t>
      </w:r>
      <w:r>
        <w:rPr>
          <w:sz w:val="24"/>
          <w:szCs w:val="24"/>
        </w:rPr>
        <w:t>增加修正项，即</w:t>
      </w:r>
    </w:p>
    <w:p>
      <w:pPr>
        <w:spacing w:before="131"/>
        <w:ind w:left="2599"/>
        <w:rPr>
          <w:rFonts w:ascii="Times New Roman" w:eastAsia="Times New Roman" w:hAnsi="Times New Roman" w:cs="Times New Roman"/>
          <w:sz w:val="19"/>
          <w:szCs w:val="19"/>
        </w:rPr>
      </w:pPr>
      <w:r>
        <w:rPr>
          <w:rFonts w:ascii="Times New Roman" w:eastAsia="Times New Roman" w:hAnsi="Times New Roman" w:cs="Times New Roman"/>
          <w:position w:val="-18"/>
          <w:sz w:val="19"/>
          <w:szCs w:val="19"/>
        </w:rPr>
        <w:drawing>
          <wp:inline distT="0" distB="0" distL="0" distR="0">
            <wp:extent cx="2571727" cy="323795"/>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89"/>
                    <a:stretch>
                      <a:fillRect/>
                    </a:stretch>
                  </pic:blipFill>
                  <pic:spPr>
                    <a:xfrm>
                      <a:off x="0" y="0"/>
                      <a:ext cx="2571727" cy="323795"/>
                    </a:xfrm>
                    <a:prstGeom prst="rect">
                      <a:avLst/>
                    </a:prstGeom>
                  </pic:spPr>
                </pic:pic>
              </a:graphicData>
            </a:graphic>
          </wp:inline>
        </w:drawing>
      </w:r>
      <w:r>
        <w:rPr>
          <w:rFonts w:ascii="Times New Roman" w:eastAsia="Times New Roman" w:hAnsi="Times New Roman" w:cs="Times New Roman"/>
          <w:sz w:val="19"/>
          <w:szCs w:val="19"/>
        </w:rPr>
        <w:t xml:space="preserve">                                           </w:t>
      </w:r>
      <w:r>
        <w:rPr>
          <w:rFonts w:ascii="Times New Roman" w:eastAsia="Times New Roman" w:hAnsi="Times New Roman" w:cs="Times New Roman"/>
          <w:spacing w:val="-2"/>
          <w:sz w:val="19"/>
          <w:szCs w:val="19"/>
        </w:rPr>
        <w:t>(A5)</w:t>
      </w:r>
    </w:p>
    <w:p>
      <w:pPr>
        <w:pStyle w:val="BodyText"/>
        <w:spacing w:before="126" w:line="254" w:lineRule="auto"/>
        <w:ind w:left="39" w:right="17" w:firstLine="470"/>
        <w:rPr>
          <w:sz w:val="24"/>
          <w:szCs w:val="24"/>
        </w:rPr>
      </w:pPr>
      <w:r>
        <w:rPr>
          <w:spacing w:val="4"/>
          <w:sz w:val="24"/>
          <w:szCs w:val="24"/>
        </w:rPr>
        <w:t>然后选用准确度等级指数不大于 B/10,</w:t>
      </w:r>
      <w:r>
        <w:rPr>
          <w:spacing w:val="-26"/>
          <w:sz w:val="24"/>
          <w:szCs w:val="24"/>
        </w:rPr>
        <w:t xml:space="preserve"> </w:t>
      </w:r>
      <w:r>
        <w:rPr>
          <w:spacing w:val="4"/>
          <w:sz w:val="24"/>
          <w:szCs w:val="24"/>
        </w:rPr>
        <w:t>时间常数不大于1</w:t>
      </w:r>
      <w:r>
        <w:rPr>
          <w:spacing w:val="3"/>
          <w:sz w:val="24"/>
          <w:szCs w:val="24"/>
        </w:rPr>
        <w:t>0~</w:t>
      </w:r>
      <w:r>
        <w:rPr>
          <w:rFonts w:ascii="Calibri" w:eastAsia="Calibri" w:hAnsi="Calibri" w:cs="Calibri"/>
          <w:spacing w:val="3"/>
          <w:sz w:val="24"/>
          <w:szCs w:val="24"/>
        </w:rPr>
        <w:t>⁶</w:t>
      </w:r>
      <w:r>
        <w:rPr>
          <w:rFonts w:ascii="Calibri" w:eastAsia="Calibri" w:hAnsi="Calibri" w:cs="Calibri"/>
          <w:spacing w:val="-37"/>
          <w:sz w:val="24"/>
          <w:szCs w:val="24"/>
        </w:rPr>
        <w:t xml:space="preserve"> </w:t>
      </w:r>
      <w:r>
        <w:rPr>
          <w:spacing w:val="3"/>
          <w:sz w:val="24"/>
          <w:szCs w:val="24"/>
        </w:rPr>
        <w:t>s</w:t>
      </w:r>
      <w:r>
        <w:rPr>
          <w:spacing w:val="-50"/>
          <w:sz w:val="24"/>
          <w:szCs w:val="24"/>
        </w:rPr>
        <w:t xml:space="preserve"> </w:t>
      </w:r>
      <w:r>
        <w:rPr>
          <w:spacing w:val="3"/>
          <w:sz w:val="24"/>
          <w:szCs w:val="24"/>
        </w:rPr>
        <w:t>的电阻箱，串在 C,</w:t>
      </w:r>
      <w:r>
        <w:rPr>
          <w:sz w:val="24"/>
          <w:szCs w:val="24"/>
        </w:rPr>
        <w:t xml:space="preserve"> </w:t>
      </w:r>
      <w:r>
        <w:rPr>
          <w:spacing w:val="3"/>
          <w:sz w:val="24"/>
          <w:szCs w:val="24"/>
        </w:rPr>
        <w:t>高压侧，预置电阻值</w:t>
      </w:r>
      <w:r>
        <w:rPr>
          <w:spacing w:val="-69"/>
          <w:sz w:val="24"/>
          <w:szCs w:val="24"/>
        </w:rPr>
        <w:t xml:space="preserve"> </w:t>
      </w:r>
      <w:r>
        <w:rPr>
          <w:rFonts w:ascii="Times New Roman" w:eastAsia="Times New Roman" w:hAnsi="Times New Roman" w:cs="Times New Roman"/>
          <w:spacing w:val="3"/>
          <w:sz w:val="24"/>
          <w:szCs w:val="24"/>
        </w:rPr>
        <w:t>R=R₄</w:t>
      </w:r>
      <w:r>
        <w:rPr>
          <w:rFonts w:ascii="Times New Roman" w:eastAsia="Times New Roman" w:hAnsi="Times New Roman" w:cs="Times New Roman"/>
          <w:spacing w:val="-28"/>
          <w:sz w:val="24"/>
          <w:szCs w:val="24"/>
        </w:rPr>
        <w:t xml:space="preserve"> </w:t>
      </w:r>
      <w:r>
        <w:rPr>
          <w:spacing w:val="3"/>
          <w:sz w:val="24"/>
          <w:szCs w:val="24"/>
        </w:rPr>
        <w:t>。</w:t>
      </w:r>
      <w:r>
        <w:rPr>
          <w:spacing w:val="48"/>
          <w:sz w:val="24"/>
          <w:szCs w:val="24"/>
        </w:rPr>
        <w:t xml:space="preserve"> </w:t>
      </w:r>
      <w:r>
        <w:rPr>
          <w:spacing w:val="3"/>
          <w:sz w:val="24"/>
          <w:szCs w:val="24"/>
        </w:rPr>
        <w:t>即可重复以上步骤确定3/2,3/</w:t>
      </w:r>
      <w:r>
        <w:rPr>
          <w:spacing w:val="2"/>
          <w:sz w:val="24"/>
          <w:szCs w:val="24"/>
        </w:rPr>
        <w:t>1的误差。</w:t>
      </w:r>
    </w:p>
    <w:p>
      <w:pPr>
        <w:pStyle w:val="BodyText"/>
        <w:spacing w:before="143"/>
        <w:ind w:left="509"/>
        <w:rPr>
          <w:sz w:val="24"/>
          <w:szCs w:val="24"/>
        </w:rPr>
      </w:pPr>
      <w:r>
        <w:rPr>
          <w:spacing w:val="3"/>
          <w:sz w:val="24"/>
          <w:szCs w:val="24"/>
        </w:rPr>
        <w:t>检定更大比率时，可参照</w:t>
      </w:r>
      <w:r>
        <w:rPr>
          <w:spacing w:val="-26"/>
          <w:sz w:val="24"/>
          <w:szCs w:val="24"/>
        </w:rPr>
        <w:t xml:space="preserve"> </w:t>
      </w:r>
      <w:r>
        <w:rPr>
          <w:spacing w:val="3"/>
          <w:sz w:val="24"/>
          <w:szCs w:val="24"/>
        </w:rPr>
        <w:t>A.2节有关内容。电阻箱预置电阻值为</w:t>
      </w:r>
      <w:r>
        <w:rPr>
          <w:spacing w:val="-33"/>
          <w:sz w:val="24"/>
          <w:szCs w:val="24"/>
        </w:rPr>
        <w:t xml:space="preserve"> </w:t>
      </w:r>
      <w:r>
        <w:rPr>
          <w:position w:val="-17"/>
          <w:sz w:val="24"/>
          <w:szCs w:val="24"/>
        </w:rPr>
        <w:drawing>
          <wp:inline distT="0" distB="0" distL="0" distR="0">
            <wp:extent cx="520703" cy="317487"/>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90"/>
                    <a:stretch>
                      <a:fillRect/>
                    </a:stretch>
                  </pic:blipFill>
                  <pic:spPr>
                    <a:xfrm>
                      <a:off x="0" y="0"/>
                      <a:ext cx="520703" cy="317487"/>
                    </a:xfrm>
                    <a:prstGeom prst="rect">
                      <a:avLst/>
                    </a:prstGeom>
                  </pic:spPr>
                </pic:pic>
              </a:graphicData>
            </a:graphic>
          </wp:inline>
        </w:drawing>
      </w:r>
    </w:p>
    <w:p>
      <w:pPr>
        <w:pStyle w:val="BodyText"/>
        <w:spacing w:before="128" w:line="244" w:lineRule="auto"/>
        <w:ind w:left="49" w:right="19" w:hanging="10"/>
        <w:rPr>
          <w:sz w:val="24"/>
          <w:szCs w:val="24"/>
        </w:rPr>
      </w:pPr>
      <w:r>
        <w:rPr>
          <w:spacing w:val="4"/>
          <w:sz w:val="24"/>
          <w:szCs w:val="24"/>
        </w:rPr>
        <w:t>A.4  被检电桥若不具备负损耗因数测量能力，在负损耗因数的数值不大于10~`时，可</w:t>
      </w:r>
      <w:r>
        <w:rPr>
          <w:spacing w:val="1"/>
          <w:sz w:val="24"/>
          <w:szCs w:val="24"/>
        </w:rPr>
        <w:t xml:space="preserve"> </w:t>
      </w:r>
      <w:r>
        <w:rPr>
          <w:spacing w:val="-1"/>
          <w:sz w:val="24"/>
          <w:szCs w:val="24"/>
        </w:rPr>
        <w:t>以用高压端串入电阻方法设定附加损耗。</w:t>
      </w:r>
    </w:p>
    <w:p>
      <w:pPr>
        <w:pStyle w:val="BodyText"/>
        <w:spacing w:before="87" w:line="219" w:lineRule="auto"/>
        <w:ind w:left="49"/>
        <w:rPr>
          <w:sz w:val="24"/>
          <w:szCs w:val="24"/>
        </w:rPr>
      </w:pPr>
      <w:r>
        <w:rPr>
          <w:sz w:val="24"/>
          <w:szCs w:val="24"/>
        </w:rPr>
        <w:t>A.5</w:t>
      </w:r>
      <w:r>
        <w:rPr>
          <w:spacing w:val="111"/>
          <w:sz w:val="24"/>
          <w:szCs w:val="24"/>
        </w:rPr>
        <w:t xml:space="preserve"> </w:t>
      </w:r>
      <w:r>
        <w:rPr>
          <w:sz w:val="24"/>
          <w:szCs w:val="24"/>
        </w:rPr>
        <w:t>等功率电桥法不适用于无屏蔽电位的</w:t>
      </w:r>
      <w:r>
        <w:rPr>
          <w:spacing w:val="-1"/>
          <w:sz w:val="24"/>
          <w:szCs w:val="24"/>
        </w:rPr>
        <w:t>电桥。</w:t>
      </w:r>
    </w:p>
    <w:p>
      <w:pPr>
        <w:spacing w:line="219"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1" w:history="1">
        <w:r>
          <w:rPr>
            <w:rFonts w:ascii="SimSun" w:eastAsia="SimSun" w:hAnsi="SimSun" w:cs="SimSun"/>
            <w:b/>
            <w:bCs/>
            <w:noProof w:val="0"/>
            <w:snapToGrid/>
            <w:color w:val="0000EE"/>
            <w:kern w:val="0"/>
            <w:sz w:val="30"/>
            <w:szCs w:val="30"/>
            <w:u w:val="single" w:color="0000EE"/>
          </w:rPr>
          <w:t>https://d.book118.com/548013062043006025</w:t>
        </w:r>
      </w:hyperlink>
    </w:p>
    <w:p>
      <w:pPr>
        <w:spacing w:line="219" w:lineRule="auto"/>
        <w:rPr>
          <w:sz w:val="24"/>
          <w:szCs w:val="24"/>
        </w:rPr>
      </w:pPr>
    </w:p>
    <w:sectPr>
      <w:headerReference w:type="default" r:id="rId92"/>
      <w:footerReference w:type="default" r:id="rId93"/>
      <w:pgSz w:w="11780" w:h="16840"/>
      <w:pgMar w:top="1770" w:right="1599" w:bottom="1082" w:left="950" w:header="1510" w:footer="923"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9" w:lineRule="exact"/>
      <w:ind w:left="8930"/>
      <w:rPr>
        <w:sz w:val="6"/>
        <w:szCs w:val="6"/>
      </w:rPr>
    </w:pPr>
    <w:r>
      <w:rPr>
        <w:position w:val="-1"/>
        <w:sz w:val="6"/>
        <w:szCs w:val="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49" w:lineRule="exact"/>
      <w:ind w:left="8930"/>
      <w:rPr>
        <w:sz w:val="6"/>
        <w:szCs w:val="6"/>
      </w:rPr>
    </w:pPr>
    <w:r>
      <w:rPr>
        <w:position w:val="-1"/>
        <w:sz w:val="6"/>
        <w:szCs w:val="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40"/>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40"/>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30"/>
      <w:rPr>
        <w:rFonts w:ascii="YouYuan" w:eastAsia="YouYuan" w:hAnsi="YouYuan" w:cs="YouYuan"/>
        <w:sz w:val="16"/>
        <w:szCs w:val="16"/>
      </w:rPr>
    </w:pPr>
    <w:r>
      <w:rPr>
        <w:rFonts w:ascii="YouYuan" w:eastAsia="YouYuan" w:hAnsi="YouYuan" w:cs="YouYuan"/>
        <w:sz w:val="16"/>
        <w:szCs w:val="16"/>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30"/>
      <w:rPr>
        <w:rFonts w:ascii="YouYuan" w:eastAsia="YouYuan" w:hAnsi="YouYuan" w:cs="YouYuan"/>
        <w:sz w:val="16"/>
        <w:szCs w:val="16"/>
      </w:rPr>
    </w:pPr>
    <w:r>
      <w:rPr>
        <w:rFonts w:ascii="YouYuan" w:eastAsia="YouYuan" w:hAnsi="YouYuan" w:cs="YouYuan"/>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399"/>
      <w:rPr>
        <w:sz w:val="14"/>
        <w:szCs w:val="14"/>
      </w:rPr>
    </w:pPr>
    <w:r>
      <w:rPr>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399"/>
      <w:rPr>
        <w:sz w:val="14"/>
        <w:szCs w:val="14"/>
      </w:rPr>
    </w:pPr>
    <w:r>
      <w:rPr>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39"/>
      <w:rPr>
        <w:sz w:val="15"/>
        <w:szCs w:val="15"/>
      </w:rPr>
    </w:pPr>
    <w:r>
      <w:rPr>
        <w:sz w:val="15"/>
        <w:szCs w:val="15"/>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39"/>
      <w:rPr>
        <w:sz w:val="15"/>
        <w:szCs w:val="15"/>
      </w:rPr>
    </w:pPr>
    <w:r>
      <w:rPr>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40"/>
      <w:rPr>
        <w:sz w:val="16"/>
        <w:szCs w:val="16"/>
      </w:rPr>
    </w:pPr>
    <w:r>
      <w:rPr>
        <w:sz w:val="16"/>
        <w:szCs w:val="1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40"/>
      <w:rPr>
        <w:sz w:val="16"/>
        <w:szCs w:val="16"/>
      </w:rPr>
    </w:pPr>
    <w:r>
      <w:rPr>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8870"/>
      <w:rPr>
        <w:sz w:val="14"/>
        <w:szCs w:val="14"/>
      </w:rPr>
    </w:pPr>
    <w:r>
      <w:rPr>
        <w:sz w:val="14"/>
        <w:szCs w:val="14"/>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8870"/>
      <w:rPr>
        <w:sz w:val="14"/>
        <w:szCs w:val="14"/>
      </w:rPr>
    </w:pPr>
    <w:r>
      <w:rPr>
        <w:sz w:val="14"/>
        <w:szCs w:val="14"/>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59"/>
      <w:rPr>
        <w:sz w:val="15"/>
        <w:szCs w:val="15"/>
      </w:rPr>
    </w:pPr>
    <w:r>
      <w:rPr>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59"/>
      <w:rPr>
        <w:sz w:val="15"/>
        <w:szCs w:val="15"/>
      </w:rPr>
    </w:pPr>
    <w:r>
      <w:rPr>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59"/>
      <w:rPr>
        <w:sz w:val="15"/>
        <w:szCs w:val="15"/>
      </w:rPr>
    </w:pPr>
    <w:r>
      <w:rPr>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sz w:val="16"/>
        <w:szCs w:val="16"/>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sz w:val="16"/>
        <w:szCs w:val="16"/>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sz w:val="16"/>
        <w:szCs w:val="16"/>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9"/>
      <w:rPr>
        <w:sz w:val="16"/>
        <w:szCs w:val="16"/>
      </w:rPr>
    </w:pPr>
    <w:r>
      <w:rPr>
        <w:sz w:val="16"/>
        <w:szCs w:val="16"/>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69"/>
      <w:rPr>
        <w:sz w:val="16"/>
        <w:szCs w:val="16"/>
      </w:rPr>
    </w:pPr>
    <w:r>
      <w:rPr>
        <w:spacing w:val="-5"/>
        <w:sz w:val="16"/>
        <w:szCs w:val="16"/>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82"/>
    </w:pPr>
    <w:r>
      <w:rPr>
        <w:b/>
        <w:bCs/>
        <w:spacing w:val="-17"/>
      </w:rPr>
      <w:t>JJG</w:t>
    </w:r>
    <w:r>
      <w:rPr>
        <w:spacing w:val="-17"/>
      </w:rPr>
      <w:t xml:space="preserve"> </w:t>
    </w:r>
    <w:r>
      <w:rPr>
        <w:b/>
        <w:bCs/>
        <w:spacing w:val="-17"/>
      </w:rPr>
      <w:t>563—2004</w:t>
    </w:r>
  </w:p>
  <w:p>
    <w:pPr>
      <w:spacing w:before="71" w:line="10" w:lineRule="exact"/>
    </w:pPr>
    <w:r>
      <w:drawing>
        <wp:inline distT="0" distB="0" distL="0" distR="0">
          <wp:extent cx="5880056"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80056"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3982"/>
    </w:pPr>
    <w:r>
      <w:rPr>
        <w:b/>
        <w:bCs/>
        <w:spacing w:val="-17"/>
      </w:rPr>
      <w:t>JJG</w:t>
    </w:r>
    <w:r>
      <w:rPr>
        <w:spacing w:val="-17"/>
      </w:rPr>
      <w:t xml:space="preserve"> </w:t>
    </w:r>
    <w:r>
      <w:rPr>
        <w:b/>
        <w:bCs/>
        <w:spacing w:val="-17"/>
      </w:rPr>
      <w:t>563—2004</w:t>
    </w:r>
  </w:p>
  <w:p>
    <w:pPr>
      <w:spacing w:before="71" w:line="10" w:lineRule="exact"/>
    </w:pPr>
    <w:r>
      <w:drawing>
        <wp:inline distT="0" distB="0" distL="0" distR="0">
          <wp:extent cx="5880056" cy="6375"/>
          <wp:effectExtent l="0" t="0" r="0" b="0"/>
          <wp:docPr id="1539978542" name="IM 2"/>
          <wp:cNvGraphicFramePr/>
          <a:graphic xmlns:a="http://schemas.openxmlformats.org/drawingml/2006/main">
            <a:graphicData uri="http://schemas.openxmlformats.org/drawingml/2006/picture">
              <pic:pic xmlns:pic="http://schemas.openxmlformats.org/drawingml/2006/picture">
                <pic:nvPicPr>
                  <pic:cNvPr id="1539978542" name="IM 2"/>
                  <pic:cNvPicPr/>
                </pic:nvPicPr>
                <pic:blipFill>
                  <a:blip xmlns:r="http://schemas.openxmlformats.org/officeDocument/2006/relationships" r:embed="rId1"/>
                  <a:stretch>
                    <a:fillRect/>
                  </a:stretch>
                </pic:blipFill>
                <pic:spPr>
                  <a:xfrm>
                    <a:off x="0" y="0"/>
                    <a:ext cx="5880056"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563-2004</w:t>
    </w:r>
  </w:p>
  <w:p>
    <w:pPr>
      <w:spacing w:before="77" w:line="10" w:lineRule="exact"/>
    </w:pPr>
    <w:r>
      <w:drawing>
        <wp:inline distT="0" distB="0" distL="0" distR="0">
          <wp:extent cx="5854655" cy="63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54655" cy="6360"/>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563-2004</w:t>
    </w:r>
  </w:p>
  <w:p>
    <w:pPr>
      <w:spacing w:before="77" w:line="10" w:lineRule="exact"/>
    </w:pPr>
    <w:r>
      <w:drawing>
        <wp:inline distT="0" distB="0" distL="0" distR="0">
          <wp:extent cx="5854655" cy="6360"/>
          <wp:effectExtent l="0" t="0" r="0" b="0"/>
          <wp:docPr id="700334093" name="IM 4"/>
          <wp:cNvGraphicFramePr/>
          <a:graphic xmlns:a="http://schemas.openxmlformats.org/drawingml/2006/main">
            <a:graphicData uri="http://schemas.openxmlformats.org/drawingml/2006/picture">
              <pic:pic xmlns:pic="http://schemas.openxmlformats.org/drawingml/2006/picture">
                <pic:nvPicPr>
                  <pic:cNvPr id="700334093" name="IM 4"/>
                  <pic:cNvPicPr/>
                </pic:nvPicPr>
                <pic:blipFill>
                  <a:blip xmlns:r="http://schemas.openxmlformats.org/officeDocument/2006/relationships" r:embed="rId1"/>
                  <a:stretch>
                    <a:fillRect/>
                  </a:stretch>
                </pic:blipFill>
                <pic:spPr>
                  <a:xfrm>
                    <a:off x="0" y="0"/>
                    <a:ext cx="5854655" cy="6360"/>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12"/>
      <w:rPr>
        <w:sz w:val="22"/>
        <w:szCs w:val="22"/>
      </w:rPr>
    </w:pPr>
    <w:r>
      <w:rPr>
        <w:b/>
        <w:bCs/>
        <w:spacing w:val="-12"/>
        <w:sz w:val="22"/>
        <w:szCs w:val="22"/>
      </w:rPr>
      <w:t>JJG</w:t>
    </w:r>
    <w:r>
      <w:rPr>
        <w:spacing w:val="-12"/>
        <w:sz w:val="22"/>
        <w:szCs w:val="22"/>
      </w:rPr>
      <w:t xml:space="preserve"> </w:t>
    </w:r>
    <w:r>
      <w:rPr>
        <w:b/>
        <w:bCs/>
        <w:spacing w:val="-12"/>
        <w:sz w:val="22"/>
        <w:szCs w:val="22"/>
      </w:rPr>
      <w:t>563—2004</w:t>
    </w:r>
  </w:p>
  <w:p>
    <w:pPr>
      <w:spacing w:before="83" w:line="10" w:lineRule="exact"/>
      <w:ind w:firstLine="219"/>
    </w:pPr>
    <w:r>
      <w:drawing>
        <wp:inline distT="0" distB="0" distL="0" distR="0">
          <wp:extent cx="5892795" cy="636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92795" cy="6360"/>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4212"/>
      <w:rPr>
        <w:sz w:val="22"/>
        <w:szCs w:val="22"/>
      </w:rPr>
    </w:pPr>
    <w:r>
      <w:rPr>
        <w:b/>
        <w:bCs/>
        <w:spacing w:val="-12"/>
        <w:sz w:val="22"/>
        <w:szCs w:val="22"/>
      </w:rPr>
      <w:t>JJG</w:t>
    </w:r>
    <w:r>
      <w:rPr>
        <w:spacing w:val="-12"/>
        <w:sz w:val="22"/>
        <w:szCs w:val="22"/>
      </w:rPr>
      <w:t xml:space="preserve"> </w:t>
    </w:r>
    <w:r>
      <w:rPr>
        <w:b/>
        <w:bCs/>
        <w:spacing w:val="-12"/>
        <w:sz w:val="22"/>
        <w:szCs w:val="22"/>
      </w:rPr>
      <w:t>563—2004</w:t>
    </w:r>
  </w:p>
  <w:p>
    <w:pPr>
      <w:spacing w:before="83" w:line="10" w:lineRule="exact"/>
      <w:ind w:firstLine="219"/>
    </w:pPr>
    <w:r>
      <w:drawing>
        <wp:inline distT="0" distB="0" distL="0" distR="0">
          <wp:extent cx="5892795" cy="6360"/>
          <wp:effectExtent l="0" t="0" r="0" b="0"/>
          <wp:docPr id="1735182558" name="IM 14"/>
          <wp:cNvGraphicFramePr/>
          <a:graphic xmlns:a="http://schemas.openxmlformats.org/drawingml/2006/main">
            <a:graphicData uri="http://schemas.openxmlformats.org/drawingml/2006/picture">
              <pic:pic xmlns:pic="http://schemas.openxmlformats.org/drawingml/2006/picture">
                <pic:nvPicPr>
                  <pic:cNvPr id="1735182558" name="IM 14"/>
                  <pic:cNvPicPr/>
                </pic:nvPicPr>
                <pic:blipFill>
                  <a:blip xmlns:r="http://schemas.openxmlformats.org/officeDocument/2006/relationships" r:embed="rId1"/>
                  <a:stretch>
                    <a:fillRect/>
                  </a:stretch>
                </pic:blipFill>
                <pic:spPr>
                  <a:xfrm>
                    <a:off x="0" y="0"/>
                    <a:ext cx="5892795" cy="6360"/>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102"/>
    </w:pPr>
    <w:r>
      <w:drawing>
        <wp:anchor distT="0" distB="0" distL="0" distR="0" simplePos="0" relativeHeight="251658240" behindDoc="0" locked="0" layoutInCell="0" allowOverlap="1">
          <wp:simplePos x="0" y="0"/>
          <wp:positionH relativeFrom="page">
            <wp:posOffset>673111</wp:posOffset>
          </wp:positionH>
          <wp:positionV relativeFrom="page">
            <wp:posOffset>1117579</wp:posOffset>
          </wp:positionV>
          <wp:extent cx="5873735" cy="638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73735" cy="6385"/>
                  </a:xfrm>
                  <a:prstGeom prst="rect">
                    <a:avLst/>
                  </a:prstGeom>
                </pic:spPr>
              </pic:pic>
            </a:graphicData>
          </a:graphic>
        </wp:anchor>
      </w:drawing>
    </w:r>
    <w:r>
      <w:rPr>
        <w:b/>
        <w:bCs/>
        <w:spacing w:val="-18"/>
      </w:rPr>
      <w:t>JJG</w:t>
    </w:r>
    <w:r>
      <w:rPr>
        <w:spacing w:val="-18"/>
      </w:rPr>
      <w:t xml:space="preserve"> </w:t>
    </w:r>
    <w:r>
      <w:rPr>
        <w:b/>
        <w:bCs/>
        <w:spacing w:val="-18"/>
      </w:rPr>
      <w:t>563—2004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2" w:lineRule="auto"/>
      <w:ind w:left="4102"/>
    </w:pPr>
    <w:r>
      <w:drawing>
        <wp:anchor distT="0" distB="0" distL="0" distR="0" simplePos="0" relativeHeight="251659264" behindDoc="0" locked="0" layoutInCell="0" allowOverlap="1">
          <wp:simplePos x="0" y="0"/>
          <wp:positionH relativeFrom="page">
            <wp:posOffset>673111</wp:posOffset>
          </wp:positionH>
          <wp:positionV relativeFrom="page">
            <wp:posOffset>1117579</wp:posOffset>
          </wp:positionV>
          <wp:extent cx="5873735" cy="6385"/>
          <wp:effectExtent l="0" t="0" r="0" b="0"/>
          <wp:wrapNone/>
          <wp:docPr id="1974941709" name="IM 16"/>
          <wp:cNvGraphicFramePr/>
          <a:graphic xmlns:a="http://schemas.openxmlformats.org/drawingml/2006/main">
            <a:graphicData uri="http://schemas.openxmlformats.org/drawingml/2006/picture">
              <pic:pic xmlns:pic="http://schemas.openxmlformats.org/drawingml/2006/picture">
                <pic:nvPicPr>
                  <pic:cNvPr id="1974941709" name="IM 16"/>
                  <pic:cNvPicPr/>
                </pic:nvPicPr>
                <pic:blipFill>
                  <a:blip xmlns:r="http://schemas.openxmlformats.org/officeDocument/2006/relationships" r:embed="rId1"/>
                  <a:stretch>
                    <a:fillRect/>
                  </a:stretch>
                </pic:blipFill>
                <pic:spPr>
                  <a:xfrm>
                    <a:off x="0" y="0"/>
                    <a:ext cx="5873735" cy="6385"/>
                  </a:xfrm>
                  <a:prstGeom prst="rect">
                    <a:avLst/>
                  </a:prstGeom>
                </pic:spPr>
              </pic:pic>
            </a:graphicData>
          </a:graphic>
        </wp:anchor>
      </w:drawing>
    </w:r>
    <w:r>
      <w:rPr>
        <w:b/>
        <w:bCs/>
        <w:spacing w:val="-18"/>
      </w:rPr>
      <w:t>JJG</w:t>
    </w:r>
    <w:r>
      <w:rPr>
        <w:spacing w:val="-18"/>
      </w:rPr>
      <w:t xml:space="preserve"> </w:t>
    </w:r>
    <w:r>
      <w:rPr>
        <w:b/>
        <w:bCs/>
        <w:spacing w:val="-18"/>
      </w:rPr>
      <w:t>563—2004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8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JJG</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563—2004</w:t>
    </w:r>
  </w:p>
  <w:p>
    <w:pPr>
      <w:spacing w:before="85" w:line="10" w:lineRule="exact"/>
    </w:pPr>
    <w:r>
      <w:drawing>
        <wp:inline distT="0" distB="0" distL="0" distR="0">
          <wp:extent cx="5892800" cy="63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92800" cy="6375"/>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8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JJG</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563—2004</w:t>
    </w:r>
  </w:p>
  <w:p>
    <w:pPr>
      <w:spacing w:before="85" w:line="10" w:lineRule="exact"/>
    </w:pPr>
    <w:r>
      <w:drawing>
        <wp:inline distT="0" distB="0" distL="0" distR="0">
          <wp:extent cx="5892800" cy="6375"/>
          <wp:effectExtent l="0" t="0" r="0" b="0"/>
          <wp:docPr id="1779401692" name="IM 18"/>
          <wp:cNvGraphicFramePr/>
          <a:graphic xmlns:a="http://schemas.openxmlformats.org/drawingml/2006/main">
            <a:graphicData uri="http://schemas.openxmlformats.org/drawingml/2006/picture">
              <pic:pic xmlns:pic="http://schemas.openxmlformats.org/drawingml/2006/picture">
                <pic:nvPicPr>
                  <pic:cNvPr id="1779401692" name="IM 18"/>
                  <pic:cNvPicPr/>
                </pic:nvPicPr>
                <pic:blipFill>
                  <a:blip xmlns:r="http://schemas.openxmlformats.org/officeDocument/2006/relationships" r:embed="rId1"/>
                  <a:stretch>
                    <a:fillRect/>
                  </a:stretch>
                </pic:blipFill>
                <pic:spPr>
                  <a:xfrm>
                    <a:off x="0" y="0"/>
                    <a:ext cx="5892800" cy="6375"/>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8"/>
        <w:szCs w:val="18"/>
      </w:rPr>
    </w:pPr>
    <w:r>
      <w:drawing>
        <wp:anchor distT="0" distB="0" distL="0" distR="0" simplePos="0" relativeHeight="251660288" behindDoc="0" locked="0" layoutInCell="0" allowOverlap="1">
          <wp:simplePos x="0" y="0"/>
          <wp:positionH relativeFrom="page">
            <wp:posOffset>692128</wp:posOffset>
          </wp:positionH>
          <wp:positionV relativeFrom="page">
            <wp:posOffset>1149325</wp:posOffset>
          </wp:positionV>
          <wp:extent cx="5867393"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867393" cy="6350"/>
                  </a:xfrm>
                  <a:prstGeom prst="rect">
                    <a:avLst/>
                  </a:prstGeom>
                </pic:spPr>
              </pic:pic>
            </a:graphicData>
          </a:graphic>
        </wp:anchor>
      </w:drawing>
    </w:r>
    <w:r>
      <w:rPr>
        <w:rFonts w:ascii="Times New Roman" w:eastAsia="Times New Roman" w:hAnsi="Times New Roman" w:cs="Times New Roman"/>
        <w:spacing w:val="-2"/>
        <w:sz w:val="18"/>
        <w:szCs w:val="18"/>
      </w:rPr>
      <w:t>JJG</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2"/>
        <w:sz w:val="18"/>
        <w:szCs w:val="18"/>
      </w:rPr>
      <w:t>563—2004</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69"/>
      <w:rPr>
        <w:rFonts w:ascii="Times New Roman" w:eastAsia="Times New Roman" w:hAnsi="Times New Roman" w:cs="Times New Roman"/>
        <w:sz w:val="18"/>
        <w:szCs w:val="18"/>
      </w:rPr>
    </w:pPr>
    <w:r>
      <w:drawing>
        <wp:anchor distT="0" distB="0" distL="0" distR="0" simplePos="0" relativeHeight="251661312" behindDoc="0" locked="0" layoutInCell="0" allowOverlap="1">
          <wp:simplePos x="0" y="0"/>
          <wp:positionH relativeFrom="page">
            <wp:posOffset>692128</wp:posOffset>
          </wp:positionH>
          <wp:positionV relativeFrom="page">
            <wp:posOffset>1149325</wp:posOffset>
          </wp:positionV>
          <wp:extent cx="5867393" cy="6350"/>
          <wp:effectExtent l="0" t="0" r="0" b="0"/>
          <wp:wrapNone/>
          <wp:docPr id="132206777" name="IM 26"/>
          <wp:cNvGraphicFramePr/>
          <a:graphic xmlns:a="http://schemas.openxmlformats.org/drawingml/2006/main">
            <a:graphicData uri="http://schemas.openxmlformats.org/drawingml/2006/picture">
              <pic:pic xmlns:pic="http://schemas.openxmlformats.org/drawingml/2006/picture">
                <pic:nvPicPr>
                  <pic:cNvPr id="132206777" name="IM 26"/>
                  <pic:cNvPicPr/>
                </pic:nvPicPr>
                <pic:blipFill>
                  <a:blip xmlns:r="http://schemas.openxmlformats.org/officeDocument/2006/relationships" r:embed="rId1"/>
                  <a:stretch>
                    <a:fillRect/>
                  </a:stretch>
                </pic:blipFill>
                <pic:spPr>
                  <a:xfrm>
                    <a:off x="0" y="0"/>
                    <a:ext cx="5867393" cy="6350"/>
                  </a:xfrm>
                  <a:prstGeom prst="rect">
                    <a:avLst/>
                  </a:prstGeom>
                </pic:spPr>
              </pic:pic>
            </a:graphicData>
          </a:graphic>
        </wp:anchor>
      </w:drawing>
    </w:r>
    <w:r>
      <w:rPr>
        <w:rFonts w:ascii="Times New Roman" w:eastAsia="Times New Roman" w:hAnsi="Times New Roman" w:cs="Times New Roman"/>
        <w:spacing w:val="-2"/>
        <w:sz w:val="18"/>
        <w:szCs w:val="18"/>
      </w:rPr>
      <w:t>JJG</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2"/>
        <w:sz w:val="18"/>
        <w:szCs w:val="18"/>
      </w:rPr>
      <w:t>563—2004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JJG</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563—2004</w:t>
    </w:r>
  </w:p>
  <w:p>
    <w:pPr>
      <w:spacing w:before="73" w:line="10" w:lineRule="exact"/>
    </w:pPr>
    <w:r>
      <w:drawing>
        <wp:inline distT="0" distB="0" distL="0" distR="0">
          <wp:extent cx="5880115" cy="637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
                  <a:stretch>
                    <a:fillRect/>
                  </a:stretch>
                </pic:blipFill>
                <pic:spPr>
                  <a:xfrm>
                    <a:off x="0" y="0"/>
                    <a:ext cx="5880115" cy="637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JJG</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563—2004</w:t>
    </w:r>
  </w:p>
  <w:p>
    <w:pPr>
      <w:spacing w:before="73" w:line="10" w:lineRule="exact"/>
    </w:pPr>
    <w:r>
      <w:drawing>
        <wp:inline distT="0" distB="0" distL="0" distR="0">
          <wp:extent cx="5880115" cy="6375"/>
          <wp:effectExtent l="0" t="0" r="0" b="0"/>
          <wp:docPr id="606359240" name="IM 40"/>
          <wp:cNvGraphicFramePr/>
          <a:graphic xmlns:a="http://schemas.openxmlformats.org/drawingml/2006/main">
            <a:graphicData uri="http://schemas.openxmlformats.org/drawingml/2006/picture">
              <pic:pic xmlns:pic="http://schemas.openxmlformats.org/drawingml/2006/picture">
                <pic:nvPicPr>
                  <pic:cNvPr id="606359240" name="IM 40"/>
                  <pic:cNvPicPr/>
                </pic:nvPicPr>
                <pic:blipFill>
                  <a:blip xmlns:r="http://schemas.openxmlformats.org/officeDocument/2006/relationships" r:embed="rId1"/>
                  <a:stretch>
                    <a:fillRect/>
                  </a:stretch>
                </pic:blipFill>
                <pic:spPr>
                  <a:xfrm>
                    <a:off x="0" y="0"/>
                    <a:ext cx="5880115" cy="6375"/>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82"/>
      <w:rPr>
        <w:sz w:val="22"/>
        <w:szCs w:val="22"/>
      </w:rPr>
    </w:pPr>
    <w:r>
      <w:rPr>
        <w:b/>
        <w:bCs/>
        <w:spacing w:val="-12"/>
        <w:sz w:val="22"/>
        <w:szCs w:val="22"/>
      </w:rPr>
      <w:t>JJG</w:t>
    </w:r>
    <w:r>
      <w:rPr>
        <w:spacing w:val="-12"/>
        <w:sz w:val="22"/>
        <w:szCs w:val="22"/>
      </w:rPr>
      <w:t xml:space="preserve"> </w:t>
    </w:r>
    <w:r>
      <w:rPr>
        <w:b/>
        <w:bCs/>
        <w:spacing w:val="-12"/>
        <w:sz w:val="22"/>
        <w:szCs w:val="22"/>
      </w:rPr>
      <w:t>563—2004</w:t>
    </w:r>
  </w:p>
  <w:p>
    <w:pPr>
      <w:spacing w:before="73" w:line="10" w:lineRule="exact"/>
    </w:pPr>
    <w:r>
      <w:drawing>
        <wp:inline distT="0" distB="0" distL="0" distR="0">
          <wp:extent cx="5854670" cy="636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
                  <a:stretch>
                    <a:fillRect/>
                  </a:stretch>
                </pic:blipFill>
                <pic:spPr>
                  <a:xfrm>
                    <a:off x="0" y="0"/>
                    <a:ext cx="5854670" cy="6360"/>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82"/>
      <w:rPr>
        <w:sz w:val="22"/>
        <w:szCs w:val="22"/>
      </w:rPr>
    </w:pPr>
    <w:r>
      <w:rPr>
        <w:b/>
        <w:bCs/>
        <w:spacing w:val="-12"/>
        <w:sz w:val="22"/>
        <w:szCs w:val="22"/>
      </w:rPr>
      <w:t>JJG</w:t>
    </w:r>
    <w:r>
      <w:rPr>
        <w:spacing w:val="-12"/>
        <w:sz w:val="22"/>
        <w:szCs w:val="22"/>
      </w:rPr>
      <w:t xml:space="preserve"> </w:t>
    </w:r>
    <w:r>
      <w:rPr>
        <w:b/>
        <w:bCs/>
        <w:spacing w:val="-12"/>
        <w:sz w:val="22"/>
        <w:szCs w:val="22"/>
      </w:rPr>
      <w:t>563—2004</w:t>
    </w:r>
  </w:p>
  <w:p>
    <w:pPr>
      <w:spacing w:before="73" w:line="10" w:lineRule="exact"/>
    </w:pPr>
    <w:r>
      <w:drawing>
        <wp:inline distT="0" distB="0" distL="0" distR="0">
          <wp:extent cx="5854670" cy="6360"/>
          <wp:effectExtent l="0" t="0" r="0" b="0"/>
          <wp:docPr id="2135855993" name="IM 56"/>
          <wp:cNvGraphicFramePr/>
          <a:graphic xmlns:a="http://schemas.openxmlformats.org/drawingml/2006/main">
            <a:graphicData uri="http://schemas.openxmlformats.org/drawingml/2006/picture">
              <pic:pic xmlns:pic="http://schemas.openxmlformats.org/drawingml/2006/picture">
                <pic:nvPicPr>
                  <pic:cNvPr id="2135855993" name="IM 56"/>
                  <pic:cNvPicPr/>
                </pic:nvPicPr>
                <pic:blipFill>
                  <a:blip xmlns:r="http://schemas.openxmlformats.org/officeDocument/2006/relationships" r:embed="rId1"/>
                  <a:stretch>
                    <a:fillRect/>
                  </a:stretch>
                </pic:blipFill>
                <pic:spPr>
                  <a:xfrm>
                    <a:off x="0" y="0"/>
                    <a:ext cx="5854670" cy="6360"/>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3982"/>
      <w:rPr>
        <w:sz w:val="22"/>
        <w:szCs w:val="22"/>
      </w:rPr>
    </w:pPr>
    <w:r>
      <w:rPr>
        <w:b/>
        <w:bCs/>
        <w:spacing w:val="-12"/>
        <w:sz w:val="22"/>
        <w:szCs w:val="22"/>
      </w:rPr>
      <w:t>JJG</w:t>
    </w:r>
    <w:r>
      <w:rPr>
        <w:spacing w:val="-12"/>
        <w:sz w:val="22"/>
        <w:szCs w:val="22"/>
      </w:rPr>
      <w:t xml:space="preserve"> </w:t>
    </w:r>
    <w:r>
      <w:rPr>
        <w:b/>
        <w:bCs/>
        <w:spacing w:val="-12"/>
        <w:sz w:val="22"/>
        <w:szCs w:val="22"/>
      </w:rPr>
      <w:t>563—2004</w:t>
    </w:r>
  </w:p>
  <w:p>
    <w:pPr>
      <w:spacing w:before="73" w:line="10" w:lineRule="exact"/>
    </w:pPr>
    <w:r>
      <w:drawing>
        <wp:inline distT="0" distB="0" distL="0" distR="0">
          <wp:extent cx="5854670" cy="6360"/>
          <wp:effectExtent l="0" t="0" r="0" b="0"/>
          <wp:docPr id="2070960545" name="IM 56"/>
          <wp:cNvGraphicFramePr/>
          <a:graphic xmlns:a="http://schemas.openxmlformats.org/drawingml/2006/main">
            <a:graphicData uri="http://schemas.openxmlformats.org/drawingml/2006/picture">
              <pic:pic xmlns:pic="http://schemas.openxmlformats.org/drawingml/2006/picture">
                <pic:nvPicPr>
                  <pic:cNvPr id="2070960545" name="IM 56"/>
                  <pic:cNvPicPr/>
                </pic:nvPicPr>
                <pic:blipFill>
                  <a:blip xmlns:r="http://schemas.openxmlformats.org/officeDocument/2006/relationships" r:embed="rId1"/>
                  <a:stretch>
                    <a:fillRect/>
                  </a:stretch>
                </pic:blipFill>
                <pic:spPr>
                  <a:xfrm>
                    <a:off x="0" y="0"/>
                    <a:ext cx="5854670" cy="6360"/>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9"/>
        <w:szCs w:val="19"/>
      </w:rPr>
    </w:pPr>
    <w:r>
      <w:drawing>
        <wp:anchor distT="0" distB="0" distL="0" distR="0" simplePos="0" relativeHeight="251662336" behindDoc="0" locked="0" layoutInCell="0" allowOverlap="1">
          <wp:simplePos x="0" y="0"/>
          <wp:positionH relativeFrom="page">
            <wp:posOffset>965233</wp:posOffset>
          </wp:positionH>
          <wp:positionV relativeFrom="page">
            <wp:posOffset>1136679</wp:posOffset>
          </wp:positionV>
          <wp:extent cx="5873735" cy="12662"/>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
                  <a:stretch>
                    <a:fillRect/>
                  </a:stretch>
                </pic:blipFill>
                <pic:spPr>
                  <a:xfrm>
                    <a:off x="0" y="0"/>
                    <a:ext cx="5873735" cy="12662"/>
                  </a:xfrm>
                  <a:prstGeom prst="rect">
                    <a:avLst/>
                  </a:prstGeom>
                </pic:spPr>
              </pic:pic>
            </a:graphicData>
          </a:graphic>
        </wp:anchor>
      </w:drawing>
    </w:r>
    <w:r>
      <w:rPr>
        <w:rFonts w:ascii="Times New Roman" w:eastAsia="Times New Roman" w:hAnsi="Times New Roman" w:cs="Times New Roman"/>
        <w:spacing w:val="-1"/>
        <w:sz w:val="19"/>
        <w:szCs w:val="19"/>
      </w:rPr>
      <w:t>JJG    563—2004</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9"/>
        <w:szCs w:val="19"/>
      </w:rPr>
    </w:pPr>
    <w:r>
      <w:drawing>
        <wp:anchor distT="0" distB="0" distL="0" distR="0" simplePos="0" relativeHeight="251663360" behindDoc="0" locked="0" layoutInCell="0" allowOverlap="1">
          <wp:simplePos x="0" y="0"/>
          <wp:positionH relativeFrom="page">
            <wp:posOffset>965233</wp:posOffset>
          </wp:positionH>
          <wp:positionV relativeFrom="page">
            <wp:posOffset>1136679</wp:posOffset>
          </wp:positionV>
          <wp:extent cx="5873735" cy="12662"/>
          <wp:effectExtent l="0" t="0" r="0" b="0"/>
          <wp:wrapNone/>
          <wp:docPr id="1899612429" name="IM 58"/>
          <wp:cNvGraphicFramePr/>
          <a:graphic xmlns:a="http://schemas.openxmlformats.org/drawingml/2006/main">
            <a:graphicData uri="http://schemas.openxmlformats.org/drawingml/2006/picture">
              <pic:pic xmlns:pic="http://schemas.openxmlformats.org/drawingml/2006/picture">
                <pic:nvPicPr>
                  <pic:cNvPr id="1899612429" name="IM 58"/>
                  <pic:cNvPicPr/>
                </pic:nvPicPr>
                <pic:blipFill>
                  <a:blip xmlns:r="http://schemas.openxmlformats.org/officeDocument/2006/relationships" r:embed="rId1"/>
                  <a:stretch>
                    <a:fillRect/>
                  </a:stretch>
                </pic:blipFill>
                <pic:spPr>
                  <a:xfrm>
                    <a:off x="0" y="0"/>
                    <a:ext cx="5873735" cy="12662"/>
                  </a:xfrm>
                  <a:prstGeom prst="rect">
                    <a:avLst/>
                  </a:prstGeom>
                </pic:spPr>
              </pic:pic>
            </a:graphicData>
          </a:graphic>
        </wp:anchor>
      </w:drawing>
    </w:r>
    <w:r>
      <w:rPr>
        <w:rFonts w:ascii="Times New Roman" w:eastAsia="Times New Roman" w:hAnsi="Times New Roman" w:cs="Times New Roman"/>
        <w:spacing w:val="-1"/>
        <w:sz w:val="19"/>
        <w:szCs w:val="19"/>
      </w:rPr>
      <w:t>JJG    563—2004</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9"/>
        <w:szCs w:val="19"/>
      </w:rPr>
    </w:pPr>
    <w:r>
      <w:drawing>
        <wp:anchor distT="0" distB="0" distL="0" distR="0" simplePos="0" relativeHeight="251664384" behindDoc="0" locked="0" layoutInCell="0" allowOverlap="1">
          <wp:simplePos x="0" y="0"/>
          <wp:positionH relativeFrom="page">
            <wp:posOffset>965233</wp:posOffset>
          </wp:positionH>
          <wp:positionV relativeFrom="page">
            <wp:posOffset>1136679</wp:posOffset>
          </wp:positionV>
          <wp:extent cx="5873735" cy="12662"/>
          <wp:effectExtent l="0" t="0" r="0" b="0"/>
          <wp:wrapNone/>
          <wp:docPr id="642406601" name="IM 58"/>
          <wp:cNvGraphicFramePr/>
          <a:graphic xmlns:a="http://schemas.openxmlformats.org/drawingml/2006/main">
            <a:graphicData uri="http://schemas.openxmlformats.org/drawingml/2006/picture">
              <pic:pic xmlns:pic="http://schemas.openxmlformats.org/drawingml/2006/picture">
                <pic:nvPicPr>
                  <pic:cNvPr id="642406601" name="IM 58"/>
                  <pic:cNvPicPr/>
                </pic:nvPicPr>
                <pic:blipFill>
                  <a:blip xmlns:r="http://schemas.openxmlformats.org/officeDocument/2006/relationships" r:embed="rId1"/>
                  <a:stretch>
                    <a:fillRect/>
                  </a:stretch>
                </pic:blipFill>
                <pic:spPr>
                  <a:xfrm>
                    <a:off x="0" y="0"/>
                    <a:ext cx="5873735" cy="12662"/>
                  </a:xfrm>
                  <a:prstGeom prst="rect">
                    <a:avLst/>
                  </a:prstGeom>
                </pic:spPr>
              </pic:pic>
            </a:graphicData>
          </a:graphic>
        </wp:anchor>
      </w:drawing>
    </w:r>
    <w:r>
      <w:rPr>
        <w:rFonts w:ascii="Times New Roman" w:eastAsia="Times New Roman" w:hAnsi="Times New Roman" w:cs="Times New Roman"/>
        <w:spacing w:val="-1"/>
        <w:sz w:val="19"/>
        <w:szCs w:val="19"/>
      </w:rPr>
      <w:t>JJG    563—2004</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79"/>
      <w:rPr>
        <w:rFonts w:ascii="Times New Roman" w:eastAsia="Times New Roman" w:hAnsi="Times New Roman" w:cs="Times New Roman"/>
        <w:sz w:val="19"/>
        <w:szCs w:val="19"/>
      </w:rPr>
    </w:pPr>
    <w:r>
      <w:drawing>
        <wp:anchor distT="0" distB="0" distL="0" distR="0" simplePos="0" relativeHeight="251665408" behindDoc="0" locked="0" layoutInCell="0" allowOverlap="1">
          <wp:simplePos x="0" y="0"/>
          <wp:positionH relativeFrom="page">
            <wp:posOffset>965233</wp:posOffset>
          </wp:positionH>
          <wp:positionV relativeFrom="page">
            <wp:posOffset>1136679</wp:posOffset>
          </wp:positionV>
          <wp:extent cx="5873735" cy="12662"/>
          <wp:effectExtent l="0" t="0" r="0" b="0"/>
          <wp:wrapNone/>
          <wp:docPr id="269524758" name="IM 58"/>
          <wp:cNvGraphicFramePr/>
          <a:graphic xmlns:a="http://schemas.openxmlformats.org/drawingml/2006/main">
            <a:graphicData uri="http://schemas.openxmlformats.org/drawingml/2006/picture">
              <pic:pic xmlns:pic="http://schemas.openxmlformats.org/drawingml/2006/picture">
                <pic:nvPicPr>
                  <pic:cNvPr id="269524758" name="IM 58"/>
                  <pic:cNvPicPr/>
                </pic:nvPicPr>
                <pic:blipFill>
                  <a:blip xmlns:r="http://schemas.openxmlformats.org/officeDocument/2006/relationships" r:embed="rId1"/>
                  <a:stretch>
                    <a:fillRect/>
                  </a:stretch>
                </pic:blipFill>
                <pic:spPr>
                  <a:xfrm>
                    <a:off x="0" y="0"/>
                    <a:ext cx="5873735" cy="12662"/>
                  </a:xfrm>
                  <a:prstGeom prst="rect">
                    <a:avLst/>
                  </a:prstGeom>
                </pic:spPr>
              </pic:pic>
            </a:graphicData>
          </a:graphic>
        </wp:anchor>
      </w:drawing>
    </w:r>
    <w:r>
      <w:rPr>
        <w:rFonts w:ascii="Times New Roman" w:eastAsia="Times New Roman" w:hAnsi="Times New Roman" w:cs="Times New Roman"/>
        <w:spacing w:val="-1"/>
        <w:sz w:val="19"/>
        <w:szCs w:val="19"/>
      </w:rPr>
      <w:t>JJG    563—2004</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9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JJG       563—2004</w:t>
    </w:r>
  </w:p>
  <w:p>
    <w:pPr>
      <w:spacing w:before="85" w:line="10" w:lineRule="exact"/>
    </w:pPr>
    <w:r>
      <w:drawing>
        <wp:inline distT="0" distB="0" distL="0" distR="0">
          <wp:extent cx="5861039" cy="637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1"/>
                  <a:stretch>
                    <a:fillRect/>
                  </a:stretch>
                </pic:blipFill>
                <pic:spPr>
                  <a:xfrm>
                    <a:off x="0" y="0"/>
                    <a:ext cx="5861039" cy="63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7.jpeg" /><Relationship Id="rId17" Type="http://schemas.openxmlformats.org/officeDocument/2006/relationships/image" Target="media/image8.jpeg"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image" Target="media/image11.jpeg" /><Relationship Id="rId21" Type="http://schemas.openxmlformats.org/officeDocument/2006/relationships/image" Target="media/image12.jpeg" /><Relationship Id="rId22" Type="http://schemas.openxmlformats.org/officeDocument/2006/relationships/image" Target="media/image13.jpeg" /><Relationship Id="rId23" Type="http://schemas.openxmlformats.org/officeDocument/2006/relationships/image" Target="media/image14.jpeg" /><Relationship Id="rId24" Type="http://schemas.openxmlformats.org/officeDocument/2006/relationships/image" Target="media/image15.jpeg" /><Relationship Id="rId25" Type="http://schemas.openxmlformats.org/officeDocument/2006/relationships/image" Target="media/image16.jpeg" /><Relationship Id="rId26" Type="http://schemas.openxmlformats.org/officeDocument/2006/relationships/image" Target="media/image17.jpeg" /><Relationship Id="rId27" Type="http://schemas.openxmlformats.org/officeDocument/2006/relationships/image" Target="media/image18.jpeg" /><Relationship Id="rId28" Type="http://schemas.openxmlformats.org/officeDocument/2006/relationships/hyperlink" Target="5.1.2.1" TargetMode="External"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hyperlink" Target="5.1.2.2" TargetMode="External" /><Relationship Id="rId32" Type="http://schemas.openxmlformats.org/officeDocument/2006/relationships/hyperlink" Target="5.1.2.3" TargetMode="External" /><Relationship Id="rId33" Type="http://schemas.openxmlformats.org/officeDocument/2006/relationships/header" Target="header6.xml" /><Relationship Id="rId34" Type="http://schemas.openxmlformats.org/officeDocument/2006/relationships/footer" Target="footer6.xml" /><Relationship Id="rId35" Type="http://schemas.openxmlformats.org/officeDocument/2006/relationships/image" Target="media/image20.jpeg" /><Relationship Id="rId36" Type="http://schemas.openxmlformats.org/officeDocument/2006/relationships/image" Target="media/image21.jpeg"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header" Target="header8.xml" /><Relationship Id="rId4" Type="http://schemas.openxmlformats.org/officeDocument/2006/relationships/header" Target="header1.xml" /><Relationship Id="rId40" Type="http://schemas.openxmlformats.org/officeDocument/2006/relationships/footer" Target="footer8.xml" /><Relationship Id="rId41" Type="http://schemas.openxmlformats.org/officeDocument/2006/relationships/image" Target="media/image23.jpeg" /><Relationship Id="rId42" Type="http://schemas.openxmlformats.org/officeDocument/2006/relationships/image" Target="media/image24.jpeg"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hyperlink" Target="5.3.4.1" TargetMode="External" /><Relationship Id="rId46" Type="http://schemas.openxmlformats.org/officeDocument/2006/relationships/image" Target="media/image26.png" /><Relationship Id="rId47" Type="http://schemas.openxmlformats.org/officeDocument/2006/relationships/header" Target="header10.xml" /><Relationship Id="rId48" Type="http://schemas.openxmlformats.org/officeDocument/2006/relationships/footer" Target="footer10.xml" /><Relationship Id="rId49" Type="http://schemas.openxmlformats.org/officeDocument/2006/relationships/hyperlink" Target="5.3.4.2" TargetMode="External" /><Relationship Id="rId5" Type="http://schemas.openxmlformats.org/officeDocument/2006/relationships/footer" Target="footer1.xml" /><Relationship Id="rId50" Type="http://schemas.openxmlformats.org/officeDocument/2006/relationships/header" Target="header11.xml" /><Relationship Id="rId51" Type="http://schemas.openxmlformats.org/officeDocument/2006/relationships/footer" Target="footer11.xml"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image" Target="media/image31.png" /><Relationship Id="rId56" Type="http://schemas.openxmlformats.org/officeDocument/2006/relationships/image" Target="media/image32.png" /><Relationship Id="rId57" Type="http://schemas.openxmlformats.org/officeDocument/2006/relationships/image" Target="media/image33.png" /><Relationship Id="rId58" Type="http://schemas.openxmlformats.org/officeDocument/2006/relationships/header" Target="header12.xml" /><Relationship Id="rId59" Type="http://schemas.openxmlformats.org/officeDocument/2006/relationships/footer" Target="footer12.xml" /><Relationship Id="rId6" Type="http://schemas.openxmlformats.org/officeDocument/2006/relationships/header" Target="header2.xml" /><Relationship Id="rId60" Type="http://schemas.openxmlformats.org/officeDocument/2006/relationships/image" Target="media/image34.png" /><Relationship Id="rId61" Type="http://schemas.openxmlformats.org/officeDocument/2006/relationships/image" Target="media/image35.png" /><Relationship Id="rId62" Type="http://schemas.openxmlformats.org/officeDocument/2006/relationships/image" Target="media/image36.png" /><Relationship Id="rId63" Type="http://schemas.openxmlformats.org/officeDocument/2006/relationships/image" Target="media/image37.png" /><Relationship Id="rId64" Type="http://schemas.openxmlformats.org/officeDocument/2006/relationships/image" Target="media/image38.png" /><Relationship Id="rId65" Type="http://schemas.openxmlformats.org/officeDocument/2006/relationships/image" Target="media/image39.png" /><Relationship Id="rId66" Type="http://schemas.openxmlformats.org/officeDocument/2006/relationships/image" Target="media/image40.png" /><Relationship Id="rId67" Type="http://schemas.openxmlformats.org/officeDocument/2006/relationships/header" Target="header13.xml" /><Relationship Id="rId68" Type="http://schemas.openxmlformats.org/officeDocument/2006/relationships/footer" Target="footer13.xml" /><Relationship Id="rId69" Type="http://schemas.openxmlformats.org/officeDocument/2006/relationships/header" Target="header14.xml" /><Relationship Id="rId7" Type="http://schemas.openxmlformats.org/officeDocument/2006/relationships/footer" Target="footer2.xml" /><Relationship Id="rId70" Type="http://schemas.openxmlformats.org/officeDocument/2006/relationships/footer" Target="footer14.xml" /><Relationship Id="rId71" Type="http://schemas.openxmlformats.org/officeDocument/2006/relationships/header" Target="header15.xml" /><Relationship Id="rId72" Type="http://schemas.openxmlformats.org/officeDocument/2006/relationships/footer" Target="footer15.xml" /><Relationship Id="rId73" Type="http://schemas.openxmlformats.org/officeDocument/2006/relationships/header" Target="header16.xml" /><Relationship Id="rId74" Type="http://schemas.openxmlformats.org/officeDocument/2006/relationships/footer" Target="footer16.xml" /><Relationship Id="rId75" Type="http://schemas.openxmlformats.org/officeDocument/2006/relationships/header" Target="header17.xml" /><Relationship Id="rId76" Type="http://schemas.openxmlformats.org/officeDocument/2006/relationships/footer" Target="footer17.xml" /><Relationship Id="rId77" Type="http://schemas.openxmlformats.org/officeDocument/2006/relationships/header" Target="header18.xml" /><Relationship Id="rId78" Type="http://schemas.openxmlformats.org/officeDocument/2006/relationships/footer" Target="footer18.xml" /><Relationship Id="rId79" Type="http://schemas.openxmlformats.org/officeDocument/2006/relationships/header" Target="header19.xml" /><Relationship Id="rId8" Type="http://schemas.openxmlformats.org/officeDocument/2006/relationships/image" Target="media/image2.png" /><Relationship Id="rId80" Type="http://schemas.openxmlformats.org/officeDocument/2006/relationships/footer" Target="footer19.xml" /><Relationship Id="rId81" Type="http://schemas.openxmlformats.org/officeDocument/2006/relationships/image" Target="media/image43.jpeg" /><Relationship Id="rId82" Type="http://schemas.openxmlformats.org/officeDocument/2006/relationships/image" Target="media/image44.png" /><Relationship Id="rId83" Type="http://schemas.openxmlformats.org/officeDocument/2006/relationships/header" Target="header20.xml" /><Relationship Id="rId84" Type="http://schemas.openxmlformats.org/officeDocument/2006/relationships/footer" Target="footer20.xml" /><Relationship Id="rId85" Type="http://schemas.openxmlformats.org/officeDocument/2006/relationships/image" Target="media/image45.png" /><Relationship Id="rId86" Type="http://schemas.openxmlformats.org/officeDocument/2006/relationships/image" Target="media/image46.png" /><Relationship Id="rId87" Type="http://schemas.openxmlformats.org/officeDocument/2006/relationships/header" Target="header21.xml" /><Relationship Id="rId88" Type="http://schemas.openxmlformats.org/officeDocument/2006/relationships/footer" Target="footer21.xml" /><Relationship Id="rId89" Type="http://schemas.openxmlformats.org/officeDocument/2006/relationships/image" Target="media/image47.png" /><Relationship Id="rId9" Type="http://schemas.openxmlformats.org/officeDocument/2006/relationships/image" Target="media/image3.png" /><Relationship Id="rId90" Type="http://schemas.openxmlformats.org/officeDocument/2006/relationships/image" Target="media/image48.png" /><Relationship Id="rId91" Type="http://schemas.openxmlformats.org/officeDocument/2006/relationships/hyperlink" Target="https://d.book118.com/548013062043006025" TargetMode="External" /><Relationship Id="rId92" Type="http://schemas.openxmlformats.org/officeDocument/2006/relationships/header" Target="header22.xml" /><Relationship Id="rId93" Type="http://schemas.openxmlformats.org/officeDocument/2006/relationships/footer" Target="footer22.xml" /><Relationship Id="rId94" Type="http://schemas.openxmlformats.org/officeDocument/2006/relationships/theme" Target="theme/theme1.xml" /><Relationship Id="rId95"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6.jpeg" /></Relationships>
</file>

<file path=word/_rels/header4.xml.rels><?xml version="1.0" encoding="utf-8" standalone="yes"?><Relationships xmlns="http://schemas.openxmlformats.org/package/2006/relationships"><Relationship Id="rId1" Type="http://schemas.openxmlformats.org/officeDocument/2006/relationships/image" Target="media/image6.jpeg" /></Relationships>
</file>

<file path=word/_rels/header5.xml.rels><?xml version="1.0" encoding="utf-8" standalone="yes"?><Relationships xmlns="http://schemas.openxmlformats.org/package/2006/relationships"><Relationship Id="rId1" Type="http://schemas.openxmlformats.org/officeDocument/2006/relationships/image" Target="media/image19.jpeg" /></Relationships>
</file>

<file path=word/_rels/header6.xml.rels><?xml version="1.0" encoding="utf-8" standalone="yes"?><Relationships xmlns="http://schemas.openxmlformats.org/package/2006/relationships"><Relationship Id="rId1" Type="http://schemas.openxmlformats.org/officeDocument/2006/relationships/image" Target="media/image19.jpeg" /></Relationships>
</file>

<file path=word/_rels/header7.xml.rels><?xml version="1.0" encoding="utf-8" standalone="yes"?><Relationships xmlns="http://schemas.openxmlformats.org/package/2006/relationships"><Relationship Id="rId1" Type="http://schemas.openxmlformats.org/officeDocument/2006/relationships/image" Target="media/image22.png" /></Relationships>
</file>

<file path=word/_rels/header8.xml.rels><?xml version="1.0" encoding="utf-8" standalone="yes"?><Relationships xmlns="http://schemas.openxmlformats.org/package/2006/relationships"><Relationship Id="rId1" Type="http://schemas.openxmlformats.org/officeDocument/2006/relationships/image" Target="media/image22.png" /></Relationships>
</file>

<file path=word/_rels/header9.xml.rels><?xml version="1.0" encoding="utf-8" standalone="yes"?><Relationships xmlns="http://schemas.openxmlformats.org/package/2006/relationships"><Relationship Id="rId1" Type="http://schemas.openxmlformats.org/officeDocument/2006/relationships/image" Target="media/image25.jpeg" /></Relationships>
</file>

<file path=word/_rels/header10.xml.rels><?xml version="1.0" encoding="utf-8" standalone="yes"?><Relationships xmlns="http://schemas.openxmlformats.org/package/2006/relationships"><Relationship Id="rId1" Type="http://schemas.openxmlformats.org/officeDocument/2006/relationships/image" Target="media/image25.jpeg" /></Relationships>
</file>

<file path=word/_rels/header11.xml.rels><?xml version="1.0" encoding="utf-8" standalone="yes"?><Relationships xmlns="http://schemas.openxmlformats.org/package/2006/relationships"><Relationship Id="rId1" Type="http://schemas.openxmlformats.org/officeDocument/2006/relationships/image" Target="media/image27.jpeg" /></Relationships>
</file>

<file path=word/_rels/header12.xml.rels><?xml version="1.0" encoding="utf-8" standalone="yes"?><Relationships xmlns="http://schemas.openxmlformats.org/package/2006/relationships"><Relationship Id="rId1" Type="http://schemas.openxmlformats.org/officeDocument/2006/relationships/image" Target="media/image27.jpeg" /></Relationships>
</file>

<file path=word/_rels/header13.xml.rels><?xml version="1.0" encoding="utf-8" standalone="yes"?><Relationships xmlns="http://schemas.openxmlformats.org/package/2006/relationships"><Relationship Id="rId1" Type="http://schemas.openxmlformats.org/officeDocument/2006/relationships/image" Target="media/image41.jpeg" /></Relationships>
</file>

<file path=word/_rels/header14.xml.rels><?xml version="1.0" encoding="utf-8" standalone="yes"?><Relationships xmlns="http://schemas.openxmlformats.org/package/2006/relationships"><Relationship Id="rId1" Type="http://schemas.openxmlformats.org/officeDocument/2006/relationships/image" Target="media/image41.jpeg" /></Relationships>
</file>

<file path=word/_rels/header15.xml.rels><?xml version="1.0" encoding="utf-8" standalone="yes"?><Relationships xmlns="http://schemas.openxmlformats.org/package/2006/relationships"><Relationship Id="rId1" Type="http://schemas.openxmlformats.org/officeDocument/2006/relationships/image" Target="media/image6.jpeg" /></Relationships>
</file>

<file path=word/_rels/header16.xml.rels><?xml version="1.0" encoding="utf-8" standalone="yes"?><Relationships xmlns="http://schemas.openxmlformats.org/package/2006/relationships"><Relationship Id="rId1" Type="http://schemas.openxmlformats.org/officeDocument/2006/relationships/image" Target="media/image6.jpeg" /></Relationships>
</file>

<file path=word/_rels/header17.xml.rels><?xml version="1.0" encoding="utf-8" standalone="yes"?><Relationships xmlns="http://schemas.openxmlformats.org/package/2006/relationships"><Relationship Id="rId1" Type="http://schemas.openxmlformats.org/officeDocument/2006/relationships/image" Target="media/image6.jpeg" /></Relationships>
</file>

<file path=word/_rels/header18.xml.rels><?xml version="1.0" encoding="utf-8" standalone="yes"?><Relationships xmlns="http://schemas.openxmlformats.org/package/2006/relationships"><Relationship Id="rId1" Type="http://schemas.openxmlformats.org/officeDocument/2006/relationships/image" Target="media/image42.jpeg" /></Relationships>
</file>

<file path=word/_rels/header19.xml.rels><?xml version="1.0" encoding="utf-8" standalone="yes"?><Relationships xmlns="http://schemas.openxmlformats.org/package/2006/relationships"><Relationship Id="rId1" Type="http://schemas.openxmlformats.org/officeDocument/2006/relationships/image" Target="media/image42.jpeg" /></Relationships>
</file>

<file path=word/_rels/header20.xml.rels><?xml version="1.0" encoding="utf-8" standalone="yes"?><Relationships xmlns="http://schemas.openxmlformats.org/package/2006/relationships"><Relationship Id="rId1" Type="http://schemas.openxmlformats.org/officeDocument/2006/relationships/image" Target="media/image42.jpeg" /></Relationships>
</file>

<file path=word/_rels/header21.xml.rels><?xml version="1.0" encoding="utf-8" standalone="yes"?><Relationships xmlns="http://schemas.openxmlformats.org/package/2006/relationships"><Relationship Id="rId1" Type="http://schemas.openxmlformats.org/officeDocument/2006/relationships/image" Target="media/image42.jpeg" /></Relationships>
</file>

<file path=word/_rels/header22.xml.rels><?xml version="1.0" encoding="utf-8" standalone="yes"?><Relationships xmlns="http://schemas.openxmlformats.org/package/2006/relationships"><Relationship Id="rId1" Type="http://schemas.openxmlformats.org/officeDocument/2006/relationships/image" Target="media/image4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2024-01-11T17:14:16Z</vt:filetime>
  </property>
  <property fmtid="{D5CDD505-2E9C-101B-9397-08002B2CF9AE}" pid="3" name="CRO">
    <vt:lpwstr>wqlLaW5nc29mdCBQREYgdG8gV1BTIDkw</vt:lpwstr>
  </property>
  <property fmtid="{D5CDD505-2E9C-101B-9397-08002B2CF9AE}" pid="4" name="UsrData">
    <vt:lpwstr>659fb15b83b9c4001f608660wl</vt:lpwstr>
  </property>
</Properties>
</file>