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医药流通项目规划设计方案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01" w:history="1">
        <w:r>
          <w:rPr>
            <w:rFonts w:ascii="仿宋" w:eastAsia="仿宋" w:hAnsi="仿宋" w:cs="仿宋" w:hint="eastAsia"/>
            <w:lang w:eastAsia="zh-CN"/>
          </w:rPr>
          <w:t>序言</w:t>
        </w:r>
        <w:r>
          <w:tab/>
        </w:r>
        <w:r>
          <w:fldChar w:fldCharType="begin"/>
        </w:r>
        <w:r>
          <w:instrText xml:space="preserve"> PAGEREF _Toc17001 \h </w:instrText>
        </w:r>
        <w:r>
          <w:fldChar w:fldCharType="separate"/>
        </w:r>
        <w:r>
          <w:t>3</w:t>
        </w:r>
        <w:r>
          <w:fldChar w:fldCharType="end"/>
        </w:r>
      </w:hyperlink>
    </w:p>
    <w:p>
      <w:pPr>
        <w:pStyle w:val="TOC1"/>
        <w:tabs>
          <w:tab w:val="right" w:leader="dot" w:pos="8306"/>
        </w:tabs>
      </w:pPr>
      <w:hyperlink w:anchor="_Toc23087" w:history="1">
        <w:r>
          <w:rPr>
            <w:rFonts w:ascii="仿宋" w:eastAsia="仿宋" w:hAnsi="仿宋" w:cs="仿宋" w:hint="eastAsia"/>
            <w:lang w:eastAsia="zh-CN"/>
          </w:rPr>
          <w:t>一、医药流通项目可持续发展</w:t>
        </w:r>
        <w:r>
          <w:tab/>
        </w:r>
        <w:r>
          <w:fldChar w:fldCharType="begin"/>
        </w:r>
        <w:r>
          <w:instrText xml:space="preserve"> PAGEREF _Toc23087 \h </w:instrText>
        </w:r>
        <w:r>
          <w:fldChar w:fldCharType="separate"/>
        </w:r>
        <w:r>
          <w:t>3</w:t>
        </w:r>
        <w:r>
          <w:fldChar w:fldCharType="end"/>
        </w:r>
      </w:hyperlink>
    </w:p>
    <w:p>
      <w:pPr>
        <w:pStyle w:val="TOC2"/>
        <w:tabs>
          <w:tab w:val="right" w:leader="dot" w:pos="8306"/>
        </w:tabs>
      </w:pPr>
      <w:hyperlink w:anchor="_Toc32146" w:history="1">
        <w:r>
          <w:rPr>
            <w:rFonts w:ascii="仿宋" w:eastAsia="仿宋" w:hAnsi="仿宋" w:cs="仿宋" w:hint="eastAsia"/>
            <w:lang w:eastAsia="zh-CN"/>
          </w:rPr>
          <w:t>(一)、可持续战略与实践</w:t>
        </w:r>
        <w:r>
          <w:tab/>
        </w:r>
        <w:r>
          <w:fldChar w:fldCharType="begin"/>
        </w:r>
        <w:r>
          <w:instrText xml:space="preserve"> PAGEREF _Toc32146 \h </w:instrText>
        </w:r>
        <w:r>
          <w:fldChar w:fldCharType="separate"/>
        </w:r>
        <w:r>
          <w:t>3</w:t>
        </w:r>
        <w:r>
          <w:fldChar w:fldCharType="end"/>
        </w:r>
      </w:hyperlink>
    </w:p>
    <w:p>
      <w:pPr>
        <w:pStyle w:val="TOC2"/>
        <w:tabs>
          <w:tab w:val="right" w:leader="dot" w:pos="8306"/>
        </w:tabs>
      </w:pPr>
      <w:hyperlink w:anchor="_Toc14395" w:history="1">
        <w:r>
          <w:rPr>
            <w:rFonts w:ascii="仿宋" w:eastAsia="仿宋" w:hAnsi="仿宋" w:cs="仿宋" w:hint="eastAsia"/>
            <w:lang w:eastAsia="zh-CN"/>
          </w:rPr>
          <w:t>(二)、环保与社会责任</w:t>
        </w:r>
        <w:r>
          <w:tab/>
        </w:r>
        <w:r>
          <w:fldChar w:fldCharType="begin"/>
        </w:r>
        <w:r>
          <w:instrText xml:space="preserve"> PAGEREF _Toc14395 \h </w:instrText>
        </w:r>
        <w:r>
          <w:fldChar w:fldCharType="separate"/>
        </w:r>
        <w:r>
          <w:t>4</w:t>
        </w:r>
        <w:r>
          <w:fldChar w:fldCharType="end"/>
        </w:r>
      </w:hyperlink>
    </w:p>
    <w:p>
      <w:pPr>
        <w:pStyle w:val="TOC1"/>
        <w:tabs>
          <w:tab w:val="right" w:leader="dot" w:pos="8306"/>
        </w:tabs>
      </w:pPr>
      <w:hyperlink w:anchor="_Toc11000" w:history="1">
        <w:r>
          <w:rPr>
            <w:rFonts w:ascii="仿宋" w:eastAsia="仿宋" w:hAnsi="仿宋" w:cs="仿宋" w:hint="eastAsia"/>
            <w:lang w:eastAsia="zh-CN"/>
          </w:rPr>
          <w:t>二、医药流通项目土建工程</w:t>
        </w:r>
        <w:r>
          <w:tab/>
        </w:r>
        <w:r>
          <w:fldChar w:fldCharType="begin"/>
        </w:r>
        <w:r>
          <w:instrText xml:space="preserve"> PAGEREF _Toc11000 \h </w:instrText>
        </w:r>
        <w:r>
          <w:fldChar w:fldCharType="separate"/>
        </w:r>
        <w:r>
          <w:t>4</w:t>
        </w:r>
        <w:r>
          <w:fldChar w:fldCharType="end"/>
        </w:r>
      </w:hyperlink>
    </w:p>
    <w:p>
      <w:pPr>
        <w:pStyle w:val="TOC2"/>
        <w:tabs>
          <w:tab w:val="right" w:leader="dot" w:pos="8306"/>
        </w:tabs>
      </w:pPr>
      <w:hyperlink w:anchor="_Toc30472" w:history="1">
        <w:r>
          <w:rPr>
            <w:rFonts w:ascii="仿宋" w:eastAsia="仿宋" w:hAnsi="仿宋" w:cs="仿宋" w:hint="eastAsia"/>
            <w:lang w:eastAsia="zh-CN"/>
          </w:rPr>
          <w:t>(一)、建筑工程设计原则</w:t>
        </w:r>
        <w:r>
          <w:tab/>
        </w:r>
        <w:r>
          <w:fldChar w:fldCharType="begin"/>
        </w:r>
        <w:r>
          <w:instrText xml:space="preserve"> PAGEREF _Toc30472 \h </w:instrText>
        </w:r>
        <w:r>
          <w:fldChar w:fldCharType="separate"/>
        </w:r>
        <w:r>
          <w:t>4</w:t>
        </w:r>
        <w:r>
          <w:fldChar w:fldCharType="end"/>
        </w:r>
      </w:hyperlink>
    </w:p>
    <w:p>
      <w:pPr>
        <w:pStyle w:val="TOC2"/>
        <w:tabs>
          <w:tab w:val="right" w:leader="dot" w:pos="8306"/>
        </w:tabs>
      </w:pPr>
      <w:hyperlink w:anchor="_Toc16561" w:history="1">
        <w:r>
          <w:rPr>
            <w:rFonts w:ascii="仿宋" w:eastAsia="仿宋" w:hAnsi="仿宋" w:cs="仿宋" w:hint="eastAsia"/>
            <w:lang w:eastAsia="zh-CN"/>
          </w:rPr>
          <w:t>(二)、土建工程设计年限及安全等级</w:t>
        </w:r>
        <w:r>
          <w:tab/>
        </w:r>
        <w:r>
          <w:fldChar w:fldCharType="begin"/>
        </w:r>
        <w:r>
          <w:instrText xml:space="preserve"> PAGEREF _Toc16561 \h </w:instrText>
        </w:r>
        <w:r>
          <w:fldChar w:fldCharType="separate"/>
        </w:r>
        <w:r>
          <w:t>6</w:t>
        </w:r>
        <w:r>
          <w:fldChar w:fldCharType="end"/>
        </w:r>
      </w:hyperlink>
    </w:p>
    <w:p>
      <w:pPr>
        <w:pStyle w:val="TOC2"/>
        <w:tabs>
          <w:tab w:val="right" w:leader="dot" w:pos="8306"/>
        </w:tabs>
      </w:pPr>
      <w:hyperlink w:anchor="_Toc18966" w:history="1">
        <w:r>
          <w:rPr>
            <w:rFonts w:ascii="仿宋" w:eastAsia="仿宋" w:hAnsi="仿宋" w:cs="仿宋" w:hint="eastAsia"/>
            <w:lang w:eastAsia="zh-CN"/>
          </w:rPr>
          <w:t>(三)、建筑工程设计总体要求</w:t>
        </w:r>
        <w:r>
          <w:tab/>
        </w:r>
        <w:r>
          <w:fldChar w:fldCharType="begin"/>
        </w:r>
        <w:r>
          <w:instrText xml:space="preserve"> PAGEREF _Toc18966 \h </w:instrText>
        </w:r>
        <w:r>
          <w:fldChar w:fldCharType="separate"/>
        </w:r>
        <w:r>
          <w:t>7</w:t>
        </w:r>
        <w:r>
          <w:fldChar w:fldCharType="end"/>
        </w:r>
      </w:hyperlink>
    </w:p>
    <w:p>
      <w:pPr>
        <w:pStyle w:val="TOC2"/>
        <w:tabs>
          <w:tab w:val="right" w:leader="dot" w:pos="8306"/>
        </w:tabs>
      </w:pPr>
      <w:hyperlink w:anchor="_Toc27389" w:history="1">
        <w:r>
          <w:rPr>
            <w:rFonts w:ascii="仿宋" w:eastAsia="仿宋" w:hAnsi="仿宋" w:cs="仿宋" w:hint="eastAsia"/>
            <w:lang w:eastAsia="zh-CN"/>
          </w:rPr>
          <w:t>(四)、土建工程建设指标</w:t>
        </w:r>
        <w:r>
          <w:tab/>
        </w:r>
        <w:r>
          <w:fldChar w:fldCharType="begin"/>
        </w:r>
        <w:r>
          <w:instrText xml:space="preserve"> PAGEREF _Toc27389 \h </w:instrText>
        </w:r>
        <w:r>
          <w:fldChar w:fldCharType="separate"/>
        </w:r>
        <w:r>
          <w:t>7</w:t>
        </w:r>
        <w:r>
          <w:fldChar w:fldCharType="end"/>
        </w:r>
      </w:hyperlink>
    </w:p>
    <w:p>
      <w:pPr>
        <w:pStyle w:val="TOC1"/>
        <w:tabs>
          <w:tab w:val="right" w:leader="dot" w:pos="8306"/>
        </w:tabs>
      </w:pPr>
      <w:hyperlink w:anchor="_Toc16504" w:history="1">
        <w:r>
          <w:rPr>
            <w:rFonts w:ascii="仿宋" w:eastAsia="仿宋" w:hAnsi="仿宋" w:cs="仿宋" w:hint="eastAsia"/>
            <w:lang w:eastAsia="zh-CN"/>
          </w:rPr>
          <w:t>三、医药流通项目文档管理</w:t>
        </w:r>
        <w:r>
          <w:tab/>
        </w:r>
        <w:r>
          <w:fldChar w:fldCharType="begin"/>
        </w:r>
        <w:r>
          <w:instrText xml:space="preserve"> PAGEREF _Toc16504 \h </w:instrText>
        </w:r>
        <w:r>
          <w:fldChar w:fldCharType="separate"/>
        </w:r>
        <w:r>
          <w:t>8</w:t>
        </w:r>
        <w:r>
          <w:fldChar w:fldCharType="end"/>
        </w:r>
      </w:hyperlink>
    </w:p>
    <w:p>
      <w:pPr>
        <w:pStyle w:val="TOC2"/>
        <w:tabs>
          <w:tab w:val="right" w:leader="dot" w:pos="8306"/>
        </w:tabs>
      </w:pPr>
      <w:hyperlink w:anchor="_Toc2340" w:history="1">
        <w:r>
          <w:rPr>
            <w:rFonts w:ascii="仿宋" w:eastAsia="仿宋" w:hAnsi="仿宋" w:cs="仿宋" w:hint="eastAsia"/>
            <w:lang w:eastAsia="zh-CN"/>
          </w:rPr>
          <w:t>(一)、文档编制与审查</w:t>
        </w:r>
        <w:r>
          <w:tab/>
        </w:r>
        <w:r>
          <w:fldChar w:fldCharType="begin"/>
        </w:r>
        <w:r>
          <w:instrText xml:space="preserve"> PAGEREF _Toc2340 \h </w:instrText>
        </w:r>
        <w:r>
          <w:fldChar w:fldCharType="separate"/>
        </w:r>
        <w:r>
          <w:t>8</w:t>
        </w:r>
        <w:r>
          <w:fldChar w:fldCharType="end"/>
        </w:r>
      </w:hyperlink>
    </w:p>
    <w:p>
      <w:pPr>
        <w:pStyle w:val="TOC2"/>
        <w:tabs>
          <w:tab w:val="right" w:leader="dot" w:pos="8306"/>
        </w:tabs>
      </w:pPr>
      <w:hyperlink w:anchor="_Toc16054" w:history="1">
        <w:r>
          <w:rPr>
            <w:rFonts w:ascii="仿宋" w:eastAsia="仿宋" w:hAnsi="仿宋" w:cs="仿宋" w:hint="eastAsia"/>
            <w:lang w:eastAsia="zh-CN"/>
          </w:rPr>
          <w:t>(二)、文档发布与分发</w:t>
        </w:r>
        <w:r>
          <w:tab/>
        </w:r>
        <w:r>
          <w:fldChar w:fldCharType="begin"/>
        </w:r>
        <w:r>
          <w:instrText xml:space="preserve"> PAGEREF _Toc16054 \h </w:instrText>
        </w:r>
        <w:r>
          <w:fldChar w:fldCharType="separate"/>
        </w:r>
        <w:r>
          <w:t>9</w:t>
        </w:r>
        <w:r>
          <w:fldChar w:fldCharType="end"/>
        </w:r>
      </w:hyperlink>
    </w:p>
    <w:p>
      <w:pPr>
        <w:pStyle w:val="TOC2"/>
        <w:tabs>
          <w:tab w:val="right" w:leader="dot" w:pos="8306"/>
        </w:tabs>
      </w:pPr>
      <w:hyperlink w:anchor="_Toc28270" w:history="1">
        <w:r>
          <w:rPr>
            <w:rFonts w:ascii="仿宋" w:eastAsia="仿宋" w:hAnsi="仿宋" w:cs="仿宋" w:hint="eastAsia"/>
            <w:lang w:eastAsia="zh-CN"/>
          </w:rPr>
          <w:t>(三)、文档存档与归档</w:t>
        </w:r>
        <w:r>
          <w:tab/>
        </w:r>
        <w:r>
          <w:fldChar w:fldCharType="begin"/>
        </w:r>
        <w:r>
          <w:instrText xml:space="preserve"> PAGEREF _Toc28270 \h </w:instrText>
        </w:r>
        <w:r>
          <w:fldChar w:fldCharType="separate"/>
        </w:r>
        <w:r>
          <w:t>10</w:t>
        </w:r>
        <w:r>
          <w:fldChar w:fldCharType="end"/>
        </w:r>
      </w:hyperlink>
    </w:p>
    <w:p>
      <w:pPr>
        <w:pStyle w:val="TOC1"/>
        <w:tabs>
          <w:tab w:val="right" w:leader="dot" w:pos="8306"/>
        </w:tabs>
      </w:pPr>
      <w:hyperlink w:anchor="_Toc12398" w:history="1">
        <w:r>
          <w:rPr>
            <w:rFonts w:ascii="仿宋" w:eastAsia="仿宋" w:hAnsi="仿宋" w:cs="仿宋" w:hint="eastAsia"/>
            <w:lang w:eastAsia="zh-CN"/>
          </w:rPr>
          <w:t>四、医药流通项目绩效评估</w:t>
        </w:r>
        <w:r>
          <w:tab/>
        </w:r>
        <w:r>
          <w:fldChar w:fldCharType="begin"/>
        </w:r>
        <w:r>
          <w:instrText xml:space="preserve"> PAGEREF _Toc12398 \h </w:instrText>
        </w:r>
        <w:r>
          <w:fldChar w:fldCharType="separate"/>
        </w:r>
        <w:r>
          <w:t>11</w:t>
        </w:r>
        <w:r>
          <w:fldChar w:fldCharType="end"/>
        </w:r>
      </w:hyperlink>
    </w:p>
    <w:p>
      <w:pPr>
        <w:pStyle w:val="TOC2"/>
        <w:tabs>
          <w:tab w:val="right" w:leader="dot" w:pos="8306"/>
        </w:tabs>
      </w:pPr>
      <w:hyperlink w:anchor="_Toc28586" w:history="1">
        <w:r>
          <w:rPr>
            <w:rFonts w:ascii="仿宋" w:eastAsia="仿宋" w:hAnsi="仿宋" w:cs="仿宋" w:hint="eastAsia"/>
            <w:lang w:eastAsia="zh-CN"/>
          </w:rPr>
          <w:t>(一)、绩效评估指标</w:t>
        </w:r>
        <w:r>
          <w:tab/>
        </w:r>
        <w:r>
          <w:fldChar w:fldCharType="begin"/>
        </w:r>
        <w:r>
          <w:instrText xml:space="preserve"> PAGEREF _Toc28586 \h </w:instrText>
        </w:r>
        <w:r>
          <w:fldChar w:fldCharType="separate"/>
        </w:r>
        <w:r>
          <w:t>11</w:t>
        </w:r>
        <w:r>
          <w:fldChar w:fldCharType="end"/>
        </w:r>
      </w:hyperlink>
    </w:p>
    <w:p>
      <w:pPr>
        <w:pStyle w:val="TOC2"/>
        <w:tabs>
          <w:tab w:val="right" w:leader="dot" w:pos="8306"/>
        </w:tabs>
      </w:pPr>
      <w:hyperlink w:anchor="_Toc30768" w:history="1">
        <w:r>
          <w:rPr>
            <w:rFonts w:ascii="仿宋" w:eastAsia="仿宋" w:hAnsi="仿宋" w:cs="仿宋" w:hint="eastAsia"/>
            <w:lang w:eastAsia="zh-CN"/>
          </w:rPr>
          <w:t>(二)、绩效评估方法</w:t>
        </w:r>
        <w:r>
          <w:tab/>
        </w:r>
        <w:r>
          <w:fldChar w:fldCharType="begin"/>
        </w:r>
        <w:r>
          <w:instrText xml:space="preserve"> PAGEREF _Toc30768 \h </w:instrText>
        </w:r>
        <w:r>
          <w:fldChar w:fldCharType="separate"/>
        </w:r>
        <w:r>
          <w:t>12</w:t>
        </w:r>
        <w:r>
          <w:fldChar w:fldCharType="end"/>
        </w:r>
      </w:hyperlink>
    </w:p>
    <w:p>
      <w:pPr>
        <w:pStyle w:val="TOC2"/>
        <w:tabs>
          <w:tab w:val="right" w:leader="dot" w:pos="8306"/>
        </w:tabs>
      </w:pPr>
      <w:hyperlink w:anchor="_Toc18975" w:history="1">
        <w:r>
          <w:rPr>
            <w:rFonts w:ascii="仿宋" w:eastAsia="仿宋" w:hAnsi="仿宋" w:cs="仿宋" w:hint="eastAsia"/>
            <w:lang w:eastAsia="zh-CN"/>
          </w:rPr>
          <w:t>(三)、绩效评估周期</w:t>
        </w:r>
        <w:r>
          <w:tab/>
        </w:r>
        <w:r>
          <w:fldChar w:fldCharType="begin"/>
        </w:r>
        <w:r>
          <w:instrText xml:space="preserve"> PAGEREF _Toc18975 \h </w:instrText>
        </w:r>
        <w:r>
          <w:fldChar w:fldCharType="separate"/>
        </w:r>
        <w:r>
          <w:t>13</w:t>
        </w:r>
        <w:r>
          <w:fldChar w:fldCharType="end"/>
        </w:r>
      </w:hyperlink>
    </w:p>
    <w:p>
      <w:pPr>
        <w:pStyle w:val="TOC1"/>
        <w:tabs>
          <w:tab w:val="right" w:leader="dot" w:pos="8306"/>
        </w:tabs>
      </w:pPr>
      <w:hyperlink w:anchor="_Toc5945" w:history="1">
        <w:r>
          <w:rPr>
            <w:rFonts w:ascii="仿宋" w:eastAsia="仿宋" w:hAnsi="仿宋" w:cs="仿宋" w:hint="eastAsia"/>
            <w:lang w:eastAsia="zh-CN"/>
          </w:rPr>
          <w:t>五、产品规划分析</w:t>
        </w:r>
        <w:r>
          <w:tab/>
        </w:r>
        <w:r>
          <w:fldChar w:fldCharType="begin"/>
        </w:r>
        <w:r>
          <w:instrText xml:space="preserve"> PAGEREF _Toc5945 \h </w:instrText>
        </w:r>
        <w:r>
          <w:fldChar w:fldCharType="separate"/>
        </w:r>
        <w:r>
          <w:t>14</w:t>
        </w:r>
        <w:r>
          <w:fldChar w:fldCharType="end"/>
        </w:r>
      </w:hyperlink>
    </w:p>
    <w:p>
      <w:pPr>
        <w:pStyle w:val="TOC2"/>
        <w:tabs>
          <w:tab w:val="right" w:leader="dot" w:pos="8306"/>
        </w:tabs>
      </w:pPr>
      <w:hyperlink w:anchor="_Toc5859" w:history="1">
        <w:r>
          <w:rPr>
            <w:rFonts w:ascii="仿宋" w:eastAsia="仿宋" w:hAnsi="仿宋" w:cs="仿宋" w:hint="eastAsia"/>
            <w:lang w:eastAsia="zh-CN"/>
          </w:rPr>
          <w:t>(一)、产品规划</w:t>
        </w:r>
        <w:r>
          <w:tab/>
        </w:r>
        <w:r>
          <w:fldChar w:fldCharType="begin"/>
        </w:r>
        <w:r>
          <w:instrText xml:space="preserve"> PAGEREF _Toc5859 \h </w:instrText>
        </w:r>
        <w:r>
          <w:fldChar w:fldCharType="separate"/>
        </w:r>
        <w:r>
          <w:t>14</w:t>
        </w:r>
        <w:r>
          <w:fldChar w:fldCharType="end"/>
        </w:r>
      </w:hyperlink>
    </w:p>
    <w:p>
      <w:pPr>
        <w:pStyle w:val="TOC2"/>
        <w:tabs>
          <w:tab w:val="right" w:leader="dot" w:pos="8306"/>
        </w:tabs>
      </w:pPr>
      <w:hyperlink w:anchor="_Toc5104" w:history="1">
        <w:r>
          <w:rPr>
            <w:rFonts w:ascii="仿宋" w:eastAsia="仿宋" w:hAnsi="仿宋" w:cs="仿宋" w:hint="eastAsia"/>
            <w:lang w:eastAsia="zh-CN"/>
          </w:rPr>
          <w:t>(二)、建设规模</w:t>
        </w:r>
        <w:r>
          <w:tab/>
        </w:r>
        <w:r>
          <w:fldChar w:fldCharType="begin"/>
        </w:r>
        <w:r>
          <w:instrText xml:space="preserve"> PAGEREF _Toc5104 \h </w:instrText>
        </w:r>
        <w:r>
          <w:fldChar w:fldCharType="separate"/>
        </w:r>
        <w:r>
          <w:t>15</w:t>
        </w:r>
        <w:r>
          <w:fldChar w:fldCharType="end"/>
        </w:r>
      </w:hyperlink>
    </w:p>
    <w:p>
      <w:pPr>
        <w:pStyle w:val="TOC1"/>
        <w:tabs>
          <w:tab w:val="right" w:leader="dot" w:pos="8306"/>
        </w:tabs>
      </w:pPr>
      <w:hyperlink w:anchor="_Toc21980" w:history="1">
        <w:r>
          <w:rPr>
            <w:rFonts w:ascii="仿宋" w:eastAsia="仿宋" w:hAnsi="仿宋" w:cs="仿宋" w:hint="eastAsia"/>
            <w:lang w:eastAsia="zh-CN"/>
          </w:rPr>
          <w:t>六、医药流通项目危机管理</w:t>
        </w:r>
        <w:r>
          <w:tab/>
        </w:r>
        <w:r>
          <w:fldChar w:fldCharType="begin"/>
        </w:r>
        <w:r>
          <w:instrText xml:space="preserve"> PAGEREF _Toc21980 \h </w:instrText>
        </w:r>
        <w:r>
          <w:fldChar w:fldCharType="separate"/>
        </w:r>
        <w:r>
          <w:t>16</w:t>
        </w:r>
        <w:r>
          <w:fldChar w:fldCharType="end"/>
        </w:r>
      </w:hyperlink>
    </w:p>
    <w:p>
      <w:pPr>
        <w:pStyle w:val="TOC2"/>
        <w:tabs>
          <w:tab w:val="right" w:leader="dot" w:pos="8306"/>
        </w:tabs>
      </w:pPr>
      <w:hyperlink w:anchor="_Toc7502" w:history="1">
        <w:r>
          <w:rPr>
            <w:rFonts w:ascii="仿宋" w:eastAsia="仿宋" w:hAnsi="仿宋" w:cs="仿宋" w:hint="eastAsia"/>
            <w:lang w:eastAsia="zh-CN"/>
          </w:rPr>
          <w:t>(一)、危机预警与识别</w:t>
        </w:r>
        <w:r>
          <w:tab/>
        </w:r>
        <w:r>
          <w:fldChar w:fldCharType="begin"/>
        </w:r>
        <w:r>
          <w:instrText xml:space="preserve"> PAGEREF _Toc7502 \h </w:instrText>
        </w:r>
        <w:r>
          <w:fldChar w:fldCharType="separate"/>
        </w:r>
        <w:r>
          <w:t>16</w:t>
        </w:r>
        <w:r>
          <w:fldChar w:fldCharType="end"/>
        </w:r>
      </w:hyperlink>
    </w:p>
    <w:p>
      <w:pPr>
        <w:pStyle w:val="TOC2"/>
        <w:tabs>
          <w:tab w:val="right" w:leader="dot" w:pos="8306"/>
        </w:tabs>
      </w:pPr>
      <w:hyperlink w:anchor="_Toc13831" w:history="1">
        <w:r>
          <w:rPr>
            <w:rFonts w:ascii="仿宋" w:eastAsia="仿宋" w:hAnsi="仿宋" w:cs="仿宋" w:hint="eastAsia"/>
            <w:lang w:eastAsia="zh-CN"/>
          </w:rPr>
          <w:t>(二)、危机应对与恢复</w:t>
        </w:r>
        <w:r>
          <w:tab/>
        </w:r>
        <w:r>
          <w:fldChar w:fldCharType="begin"/>
        </w:r>
        <w:r>
          <w:instrText xml:space="preserve"> PAGEREF _Toc13831 \h </w:instrText>
        </w:r>
        <w:r>
          <w:fldChar w:fldCharType="separate"/>
        </w:r>
        <w:r>
          <w:t>17</w:t>
        </w:r>
        <w:r>
          <w:fldChar w:fldCharType="end"/>
        </w:r>
      </w:hyperlink>
    </w:p>
    <w:p>
      <w:pPr>
        <w:pStyle w:val="TOC1"/>
        <w:tabs>
          <w:tab w:val="right" w:leader="dot" w:pos="8306"/>
        </w:tabs>
      </w:pPr>
      <w:hyperlink w:anchor="_Toc6816" w:history="1">
        <w:r>
          <w:rPr>
            <w:rFonts w:ascii="仿宋" w:eastAsia="仿宋" w:hAnsi="仿宋" w:cs="仿宋" w:hint="eastAsia"/>
            <w:lang w:eastAsia="zh-CN"/>
          </w:rPr>
          <w:t>七、生产安全保护</w:t>
        </w:r>
        <w:r>
          <w:tab/>
        </w:r>
        <w:r>
          <w:fldChar w:fldCharType="begin"/>
        </w:r>
        <w:r>
          <w:instrText xml:space="preserve"> PAGEREF _Toc6816 \h </w:instrText>
        </w:r>
        <w:r>
          <w:fldChar w:fldCharType="separate"/>
        </w:r>
        <w:r>
          <w:t>19</w:t>
        </w:r>
        <w:r>
          <w:fldChar w:fldCharType="end"/>
        </w:r>
      </w:hyperlink>
    </w:p>
    <w:p>
      <w:pPr>
        <w:pStyle w:val="TOC2"/>
        <w:tabs>
          <w:tab w:val="right" w:leader="dot" w:pos="8306"/>
        </w:tabs>
      </w:pPr>
      <w:hyperlink w:anchor="_Toc11446" w:history="1">
        <w:r>
          <w:rPr>
            <w:rFonts w:ascii="仿宋" w:eastAsia="仿宋" w:hAnsi="仿宋" w:cs="仿宋" w:hint="eastAsia"/>
            <w:lang w:eastAsia="zh-CN"/>
          </w:rPr>
          <w:t>(一)、消防安全</w:t>
        </w:r>
        <w:r>
          <w:tab/>
        </w:r>
        <w:r>
          <w:fldChar w:fldCharType="begin"/>
        </w:r>
        <w:r>
          <w:instrText xml:space="preserve"> PAGEREF _Toc11446 \h </w:instrText>
        </w:r>
        <w:r>
          <w:fldChar w:fldCharType="separate"/>
        </w:r>
        <w:r>
          <w:t>19</w:t>
        </w:r>
        <w:r>
          <w:fldChar w:fldCharType="end"/>
        </w:r>
      </w:hyperlink>
    </w:p>
    <w:p>
      <w:pPr>
        <w:pStyle w:val="TOC2"/>
        <w:tabs>
          <w:tab w:val="right" w:leader="dot" w:pos="8306"/>
        </w:tabs>
      </w:pPr>
      <w:hyperlink w:anchor="_Toc4677" w:history="1">
        <w:r>
          <w:rPr>
            <w:rFonts w:ascii="仿宋" w:eastAsia="仿宋" w:hAnsi="仿宋" w:cs="仿宋" w:hint="eastAsia"/>
            <w:lang w:eastAsia="zh-CN"/>
          </w:rPr>
          <w:t>(二)、防火防爆总图布置措施</w:t>
        </w:r>
        <w:r>
          <w:tab/>
        </w:r>
        <w:r>
          <w:fldChar w:fldCharType="begin"/>
        </w:r>
        <w:r>
          <w:instrText xml:space="preserve"> PAGEREF _Toc4677 \h </w:instrText>
        </w:r>
        <w:r>
          <w:fldChar w:fldCharType="separate"/>
        </w:r>
        <w:r>
          <w:t>20</w:t>
        </w:r>
        <w:r>
          <w:fldChar w:fldCharType="end"/>
        </w:r>
      </w:hyperlink>
    </w:p>
    <w:p>
      <w:pPr>
        <w:pStyle w:val="TOC2"/>
        <w:tabs>
          <w:tab w:val="right" w:leader="dot" w:pos="8306"/>
        </w:tabs>
      </w:pPr>
      <w:hyperlink w:anchor="_Toc15320" w:history="1">
        <w:r>
          <w:rPr>
            <w:rFonts w:ascii="仿宋" w:eastAsia="仿宋" w:hAnsi="仿宋" w:cs="仿宋" w:hint="eastAsia"/>
            <w:lang w:eastAsia="zh-CN"/>
          </w:rPr>
          <w:t>(三)、自然灾害防范措施</w:t>
        </w:r>
        <w:r>
          <w:tab/>
        </w:r>
        <w:r>
          <w:fldChar w:fldCharType="begin"/>
        </w:r>
        <w:r>
          <w:instrText xml:space="preserve"> PAGEREF _Toc15320 \h </w:instrText>
        </w:r>
        <w:r>
          <w:fldChar w:fldCharType="separate"/>
        </w:r>
        <w:r>
          <w:t>21</w:t>
        </w:r>
        <w:r>
          <w:fldChar w:fldCharType="end"/>
        </w:r>
      </w:hyperlink>
    </w:p>
    <w:p>
      <w:pPr>
        <w:pStyle w:val="TOC2"/>
        <w:tabs>
          <w:tab w:val="right" w:leader="dot" w:pos="8306"/>
        </w:tabs>
      </w:pPr>
      <w:hyperlink w:anchor="_Toc26444" w:history="1">
        <w:r>
          <w:rPr>
            <w:rFonts w:ascii="仿宋" w:eastAsia="仿宋" w:hAnsi="仿宋" w:cs="仿宋" w:hint="eastAsia"/>
            <w:lang w:eastAsia="zh-CN"/>
          </w:rPr>
          <w:t>(四)、安全色及安全标志使用要求</w:t>
        </w:r>
        <w:r>
          <w:tab/>
        </w:r>
        <w:r>
          <w:fldChar w:fldCharType="begin"/>
        </w:r>
        <w:r>
          <w:instrText xml:space="preserve"> PAGEREF _Toc26444 \h </w:instrText>
        </w:r>
        <w:r>
          <w:fldChar w:fldCharType="separate"/>
        </w:r>
        <w:r>
          <w:t>22</w:t>
        </w:r>
        <w:r>
          <w:fldChar w:fldCharType="end"/>
        </w:r>
      </w:hyperlink>
    </w:p>
    <w:p>
      <w:pPr>
        <w:pStyle w:val="TOC2"/>
        <w:tabs>
          <w:tab w:val="right" w:leader="dot" w:pos="8306"/>
        </w:tabs>
      </w:pPr>
      <w:hyperlink w:anchor="_Toc1946" w:history="1">
        <w:r>
          <w:rPr>
            <w:rFonts w:ascii="仿宋" w:eastAsia="仿宋" w:hAnsi="仿宋" w:cs="仿宋" w:hint="eastAsia"/>
            <w:lang w:eastAsia="zh-CN"/>
          </w:rPr>
          <w:t>(五)、防尘防毒措施</w:t>
        </w:r>
        <w:r>
          <w:tab/>
        </w:r>
        <w:r>
          <w:fldChar w:fldCharType="begin"/>
        </w:r>
        <w:r>
          <w:instrText xml:space="preserve"> PAGEREF _Toc1946 \h </w:instrText>
        </w:r>
        <w:r>
          <w:fldChar w:fldCharType="separate"/>
        </w:r>
        <w:r>
          <w:t>23</w:t>
        </w:r>
        <w:r>
          <w:fldChar w:fldCharType="end"/>
        </w:r>
      </w:hyperlink>
    </w:p>
    <w:p>
      <w:pPr>
        <w:pStyle w:val="TOC2"/>
        <w:tabs>
          <w:tab w:val="right" w:leader="dot" w:pos="8306"/>
        </w:tabs>
      </w:pPr>
      <w:hyperlink w:anchor="_Toc11556" w:history="1">
        <w:r>
          <w:rPr>
            <w:rFonts w:ascii="仿宋" w:eastAsia="仿宋" w:hAnsi="仿宋" w:cs="仿宋" w:hint="eastAsia"/>
            <w:lang w:eastAsia="zh-CN"/>
          </w:rPr>
          <w:t>(六)、防静电、触电防护及防雷措施</w:t>
        </w:r>
        <w:r>
          <w:tab/>
        </w:r>
        <w:r>
          <w:fldChar w:fldCharType="begin"/>
        </w:r>
        <w:r>
          <w:instrText xml:space="preserve"> PAGEREF _Toc11556 \h </w:instrText>
        </w:r>
        <w:r>
          <w:fldChar w:fldCharType="separate"/>
        </w:r>
        <w:r>
          <w:t>24</w:t>
        </w:r>
        <w:r>
          <w:fldChar w:fldCharType="end"/>
        </w:r>
      </w:hyperlink>
    </w:p>
    <w:p>
      <w:pPr>
        <w:pStyle w:val="TOC2"/>
        <w:tabs>
          <w:tab w:val="right" w:leader="dot" w:pos="8306"/>
        </w:tabs>
      </w:pPr>
      <w:hyperlink w:anchor="_Toc7637" w:history="1">
        <w:r>
          <w:rPr>
            <w:rFonts w:ascii="仿宋" w:eastAsia="仿宋" w:hAnsi="仿宋" w:cs="仿宋" w:hint="eastAsia"/>
            <w:lang w:eastAsia="zh-CN"/>
          </w:rPr>
          <w:t>(七)、机械设备安全保障措施</w:t>
        </w:r>
        <w:r>
          <w:tab/>
        </w:r>
        <w:r>
          <w:fldChar w:fldCharType="begin"/>
        </w:r>
        <w:r>
          <w:instrText xml:space="preserve"> PAGEREF _Toc7637 \h </w:instrText>
        </w:r>
        <w:r>
          <w:fldChar w:fldCharType="separate"/>
        </w:r>
        <w:r>
          <w:t>25</w:t>
        </w:r>
        <w:r>
          <w:fldChar w:fldCharType="end"/>
        </w:r>
      </w:hyperlink>
    </w:p>
    <w:p>
      <w:pPr>
        <w:pStyle w:val="TOC1"/>
        <w:tabs>
          <w:tab w:val="right" w:leader="dot" w:pos="8306"/>
        </w:tabs>
      </w:pPr>
      <w:hyperlink w:anchor="_Toc2499" w:history="1">
        <w:r>
          <w:rPr>
            <w:rFonts w:ascii="仿宋" w:eastAsia="仿宋" w:hAnsi="仿宋" w:cs="仿宋" w:hint="eastAsia"/>
            <w:lang w:eastAsia="zh-CN"/>
          </w:rPr>
          <w:t>八、医药流通项目创新与研发</w:t>
        </w:r>
        <w:r>
          <w:tab/>
        </w:r>
        <w:r>
          <w:fldChar w:fldCharType="begin"/>
        </w:r>
        <w:r>
          <w:instrText xml:space="preserve"> PAGEREF _Toc2499 \h </w:instrText>
        </w:r>
        <w:r>
          <w:fldChar w:fldCharType="separate"/>
        </w:r>
        <w:r>
          <w:t>26</w:t>
        </w:r>
        <w:r>
          <w:fldChar w:fldCharType="end"/>
        </w:r>
      </w:hyperlink>
    </w:p>
    <w:p>
      <w:pPr>
        <w:pStyle w:val="TOC2"/>
        <w:tabs>
          <w:tab w:val="right" w:leader="dot" w:pos="8306"/>
        </w:tabs>
      </w:pPr>
      <w:hyperlink w:anchor="_Toc9768" w:history="1">
        <w:r>
          <w:rPr>
            <w:rFonts w:ascii="仿宋" w:eastAsia="仿宋" w:hAnsi="仿宋" w:cs="仿宋" w:hint="eastAsia"/>
            <w:lang w:eastAsia="zh-CN"/>
          </w:rPr>
          <w:t>(一)、创新策略与方向</w:t>
        </w:r>
        <w:r>
          <w:tab/>
        </w:r>
        <w:r>
          <w:fldChar w:fldCharType="begin"/>
        </w:r>
        <w:r>
          <w:instrText xml:space="preserve"> PAGEREF _Toc9768 \h </w:instrText>
        </w:r>
        <w:r>
          <w:fldChar w:fldCharType="separate"/>
        </w:r>
        <w:r>
          <w:t>26</w:t>
        </w:r>
        <w:r>
          <w:fldChar w:fldCharType="end"/>
        </w:r>
      </w:hyperlink>
    </w:p>
    <w:p>
      <w:pPr>
        <w:pStyle w:val="TOC2"/>
        <w:tabs>
          <w:tab w:val="right" w:leader="dot" w:pos="8306"/>
        </w:tabs>
      </w:pPr>
      <w:hyperlink w:anchor="_Toc8672" w:history="1">
        <w:r>
          <w:rPr>
            <w:rFonts w:ascii="仿宋" w:eastAsia="仿宋" w:hAnsi="仿宋" w:cs="仿宋" w:hint="eastAsia"/>
            <w:lang w:eastAsia="zh-CN"/>
          </w:rPr>
          <w:t>(二)、研发规划与投入</w:t>
        </w:r>
        <w:r>
          <w:tab/>
        </w:r>
        <w:r>
          <w:fldChar w:fldCharType="begin"/>
        </w:r>
        <w:r>
          <w:instrText xml:space="preserve"> PAGEREF _Toc8672 \h </w:instrText>
        </w:r>
        <w:r>
          <w:fldChar w:fldCharType="separate"/>
        </w:r>
        <w:r>
          <w:t>28</w:t>
        </w:r>
        <w:r>
          <w:fldChar w:fldCharType="end"/>
        </w:r>
      </w:hyperlink>
    </w:p>
    <w:p>
      <w:pPr>
        <w:pStyle w:val="TOC1"/>
        <w:tabs>
          <w:tab w:val="right" w:leader="dot" w:pos="8306"/>
        </w:tabs>
      </w:pPr>
      <w:hyperlink w:anchor="_Toc10161" w:history="1">
        <w:r>
          <w:rPr>
            <w:rFonts w:ascii="仿宋" w:eastAsia="仿宋" w:hAnsi="仿宋" w:cs="仿宋" w:hint="eastAsia"/>
            <w:lang w:eastAsia="zh-CN"/>
          </w:rPr>
          <w:t>九、医药流通项目人力资源管理</w:t>
        </w:r>
        <w:r>
          <w:tab/>
        </w:r>
        <w:r>
          <w:fldChar w:fldCharType="begin"/>
        </w:r>
        <w:r>
          <w:instrText xml:space="preserve"> PAGEREF _Toc10161 \h </w:instrText>
        </w:r>
        <w:r>
          <w:fldChar w:fldCharType="separate"/>
        </w:r>
        <w:r>
          <w:t>30</w:t>
        </w:r>
        <w:r>
          <w:fldChar w:fldCharType="end"/>
        </w:r>
      </w:hyperlink>
    </w:p>
    <w:p>
      <w:pPr>
        <w:pStyle w:val="TOC2"/>
        <w:tabs>
          <w:tab w:val="right" w:leader="dot" w:pos="8306"/>
        </w:tabs>
      </w:pPr>
      <w:hyperlink w:anchor="_Toc10304" w:history="1">
        <w:r>
          <w:rPr>
            <w:rFonts w:ascii="仿宋" w:eastAsia="仿宋" w:hAnsi="仿宋" w:cs="仿宋" w:hint="eastAsia"/>
            <w:lang w:eastAsia="zh-CN"/>
          </w:rPr>
          <w:t>(一)、建立健全的预算管理制度</w:t>
        </w:r>
        <w:r>
          <w:tab/>
        </w:r>
        <w:r>
          <w:fldChar w:fldCharType="begin"/>
        </w:r>
        <w:r>
          <w:instrText xml:space="preserve"> PAGEREF _Toc10304 \h </w:instrText>
        </w:r>
        <w:r>
          <w:fldChar w:fldCharType="separate"/>
        </w:r>
        <w:r>
          <w:t>30</w:t>
        </w:r>
        <w:r>
          <w:fldChar w:fldCharType="end"/>
        </w:r>
      </w:hyperlink>
    </w:p>
    <w:p>
      <w:pPr>
        <w:pStyle w:val="TOC2"/>
        <w:tabs>
          <w:tab w:val="right" w:leader="dot" w:pos="8306"/>
        </w:tabs>
      </w:pPr>
      <w:hyperlink w:anchor="_Toc14785" w:history="1">
        <w:r>
          <w:rPr>
            <w:rFonts w:ascii="仿宋" w:eastAsia="仿宋" w:hAnsi="仿宋" w:cs="仿宋" w:hint="eastAsia"/>
            <w:lang w:eastAsia="zh-CN"/>
          </w:rPr>
          <w:t>(二)、加强资金流动监控</w:t>
        </w:r>
        <w:r>
          <w:tab/>
        </w:r>
        <w:r>
          <w:fldChar w:fldCharType="begin"/>
        </w:r>
        <w:r>
          <w:instrText xml:space="preserve"> PAGEREF _Toc14785 \h </w:instrText>
        </w:r>
        <w:r>
          <w:fldChar w:fldCharType="separate"/>
        </w:r>
        <w:r>
          <w:t>31</w:t>
        </w:r>
        <w:r>
          <w:fldChar w:fldCharType="end"/>
        </w:r>
      </w:hyperlink>
    </w:p>
    <w:p>
      <w:pPr>
        <w:pStyle w:val="TOC2"/>
        <w:tabs>
          <w:tab w:val="right" w:leader="dot" w:pos="8306"/>
        </w:tabs>
      </w:pPr>
      <w:hyperlink w:anchor="_Toc12321" w:history="1">
        <w:r>
          <w:rPr>
            <w:rFonts w:ascii="仿宋" w:eastAsia="仿宋" w:hAnsi="仿宋" w:cs="仿宋" w:hint="eastAsia"/>
            <w:lang w:eastAsia="zh-CN"/>
          </w:rPr>
          <w:t>(三)、制定完善的风险控制机制</w:t>
        </w:r>
        <w:r>
          <w:tab/>
        </w:r>
        <w:r>
          <w:fldChar w:fldCharType="begin"/>
        </w:r>
        <w:r>
          <w:instrText xml:space="preserve"> PAGEREF _Toc12321 \h </w:instrText>
        </w:r>
        <w:r>
          <w:fldChar w:fldCharType="separate"/>
        </w:r>
        <w:r>
          <w:t>32</w:t>
        </w:r>
        <w:r>
          <w:fldChar w:fldCharType="end"/>
        </w:r>
      </w:hyperlink>
    </w:p>
    <w:p>
      <w:pPr>
        <w:pStyle w:val="TOC2"/>
        <w:tabs>
          <w:tab w:val="right" w:leader="dot" w:pos="8306"/>
        </w:tabs>
      </w:pPr>
      <w:hyperlink w:anchor="_Toc24323" w:history="1">
        <w:r>
          <w:rPr>
            <w:rFonts w:ascii="仿宋" w:eastAsia="仿宋" w:hAnsi="仿宋" w:cs="仿宋" w:hint="eastAsia"/>
            <w:lang w:eastAsia="zh-CN"/>
          </w:rPr>
          <w:t>(四)、优化成本管理</w:t>
        </w:r>
        <w:r>
          <w:tab/>
        </w:r>
        <w:r>
          <w:fldChar w:fldCharType="begin"/>
        </w:r>
        <w:r>
          <w:instrText xml:space="preserve"> PAGEREF _Toc24323 \h </w:instrText>
        </w:r>
        <w:r>
          <w:fldChar w:fldCharType="separate"/>
        </w:r>
        <w:r>
          <w:t>34</w:t>
        </w:r>
        <w:r>
          <w:fldChar w:fldCharType="end"/>
        </w:r>
      </w:hyperlink>
    </w:p>
    <w:p>
      <w:pPr>
        <w:pStyle w:val="TOC1"/>
        <w:tabs>
          <w:tab w:val="right" w:leader="dot" w:pos="8306"/>
        </w:tabs>
      </w:pPr>
      <w:hyperlink w:anchor="_Toc9289" w:history="1">
        <w:r>
          <w:rPr>
            <w:rFonts w:ascii="仿宋" w:eastAsia="仿宋" w:hAnsi="仿宋" w:cs="仿宋" w:hint="eastAsia"/>
            <w:lang w:eastAsia="zh-CN"/>
          </w:rPr>
          <w:t>十、医药流通项目财务管理</w:t>
        </w:r>
        <w:r>
          <w:tab/>
        </w:r>
        <w:r>
          <w:fldChar w:fldCharType="begin"/>
        </w:r>
        <w:r>
          <w:instrText xml:space="preserve"> PAGEREF _Toc9289 \h </w:instrText>
        </w:r>
        <w:r>
          <w:fldChar w:fldCharType="separate"/>
        </w:r>
        <w:r>
          <w:t>35</w:t>
        </w:r>
        <w:r>
          <w:fldChar w:fldCharType="end"/>
        </w:r>
      </w:hyperlink>
    </w:p>
    <w:p>
      <w:pPr>
        <w:pStyle w:val="TOC2"/>
        <w:tabs>
          <w:tab w:val="right" w:leader="dot" w:pos="8306"/>
        </w:tabs>
      </w:pPr>
      <w:hyperlink w:anchor="_Toc1762" w:history="1">
        <w:r>
          <w:rPr>
            <w:rFonts w:ascii="仿宋" w:eastAsia="仿宋" w:hAnsi="仿宋" w:cs="仿宋" w:hint="eastAsia"/>
            <w:lang w:eastAsia="zh-CN"/>
          </w:rPr>
          <w:t>(一)、资金需求大</w:t>
        </w:r>
        <w:r>
          <w:tab/>
        </w:r>
        <w:r>
          <w:fldChar w:fldCharType="begin"/>
        </w:r>
        <w:r>
          <w:instrText xml:space="preserve"> PAGEREF _Toc1762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10" w:history="1">
        <w:r>
          <w:rPr>
            <w:rFonts w:ascii="仿宋" w:eastAsia="仿宋" w:hAnsi="仿宋" w:cs="仿宋" w:hint="eastAsia"/>
            <w:lang w:eastAsia="zh-CN"/>
          </w:rPr>
          <w:t>(二)、研发周期长</w:t>
        </w:r>
        <w:r>
          <w:tab/>
        </w:r>
        <w:r>
          <w:fldChar w:fldCharType="begin"/>
        </w:r>
        <w:r>
          <w:instrText xml:space="preserve"> PAGEREF _Toc3910 \h </w:instrText>
        </w:r>
        <w:r>
          <w:fldChar w:fldCharType="separate"/>
        </w:r>
        <w:r>
          <w:t>36</w:t>
        </w:r>
        <w:r>
          <w:fldChar w:fldCharType="end"/>
        </w:r>
      </w:hyperlink>
    </w:p>
    <w:p>
      <w:pPr>
        <w:pStyle w:val="TOC2"/>
        <w:tabs>
          <w:tab w:val="right" w:leader="dot" w:pos="8306"/>
        </w:tabs>
      </w:pPr>
      <w:hyperlink w:anchor="_Toc20287" w:history="1">
        <w:r>
          <w:rPr>
            <w:rFonts w:ascii="仿宋" w:eastAsia="仿宋" w:hAnsi="仿宋" w:cs="仿宋" w:hint="eastAsia"/>
            <w:lang w:eastAsia="zh-CN"/>
          </w:rPr>
          <w:t>(三)、市场风险大</w:t>
        </w:r>
        <w:r>
          <w:tab/>
        </w:r>
        <w:r>
          <w:fldChar w:fldCharType="begin"/>
        </w:r>
        <w:r>
          <w:instrText xml:space="preserve"> PAGEREF _Toc20287 \h </w:instrText>
        </w:r>
        <w:r>
          <w:fldChar w:fldCharType="separate"/>
        </w:r>
        <w:r>
          <w:t>37</w:t>
        </w:r>
        <w:r>
          <w:fldChar w:fldCharType="end"/>
        </w:r>
      </w:hyperlink>
    </w:p>
    <w:p>
      <w:pPr>
        <w:pStyle w:val="TOC2"/>
        <w:tabs>
          <w:tab w:val="right" w:leader="dot" w:pos="8306"/>
        </w:tabs>
      </w:pPr>
      <w:hyperlink w:anchor="_Toc1752" w:history="1">
        <w:r>
          <w:rPr>
            <w:rFonts w:ascii="仿宋" w:eastAsia="仿宋" w:hAnsi="仿宋" w:cs="仿宋" w:hint="eastAsia"/>
            <w:lang w:eastAsia="zh-CN"/>
          </w:rPr>
          <w:t>(四)、利润率高</w:t>
        </w:r>
        <w:r>
          <w:tab/>
        </w:r>
        <w:r>
          <w:fldChar w:fldCharType="begin"/>
        </w:r>
        <w:r>
          <w:instrText xml:space="preserve"> PAGEREF _Toc1752 \h </w:instrText>
        </w:r>
        <w:r>
          <w:fldChar w:fldCharType="separate"/>
        </w:r>
        <w:r>
          <w:t>40</w:t>
        </w:r>
        <w:r>
          <w:fldChar w:fldCharType="end"/>
        </w:r>
      </w:hyperlink>
    </w:p>
    <w:p>
      <w:pPr>
        <w:pStyle w:val="TOC1"/>
        <w:tabs>
          <w:tab w:val="right" w:leader="dot" w:pos="8306"/>
        </w:tabs>
      </w:pPr>
      <w:hyperlink w:anchor="_Toc12465" w:history="1">
        <w:r>
          <w:rPr>
            <w:rFonts w:ascii="仿宋" w:eastAsia="仿宋" w:hAnsi="仿宋" w:cs="仿宋" w:hint="eastAsia"/>
            <w:lang w:eastAsia="zh-CN"/>
          </w:rPr>
          <w:t>十一、医药流通项目投资规划</w:t>
        </w:r>
        <w:r>
          <w:tab/>
        </w:r>
        <w:r>
          <w:fldChar w:fldCharType="begin"/>
        </w:r>
        <w:r>
          <w:instrText xml:space="preserve"> PAGEREF _Toc12465 \h </w:instrText>
        </w:r>
        <w:r>
          <w:fldChar w:fldCharType="separate"/>
        </w:r>
        <w:r>
          <w:t>42</w:t>
        </w:r>
        <w:r>
          <w:fldChar w:fldCharType="end"/>
        </w:r>
      </w:hyperlink>
    </w:p>
    <w:p>
      <w:pPr>
        <w:pStyle w:val="TOC2"/>
        <w:tabs>
          <w:tab w:val="right" w:leader="dot" w:pos="8306"/>
        </w:tabs>
      </w:pPr>
      <w:hyperlink w:anchor="_Toc23465" w:history="1">
        <w:r>
          <w:rPr>
            <w:rFonts w:ascii="仿宋" w:eastAsia="仿宋" w:hAnsi="仿宋" w:cs="仿宋" w:hint="eastAsia"/>
            <w:lang w:eastAsia="zh-CN"/>
          </w:rPr>
          <w:t>(一)、医药流通项目总投资估算</w:t>
        </w:r>
        <w:r>
          <w:tab/>
        </w:r>
        <w:r>
          <w:fldChar w:fldCharType="begin"/>
        </w:r>
        <w:r>
          <w:instrText xml:space="preserve"> PAGEREF _Toc23465 \h </w:instrText>
        </w:r>
        <w:r>
          <w:fldChar w:fldCharType="separate"/>
        </w:r>
        <w:r>
          <w:t>42</w:t>
        </w:r>
        <w:r>
          <w:fldChar w:fldCharType="end"/>
        </w:r>
      </w:hyperlink>
    </w:p>
    <w:p>
      <w:pPr>
        <w:pStyle w:val="TOC2"/>
        <w:tabs>
          <w:tab w:val="right" w:leader="dot" w:pos="8306"/>
        </w:tabs>
      </w:pPr>
      <w:hyperlink w:anchor="_Toc20965" w:history="1">
        <w:r>
          <w:rPr>
            <w:rFonts w:ascii="仿宋" w:eastAsia="仿宋" w:hAnsi="仿宋" w:cs="仿宋" w:hint="eastAsia"/>
            <w:lang w:eastAsia="zh-CN"/>
          </w:rPr>
          <w:t>(二)、资金筹措</w:t>
        </w:r>
        <w:r>
          <w:tab/>
        </w:r>
        <w:r>
          <w:fldChar w:fldCharType="begin"/>
        </w:r>
        <w:r>
          <w:instrText xml:space="preserve"> PAGEREF _Toc20965 \h </w:instrText>
        </w:r>
        <w:r>
          <w:fldChar w:fldCharType="separate"/>
        </w:r>
        <w:r>
          <w:t>43</w:t>
        </w:r>
        <w:r>
          <w:fldChar w:fldCharType="end"/>
        </w:r>
      </w:hyperlink>
    </w:p>
    <w:p>
      <w:pPr>
        <w:pStyle w:val="TOC1"/>
        <w:tabs>
          <w:tab w:val="right" w:leader="dot" w:pos="8306"/>
        </w:tabs>
      </w:pPr>
      <w:hyperlink w:anchor="_Toc30649" w:history="1">
        <w:r>
          <w:rPr>
            <w:rFonts w:ascii="仿宋" w:eastAsia="仿宋" w:hAnsi="仿宋" w:cs="仿宋" w:hint="eastAsia"/>
            <w:lang w:eastAsia="zh-CN"/>
          </w:rPr>
          <w:t>十二、医药流通项目社会影响</w:t>
        </w:r>
        <w:r>
          <w:tab/>
        </w:r>
        <w:r>
          <w:fldChar w:fldCharType="begin"/>
        </w:r>
        <w:r>
          <w:instrText xml:space="preserve"> PAGEREF _Toc30649 \h </w:instrText>
        </w:r>
        <w:r>
          <w:fldChar w:fldCharType="separate"/>
        </w:r>
        <w:r>
          <w:t>44</w:t>
        </w:r>
        <w:r>
          <w:fldChar w:fldCharType="end"/>
        </w:r>
      </w:hyperlink>
    </w:p>
    <w:p>
      <w:pPr>
        <w:pStyle w:val="TOC2"/>
        <w:tabs>
          <w:tab w:val="right" w:leader="dot" w:pos="8306"/>
        </w:tabs>
      </w:pPr>
      <w:hyperlink w:anchor="_Toc25302" w:history="1">
        <w:r>
          <w:rPr>
            <w:rFonts w:ascii="仿宋" w:eastAsia="仿宋" w:hAnsi="仿宋" w:cs="仿宋" w:hint="eastAsia"/>
            <w:lang w:eastAsia="zh-CN"/>
          </w:rPr>
          <w:t>(一)、社会责任与义务</w:t>
        </w:r>
        <w:r>
          <w:tab/>
        </w:r>
        <w:r>
          <w:fldChar w:fldCharType="begin"/>
        </w:r>
        <w:r>
          <w:instrText xml:space="preserve"> PAGEREF _Toc25302 \h </w:instrText>
        </w:r>
        <w:r>
          <w:fldChar w:fldCharType="separate"/>
        </w:r>
        <w:r>
          <w:t>44</w:t>
        </w:r>
        <w:r>
          <w:fldChar w:fldCharType="end"/>
        </w:r>
      </w:hyperlink>
    </w:p>
    <w:p>
      <w:pPr>
        <w:pStyle w:val="TOC2"/>
        <w:tabs>
          <w:tab w:val="right" w:leader="dot" w:pos="8306"/>
        </w:tabs>
      </w:pPr>
      <w:hyperlink w:anchor="_Toc26916" w:history="1">
        <w:r>
          <w:rPr>
            <w:rFonts w:ascii="仿宋" w:eastAsia="仿宋" w:hAnsi="仿宋" w:cs="仿宋" w:hint="eastAsia"/>
            <w:lang w:eastAsia="zh-CN"/>
          </w:rPr>
          <w:t>(二)、社会参与与沟通</w:t>
        </w:r>
        <w:r>
          <w:tab/>
        </w:r>
        <w:r>
          <w:fldChar w:fldCharType="begin"/>
        </w:r>
        <w:r>
          <w:instrText xml:space="preserve"> PAGEREF _Toc26916 \h </w:instrText>
        </w:r>
        <w:r>
          <w:fldChar w:fldCharType="separate"/>
        </w:r>
        <w:r>
          <w:t>45</w:t>
        </w:r>
        <w:r>
          <w:fldChar w:fldCharType="end"/>
        </w:r>
      </w:hyperlink>
    </w:p>
    <w:p>
      <w:pPr>
        <w:pStyle w:val="TOC1"/>
        <w:tabs>
          <w:tab w:val="right" w:leader="dot" w:pos="8306"/>
        </w:tabs>
      </w:pPr>
      <w:hyperlink w:anchor="_Toc9976" w:history="1">
        <w:r>
          <w:rPr>
            <w:rFonts w:ascii="仿宋" w:eastAsia="仿宋" w:hAnsi="仿宋" w:cs="仿宋" w:hint="eastAsia"/>
            <w:lang w:eastAsia="zh-CN"/>
          </w:rPr>
          <w:t>十三、医药流通项目工程方案分析</w:t>
        </w:r>
        <w:r>
          <w:tab/>
        </w:r>
        <w:r>
          <w:fldChar w:fldCharType="begin"/>
        </w:r>
        <w:r>
          <w:instrText xml:space="preserve"> PAGEREF _Toc9976 \h </w:instrText>
        </w:r>
        <w:r>
          <w:fldChar w:fldCharType="separate"/>
        </w:r>
        <w:r>
          <w:t>46</w:t>
        </w:r>
        <w:r>
          <w:fldChar w:fldCharType="end"/>
        </w:r>
      </w:hyperlink>
    </w:p>
    <w:p>
      <w:pPr>
        <w:pStyle w:val="TOC2"/>
        <w:tabs>
          <w:tab w:val="right" w:leader="dot" w:pos="8306"/>
        </w:tabs>
      </w:pPr>
      <w:hyperlink w:anchor="_Toc17459" w:history="1">
        <w:r>
          <w:rPr>
            <w:rFonts w:ascii="仿宋" w:eastAsia="仿宋" w:hAnsi="仿宋" w:cs="仿宋" w:hint="eastAsia"/>
            <w:lang w:eastAsia="zh-CN"/>
          </w:rPr>
          <w:t>(一)、建筑工程设计原则</w:t>
        </w:r>
        <w:r>
          <w:tab/>
        </w:r>
        <w:r>
          <w:fldChar w:fldCharType="begin"/>
        </w:r>
        <w:r>
          <w:instrText xml:space="preserve"> PAGEREF _Toc17459 \h </w:instrText>
        </w:r>
        <w:r>
          <w:fldChar w:fldCharType="separate"/>
        </w:r>
        <w:r>
          <w:t>46</w:t>
        </w:r>
        <w:r>
          <w:fldChar w:fldCharType="end"/>
        </w:r>
      </w:hyperlink>
    </w:p>
    <w:p>
      <w:pPr>
        <w:pStyle w:val="TOC2"/>
        <w:tabs>
          <w:tab w:val="right" w:leader="dot" w:pos="8306"/>
        </w:tabs>
      </w:pPr>
      <w:hyperlink w:anchor="_Toc19852" w:history="1">
        <w:r>
          <w:rPr>
            <w:rFonts w:ascii="仿宋" w:eastAsia="仿宋" w:hAnsi="仿宋" w:cs="仿宋" w:hint="eastAsia"/>
            <w:lang w:eastAsia="zh-CN"/>
          </w:rPr>
          <w:t>(二)、土建工程建设指标</w:t>
        </w:r>
        <w:r>
          <w:tab/>
        </w:r>
        <w:r>
          <w:fldChar w:fldCharType="begin"/>
        </w:r>
        <w:r>
          <w:instrText xml:space="preserve"> PAGEREF _Toc19852 \h </w:instrText>
        </w:r>
        <w:r>
          <w:fldChar w:fldCharType="separate"/>
        </w:r>
        <w:r>
          <w:t>49</w:t>
        </w:r>
        <w:r>
          <w:fldChar w:fldCharType="end"/>
        </w:r>
      </w:hyperlink>
    </w:p>
    <w:p>
      <w:pPr>
        <w:pStyle w:val="TOC1"/>
        <w:tabs>
          <w:tab w:val="right" w:leader="dot" w:pos="8306"/>
        </w:tabs>
      </w:pPr>
      <w:hyperlink w:anchor="_Toc7892" w:history="1">
        <w:r>
          <w:rPr>
            <w:rFonts w:ascii="仿宋" w:eastAsia="仿宋" w:hAnsi="仿宋" w:cs="仿宋" w:hint="eastAsia"/>
            <w:lang w:eastAsia="zh-CN"/>
          </w:rPr>
          <w:t>十四、医药流通项目变更管理</w:t>
        </w:r>
        <w:r>
          <w:tab/>
        </w:r>
        <w:r>
          <w:fldChar w:fldCharType="begin"/>
        </w:r>
        <w:r>
          <w:instrText xml:space="preserve"> PAGEREF _Toc7892 \h </w:instrText>
        </w:r>
        <w:r>
          <w:fldChar w:fldCharType="separate"/>
        </w:r>
        <w:r>
          <w:t>51</w:t>
        </w:r>
        <w:r>
          <w:fldChar w:fldCharType="end"/>
        </w:r>
      </w:hyperlink>
    </w:p>
    <w:p>
      <w:pPr>
        <w:pStyle w:val="TOC2"/>
        <w:tabs>
          <w:tab w:val="right" w:leader="dot" w:pos="8306"/>
        </w:tabs>
      </w:pPr>
      <w:hyperlink w:anchor="_Toc29106" w:history="1">
        <w:r>
          <w:rPr>
            <w:rFonts w:ascii="仿宋" w:eastAsia="仿宋" w:hAnsi="仿宋" w:cs="仿宋" w:hint="eastAsia"/>
            <w:lang w:eastAsia="zh-CN"/>
          </w:rPr>
          <w:t>(一)、变更申请与评估</w:t>
        </w:r>
        <w:r>
          <w:tab/>
        </w:r>
        <w:r>
          <w:fldChar w:fldCharType="begin"/>
        </w:r>
        <w:r>
          <w:instrText xml:space="preserve"> PAGEREF _Toc29106 \h </w:instrText>
        </w:r>
        <w:r>
          <w:fldChar w:fldCharType="separate"/>
        </w:r>
        <w:r>
          <w:t>51</w:t>
        </w:r>
        <w:r>
          <w:fldChar w:fldCharType="end"/>
        </w:r>
      </w:hyperlink>
    </w:p>
    <w:p>
      <w:pPr>
        <w:pStyle w:val="TOC2"/>
        <w:tabs>
          <w:tab w:val="right" w:leader="dot" w:pos="8306"/>
        </w:tabs>
      </w:pPr>
      <w:hyperlink w:anchor="_Toc14570" w:history="1">
        <w:r>
          <w:rPr>
            <w:rFonts w:ascii="仿宋" w:eastAsia="仿宋" w:hAnsi="仿宋" w:cs="仿宋" w:hint="eastAsia"/>
            <w:lang w:eastAsia="zh-CN"/>
          </w:rPr>
          <w:t>(二)、变更实施与控制</w:t>
        </w:r>
        <w:r>
          <w:tab/>
        </w:r>
        <w:r>
          <w:fldChar w:fldCharType="begin"/>
        </w:r>
        <w:r>
          <w:instrText xml:space="preserve"> PAGEREF _Toc14570 \h </w:instrText>
        </w:r>
        <w:r>
          <w:fldChar w:fldCharType="separate"/>
        </w:r>
        <w:r>
          <w:t>51</w:t>
        </w:r>
        <w:r>
          <w:fldChar w:fldCharType="end"/>
        </w:r>
      </w:hyperlink>
    </w:p>
    <w:p>
      <w:pPr>
        <w:pStyle w:val="TOC1"/>
        <w:tabs>
          <w:tab w:val="right" w:leader="dot" w:pos="8306"/>
        </w:tabs>
      </w:pPr>
      <w:hyperlink w:anchor="_Toc10232" w:history="1">
        <w:r>
          <w:rPr>
            <w:rFonts w:ascii="仿宋" w:eastAsia="仿宋" w:hAnsi="仿宋" w:cs="仿宋" w:hint="eastAsia"/>
            <w:lang w:eastAsia="zh-CN"/>
          </w:rPr>
          <w:t>十五、利益相关者分析与沟通计划</w:t>
        </w:r>
        <w:r>
          <w:tab/>
        </w:r>
        <w:r>
          <w:fldChar w:fldCharType="begin"/>
        </w:r>
        <w:r>
          <w:instrText xml:space="preserve"> PAGEREF _Toc10232 \h </w:instrText>
        </w:r>
        <w:r>
          <w:fldChar w:fldCharType="separate"/>
        </w:r>
        <w:r>
          <w:t>52</w:t>
        </w:r>
        <w:r>
          <w:fldChar w:fldCharType="end"/>
        </w:r>
      </w:hyperlink>
    </w:p>
    <w:p>
      <w:pPr>
        <w:pStyle w:val="TOC2"/>
        <w:tabs>
          <w:tab w:val="right" w:leader="dot" w:pos="8306"/>
        </w:tabs>
      </w:pPr>
      <w:hyperlink w:anchor="_Toc16412" w:history="1">
        <w:r>
          <w:rPr>
            <w:rFonts w:ascii="仿宋" w:eastAsia="仿宋" w:hAnsi="仿宋" w:cs="仿宋" w:hint="eastAsia"/>
            <w:lang w:eastAsia="zh-CN"/>
          </w:rPr>
          <w:t>(一)、利益相关者分析</w:t>
        </w:r>
        <w:r>
          <w:tab/>
        </w:r>
        <w:r>
          <w:fldChar w:fldCharType="begin"/>
        </w:r>
        <w:r>
          <w:instrText xml:space="preserve"> PAGEREF _Toc16412 \h </w:instrText>
        </w:r>
        <w:r>
          <w:fldChar w:fldCharType="separate"/>
        </w:r>
        <w:r>
          <w:t>52</w:t>
        </w:r>
        <w:r>
          <w:fldChar w:fldCharType="end"/>
        </w:r>
      </w:hyperlink>
    </w:p>
    <w:p>
      <w:pPr>
        <w:pStyle w:val="TOC2"/>
        <w:tabs>
          <w:tab w:val="right" w:leader="dot" w:pos="8306"/>
        </w:tabs>
      </w:pPr>
      <w:hyperlink w:anchor="_Toc28022" w:history="1">
        <w:r>
          <w:rPr>
            <w:rFonts w:ascii="仿宋" w:eastAsia="仿宋" w:hAnsi="仿宋" w:cs="仿宋" w:hint="eastAsia"/>
            <w:lang w:eastAsia="zh-CN"/>
          </w:rPr>
          <w:t>(二)、沟通计划</w:t>
        </w:r>
        <w:r>
          <w:tab/>
        </w:r>
        <w:r>
          <w:fldChar w:fldCharType="begin"/>
        </w:r>
        <w:r>
          <w:instrText xml:space="preserve"> PAGEREF _Toc28022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087"/>
      <w:r>
        <w:rPr>
          <w:rFonts w:ascii="仿宋" w:eastAsia="仿宋" w:hAnsi="仿宋" w:cs="仿宋" w:hint="eastAsia"/>
          <w:sz w:val="28"/>
          <w:lang w:eastAsia="zh-CN"/>
        </w:rPr>
        <w:t>一、医药流通项目可持续发展</w:t>
      </w:r>
      <w:bookmarkEnd w:id="2"/>
    </w:p>
    <w:p>
      <w:pPr>
        <w:pStyle w:val="Heading2"/>
        <w:rPr>
          <w:rFonts w:ascii="仿宋" w:eastAsia="仿宋" w:hAnsi="仿宋" w:cs="仿宋" w:hint="eastAsia"/>
          <w:lang w:eastAsia="zh-CN"/>
        </w:rPr>
      </w:pPr>
      <w:bookmarkStart w:id="3" w:name="_Toc3214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药流通项目中，医药流通项目团队着眼于未来，明确了可持续发展的战略方向。制定的具体可持续发展目标包括降低资源使用、采用环保技术、最大化社会效益等。这一步骤不仅有助于医药流通项目在环保和社会责任方面达到最高标准，也为未来提供了明确的指引，确保医药流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可持续实践的融入医药流通项目管理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医药流通项目管理周期。从医药流通项目规划开始，医药流通项目团队就考虑了环境和社会的因素。在执行阶段，医药流通项目团队积极推动绿色技术的应用，优化资源利用。此外，关注员工的社会责任，通过培训和沟通活动提高员工对可持续发展的认知，使他们能够在日常工作中践行可持续实践。这些举措不仅为医药流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439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扎根于医药流通项目的可持续发展理念，我们深信环保与社会责任是医药流通项目成功的关键支柱。在医药流通项目的每一步，我们都致力于通过创新和实践，履行对环境和社会的坚定责任。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流通项目团队通过引入先进的环保技术、建立高效的废物处理系统以及推动能源节约措施，积极履行环保责任。定期的环保监测和评估确保医药流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流通项目不仅致力于自身可持续发展，还注重对社会的回馈。通过支持社区医药流通项目、参与慈善事业、提供培训机会等方式，医药流通项目积极履行社会责任。与当地社区建立积极互动，关注员工的工作与生活平衡，以及员工的身心健康，是医药流通项目在社会责任层面的关键举措。这样的实践不仅增强了医药流通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1000"/>
      <w:r>
        <w:rPr>
          <w:rFonts w:ascii="仿宋" w:eastAsia="仿宋" w:hAnsi="仿宋" w:cs="仿宋" w:hint="eastAsia"/>
          <w:sz w:val="28"/>
          <w:lang w:eastAsia="zh-CN"/>
        </w:rPr>
        <w:t>二、医药流通项目土建工程</w:t>
      </w:r>
      <w:bookmarkEnd w:id="5"/>
    </w:p>
    <w:p>
      <w:pPr>
        <w:pStyle w:val="Heading2"/>
        <w:rPr>
          <w:rFonts w:ascii="仿宋" w:eastAsia="仿宋" w:hAnsi="仿宋" w:cs="仿宋" w:hint="eastAsia"/>
          <w:lang w:eastAsia="zh-CN"/>
        </w:rPr>
      </w:pPr>
      <w:bookmarkStart w:id="6" w:name="_Toc3047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在医药流通项目的建筑工程设计中，我们将秉承一系列重要的设计原则，以确保医药流通项目建筑在功能、美观、可持续性等方面达到最佳效果。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首要原则是确保建筑的功能性得到最大化的发挥。我们将充分理解医药流通项目的实际需求，合理布局各个功能区域，保证建筑在满足业务需求的同时，提供高效的工作环境。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在建筑设计中，我们将综合考虑建设和运营成本。通过精细的经济效益分析，确保设计方案在高效利用资源的同时，对医药流通项目的长期盈利能力有积极的贡献。</w:t>
      </w:r>
    </w:p>
    <w:p>
      <w:pPr>
        <w:pStyle w:val="Heading2"/>
        <w:ind w:firstLine="560" w:firstLineChars="200"/>
        <w:rPr>
          <w:rFonts w:ascii="仿宋" w:eastAsia="仿宋" w:hAnsi="仿宋" w:cs="仿宋" w:hint="eastAsia"/>
          <w:sz w:val="28"/>
          <w:lang w:eastAsia="zh-CN"/>
        </w:rPr>
      </w:pPr>
      <w:bookmarkStart w:id="7" w:name="_Toc1656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药流通项目的土建工程设计中，我们将精准设定设计年限，结合医药流通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药流通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896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医药流通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药流通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药流通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738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本期工程医药流通项目预计总建筑面积XXX平方米，其中：计容建筑面积XXX平方米，计划建筑工程投资XX万元，占医药流通项目总投资的XX%。</w:t>
      </w:r>
    </w:p>
    <w:p>
      <w:pPr>
        <w:pStyle w:val="Heading1"/>
        <w:ind w:firstLine="560" w:firstLineChars="200"/>
        <w:rPr>
          <w:rFonts w:ascii="仿宋" w:eastAsia="仿宋" w:hAnsi="仿宋" w:cs="仿宋" w:hint="eastAsia"/>
          <w:sz w:val="28"/>
          <w:lang w:eastAsia="zh-CN"/>
        </w:rPr>
      </w:pPr>
      <w:bookmarkStart w:id="10" w:name="_Toc16504"/>
      <w:r>
        <w:rPr>
          <w:rFonts w:ascii="仿宋" w:eastAsia="仿宋" w:hAnsi="仿宋" w:cs="仿宋" w:hint="eastAsia"/>
          <w:sz w:val="28"/>
          <w:lang w:eastAsia="zh-CN"/>
        </w:rPr>
        <w:t>三、医药流通项目文档管理</w:t>
      </w:r>
      <w:bookmarkEnd w:id="10"/>
    </w:p>
    <w:p>
      <w:pPr>
        <w:pStyle w:val="Heading2"/>
        <w:rPr>
          <w:rFonts w:ascii="仿宋" w:eastAsia="仿宋" w:hAnsi="仿宋" w:cs="仿宋" w:hint="eastAsia"/>
          <w:lang w:eastAsia="zh-CN"/>
        </w:rPr>
      </w:pPr>
      <w:bookmarkStart w:id="11" w:name="_Toc2340"/>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医药流通项目高度重视文档的质量和准确性，以支持医药流通项目的各项活动和决策。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流通项目文档的编制始于医药流通项目计划的初期，我们制定了详细的文档编制计划，明确了每个文档的内容、格式和编写责任人。在医药流通项目启动阶段，我们首先编制了医药流通项目章程，明确定义了医药流通项目的目标、范围、风险等关键要素。随后，医药流通项目团队根据计划陆续编制了需求文档、设计文档、测试文档等各类文档，确保医药流通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药流通项目管理中的重要环节，旨在确保医药流通项目文档符合质量标准和医药流通项目需求。在医药流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除了内部审查，我们还进行了外部审查，邀请医药流通项目相关利益方和专业领域的专家对文档进行独立审查。这有助于获取更全面、客观的反馈，确保医药流通项目文档不仅符合内部标准，也满足外部需求。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医药流通项目在文档编制与审查方面建立了严格的管理机制，通过规范的流程和多维度的审查，确保医药流通项目文档的质量、准确性和可靠性，为医药流通项目的顺利推进提供了有力支持。</w:t>
      </w:r>
    </w:p>
    <w:p>
      <w:pPr>
        <w:pStyle w:val="Heading2"/>
        <w:ind w:firstLine="560" w:firstLineChars="200"/>
        <w:rPr>
          <w:rFonts w:ascii="仿宋" w:eastAsia="仿宋" w:hAnsi="仿宋" w:cs="仿宋" w:hint="eastAsia"/>
          <w:sz w:val="28"/>
          <w:lang w:eastAsia="zh-CN"/>
        </w:rPr>
      </w:pPr>
      <w:bookmarkStart w:id="12" w:name="_Toc16054"/>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在医药流通项目中，我们致力于优化文档发布与分发过程，以确保信息的高效传递和团队间协作的顺畅进行。以下是我们采取的关键优化策略：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我们通过多渠道发布文档，包括电子邮件、医药流通项目管理平台、内部网站等，以满足不同团队成员的偏好和需求。多渠道发布确保了信息的全面覆盖。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我们采用了精细的权限控制，确保只有授权人员可以访问敏感信息。这种安全措施保护了医药流通项目文档的机密性，防止了未经授权的信息泄露。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8270"/>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文档存档与归档是医药流通项目生命周期中一个至关重要的环节，直接关系到医药流通项目信息的长期保存和历史记录的完整性。在医药流通项目中，我们实施了一系列有效的文档存档与归档管理策略：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2398"/>
      <w:r>
        <w:rPr>
          <w:rFonts w:ascii="仿宋" w:eastAsia="仿宋" w:hAnsi="仿宋" w:cs="仿宋" w:hint="eastAsia"/>
          <w:sz w:val="28"/>
          <w:lang w:eastAsia="zh-CN"/>
        </w:rPr>
        <w:t>四、医药流通项目绩效评估</w:t>
      </w:r>
      <w:bookmarkEnd w:id="14"/>
    </w:p>
    <w:p>
      <w:pPr>
        <w:pStyle w:val="Heading2"/>
        <w:rPr>
          <w:rFonts w:ascii="仿宋" w:eastAsia="仿宋" w:hAnsi="仿宋" w:cs="仿宋" w:hint="eastAsia"/>
          <w:lang w:eastAsia="zh-CN"/>
        </w:rPr>
      </w:pPr>
      <w:bookmarkStart w:id="15" w:name="_Toc28586"/>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医药流通项目中，我们设计了一套全面的绩效评估指标，以确保医药流通项目的可控和成功交付。这些指标跨足医药流通项目目标、成本、进度和质量等多个维度，为我们提供了全面洞察医药流通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医药流通项目目标达成率是我们关注的首要指标。我们设定了明确的目标，并通过定期监测和评估，迅速发现并应对潜在的目标偏差。这为医药流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成本绩效是另一个核心关注点。通过实际成本与预算成本的对比分析，我们深入了解成本差异的原因，及时调整资源分配，保持医药流通项目在经济效益方面的合理水平。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流通项目进度作为关键的绩效指标之一，得到了精心的关注。我们制定了详细的医药流通项目进度计划，并设立了进度符合度指标，确保实际进度与计划进度保持一致。这使我们能够快速发现和解决潜在的进度问题，保持医药流通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药流通项目绩效的不可或缺的一环。我们引入了一系列的质量标准和客户满意度指标，以确保医药流通项目交付的成果在质量上达到或超越预期水平。通过持续监测这些指标，我们努力提升医药流通项目整体质量水平，为医药流通项目的成功交付提供有力保障。通过这些科学且全面的绩效评估，我们能够更好地引导医药流通项目的持续改进，确保医药流通项目目标的顺利达成。</w:t>
      </w:r>
    </w:p>
    <w:p>
      <w:pPr>
        <w:pStyle w:val="Heading2"/>
        <w:ind w:firstLine="560" w:firstLineChars="200"/>
        <w:rPr>
          <w:rFonts w:ascii="仿宋" w:eastAsia="仿宋" w:hAnsi="仿宋" w:cs="仿宋" w:hint="eastAsia"/>
          <w:sz w:val="28"/>
          <w:lang w:eastAsia="zh-CN"/>
        </w:rPr>
      </w:pPr>
      <w:bookmarkStart w:id="16" w:name="_Toc30768"/>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绩效评估是医药流通项目中的关键环节，为确保医药流通项目达到预期目标，我们采用了多层次、多维度的绩效评估方法。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药流通项目的战略目标对齐，确保每个决策和行动都与医药流通项目整体目标保持一致。团队会定期召开战略对齐会议，审视当前工作与医药流通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药流通项目进度、质量、成本和风险等方面。这些指标通过数据收集和分析，为医药流通项目管理团队提供了客观的评估依据。例如，我们通过医药流通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绩效评估不仅仅停留在医药流通项目内部，还考虑了医药流通项目对外部环境的影响。我们定期进行干系人满意度调查，以了解各利益相关方对医药流通项目的期望和满意度，并及时做出调整。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这种多层次、多角度的绩效评估方法，使得我们能够全面了解医药流通项目的运行状态，及时做出调整，确保医药流通项目在不断变化的环境中保持稳健前行。</w:t>
      </w:r>
    </w:p>
    <w:p>
      <w:pPr>
        <w:pStyle w:val="Heading2"/>
        <w:ind w:firstLine="560" w:firstLineChars="200"/>
        <w:rPr>
          <w:rFonts w:ascii="仿宋" w:eastAsia="仿宋" w:hAnsi="仿宋" w:cs="仿宋" w:hint="eastAsia"/>
          <w:sz w:val="28"/>
          <w:lang w:eastAsia="zh-CN"/>
        </w:rPr>
      </w:pPr>
      <w:bookmarkStart w:id="17" w:name="_Toc18975"/>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为了确保医药流通项目的有效管理和不断优化，我们采用了精心设计的绩效评估周期。这个周期旨在实现灵活、实时和全面的评估，以适应医药流通项目执行中的各种挑战。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药流通项目的不同需求，分为短期、中期和长期。短期评估关注每个迭代或工作周期，以及时发现和解决当前任务中的问题。中期评估涵盖几个迭代，深入了解整体医药流通项目的趋势和性能。长期评估则着眼于整个医药流通项目阶段，确保医药流通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药流通项目管理工具和协作平台，团队成员能够随时更新和分享医药流通项目数据。这种实时性的反馈机制使我们能够及时察觉潜在问题，快速调整，保持医药流通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医药流通项目的决策制定密不可分。每个周期的医药流通项目回顾会议成为集体总结经验、识别问题深层次原因并找到创新解决方案的平台。这种定期的反思与调整机制使医药流通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5945"/>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5859"/>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医药流通项目的主要产品是XXXX，预计年产值为XXX万元。这一产品在市场中占据着重要的地位，其广泛的应用范围使得该医药流通项目的市场前景非常广阔。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药流通项目的xxx产品作为重要的原材料之一，将在多个领域发挥关键作用。其在建筑、交通、能源等方面的广泛应用将为整个产业链提供强大的支持，形成产业协同效应。医药流通项目的年产值XXX万XXX万XXX万万元不仅反映了其在市场上的巨大潜力，更预示着它对国民经济的积极贡献。这种关联度高、涉及面广的产业关系，使得该医药流通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5104"/>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流通项目总征地面积为XXXX平方米，相当于约XX.XX亩，其中净用地面积为XXXX平方米，红线范围内相当于约XX.XX亩。这一用地规模充分考虑了医药流通项目的建设需求，保障了医药流通项目在合适的空间内得以充分发展。医药流通项目规划的总建筑面积为XXXX平方米，其中主体工程建设占XXXX平方米，计容建筑面积达XXXX平方米。预计建筑工程的投资将达到XXXX万元，为医药流通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药流通项目计划购置的设备共计XXXX台（套），设备购置费用为XXXX万元。这一设备购置计划充分考虑到医药流通项目的生产需求和技术要求，确保了医药流通项目在生产运营中具备先进的技术装备和高效的生产能力。设备的合理配置将为医药流通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流通项目计划总投资为XXXX万元，预计年实现营业收入为XXXX万元。这一产能规模的设定旨在确保医药流通项目能够在投资与回报之间取得平衡，实现长期可持续的发展。医药流通项目的总投资充分考虑到各个方面的需求，包括用地建设、设备购置等多个环节，以确保医药流通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1" w:name="_Toc21980"/>
      <w:r>
        <w:rPr>
          <w:rFonts w:ascii="仿宋" w:eastAsia="仿宋" w:hAnsi="仿宋" w:cs="仿宋" w:hint="eastAsia"/>
          <w:sz w:val="28"/>
          <w:lang w:eastAsia="zh-CN"/>
        </w:rPr>
        <w:t>六、医药流通项目危机管理</w:t>
      </w:r>
      <w:bookmarkEnd w:id="21"/>
    </w:p>
    <w:p>
      <w:pPr>
        <w:pStyle w:val="Heading2"/>
        <w:rPr>
          <w:rFonts w:ascii="仿宋" w:eastAsia="仿宋" w:hAnsi="仿宋" w:cs="仿宋" w:hint="eastAsia"/>
          <w:lang w:eastAsia="zh-CN"/>
        </w:rPr>
      </w:pPr>
      <w:bookmarkStart w:id="22" w:name="_Toc7502"/>
      <w:r>
        <w:rPr>
          <w:rFonts w:ascii="仿宋" w:eastAsia="仿宋" w:hAnsi="仿宋" w:cs="仿宋" w:hint="eastAsia"/>
          <w:lang w:eastAsia="zh-CN"/>
        </w:rPr>
        <w:t>(一)、危机预警与识别</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医药流通项目危机管理中，危机预警与识别是确保医药流通项目稳健运行的核心步骤。通过建立全面的监测机制，医药流通项目团队旨在及时发现和理解潜在的风险和危机因素，以便采取及时的预防和应对措施，确保医药流通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首先，通过深入的风险评估，医药流通项目团队全面分析了整个医药流通项目和各个阶段可能存在的威胁。这包括准确评估每个潜在风险的发生概率和可能影响的程度，为后续危机预警提供了有力支持。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https://d.book118.com/548023045123006036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医药流通项目规划设计方案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医药流通项目规划设计方案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医药流通项目规划设计方案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医药流通项目规划设计方案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医药流通项目规划设计方案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医药流通项目规划设计方案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医药流通项目规划设计方案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医药流通项目规划设计方案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医药流通项目规划设计方案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医药流通项目规划设计方案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医药流通项目规划设计方案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医药流通项目规划设计方案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医药流通项目规划设计方案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医药流通项目规划设计方案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医药流通项目规划设计方案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医药流通项目规划设计方案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医药流通项目规划设计方案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10739B"/>
    <w:rsid w:val="1B1073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8023045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2024-02-11T00:49:00Z</dcterms:created>
  <dcterms:modified xsi:type="dcterms:W3CDTF">2024-02-11T00:49:41Z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B9AEDEC09AA543BC907D8113090E7F29_11</vt:lpwstr>
  </property>
  <property fmtid="{D5CDD505-2E9C-101B-9397-08002B2CF9AE}" pid="3" name="KSOProductBuildVer">
    <vt:lpwstr>2052-12.1.0.16250</vt:lpwstr>
  </property>
</Properties>
</file>