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高分子复合材料相关行业公司成立报告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3" w:history="1">
        <w:r>
          <w:rPr>
            <w:rFonts w:ascii="仿宋" w:eastAsia="仿宋" w:hAnsi="仿宋" w:cs="仿宋" w:hint="eastAsia"/>
            <w:lang w:eastAsia="zh-CN"/>
          </w:rPr>
          <w:t>(七)、高分子复合材料项目建设必要性分析</w:t>
        </w:r>
        <w:r>
          <w:tab/>
        </w:r>
        <w:r>
          <w:fldChar w:fldCharType="begin"/>
        </w:r>
        <w:r>
          <w:instrText xml:space="preserve"> PAGEREF _Toc21573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eastAsia="zh-CN"/>
          </w:rPr>
          <w:t>三、高分子复合材料项目概况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(二)、高分子复合材料项目提出的理由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(三)、高分子复合材料项目选址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(六)、高分子复合材料项目投资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(七)、高分子复合材料项目进度规划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(九)、高分子复合材料项目综合评价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9" w:history="1">
        <w:r>
          <w:rPr>
            <w:rFonts w:ascii="仿宋" w:eastAsia="仿宋" w:hAnsi="仿宋" w:cs="仿宋" w:hint="eastAsia"/>
            <w:lang w:eastAsia="zh-CN"/>
          </w:rPr>
          <w:t>(一)、高分子复合材料项目背景分析</w:t>
        </w:r>
        <w:r>
          <w:tab/>
        </w:r>
        <w:r>
          <w:fldChar w:fldCharType="begin"/>
        </w:r>
        <w:r>
          <w:instrText xml:space="preserve"> PAGEREF _Toc8249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0" w:history="1">
        <w:r>
          <w:rPr>
            <w:rFonts w:ascii="仿宋" w:eastAsia="仿宋" w:hAnsi="仿宋" w:cs="仿宋" w:hint="eastAsia"/>
            <w:lang w:eastAsia="zh-CN"/>
          </w:rPr>
          <w:t>(二)、高分子复合材料项目建设必要性分析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八、高分子复合材料项目经济效益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(三)、高分子复合材料项目盈利能力分析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十一、高分子复合材料项目总结分析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9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5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1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https://d.book118.com/548027121056006032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高分子复合材料相关行业公司成立报告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高分子复合材料相关行业公司成立报告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高分子复合材料相关行业公司成立报告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高分子复合材料相关行业公司成立报告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高分子复合材料相关行业公司成立报告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027121056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2024-01-20T18:24:00Z</dcterms:created>
  <dcterms:modified xsi:type="dcterms:W3CDTF">2024-01-20T18:25:15Z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49E1DCAA13E64F2AB26B3578CBCA087E_11</vt:lpwstr>
  </property>
  <property fmtid="{D5CDD505-2E9C-101B-9397-08002B2CF9AE}" pid="3" name="KSOProductBuildVer">
    <vt:lpwstr>2052-12.1.0.16120</vt:lpwstr>
  </property>
</Properties>
</file>