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防腐涂料项目调研分析报告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7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_Toc13873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val="en-US"/>
          </w:rPr>
          <w:t>一、防腐涂料项目概论</w:t>
        </w:r>
        <w:r>
          <w:tab/>
        </w:r>
        <w:r>
          <w:fldChar w:fldCharType="begin"/>
        </w:r>
        <w:r>
          <w:instrText xml:space="preserve"> PAGEREF _Toc17817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val="en-US"/>
          </w:rPr>
          <w:t>(一)、防腐涂料项目概述及背景</w:t>
        </w:r>
        <w:r>
          <w:tab/>
        </w:r>
        <w:r>
          <w:fldChar w:fldCharType="begin"/>
        </w:r>
        <w:r>
          <w:instrText xml:space="preserve"> PAGEREF _Toc388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val="en-US"/>
          </w:rPr>
          <w:t>(二)、防腐涂料项目主管单位</w:t>
        </w:r>
        <w:r>
          <w:tab/>
        </w:r>
        <w:r>
          <w:fldChar w:fldCharType="begin"/>
        </w:r>
        <w:r>
          <w:instrText xml:space="preserve"> PAGEREF _Toc2638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" w:history="1">
        <w:r>
          <w:rPr>
            <w:rFonts w:ascii="仿宋" w:eastAsia="仿宋" w:hAnsi="仿宋" w:cs="仿宋" w:hint="eastAsia"/>
            <w:lang w:val="en-US"/>
          </w:rPr>
          <w:t>(三)、关键合作伙伴</w:t>
        </w:r>
        <w:r>
          <w:tab/>
        </w:r>
        <w:r>
          <w:fldChar w:fldCharType="begin"/>
        </w:r>
        <w:r>
          <w:instrText xml:space="preserve"> PAGEREF _Toc2433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val="en-US"/>
          </w:rPr>
          <w:t>(四)、防腐涂料项目动机和目标</w:t>
        </w:r>
        <w:r>
          <w:tab/>
        </w:r>
        <w:r>
          <w:fldChar w:fldCharType="begin"/>
        </w:r>
        <w:r>
          <w:instrText xml:space="preserve"> PAGEREF _Toc4513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2" w:history="1">
        <w:r>
          <w:rPr>
            <w:rFonts w:ascii="仿宋" w:eastAsia="仿宋" w:hAnsi="仿宋" w:cs="仿宋" w:hint="eastAsia"/>
            <w:lang w:val="en-US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_Toc12482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val="en-US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_Toc4814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val="en-US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_Toc15504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val="en-US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_Toc25862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4" w:history="1">
        <w:r>
          <w:rPr>
            <w:rFonts w:ascii="仿宋" w:eastAsia="仿宋" w:hAnsi="仿宋" w:cs="仿宋" w:hint="eastAsia"/>
            <w:lang w:val="en-US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_Toc31264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val="en-US"/>
          </w:rPr>
          <w:t>(十)、能源消耗分析</w:t>
        </w:r>
        <w:r>
          <w:tab/>
        </w:r>
        <w:r>
          <w:fldChar w:fldCharType="begin"/>
        </w:r>
        <w:r>
          <w:instrText xml:space="preserve"> PAGEREF _Toc20561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val="en-US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_Toc2676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val="en-US"/>
          </w:rPr>
          <w:t>(十二)、防腐涂料项目合规性考量</w:t>
        </w:r>
        <w:r>
          <w:tab/>
        </w:r>
        <w:r>
          <w:fldChar w:fldCharType="begin"/>
        </w:r>
        <w:r>
          <w:instrText xml:space="preserve"> PAGEREF _Toc28247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val="en-US"/>
          </w:rPr>
          <w:t>(十三)、防腐涂料项目进度与计划</w:t>
        </w:r>
        <w:r>
          <w:tab/>
        </w:r>
        <w:r>
          <w:fldChar w:fldCharType="begin"/>
        </w:r>
        <w:r>
          <w:instrText xml:space="preserve"> PAGEREF _Toc29312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val="en-US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_Toc25213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val="en-US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_Toc14665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val="en-US"/>
          </w:rPr>
          <w:t>(十六)、防腐涂料项目全面评估</w:t>
        </w:r>
        <w:r>
          <w:tab/>
        </w:r>
        <w:r>
          <w:fldChar w:fldCharType="begin"/>
        </w:r>
        <w:r>
          <w:instrText xml:space="preserve"> PAGEREF _Toc11272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val="en-US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_Toc27664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val="en-US"/>
          </w:rPr>
          <w:t>二、防腐涂料行业前景</w:t>
        </w:r>
        <w:r>
          <w:tab/>
        </w:r>
        <w:r>
          <w:fldChar w:fldCharType="begin"/>
        </w:r>
        <w:r>
          <w:instrText xml:space="preserve"> PAGEREF _Toc10777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_Toc24780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3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_Toc26813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_Toc4477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_Toc18290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val="en-US"/>
          </w:rPr>
          <w:t>三、SWOT分析</w:t>
        </w:r>
        <w:r>
          <w:tab/>
        </w:r>
        <w:r>
          <w:fldChar w:fldCharType="begin"/>
        </w:r>
        <w:r>
          <w:instrText xml:space="preserve"> PAGEREF _Toc32550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54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_Toc19654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_Toc16740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_Toc22525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_Toc20485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val="en-US"/>
          </w:rPr>
          <w:t>四、防腐涂料项目危机管理</w:t>
        </w:r>
        <w:r>
          <w:tab/>
        </w:r>
        <w:r>
          <w:fldChar w:fldCharType="begin"/>
        </w:r>
        <w:r>
          <w:instrText xml:space="preserve"> PAGEREF _Toc10469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_Toc15882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_Toc14141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val="en-US"/>
          </w:rPr>
          <w:t>五、选址分析</w:t>
        </w:r>
        <w:r>
          <w:tab/>
        </w:r>
        <w:r>
          <w:fldChar w:fldCharType="begin"/>
        </w:r>
        <w:r>
          <w:instrText xml:space="preserve"> PAGEREF _Toc6641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2" w:history="1">
        <w:r>
          <w:rPr>
            <w:rFonts w:ascii="仿宋" w:eastAsia="仿宋" w:hAnsi="仿宋" w:cs="仿宋" w:hint="eastAsia"/>
            <w:lang w:val="en-US"/>
          </w:rPr>
          <w:t>(一)、防腐涂料项目选址原则</w:t>
        </w:r>
        <w:r>
          <w:tab/>
        </w:r>
        <w:r>
          <w:fldChar w:fldCharType="begin"/>
        </w:r>
        <w:r>
          <w:instrText xml:space="preserve"> PAGEREF _Toc24152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_Toc1356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_Toc18151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_Toc26078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val="en-US"/>
          </w:rPr>
          <w:t>(五)、防腐涂料项目选址综合评价</w:t>
        </w:r>
        <w:r>
          <w:tab/>
        </w:r>
        <w:r>
          <w:fldChar w:fldCharType="begin"/>
        </w:r>
        <w:r>
          <w:instrText xml:space="preserve"> PAGEREF _Toc2067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val="en-US"/>
          </w:rPr>
          <w:t>六、防腐涂料质量管理方案</w:t>
        </w:r>
        <w:r>
          <w:tab/>
        </w:r>
        <w:r>
          <w:fldChar w:fldCharType="begin"/>
        </w:r>
        <w:r>
          <w:instrText xml:space="preserve"> PAGEREF _Toc25817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val="en-US"/>
          </w:rPr>
          <w:t>(一)、防腐涂料质量管理要求</w:t>
        </w:r>
        <w:r>
          <w:tab/>
        </w:r>
        <w:r>
          <w:fldChar w:fldCharType="begin"/>
        </w:r>
        <w:r>
          <w:instrText xml:space="preserve"> PAGEREF _Toc581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val="en-US"/>
          </w:rPr>
          <w:t>(二)、防腐涂料服务质量管理方案</w:t>
        </w:r>
        <w:r>
          <w:tab/>
        </w:r>
        <w:r>
          <w:fldChar w:fldCharType="begin"/>
        </w:r>
        <w:r>
          <w:instrText xml:space="preserve"> PAGEREF _Toc21757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val="en-US"/>
          </w:rPr>
          <w:t>(三)、防腐涂料质量成本管理方案</w:t>
        </w:r>
        <w:r>
          <w:tab/>
        </w:r>
        <w:r>
          <w:fldChar w:fldCharType="begin"/>
        </w:r>
        <w:r>
          <w:instrText xml:space="preserve"> PAGEREF _Toc18766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val="en-US"/>
          </w:rPr>
          <w:t>七、薪酬制度管理</w:t>
        </w:r>
        <w:r>
          <w:tab/>
        </w:r>
        <w:r>
          <w:fldChar w:fldCharType="begin"/>
        </w:r>
        <w:r>
          <w:instrText xml:space="preserve"> PAGEREF _Toc7838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_Toc24792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_Toc2264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_Toc25919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_Toc12674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val="en-US"/>
          </w:rPr>
          <w:t>八、防腐涂料项目实施与监督</w:t>
        </w:r>
        <w:r>
          <w:tab/>
        </w:r>
        <w:r>
          <w:fldChar w:fldCharType="begin"/>
        </w:r>
        <w:r>
          <w:instrText xml:space="preserve"> PAGEREF _Toc19521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4" w:history="1">
        <w:r>
          <w:rPr>
            <w:rFonts w:ascii="仿宋" w:eastAsia="仿宋" w:hAnsi="仿宋" w:cs="仿宋" w:hint="eastAsia"/>
            <w:lang w:val="en-US"/>
          </w:rPr>
          <w:t>(一)、防腐涂料项目进度与任务分配</w:t>
        </w:r>
        <w:r>
          <w:tab/>
        </w:r>
        <w:r>
          <w:fldChar w:fldCharType="begin"/>
        </w:r>
        <w:r>
          <w:instrText xml:space="preserve"> PAGEREF _Toc20894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" w:history="1">
        <w:r>
          <w:rPr>
            <w:rFonts w:ascii="仿宋" w:eastAsia="仿宋" w:hAnsi="仿宋" w:cs="仿宋" w:hint="eastAsia"/>
            <w:lang w:val="en-US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_Toc1065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0" w:history="1">
        <w:r>
          <w:rPr>
            <w:rFonts w:ascii="仿宋" w:eastAsia="仿宋" w:hAnsi="仿宋" w:cs="仿宋" w:hint="eastAsia"/>
            <w:lang w:val="en-US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_Toc6740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val="en-US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_Toc11618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val="en-US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_Toc5819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837" w:history="1">
        <w:r>
          <w:rPr>
            <w:rFonts w:ascii="仿宋" w:eastAsia="仿宋" w:hAnsi="仿宋" w:cs="仿宋" w:hint="eastAsia"/>
            <w:lang w:val="en-US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_Toc18837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9" w:history="1">
        <w:r>
          <w:rPr>
            <w:rFonts w:ascii="仿宋" w:eastAsia="仿宋" w:hAnsi="仿宋" w:cs="仿宋" w:hint="eastAsia"/>
            <w:lang w:val="en-US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_Toc8449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6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_Toc21696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2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_Toc11692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9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_Toc8159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val="en-US"/>
          </w:rPr>
          <w:t>十一、防腐涂料项目规划进度</w:t>
        </w:r>
        <w:r>
          <w:tab/>
        </w:r>
        <w:r>
          <w:fldChar w:fldCharType="begin"/>
        </w:r>
        <w:r>
          <w:instrText xml:space="preserve"> PAGEREF _Toc1547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val="en-US"/>
          </w:rPr>
          <w:t>(一)、防腐涂料项目进度安排</w:t>
        </w:r>
        <w:r>
          <w:tab/>
        </w:r>
        <w:r>
          <w:fldChar w:fldCharType="begin"/>
        </w:r>
        <w:r>
          <w:instrText xml:space="preserve"> PAGEREF _Toc16939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val="en-US"/>
          </w:rPr>
          <w:t>(二)、防腐涂料项目实施保障措施</w:t>
        </w:r>
        <w:r>
          <w:tab/>
        </w:r>
        <w:r>
          <w:fldChar w:fldCharType="begin"/>
        </w:r>
        <w:r>
          <w:instrText xml:space="preserve"> PAGEREF _Toc4882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val="en-US"/>
          </w:rPr>
          <w:t>十二、防腐涂料项目管理与实施</w:t>
        </w:r>
        <w:r>
          <w:tab/>
        </w:r>
        <w:r>
          <w:fldChar w:fldCharType="begin"/>
        </w:r>
        <w:r>
          <w:instrText xml:space="preserve"> PAGEREF _Toc23797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_Toc9270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_Toc4002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3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_Toc14853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val="en-US"/>
          </w:rPr>
          <w:t>十三、实施计划</w:t>
        </w:r>
        <w:r>
          <w:tab/>
        </w:r>
        <w:r>
          <w:fldChar w:fldCharType="begin"/>
        </w:r>
        <w:r>
          <w:instrText xml:space="preserve"> PAGEREF _Toc9308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_Toc23173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_Toc881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_Toc26026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_Toc10868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val="en-US"/>
          </w:rPr>
          <w:t>(五)、防腐涂料项目实施保障</w:t>
        </w:r>
        <w:r>
          <w:tab/>
        </w:r>
        <w:r>
          <w:fldChar w:fldCharType="begin"/>
        </w:r>
        <w:r>
          <w:instrText xml:space="preserve"> PAGEREF _Toc21092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val="en-US"/>
          </w:rPr>
          <w:t>十四、公司基本情况</w:t>
        </w:r>
        <w:r>
          <w:tab/>
        </w:r>
        <w:r>
          <w:fldChar w:fldCharType="begin"/>
        </w:r>
        <w:r>
          <w:instrText xml:space="preserve"> PAGEREF _Toc3484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_Toc16648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_Toc15612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_Toc30247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_Toc13440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val="en-US"/>
          </w:rPr>
          <w:t>(五)、经营宗旨</w:t>
        </w:r>
        <w:r>
          <w:tab/>
        </w:r>
        <w:r>
          <w:fldChar w:fldCharType="begin"/>
        </w:r>
        <w:r>
          <w:instrText xml:space="preserve"> PAGEREF _Toc10519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8" w:history="1">
        <w:r>
          <w:rPr>
            <w:rFonts w:ascii="仿宋" w:eastAsia="仿宋" w:hAnsi="仿宋" w:cs="仿宋" w:hint="eastAsia"/>
            <w:lang w:val="en-US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_Toc13528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7" w:history="1">
        <w:r>
          <w:rPr>
            <w:rFonts w:ascii="仿宋" w:eastAsia="仿宋" w:hAnsi="仿宋" w:cs="仿宋" w:hint="eastAsia"/>
            <w:lang w:val="en-US"/>
          </w:rPr>
          <w:t>十五、投资规划</w:t>
        </w:r>
        <w:r>
          <w:tab/>
        </w:r>
        <w:r>
          <w:fldChar w:fldCharType="begin"/>
        </w:r>
        <w:r>
          <w:instrText xml:space="preserve"> PAGEREF _Toc11187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val="en-US"/>
          </w:rPr>
          <w:t>(一)、防腐涂料项目估算说明</w:t>
        </w:r>
        <w:r>
          <w:tab/>
        </w:r>
        <w:r>
          <w:fldChar w:fldCharType="begin"/>
        </w:r>
        <w:r>
          <w:instrText xml:space="preserve"> PAGEREF _Toc13496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val="en-US"/>
          </w:rPr>
          <w:t>(二)、防腐涂料项目总投资估算</w:t>
        </w:r>
        <w:r>
          <w:tab/>
        </w:r>
        <w:r>
          <w:fldChar w:fldCharType="begin"/>
        </w:r>
        <w:r>
          <w:instrText xml:space="preserve"> PAGEREF _Toc23834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58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_Toc13586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val="en-US"/>
          </w:rPr>
          <w:t>十六、资源有效利用与节能减排</w:t>
        </w:r>
        <w:r>
          <w:tab/>
        </w:r>
        <w:r>
          <w:fldChar w:fldCharType="begin"/>
        </w:r>
        <w:r>
          <w:instrText xml:space="preserve"> PAGEREF _Toc10107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val="en-US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_Toc22590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val="en-US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_Toc2351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val="en-US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_Toc23328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val="en-US"/>
          </w:rPr>
          <w:t>十七、沟通与团队协作</w:t>
        </w:r>
        <w:r>
          <w:tab/>
        </w:r>
        <w:r>
          <w:fldChar w:fldCharType="begin"/>
        </w:r>
        <w:r>
          <w:instrText xml:space="preserve"> PAGEREF _Toc27567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_Toc18642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val="en-US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_Toc24357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9" w:history="1">
        <w:r>
          <w:rPr>
            <w:rFonts w:ascii="仿宋" w:eastAsia="仿宋" w:hAnsi="仿宋" w:cs="仿宋" w:hint="eastAsia"/>
            <w:lang w:val="en-US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_Toc17509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1" w:history="1">
        <w:r>
          <w:rPr>
            <w:rFonts w:ascii="仿宋" w:eastAsia="仿宋" w:hAnsi="仿宋" w:cs="仿宋" w:hint="eastAsia"/>
            <w:lang w:val="en-US"/>
          </w:rPr>
          <w:t>十八、环境可持续发展方案</w:t>
        </w:r>
        <w:r>
          <w:tab/>
        </w:r>
        <w:r>
          <w:fldChar w:fldCharType="begin"/>
        </w:r>
        <w:r>
          <w:instrText xml:space="preserve"> PAGEREF _Toc18351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val="en-US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_Toc24992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val="en-US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_Toc12685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val="en-US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_Toc3322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val="en-US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_Toc27590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val="en-US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_Toc17437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val="en-US"/>
          </w:rPr>
          <w:t>十九、防腐涂料项目工程方案分析</w:t>
        </w:r>
        <w:r>
          <w:tab/>
        </w:r>
        <w:r>
          <w:fldChar w:fldCharType="begin"/>
        </w:r>
        <w:r>
          <w:instrText xml:space="preserve"> PAGEREF _Toc17684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_Toc11181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_Toc25877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2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_Toc13362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_Toc19472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_Toc20298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_Toc5581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_Toc32668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https://d.book118.com/548034065024006042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防腐涂料项目调研分析报告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防腐涂料项目调研分析报告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防腐涂料项目调研分析报告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防腐涂料项目调研分析报告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防腐涂料项目调研分析报告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C83520"/>
    <w:rsid w:val="4AC83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48034065024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2024-02-23T10:04:00Z</dcterms:created>
  <dcterms:modified xsi:type="dcterms:W3CDTF">2024-02-23T10:05:07Z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