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before="936" w:beforeLines="300" w:after="624" w:afterLines="200" w:line="360" w:lineRule="auto"/>
        <w:jc w:val="center"/>
        <w:rPr>
          <w:rFonts w:ascii="Times New Roman" w:eastAsia="华文中宋" w:hAnsi="Times New Roman"/>
          <w:b/>
          <w:bCs/>
          <w:color w:val="000000" w:themeColor="text1"/>
          <w:sz w:val="44"/>
          <w:szCs w:val="44"/>
          <w14:textFill>
            <w14:solidFill>
              <w14:schemeClr w14:val="tx1"/>
            </w14:solidFill>
          </w14:textFill>
        </w:rPr>
      </w:pPr>
      <w:bookmarkStart w:id="0" w:name="_Toc36502407"/>
      <w:r>
        <w:rPr>
          <w:rFonts w:ascii="Times New Roman" w:eastAsia="华文中宋" w:hAnsi="Times New Roman" w:hint="eastAsia"/>
          <w:b/>
          <w:bCs/>
          <w:color w:val="000000" w:themeColor="text1"/>
          <w:sz w:val="44"/>
          <w:szCs w:val="44"/>
          <w14:textFill>
            <w14:solidFill>
              <w14:schemeClr w14:val="tx1"/>
            </w14:solidFill>
          </w14:textFill>
        </w:rPr>
        <w:t xml:space="preserve">摘 </w:t>
      </w:r>
      <w:r>
        <w:rPr>
          <w:rFonts w:ascii="Times New Roman" w:eastAsia="华文中宋" w:hAnsi="Times New Roman"/>
          <w:b/>
          <w:bCs/>
          <w:color w:val="000000" w:themeColor="text1"/>
          <w:sz w:val="44"/>
          <w:szCs w:val="44"/>
          <w14:textFill>
            <w14:solidFill>
              <w14:schemeClr w14:val="tx1"/>
            </w14:solidFill>
          </w14:textFill>
        </w:rPr>
        <w:t xml:space="preserve"> </w:t>
      </w:r>
      <w:r>
        <w:rPr>
          <w:rFonts w:ascii="Times New Roman" w:eastAsia="华文中宋" w:hAnsi="Times New Roman" w:hint="eastAsia"/>
          <w:b/>
          <w:bCs/>
          <w:color w:val="000000" w:themeColor="text1"/>
          <w:sz w:val="44"/>
          <w:szCs w:val="44"/>
          <w14:textFill>
            <w14:solidFill>
              <w14:schemeClr w14:val="tx1"/>
            </w14:solidFill>
          </w14:textFill>
        </w:rPr>
        <w:t>要</w:t>
      </w:r>
      <w:bookmarkEnd w:id="0"/>
    </w:p>
    <w:p>
      <w:pPr>
        <w:rPr>
          <w:rFonts w:ascii="Times New Roman" w:hAnsi="Times New Roman"/>
        </w:rPr>
      </w:pPr>
    </w:p>
    <w:p>
      <w:pPr>
        <w:pStyle w:val="Default"/>
        <w:spacing w:line="360" w:lineRule="auto"/>
        <w:ind w:firstLine="480" w:firstLineChars="200"/>
        <w:rPr>
          <w:rFonts w:ascii="Times New Roman" w:hAnsi="Times New Roman"/>
        </w:rPr>
      </w:pPr>
      <w:r>
        <w:rPr>
          <w:rFonts w:ascii="Times New Roman" w:hAnsi="Times New Roman" w:hint="eastAsia"/>
        </w:rPr>
        <w:t>近年来，我国黄金市场与黄金期货市场不断发展，呈现出现货与期货市场共同存在、共同发展的现状。本文分为六个部分，首先阐述了文章的研究背景，介绍本文的研究思路和创新性。第二部分梳理了国内外主流的学术观点。第三部分以我国黄金市场现状为基础，参考了大宗商品现货价格模型中的主要决定要素，提出了我国黄金期货价格的主要影响因素。随后再选取2</w:t>
      </w:r>
      <w:r>
        <w:rPr>
          <w:rFonts w:ascii="Times New Roman" w:hAnsi="Times New Roman"/>
        </w:rPr>
        <w:t>008</w:t>
      </w:r>
      <w:r>
        <w:rPr>
          <w:rFonts w:ascii="Times New Roman" w:hAnsi="Times New Roman" w:hint="eastAsia"/>
        </w:rPr>
        <w:t>年1月至</w:t>
      </w:r>
      <w:r>
        <w:rPr>
          <w:rFonts w:ascii="Times New Roman" w:hAnsi="Times New Roman"/>
        </w:rPr>
        <w:t>2019</w:t>
      </w:r>
      <w:r>
        <w:rPr>
          <w:rFonts w:ascii="Times New Roman" w:hAnsi="Times New Roman" w:hint="eastAsia"/>
        </w:rPr>
        <w:t>年1</w:t>
      </w:r>
      <w:r>
        <w:rPr>
          <w:rFonts w:ascii="Times New Roman" w:hAnsi="Times New Roman"/>
        </w:rPr>
        <w:t>2</w:t>
      </w:r>
      <w:r>
        <w:rPr>
          <w:rFonts w:ascii="Times New Roman" w:hAnsi="Times New Roman" w:hint="eastAsia"/>
        </w:rPr>
        <w:t>月共计1</w:t>
      </w:r>
      <w:r>
        <w:rPr>
          <w:rFonts w:ascii="Times New Roman" w:hAnsi="Times New Roman"/>
        </w:rPr>
        <w:t>2</w:t>
      </w:r>
      <w:r>
        <w:rPr>
          <w:rFonts w:ascii="Times New Roman" w:hAnsi="Times New Roman" w:hint="eastAsia"/>
        </w:rPr>
        <w:t>年期间，上海期货交易所的黄金期货月度平均结算价格，对我国黄金期货价格的主要影响因素进行分析，采用多元线性回归模型进行实证分析，最后发现国内黄金期货价格的主要影响因素为S</w:t>
      </w:r>
      <w:r>
        <w:rPr>
          <w:rFonts w:ascii="Times New Roman" w:hAnsi="Times New Roman"/>
        </w:rPr>
        <w:t>HIBOR</w:t>
      </w:r>
      <w:r>
        <w:rPr>
          <w:rFonts w:ascii="Times New Roman" w:hAnsi="Times New Roman" w:hint="eastAsia"/>
        </w:rPr>
        <w:t>、C</w:t>
      </w:r>
      <w:r>
        <w:rPr>
          <w:rFonts w:ascii="Times New Roman" w:hAnsi="Times New Roman"/>
        </w:rPr>
        <w:t>PI</w:t>
      </w:r>
      <w:r>
        <w:rPr>
          <w:rFonts w:ascii="Times New Roman" w:hAnsi="Times New Roman" w:hint="eastAsia"/>
        </w:rPr>
        <w:t>、黄金现货价格。由于国内黄金期货市场建立时间较短、市场还不完全成熟，它也会因为利率、国内外宏观经济条件、政策变动等因素而发生偏离。利用本文模型及结果，有助于发现国内黄金期货价格影响因素，同时为投资者完善投资所应考虑的因素，使投资更加合理化。</w:t>
      </w:r>
    </w:p>
    <w:p>
      <w:pPr>
        <w:pStyle w:val="Default"/>
        <w:spacing w:line="360" w:lineRule="auto"/>
        <w:rPr>
          <w:rFonts w:ascii="Times New Roman" w:hAnsi="Times New Roman"/>
          <w:b/>
          <w:bCs/>
        </w:rPr>
      </w:pPr>
      <w:r>
        <w:rPr>
          <w:rFonts w:ascii="Times New Roman" w:hAnsi="Times New Roman" w:hint="eastAsia"/>
          <w:b/>
          <w:bCs/>
        </w:rPr>
        <w:t>关键词</w:t>
      </w:r>
      <w:r>
        <w:rPr>
          <w:rFonts w:ascii="Times New Roman" w:hAnsi="Times New Roman" w:hint="eastAsia"/>
          <w:b/>
          <w:bCs/>
          <w:lang w:val="en-US" w:eastAsia="zh-CN"/>
        </w:rPr>
        <w:t>:</w:t>
      </w:r>
      <w:bookmarkStart w:id="1" w:name="_GoBack"/>
      <w:bookmarkEnd w:id="1"/>
      <w:r>
        <w:rPr>
          <w:rFonts w:ascii="Times New Roman" w:hAnsi="Times New Roman" w:hint="eastAsia"/>
          <w:b/>
          <w:bCs/>
        </w:rPr>
        <w:t>黄金期货；价格因素；时间序列；多元线性回归</w:t>
      </w:r>
    </w:p>
    <w:p>
      <w:pPr>
        <w:widowControl/>
        <w:jc w:val="left"/>
        <w:rPr>
          <w:rFonts w:ascii="Times New Roman" w:eastAsia="宋体" w:hAnsi="Times New Roman" w:cs="宋体"/>
          <w:color w:val="000000"/>
          <w:kern w:val="0"/>
          <w:sz w:val="23"/>
          <w:szCs w:val="23"/>
        </w:rPr>
      </w:pPr>
      <w:r>
        <w:rPr>
          <w:rFonts w:ascii="Times New Roman" w:eastAsia="宋体" w:hAnsi="Times New Roman" w:cs="宋体"/>
          <w:color w:val="000000"/>
          <w:kern w:val="0"/>
          <w:sz w:val="23"/>
          <w:szCs w:val="23"/>
        </w:rPr>
        <w:br w:type="page"/>
      </w:r>
    </w:p>
    <w:p>
      <w:pPr>
        <w:pStyle w:val="Heading1"/>
        <w:spacing w:before="936" w:beforeLines="300" w:after="624" w:afterLines="200" w:line="360" w:lineRule="auto"/>
        <w:rPr>
          <w:rFonts w:ascii="Times New Roman" w:eastAsia="华文中宋" w:hAnsi="Times New Roman"/>
          <w:b/>
          <w:bCs/>
          <w:color w:val="000000" w:themeColor="text1"/>
          <w:sz w:val="44"/>
          <w:szCs w:val="44"/>
          <w14:textFill>
            <w14:solidFill>
              <w14:schemeClr w14:val="tx1"/>
            </w14:solidFill>
          </w14:textFill>
        </w:rPr>
        <w:sectPr>
          <w:footerReference w:type="default" r:id="rId6"/>
          <w:pgSz w:w="11906" w:h="16838"/>
          <w:pgMar w:top="1701" w:right="1701" w:bottom="1701" w:left="1701" w:header="851" w:footer="992" w:gutter="0"/>
          <w:pgNumType w:start="1"/>
          <w:cols w:num="1" w:space="425"/>
          <w:docGrid w:type="lines" w:linePitch="312" w:charSpace="0"/>
        </w:sectPr>
      </w:pPr>
    </w:p>
    <w:p>
      <w:pPr>
        <w:pStyle w:val="Heading1"/>
        <w:spacing w:before="936" w:beforeLines="300" w:after="624" w:afterLines="200" w:line="360" w:lineRule="auto"/>
        <w:jc w:val="center"/>
        <w:rPr>
          <w:rFonts w:ascii="Times New Roman" w:eastAsia="华文中宋" w:hAnsi="Times New Roman"/>
          <w:b/>
          <w:bCs/>
          <w:color w:val="000000" w:themeColor="text1"/>
          <w:sz w:val="44"/>
          <w:szCs w:val="44"/>
          <w14:textFill>
            <w14:solidFill>
              <w14:schemeClr w14:val="tx1"/>
            </w14:solidFill>
          </w14:textFill>
        </w:rPr>
      </w:pPr>
      <w:bookmarkStart w:id="2" w:name="_Toc36502408"/>
      <w:r>
        <w:rPr>
          <w:rFonts w:ascii="Times New Roman" w:eastAsia="华文中宋" w:hAnsi="Times New Roman"/>
          <w:b/>
          <w:bCs/>
          <w:color w:val="000000" w:themeColor="text1"/>
          <w:sz w:val="44"/>
          <w:szCs w:val="44"/>
          <w14:textFill>
            <w14:solidFill>
              <w14:schemeClr w14:val="tx1"/>
            </w14:solidFill>
          </w14:textFill>
        </w:rPr>
        <w:t>Abstract</w:t>
      </w:r>
      <w:bookmarkEnd w:id="2"/>
    </w:p>
    <w:p>
      <w:pPr>
        <w:pStyle w:val="Default"/>
        <w:spacing w:line="360" w:lineRule="auto"/>
        <w:ind w:firstLine="480" w:firstLineChars="200"/>
        <w:rPr>
          <w:rFonts w:ascii="Times New Roman" w:hAnsi="Times New Roman"/>
        </w:rPr>
      </w:pPr>
      <w:r>
        <w:rPr>
          <w:rFonts w:ascii="Times New Roman" w:hAnsi="Times New Roman"/>
        </w:rPr>
        <w:t>In recent years, the gold market and gold futures market have been developing continuously in China, showing the common existence and development of the commodity and futures market. This paper is divided into six parts, first of all, it describes the research background of this paper, introduces the research ideas and innovation of this paper. The second combs the mainstream academic views at home and abroad. The third part is based on the current situation of China 's gold market, referring to the main determinants in the commodity spot price model, and puts forward the main influencing factors of China' s gold futures price. Then we select the monthly average settlement price of gold futures in Shanghai Futures Exchange from January 2008 to December 2019, analyze the main factors of China's gold futures price, and use multiple linear regression mode</w:t>
      </w:r>
      <w:r>
        <w:rPr>
          <w:rFonts w:ascii="Times New Roman" w:hAnsi="Times New Roman" w:hint="eastAsia"/>
        </w:rPr>
        <w:t>l</w:t>
      </w:r>
      <w:r>
        <w:rPr>
          <w:rFonts w:ascii="Times New Roman" w:hAnsi="Times New Roman"/>
        </w:rPr>
        <w:t>. Finally, we find that the main influencing factors of domestic gold futures price are SHIBOR, CPI and gold spot price. As the domestic gold futures market has been established for a short time and the market is not fully mature, it will also deviate due to interest rates, macroeconomic conditions at home and abroad, policy changes and other factors. F</w:t>
      </w:r>
      <w:r>
        <w:rPr>
          <w:rFonts w:ascii="Times New Roman" w:hAnsi="Times New Roman" w:hint="eastAsia"/>
        </w:rPr>
        <w:t>rom</w:t>
      </w:r>
      <w:r>
        <w:rPr>
          <w:rFonts w:ascii="Times New Roman" w:hAnsi="Times New Roman"/>
        </w:rPr>
        <w:t xml:space="preserve"> the results of the paper, we can find out the factors of domestic gold futures price and improve the investment factors for investors and make the investment more reasonable</w:t>
      </w:r>
      <w:r>
        <w:rPr>
          <w:rFonts w:ascii="Times New Roman" w:hAnsi="Times New Roman" w:hint="eastAsia"/>
        </w:rPr>
        <w:t>.</w:t>
      </w:r>
    </w:p>
    <w:p>
      <w:pPr>
        <w:pStyle w:val="Default"/>
        <w:spacing w:line="360" w:lineRule="auto"/>
        <w:rPr>
          <w:rFonts w:ascii="Times New Roman" w:hAnsi="Times New Roman"/>
          <w:b/>
          <w:bCs/>
        </w:rPr>
      </w:pPr>
      <w:r>
        <w:rPr>
          <w:rFonts w:ascii="Times New Roman" w:hAnsi="Times New Roman"/>
          <w:b/>
          <w:bCs/>
        </w:rPr>
        <w:t>Keyword</w:t>
      </w:r>
      <w:r>
        <w:rPr>
          <w:rFonts w:ascii="Times New Roman" w:hAnsi="Times New Roman" w:hint="eastAsia"/>
          <w:b/>
          <w:bCs/>
          <w:lang w:val="en-US" w:eastAsia="zh-CN"/>
        </w:rPr>
        <w:t xml:space="preserve">s: </w:t>
      </w:r>
      <w:r>
        <w:rPr>
          <w:rFonts w:ascii="Times New Roman" w:hAnsi="Times New Roman"/>
          <w:b/>
          <w:bCs/>
        </w:rPr>
        <w:t>gold futures;price factors;time series;multiple linear regression</w:t>
      </w:r>
    </w:p>
    <w:p>
      <w:pPr>
        <w:rPr>
          <w:rFonts w:ascii="Times New Roman" w:eastAsia="宋体" w:hAnsi="Times New Roman" w:cs="Times New Roman"/>
          <w:color w:val="000000"/>
          <w:kern w:val="0"/>
          <w:sz w:val="23"/>
          <w:szCs w:val="23"/>
        </w:rPr>
      </w:pPr>
    </w:p>
    <w:p>
      <w:pPr>
        <w:widowControl/>
        <w:jc w:val="left"/>
        <w:rPr>
          <w:rFonts w:ascii="Times New Roman" w:hAnsi="Times New Roman"/>
        </w:rPr>
      </w:pPr>
      <w:r>
        <w:rPr>
          <w:rFonts w:ascii="Times New Roman" w:hAnsi="Times New Roman"/>
        </w:rPr>
        <w:br w:type="page"/>
      </w:r>
    </w:p>
    <w:p>
      <w:pPr>
        <w:pStyle w:val="Heading1"/>
        <w:spacing w:before="936" w:beforeLines="300" w:after="624" w:afterLines="200" w:line="360" w:lineRule="auto"/>
        <w:ind w:firstLine="420"/>
        <w:rPr>
          <w:rFonts w:ascii="Times New Roman" w:eastAsia="华文中宋" w:hAnsi="Times New Roman"/>
          <w:b/>
          <w:bCs/>
          <w:color w:val="000000" w:themeColor="text1"/>
          <w:sz w:val="44"/>
          <w:szCs w:val="44"/>
          <w14:textFill>
            <w14:solidFill>
              <w14:schemeClr w14:val="tx1"/>
            </w14:solidFill>
          </w14:textFill>
        </w:rPr>
      </w:pPr>
      <w:r>
        <w:rPr>
          <w:rFonts w:ascii="Times New Roman" w:eastAsia="华文中宋" w:hAnsi="Times New Roman"/>
          <w:b/>
          <w:bCs/>
          <w:color w:val="000000" w:themeColor="text1"/>
          <w:sz w:val="44"/>
          <w:szCs w:val="44"/>
          <w14:textFill>
            <w14:solidFill>
              <w14:schemeClr w14:val="tx1"/>
            </w14:solidFill>
          </w14:textFill>
        </w:rPr>
        <w:br/>
      </w:r>
      <w:r>
        <w:rPr>
          <w:rFonts w:ascii="Times New Roman" w:eastAsia="华文中宋" w:hAnsi="Times New Roman"/>
          <w:b/>
          <w:bCs/>
          <w:color w:val="000000" w:themeColor="text1"/>
          <w:sz w:val="44"/>
          <w:szCs w:val="44"/>
          <w14:textFill>
            <w14:solidFill>
              <w14:schemeClr w14:val="tx1"/>
            </w14:solidFill>
          </w14:textFill>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https://d.book118.com/548035030056006027</w:t>
        </w:r>
      </w:hyperlink>
    </w:p>
    <w:p>
      <w:pPr>
        <w:pStyle w:val="Heading1"/>
        <w:spacing w:before="936" w:beforeLines="300" w:after="624" w:afterLines="200" w:line="360" w:lineRule="auto"/>
        <w:ind w:firstLine="420"/>
        <w:rPr>
          <w:rFonts w:ascii="Times New Roman" w:eastAsia="华文中宋" w:hAnsi="Times New Roman"/>
          <w:b/>
          <w:bCs/>
          <w:color w:val="000000" w:themeColor="text1"/>
          <w:sz w:val="44"/>
          <w:szCs w:val="44"/>
          <w14:textFill>
            <w14:solidFill>
              <w14:schemeClr w14:val="tx1"/>
            </w14:solidFill>
          </w14:textFill>
        </w:rPr>
      </w:pPr>
    </w:p>
    <w:sectPr>
      <w:footerReference w:type="default" r:id="rId8"/>
      <w:pgSz w:w="11906" w:h="16838"/>
      <w:pgMar w:top="1701" w:right="1701" w:bottom="1701" w:left="1701" w:header="851" w:footer="992" w:gutter="0"/>
      <w:pgNumType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Microsoft YaHei UI">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Cambria Math">
    <w:panose1 w:val="02040503050406030204"/>
    <w:charset w:val="00"/>
    <w:family w:val="roman"/>
    <w:pitch w:val="default"/>
    <w:sig w:usb0="E00006FF" w:usb1="420024FF" w:usb2="02000000" w:usb3="00000000" w:csb0="2000019F" w:csb1="00000000"/>
  </w:font>
  <w:font w:name="华文新魏">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Beijing">
    <w:altName w:val="黑体"/>
    <w:panose1 w:val="00000000000000000000"/>
    <w:charset w:val="86"/>
    <w:family w:val="auto"/>
    <w:pitch w:val="default"/>
    <w:sig w:usb0="00000000" w:usb1="00000000" w:usb2="10000000" w:usb3="00000000" w:csb0="00040000" w:csb1="00000000"/>
  </w:font>
  <w:font w:name="微软雅黑">
    <w:panose1 w:val="020B0503020204020204"/>
    <w:charset w:val="86"/>
    <w:family w:val="swiss"/>
    <w:pitch w:val="default"/>
    <w:sig w:usb0="80000287" w:usb1="2ACF3C50" w:usb2="00000016" w:usb3="00000000" w:csb0="0004001F" w:csb1="00000000"/>
  </w:font>
  <w:font w:name="瀹嬩綋">
    <w:altName w:val="微软雅黑"/>
    <w:panose1 w:val="00000000000000000000"/>
    <w:charset w:val="86"/>
    <w:family w:val="auto"/>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73869665"/>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19268538"/>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EC5"/>
    <w:rsid w:val="000113FB"/>
    <w:rsid w:val="0005772F"/>
    <w:rsid w:val="00063F82"/>
    <w:rsid w:val="000642FD"/>
    <w:rsid w:val="00074459"/>
    <w:rsid w:val="00083155"/>
    <w:rsid w:val="00085AA8"/>
    <w:rsid w:val="00095EFD"/>
    <w:rsid w:val="00096711"/>
    <w:rsid w:val="000C6945"/>
    <w:rsid w:val="000D427B"/>
    <w:rsid w:val="000F6FE6"/>
    <w:rsid w:val="001069C7"/>
    <w:rsid w:val="00110DC0"/>
    <w:rsid w:val="00123848"/>
    <w:rsid w:val="0013732B"/>
    <w:rsid w:val="00150C51"/>
    <w:rsid w:val="0015498B"/>
    <w:rsid w:val="0018151D"/>
    <w:rsid w:val="00183F4C"/>
    <w:rsid w:val="00185091"/>
    <w:rsid w:val="00187BCF"/>
    <w:rsid w:val="001B1020"/>
    <w:rsid w:val="001B2E21"/>
    <w:rsid w:val="001B7792"/>
    <w:rsid w:val="001B7A2D"/>
    <w:rsid w:val="001D4A00"/>
    <w:rsid w:val="001E1BA7"/>
    <w:rsid w:val="001E57DE"/>
    <w:rsid w:val="001F527D"/>
    <w:rsid w:val="001F779C"/>
    <w:rsid w:val="0021437F"/>
    <w:rsid w:val="00222687"/>
    <w:rsid w:val="002313DE"/>
    <w:rsid w:val="00235275"/>
    <w:rsid w:val="002362DA"/>
    <w:rsid w:val="00244BD9"/>
    <w:rsid w:val="002477BE"/>
    <w:rsid w:val="002A0866"/>
    <w:rsid w:val="002B31A0"/>
    <w:rsid w:val="002C26D6"/>
    <w:rsid w:val="002F3658"/>
    <w:rsid w:val="002F5F64"/>
    <w:rsid w:val="00306981"/>
    <w:rsid w:val="00311EF1"/>
    <w:rsid w:val="00323606"/>
    <w:rsid w:val="003446A1"/>
    <w:rsid w:val="00351E5A"/>
    <w:rsid w:val="003609CC"/>
    <w:rsid w:val="003610F3"/>
    <w:rsid w:val="00370218"/>
    <w:rsid w:val="0037472B"/>
    <w:rsid w:val="00392DBF"/>
    <w:rsid w:val="00393019"/>
    <w:rsid w:val="003A4E92"/>
    <w:rsid w:val="003B0A55"/>
    <w:rsid w:val="003B5AC3"/>
    <w:rsid w:val="003C185A"/>
    <w:rsid w:val="003F182F"/>
    <w:rsid w:val="004045C1"/>
    <w:rsid w:val="00410770"/>
    <w:rsid w:val="004314AF"/>
    <w:rsid w:val="004758FF"/>
    <w:rsid w:val="004952DB"/>
    <w:rsid w:val="00497C30"/>
    <w:rsid w:val="004A2DFC"/>
    <w:rsid w:val="004A3B05"/>
    <w:rsid w:val="004B5A50"/>
    <w:rsid w:val="004C2251"/>
    <w:rsid w:val="004D6A19"/>
    <w:rsid w:val="00501DAA"/>
    <w:rsid w:val="00505DC3"/>
    <w:rsid w:val="00514246"/>
    <w:rsid w:val="00520D29"/>
    <w:rsid w:val="005401EC"/>
    <w:rsid w:val="0055295F"/>
    <w:rsid w:val="00564253"/>
    <w:rsid w:val="00572AC0"/>
    <w:rsid w:val="00587515"/>
    <w:rsid w:val="00592F7A"/>
    <w:rsid w:val="005B47B3"/>
    <w:rsid w:val="005B4AA3"/>
    <w:rsid w:val="005B6A0B"/>
    <w:rsid w:val="005D210A"/>
    <w:rsid w:val="005E1218"/>
    <w:rsid w:val="00600FB6"/>
    <w:rsid w:val="0060330A"/>
    <w:rsid w:val="00605CB0"/>
    <w:rsid w:val="0061259B"/>
    <w:rsid w:val="006135F5"/>
    <w:rsid w:val="00615084"/>
    <w:rsid w:val="00632D7F"/>
    <w:rsid w:val="00633BC2"/>
    <w:rsid w:val="00643F34"/>
    <w:rsid w:val="0066332A"/>
    <w:rsid w:val="006728C2"/>
    <w:rsid w:val="00672CC1"/>
    <w:rsid w:val="00676A64"/>
    <w:rsid w:val="00683E12"/>
    <w:rsid w:val="0068429B"/>
    <w:rsid w:val="006B1E5F"/>
    <w:rsid w:val="006C02DE"/>
    <w:rsid w:val="006F5AC8"/>
    <w:rsid w:val="00712B62"/>
    <w:rsid w:val="00715670"/>
    <w:rsid w:val="00720339"/>
    <w:rsid w:val="00727FE8"/>
    <w:rsid w:val="007313E7"/>
    <w:rsid w:val="00741B0A"/>
    <w:rsid w:val="00746FFC"/>
    <w:rsid w:val="0075010D"/>
    <w:rsid w:val="0079702B"/>
    <w:rsid w:val="007A6D57"/>
    <w:rsid w:val="007B52C3"/>
    <w:rsid w:val="007B5E11"/>
    <w:rsid w:val="007B670F"/>
    <w:rsid w:val="007C3DBC"/>
    <w:rsid w:val="007E003F"/>
    <w:rsid w:val="007E3130"/>
    <w:rsid w:val="00803682"/>
    <w:rsid w:val="0082478C"/>
    <w:rsid w:val="00825F4A"/>
    <w:rsid w:val="00830F9E"/>
    <w:rsid w:val="0084369C"/>
    <w:rsid w:val="00865841"/>
    <w:rsid w:val="00867A80"/>
    <w:rsid w:val="008811E5"/>
    <w:rsid w:val="008834C2"/>
    <w:rsid w:val="008A17D8"/>
    <w:rsid w:val="008B5ACD"/>
    <w:rsid w:val="008B6F1C"/>
    <w:rsid w:val="008C429F"/>
    <w:rsid w:val="008C47D2"/>
    <w:rsid w:val="008D124D"/>
    <w:rsid w:val="008E21B0"/>
    <w:rsid w:val="008E294E"/>
    <w:rsid w:val="008E68B1"/>
    <w:rsid w:val="008F4FA9"/>
    <w:rsid w:val="00900121"/>
    <w:rsid w:val="00913F11"/>
    <w:rsid w:val="00924128"/>
    <w:rsid w:val="00927852"/>
    <w:rsid w:val="00943F57"/>
    <w:rsid w:val="00950266"/>
    <w:rsid w:val="00955A3D"/>
    <w:rsid w:val="009744D3"/>
    <w:rsid w:val="009814E4"/>
    <w:rsid w:val="009819CD"/>
    <w:rsid w:val="0099738C"/>
    <w:rsid w:val="009A474E"/>
    <w:rsid w:val="009A5457"/>
    <w:rsid w:val="009C441D"/>
    <w:rsid w:val="00A11EF4"/>
    <w:rsid w:val="00A215B0"/>
    <w:rsid w:val="00A36B58"/>
    <w:rsid w:val="00A506AC"/>
    <w:rsid w:val="00A53A56"/>
    <w:rsid w:val="00A53E9D"/>
    <w:rsid w:val="00A7581F"/>
    <w:rsid w:val="00AA1689"/>
    <w:rsid w:val="00AD3591"/>
    <w:rsid w:val="00B1078E"/>
    <w:rsid w:val="00B20ADB"/>
    <w:rsid w:val="00B22E1A"/>
    <w:rsid w:val="00B54E78"/>
    <w:rsid w:val="00B809A4"/>
    <w:rsid w:val="00B842F6"/>
    <w:rsid w:val="00B94F50"/>
    <w:rsid w:val="00BA158A"/>
    <w:rsid w:val="00BB7EC5"/>
    <w:rsid w:val="00BD1C13"/>
    <w:rsid w:val="00BF22DA"/>
    <w:rsid w:val="00BF5921"/>
    <w:rsid w:val="00C0426F"/>
    <w:rsid w:val="00C14E39"/>
    <w:rsid w:val="00C404A7"/>
    <w:rsid w:val="00C45ED4"/>
    <w:rsid w:val="00C8138D"/>
    <w:rsid w:val="00C82CD5"/>
    <w:rsid w:val="00C84DE8"/>
    <w:rsid w:val="00C92FDD"/>
    <w:rsid w:val="00C9703D"/>
    <w:rsid w:val="00C97E51"/>
    <w:rsid w:val="00CC5E35"/>
    <w:rsid w:val="00CD29A3"/>
    <w:rsid w:val="00CE3572"/>
    <w:rsid w:val="00CF60BA"/>
    <w:rsid w:val="00D01CB7"/>
    <w:rsid w:val="00D11C9C"/>
    <w:rsid w:val="00D22FBB"/>
    <w:rsid w:val="00D5646F"/>
    <w:rsid w:val="00D74E3B"/>
    <w:rsid w:val="00D93361"/>
    <w:rsid w:val="00DA2C6B"/>
    <w:rsid w:val="00DB2300"/>
    <w:rsid w:val="00DD70CB"/>
    <w:rsid w:val="00DE754D"/>
    <w:rsid w:val="00DF0099"/>
    <w:rsid w:val="00DF2078"/>
    <w:rsid w:val="00E00BD0"/>
    <w:rsid w:val="00E36B74"/>
    <w:rsid w:val="00E40394"/>
    <w:rsid w:val="00E4568C"/>
    <w:rsid w:val="00E56EF1"/>
    <w:rsid w:val="00E57FF1"/>
    <w:rsid w:val="00E722E3"/>
    <w:rsid w:val="00E7670C"/>
    <w:rsid w:val="00E90AD9"/>
    <w:rsid w:val="00E90F59"/>
    <w:rsid w:val="00E91693"/>
    <w:rsid w:val="00ED2EA3"/>
    <w:rsid w:val="00EE5049"/>
    <w:rsid w:val="00EF291A"/>
    <w:rsid w:val="00EF6F02"/>
    <w:rsid w:val="00F15C0D"/>
    <w:rsid w:val="00F21590"/>
    <w:rsid w:val="00F2211E"/>
    <w:rsid w:val="00F41C16"/>
    <w:rsid w:val="00F47DB8"/>
    <w:rsid w:val="00F65762"/>
    <w:rsid w:val="00F811D7"/>
    <w:rsid w:val="00F814F0"/>
    <w:rsid w:val="00FA3CA9"/>
    <w:rsid w:val="00FA42FE"/>
    <w:rsid w:val="00FA4677"/>
    <w:rsid w:val="00FB03CD"/>
    <w:rsid w:val="00FC23C5"/>
    <w:rsid w:val="00FC2C04"/>
    <w:rsid w:val="00FC7E79"/>
    <w:rsid w:val="00FD6A1A"/>
    <w:rsid w:val="173B45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keepNext/>
      <w:keepLines/>
      <w:spacing w:before="240"/>
      <w:outlineLvl w:val="0"/>
    </w:pPr>
    <w:rPr>
      <w:rFonts w:asciiTheme="majorHAnsi" w:eastAsiaTheme="majorEastAsia" w:hAnsiTheme="majorHAnsi" w:cstheme="majorBidi"/>
      <w:color w:val="376092" w:themeColor="accent1" w:themeShade="BF"/>
      <w:sz w:val="32"/>
      <w:szCs w:val="32"/>
    </w:rPr>
  </w:style>
  <w:style w:type="paragraph" w:styleId="Heading2">
    <w:name w:val="heading 2"/>
    <w:basedOn w:val="Normal"/>
    <w:next w:val="Normal"/>
    <w:link w:val="2"/>
    <w:uiPriority w:val="9"/>
    <w:unhideWhenUsed/>
    <w:qFormat/>
    <w:pPr>
      <w:keepNext/>
      <w:keepLines/>
      <w:spacing w:before="312" w:beforeLines="100" w:after="312" w:afterLines="100" w:line="360" w:lineRule="auto"/>
      <w:outlineLvl w:val="1"/>
    </w:pPr>
    <w:rPr>
      <w:rFonts w:ascii="黑体" w:eastAsia="黑体" w:hAnsi="黑体" w:cstheme="majorBidi"/>
      <w:color w:val="000000" w:themeColor="text1"/>
      <w:sz w:val="24"/>
      <w:szCs w:val="24"/>
      <w14:textFill>
        <w14:solidFill>
          <w14:schemeClr w14:val="tx1"/>
        </w14:solidFill>
      </w14:textFill>
    </w:rPr>
  </w:style>
  <w:style w:type="paragraph" w:styleId="Heading3">
    <w:name w:val="heading 3"/>
    <w:basedOn w:val="Normal"/>
    <w:next w:val="Normal"/>
    <w:link w:val="3"/>
    <w:uiPriority w:val="9"/>
    <w:unhideWhenUsed/>
    <w:qFormat/>
    <w:pPr>
      <w:keepNext/>
      <w:keepLines/>
      <w:spacing w:before="40"/>
      <w:outlineLvl w:val="2"/>
    </w:pPr>
    <w:rPr>
      <w:rFonts w:asciiTheme="majorHAnsi" w:eastAsiaTheme="majorEastAsia" w:hAnsiTheme="majorHAnsi" w:cstheme="majorBidi"/>
      <w:color w:val="254061" w:themeColor="accent1" w:themeShade="80"/>
      <w:sz w:val="24"/>
      <w:szCs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a"/>
    <w:uiPriority w:val="99"/>
    <w:unhideWhenUsed/>
    <w:rPr>
      <w:sz w:val="20"/>
      <w:szCs w:val="20"/>
    </w:rPr>
  </w:style>
  <w:style w:type="paragraph" w:styleId="TOC3">
    <w:name w:val="toc 3"/>
    <w:basedOn w:val="Normal"/>
    <w:next w:val="Normal"/>
    <w:uiPriority w:val="39"/>
    <w:unhideWhenUsed/>
    <w:pPr>
      <w:widowControl/>
      <w:spacing w:after="100" w:line="259" w:lineRule="auto"/>
      <w:ind w:left="440"/>
      <w:jc w:val="left"/>
    </w:pPr>
    <w:rPr>
      <w:rFonts w:cs="Times New Roman"/>
      <w:kern w:val="0"/>
      <w:sz w:val="22"/>
    </w:rPr>
  </w:style>
  <w:style w:type="paragraph" w:styleId="BalloonText">
    <w:name w:val="Balloon Text"/>
    <w:basedOn w:val="Normal"/>
    <w:link w:val="a1"/>
    <w:uiPriority w:val="99"/>
    <w:semiHidden/>
    <w:unhideWhenUsed/>
    <w:rPr>
      <w:rFonts w:ascii="Microsoft YaHei UI" w:eastAsia="Microsoft YaHei UI"/>
      <w:sz w:val="18"/>
      <w:szCs w:val="18"/>
    </w:rPr>
  </w:style>
  <w:style w:type="paragraph" w:styleId="Footer">
    <w:name w:val="footer"/>
    <w:basedOn w:val="Normal"/>
    <w:link w:val="a3"/>
    <w:uiPriority w:val="99"/>
    <w:unhideWhenUsed/>
    <w:pPr>
      <w:tabs>
        <w:tab w:val="center" w:pos="4153"/>
        <w:tab w:val="right" w:pos="8306"/>
      </w:tabs>
    </w:pPr>
  </w:style>
  <w:style w:type="paragraph" w:styleId="Header">
    <w:name w:val="header"/>
    <w:basedOn w:val="Normal"/>
    <w:link w:val="a2"/>
    <w:uiPriority w:val="99"/>
    <w:unhideWhenUsed/>
    <w:pPr>
      <w:tabs>
        <w:tab w:val="center" w:pos="4153"/>
        <w:tab w:val="right" w:pos="8306"/>
      </w:tabs>
    </w:pPr>
  </w:style>
  <w:style w:type="paragraph" w:styleId="TOC1">
    <w:name w:val="toc 1"/>
    <w:basedOn w:val="Normal"/>
    <w:next w:val="Normal"/>
    <w:uiPriority w:val="39"/>
    <w:unhideWhenUsed/>
    <w:pPr>
      <w:widowControl/>
      <w:tabs>
        <w:tab w:val="right" w:leader="dot" w:pos="8494"/>
      </w:tabs>
      <w:jc w:val="left"/>
    </w:pPr>
    <w:rPr>
      <w:rFonts w:cs="Times New Roman"/>
      <w:kern w:val="0"/>
      <w:sz w:val="22"/>
    </w:rPr>
  </w:style>
  <w:style w:type="paragraph" w:styleId="TOC2">
    <w:name w:val="toc 2"/>
    <w:basedOn w:val="Normal"/>
    <w:next w:val="Normal"/>
    <w:uiPriority w:val="39"/>
    <w:unhideWhenUsed/>
    <w:pPr>
      <w:widowControl/>
      <w:spacing w:after="100" w:line="259" w:lineRule="auto"/>
      <w:ind w:left="220"/>
      <w:jc w:val="left"/>
    </w:pPr>
    <w:rPr>
      <w:rFonts w:cs="Times New Roman"/>
      <w:kern w:val="0"/>
      <w:sz w:val="22"/>
    </w:rPr>
  </w:style>
  <w:style w:type="paragraph" w:styleId="NormalWeb">
    <w:name w:val="Normal (Web)"/>
    <w:basedOn w:val="Normal"/>
    <w:uiPriority w:val="99"/>
    <w:unhideWhenUsed/>
    <w:qFormat/>
    <w:pPr>
      <w:widowControl/>
      <w:spacing w:before="100" w:beforeAutospacing="1" w:after="100" w:afterAutospacing="1"/>
      <w:jc w:val="left"/>
    </w:pPr>
    <w:rPr>
      <w:rFonts w:ascii="Times New Roman" w:eastAsia="Times New Roman" w:hAnsi="Times New Roman" w:cs="Times New Roman"/>
      <w:kern w:val="0"/>
      <w:sz w:val="24"/>
      <w:szCs w:val="24"/>
    </w:rPr>
  </w:style>
  <w:style w:type="paragraph" w:styleId="CommentSubject">
    <w:name w:val="annotation subject"/>
    <w:basedOn w:val="CommentText"/>
    <w:next w:val="CommentText"/>
    <w:link w:val="a0"/>
    <w:uiPriority w:val="99"/>
    <w:semiHidden/>
    <w:unhideWhenUsed/>
    <w:rPr>
      <w:b/>
      <w:bCs/>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rPr>
      <w:sz w:val="16"/>
      <w:szCs w:val="16"/>
    </w:rPr>
  </w:style>
  <w:style w:type="paragraph" w:customStyle="1" w:styleId="Default">
    <w:name w:val="Default"/>
    <w:link w:val="Default0"/>
    <w:qFormat/>
    <w:pPr>
      <w:autoSpaceDE w:val="0"/>
      <w:autoSpaceDN w:val="0"/>
      <w:adjustRightInd w:val="0"/>
    </w:pPr>
    <w:rPr>
      <w:rFonts w:ascii="宋体" w:eastAsia="宋体" w:hAnsiTheme="minorHAnsi" w:cs="宋体"/>
      <w:color w:val="000000"/>
      <w:kern w:val="0"/>
      <w:sz w:val="24"/>
      <w:szCs w:val="24"/>
      <w:lang w:val="en-US" w:eastAsia="zh-CN" w:bidi="ar-SA"/>
    </w:rPr>
  </w:style>
  <w:style w:type="character" w:customStyle="1" w:styleId="1">
    <w:name w:val="标题 1 字符"/>
    <w:basedOn w:val="DefaultParagraphFont"/>
    <w:link w:val="Heading1"/>
    <w:uiPriority w:val="9"/>
    <w:qFormat/>
    <w:rPr>
      <w:rFonts w:asciiTheme="majorHAnsi" w:eastAsiaTheme="majorEastAsia" w:hAnsiTheme="majorHAnsi" w:cstheme="majorBidi"/>
      <w:color w:val="376092" w:themeColor="accent1" w:themeShade="BF"/>
      <w:sz w:val="32"/>
      <w:szCs w:val="32"/>
    </w:rPr>
  </w:style>
  <w:style w:type="character" w:customStyle="1" w:styleId="2">
    <w:name w:val="标题 2 字符"/>
    <w:basedOn w:val="DefaultParagraphFont"/>
    <w:link w:val="Heading2"/>
    <w:uiPriority w:val="9"/>
    <w:qFormat/>
    <w:rPr>
      <w:rFonts w:ascii="黑体" w:eastAsia="黑体" w:hAnsi="黑体" w:cstheme="majorBidi"/>
      <w:color w:val="000000" w:themeColor="text1"/>
      <w:sz w:val="24"/>
      <w:szCs w:val="24"/>
      <w14:textFill>
        <w14:solidFill>
          <w14:schemeClr w14:val="tx1"/>
        </w14:solidFill>
      </w14:textFill>
    </w:rPr>
  </w:style>
  <w:style w:type="paragraph" w:customStyle="1" w:styleId="MTDisplayEquation">
    <w:name w:val="MTDisplayEquation"/>
    <w:basedOn w:val="Default"/>
    <w:next w:val="Normal"/>
    <w:link w:val="MTDisplayEquation0"/>
    <w:pPr>
      <w:tabs>
        <w:tab w:val="center" w:pos="4240"/>
        <w:tab w:val="right" w:pos="8500"/>
      </w:tabs>
      <w:ind w:firstLine="420"/>
    </w:pPr>
    <w:rPr>
      <w:rFonts w:hAnsi="Times New Roman"/>
      <w:sz w:val="23"/>
      <w:szCs w:val="23"/>
    </w:rPr>
  </w:style>
  <w:style w:type="character" w:customStyle="1" w:styleId="Default0">
    <w:name w:val="Default 字符"/>
    <w:basedOn w:val="DefaultParagraphFont"/>
    <w:link w:val="Default"/>
    <w:rPr>
      <w:rFonts w:ascii="宋体" w:eastAsia="宋体" w:cs="宋体"/>
      <w:color w:val="000000"/>
      <w:kern w:val="0"/>
      <w:sz w:val="24"/>
      <w:szCs w:val="24"/>
    </w:rPr>
  </w:style>
  <w:style w:type="character" w:customStyle="1" w:styleId="MTDisplayEquation0">
    <w:name w:val="MTDisplayEquation 字符"/>
    <w:basedOn w:val="Default0"/>
    <w:link w:val="MTDisplayEquation"/>
    <w:rPr>
      <w:rFonts w:ascii="宋体" w:eastAsia="宋体" w:hAnsi="Times New Roman" w:cs="宋体"/>
      <w:color w:val="000000"/>
      <w:kern w:val="0"/>
      <w:sz w:val="23"/>
      <w:szCs w:val="23"/>
    </w:rPr>
  </w:style>
  <w:style w:type="character" w:customStyle="1" w:styleId="3">
    <w:name w:val="标题 3 字符"/>
    <w:basedOn w:val="DefaultParagraphFont"/>
    <w:link w:val="Heading3"/>
    <w:uiPriority w:val="9"/>
    <w:rPr>
      <w:rFonts w:asciiTheme="majorHAnsi" w:eastAsiaTheme="majorEastAsia" w:hAnsiTheme="majorHAnsi" w:cstheme="majorBidi"/>
      <w:color w:val="254061" w:themeColor="accent1" w:themeShade="80"/>
      <w:sz w:val="24"/>
      <w:szCs w:val="24"/>
    </w:rPr>
  </w:style>
  <w:style w:type="character" w:customStyle="1" w:styleId="a">
    <w:name w:val="批注文字 字符"/>
    <w:basedOn w:val="DefaultParagraphFont"/>
    <w:link w:val="CommentText"/>
    <w:uiPriority w:val="99"/>
    <w:rPr>
      <w:sz w:val="20"/>
      <w:szCs w:val="20"/>
    </w:rPr>
  </w:style>
  <w:style w:type="character" w:customStyle="1" w:styleId="a0">
    <w:name w:val="批注主题 字符"/>
    <w:basedOn w:val="a"/>
    <w:link w:val="CommentSubject"/>
    <w:uiPriority w:val="99"/>
    <w:semiHidden/>
    <w:rPr>
      <w:b/>
      <w:bCs/>
      <w:sz w:val="20"/>
      <w:szCs w:val="20"/>
    </w:rPr>
  </w:style>
  <w:style w:type="character" w:customStyle="1" w:styleId="a1">
    <w:name w:val="批注框文本 字符"/>
    <w:basedOn w:val="DefaultParagraphFont"/>
    <w:link w:val="BalloonText"/>
    <w:uiPriority w:val="99"/>
    <w:semiHidden/>
    <w:rPr>
      <w:rFonts w:ascii="Microsoft YaHei UI" w:eastAsia="Microsoft YaHei UI"/>
      <w:sz w:val="18"/>
      <w:szCs w:val="18"/>
    </w:rPr>
  </w:style>
  <w:style w:type="character" w:customStyle="1" w:styleId="a2">
    <w:name w:val="页眉 字符"/>
    <w:basedOn w:val="DefaultParagraphFont"/>
    <w:link w:val="Header"/>
    <w:uiPriority w:val="99"/>
  </w:style>
  <w:style w:type="character" w:customStyle="1" w:styleId="a3">
    <w:name w:val="页脚 字符"/>
    <w:basedOn w:val="DefaultParagraphFont"/>
    <w:link w:val="Footer"/>
    <w:uiPriority w:val="99"/>
  </w:style>
  <w:style w:type="paragraph" w:customStyle="1" w:styleId="TOCHeading">
    <w:name w:val="TOC Heading"/>
    <w:basedOn w:val="Heading1"/>
    <w:next w:val="Normal"/>
    <w:uiPriority w:val="39"/>
    <w:unhideWhenUsed/>
    <w:qFormat/>
    <w:pPr>
      <w:widowControl/>
      <w:spacing w:line="259" w:lineRule="auto"/>
      <w:jc w:val="left"/>
      <w:outlineLvl w:val="9"/>
    </w:pPr>
    <w:rPr>
      <w:kern w:val="0"/>
    </w:rPr>
  </w:style>
  <w:style w:type="paragraph" w:customStyle="1" w:styleId="ql-long-21967660">
    <w:name w:val="ql-long-21967660"/>
    <w:basedOn w:val="Normal"/>
    <w:pPr>
      <w:widowControl/>
      <w:spacing w:before="100" w:beforeAutospacing="1" w:after="100" w:afterAutospacing="1"/>
      <w:jc w:val="left"/>
    </w:pPr>
    <w:rPr>
      <w:rFonts w:ascii="Times New Roman" w:eastAsia="Times New Roman" w:hAnsi="Times New Roman" w:cs="Times New Roman"/>
      <w:kern w:val="0"/>
      <w:sz w:val="24"/>
      <w:szCs w:val="24"/>
    </w:rPr>
  </w:style>
  <w:style w:type="character" w:styleId="PlaceholderText">
    <w:name w:val="Placeholder Text"/>
    <w:basedOn w:val="DefaultParagraphFont"/>
    <w:uiPriority w:val="99"/>
    <w:semiHidden/>
    <w:rPr>
      <w:color w:val="808080"/>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548035030056006027"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F1A002-90A6-47CE-BAE5-20C8EE0A4D0E}">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2800</Words>
  <Characters>15966</Characters>
  <Application>Microsoft Office Word</Application>
  <DocSecurity>0</DocSecurity>
  <Lines>133</Lines>
  <Paragraphs>37</Paragraphs>
  <ScaleCrop>false</ScaleCrop>
  <Company/>
  <LinksUpToDate>false</LinksUpToDate>
  <CharactersWithSpaces>18729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xiaoyu</dc:creator>
  <cp:lastModifiedBy>T.嘟嘟</cp:lastModifiedBy>
  <cp:revision>7</cp:revision>
  <cp:lastPrinted>2020-03-23T15:49:00Z</cp:lastPrinted>
  <dcterms:created xsi:type="dcterms:W3CDTF">2020-03-30T15:17:00Z</dcterms:created>
  <dcterms:modified xsi:type="dcterms:W3CDTF">2020-04-01T15:00:19Z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y fmtid="{D5CDD505-2E9C-101B-9397-08002B2CF9AE}" pid="3" name="MTWinEqns">
    <vt:bool>true</vt:bool>
  </property>
</Properties>
</file>