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48"/>
        <w:ind w:left="2333"/>
      </w:pPr>
      <w:r>
        <w:rPr>
          <w:w w:val="95"/>
        </w:rPr>
        <w:t>一、引言：根本面改善，估值修复可期</w:t>
      </w:r>
    </w:p>
    <w:p>
      <w:pPr>
        <w:pStyle w:val="BodyText"/>
        <w:spacing w:before="11"/>
        <w:rPr>
          <w:sz w:val="41"/>
        </w:rPr>
      </w:pPr>
    </w:p>
    <w:p>
      <w:pPr>
        <w:pStyle w:val="BodyText"/>
        <w:spacing w:line="331" w:lineRule="auto"/>
        <w:ind w:left="2333" w:right="1900"/>
      </w:pPr>
      <w:r>
        <w:rPr>
          <w:rFonts w:ascii="Arial Narrow" w:eastAsia="Arial Narrow" w:hAnsi="Arial Narrow"/>
          <w:position w:val="5"/>
          <w:sz w:val="36"/>
        </w:rPr>
        <w:t>2023</w:t>
      </w:r>
      <w:r>
        <w:rPr>
          <w:rFonts w:ascii="Arial Narrow" w:eastAsia="Arial Narrow" w:hAnsi="Arial Narrow"/>
          <w:spacing w:val="25"/>
          <w:position w:val="5"/>
          <w:sz w:val="36"/>
        </w:rPr>
        <w:t xml:space="preserve"> </w:t>
      </w:r>
      <w:r>
        <w:t>年以来，受国内经济增速换挡、供给侧构造性改革和经营区域多家大型企 业风险暴露影响，北京</w:t>
      </w:r>
      <w:r>
        <w:rPr>
          <w:spacing w:val="-2"/>
        </w:rPr>
        <w:t>银行资产质量承压，对业绩释放和估值表现形成拖累。 在此背景下，一方面，北京银行着力强化风险治理</w:t>
      </w:r>
      <w:r>
        <w:rPr>
          <w:spacing w:val="-3"/>
        </w:rPr>
        <w:t>来改善资产质量，包括优化 风险治理制度、调整业务构造、重塑风险治理文化等，加速存量风险出清</w:t>
      </w:r>
      <w:r>
        <w:rPr>
          <w:spacing w:val="-4"/>
        </w:rPr>
        <w:t>的同 时严控增资产质量。另一方面，连续推动零售转型和对公调整来增加盈利能 力，并提出“</w:t>
      </w:r>
      <w:r>
        <w:rPr>
          <w:spacing w:val="-1"/>
          <w:w w:val="105"/>
        </w:rPr>
        <w:t>”期间实现零售全面转型，提高零售营收奉献占比，实现对 公零售均衡进展。</w:t>
      </w:r>
    </w:p>
    <w:p>
      <w:pPr>
        <w:pStyle w:val="BodyText"/>
        <w:spacing w:before="2"/>
        <w:rPr>
          <w:sz w:val="29"/>
        </w:rPr>
      </w:pPr>
    </w:p>
    <w:p>
      <w:pPr>
        <w:pStyle w:val="BodyText"/>
        <w:ind w:left="2333"/>
      </w:pPr>
      <w:r>
        <w:rPr>
          <w:spacing w:val="-10"/>
        </w:rPr>
        <w:t>随着零售全面转型、金融科技赋能以及风控体系重塑，北京银行盈利力量</w:t>
      </w:r>
      <w:r>
        <w:rPr>
          <w:position w:val="11"/>
          <w:sz w:val="29"/>
        </w:rPr>
        <w:t>〔</w:t>
      </w:r>
      <w:r>
        <w:rPr>
          <w:spacing w:val="26"/>
          <w:position w:val="11"/>
          <w:sz w:val="29"/>
        </w:rPr>
        <w:t xml:space="preserve"> </w:t>
      </w:r>
      <w:r>
        <w:rPr>
          <w:rFonts w:ascii="Arial Narrow" w:eastAsia="Arial Narrow"/>
          <w:position w:val="5"/>
          <w:sz w:val="36"/>
        </w:rPr>
        <w:t>ROE</w:t>
      </w:r>
      <w:r>
        <w:rPr>
          <w:position w:val="5"/>
          <w:sz w:val="36"/>
        </w:rPr>
        <w:t>〕</w:t>
      </w:r>
      <w:r>
        <w:rPr>
          <w:spacing w:val="-13"/>
        </w:rPr>
        <w:t>和资产质量</w:t>
      </w:r>
      <w:r>
        <w:t>〔不良率〕</w:t>
      </w:r>
    </w:p>
    <w:p>
      <w:pPr>
        <w:pStyle w:val="BodyText"/>
        <w:spacing w:before="73" w:line="331" w:lineRule="auto"/>
        <w:ind w:left="2333" w:right="1684"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1228550</wp:posOffset>
            </wp:positionV>
            <wp:extent cx="11343131" cy="500468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3131" cy="5004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4"/>
        </w:rPr>
        <w:t xml:space="preserve">于 </w:t>
      </w:r>
      <w:r>
        <w:rPr>
          <w:rFonts w:ascii="Arial Narrow" w:eastAsia="Arial Narrow"/>
          <w:position w:val="5"/>
          <w:sz w:val="36"/>
        </w:rPr>
        <w:t>2023</w:t>
      </w:r>
      <w:r>
        <w:rPr>
          <w:rFonts w:ascii="Arial Narrow" w:eastAsia="Arial Narrow"/>
          <w:spacing w:val="60"/>
          <w:position w:val="5"/>
          <w:sz w:val="36"/>
        </w:rPr>
        <w:t xml:space="preserve"> </w:t>
      </w:r>
      <w:r>
        <w:t>年迎来拐点，</w:t>
      </w:r>
      <w:r>
        <w:rPr>
          <w:rFonts w:ascii="Arial Narrow" w:eastAsia="Arial Narrow"/>
          <w:position w:val="5"/>
          <w:sz w:val="36"/>
        </w:rPr>
        <w:t>2023</w:t>
      </w:r>
      <w:r>
        <w:rPr>
          <w:rFonts w:ascii="Arial Narrow" w:eastAsia="Arial Narrow"/>
          <w:spacing w:val="59"/>
          <w:position w:val="5"/>
          <w:sz w:val="36"/>
        </w:rPr>
        <w:t xml:space="preserve"> </w:t>
      </w:r>
      <w:r>
        <w:rPr>
          <w:spacing w:val="-1"/>
        </w:rPr>
        <w:t xml:space="preserve">年以来逐季改善且动能强劲。 当前 </w:t>
      </w:r>
      <w:r>
        <w:rPr>
          <w:rFonts w:ascii="Arial Narrow" w:eastAsia="Arial Narrow"/>
          <w:position w:val="5"/>
          <w:sz w:val="36"/>
        </w:rPr>
        <w:t>PB</w:t>
      </w:r>
      <w:r>
        <w:rPr>
          <w:rFonts w:ascii="Arial Narrow" w:eastAsia="Arial Narrow"/>
          <w:spacing w:val="54"/>
          <w:position w:val="5"/>
          <w:sz w:val="36"/>
        </w:rPr>
        <w:t xml:space="preserve"> </w:t>
      </w:r>
      <w:r>
        <w:t>估值处于自身历史低位、可比同业低位，估值与根本面存在预期差，未 来估值修复可期。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251"/>
        <w:ind w:left="2334" w:right="879" w:firstLine="0"/>
        <w:jc w:val="center"/>
        <w:rPr>
          <w:rFonts w:ascii="Arial Narrow" w:eastAsia="Arial Narrow"/>
          <w:b/>
          <w:sz w:val="19"/>
        </w:rPr>
      </w:pPr>
      <w:r>
        <w:rPr>
          <w:rFonts w:ascii="Arial Narrow" w:eastAsia="Arial Narrow"/>
          <w:b/>
          <w:w w:val="120"/>
          <w:sz w:val="19"/>
        </w:rPr>
        <w:t>ROE</w:t>
      </w:r>
      <w:r>
        <w:rPr>
          <w:rFonts w:ascii="Arial Narrow" w:eastAsia="Arial Narrow"/>
          <w:b/>
          <w:spacing w:val="2"/>
          <w:w w:val="120"/>
          <w:sz w:val="19"/>
        </w:rPr>
        <w:t xml:space="preserve"> &lt; </w:t>
      </w:r>
      <w:r>
        <w:rPr>
          <w:spacing w:val="-6"/>
          <w:w w:val="120"/>
          <w:sz w:val="19"/>
        </w:rPr>
        <w:t xml:space="preserve">加 </w:t>
      </w:r>
      <w:r>
        <w:rPr>
          <w:rFonts w:ascii="Arial Narrow" w:eastAsia="Arial Narrow"/>
          <w:b/>
          <w:w w:val="120"/>
          <w:sz w:val="19"/>
        </w:rPr>
        <w:t>k</w:t>
      </w:r>
      <w:r>
        <w:rPr>
          <w:rFonts w:ascii="Arial Narrow" w:eastAsia="Arial Narrow"/>
          <w:b/>
          <w:spacing w:val="4"/>
          <w:w w:val="120"/>
          <w:sz w:val="19"/>
        </w:rPr>
        <w:t xml:space="preserve"> </w:t>
      </w:r>
      <w:r>
        <w:rPr>
          <w:rFonts w:ascii="Arial Narrow" w:eastAsia="Arial Narrow"/>
          <w:b/>
          <w:w w:val="120"/>
          <w:sz w:val="19"/>
        </w:rPr>
        <w:t>202301-3</w:t>
      </w:r>
      <w:r>
        <w:rPr>
          <w:rFonts w:ascii="Arial Narrow" w:eastAsia="Arial Narrow"/>
          <w:b/>
          <w:spacing w:val="4"/>
          <w:w w:val="120"/>
          <w:sz w:val="19"/>
        </w:rPr>
        <w:t xml:space="preserve"> </w:t>
      </w:r>
      <w:r>
        <w:rPr>
          <w:rFonts w:ascii="Arial Narrow" w:eastAsia="Arial Narrow"/>
          <w:b/>
          <w:w w:val="120"/>
          <w:sz w:val="19"/>
        </w:rPr>
        <w:t>I</w:t>
      </w:r>
    </w:p>
    <w:p>
      <w:pPr>
        <w:pStyle w:val="BodyText"/>
        <w:rPr>
          <w:rFonts w:ascii="Arial Narrow"/>
          <w:b/>
          <w:sz w:val="22"/>
        </w:rPr>
      </w:pPr>
    </w:p>
    <w:p>
      <w:pPr>
        <w:pStyle w:val="BodyText"/>
        <w:rPr>
          <w:rFonts w:ascii="Arial Narrow"/>
          <w:b/>
          <w:sz w:val="22"/>
        </w:rPr>
      </w:pPr>
    </w:p>
    <w:p>
      <w:pPr>
        <w:pStyle w:val="BodyText"/>
        <w:spacing w:before="4"/>
        <w:rPr>
          <w:rFonts w:ascii="Arial Narrow"/>
          <w:b/>
          <w:sz w:val="32"/>
        </w:rPr>
      </w:pPr>
    </w:p>
    <w:p>
      <w:pPr>
        <w:pStyle w:val="BodyText"/>
        <w:ind w:left="2333"/>
      </w:pPr>
      <w:r>
        <w:rPr>
          <w:spacing w:val="-2"/>
        </w:rPr>
        <w:t xml:space="preserve">二、稳固对公业务优势，做强科文绿色品牌 </w:t>
      </w:r>
      <w:r>
        <w:t>〔一〕跨区域布局领先，深耕北京，对公根底扎实</w:t>
      </w:r>
    </w:p>
    <w:p>
      <w:pPr>
        <w:spacing w:after="0"/>
        <w:sectPr>
          <w:type w:val="continuous"/>
          <w:pgSz w:w="17870" w:h="25270"/>
          <w:pgMar w:top="2440" w:right="0" w:bottom="280" w:left="0" w:header="708" w:footer="708"/>
          <w:cols w:space="708"/>
        </w:sectPr>
      </w:pPr>
    </w:p>
    <w:p>
      <w:pPr>
        <w:pStyle w:val="BodyText"/>
        <w:spacing w:before="52" w:line="232" w:lineRule="auto"/>
        <w:ind w:left="2333" w:right="1555"/>
      </w:pPr>
      <w:r>
        <w:t>北京银行拥有城商行中最多的机构网点数，掩盖长三角、珠三角、环渤海和长江 经 济带核心城市，市场</w:t>
      </w:r>
      <w:r>
        <w:rPr>
          <w:spacing w:val="-4"/>
        </w:rPr>
        <w:t xml:space="preserve">空间宽阔。其中，北京地区拥有 </w:t>
      </w:r>
      <w:r>
        <w:rPr>
          <w:rFonts w:ascii="Arial Narrow" w:eastAsia="Arial Narrow" w:hAnsi="Arial Narrow"/>
          <w:position w:val="5"/>
          <w:sz w:val="36"/>
        </w:rPr>
        <w:t>3</w:t>
      </w:r>
      <w:r>
        <w:rPr>
          <w:rFonts w:ascii="Arial Narrow" w:eastAsia="Arial Narrow" w:hAnsi="Arial Narrow"/>
          <w:spacing w:val="10"/>
          <w:position w:val="5"/>
          <w:sz w:val="36"/>
        </w:rPr>
        <w:t xml:space="preserve"> </w:t>
      </w:r>
      <w:r>
        <w:rPr>
          <w:spacing w:val="-10"/>
        </w:rPr>
        <w:t xml:space="preserve">家分行、近 </w:t>
      </w:r>
      <w:r>
        <w:rPr>
          <w:rFonts w:ascii="Arial Narrow" w:eastAsia="Arial Narrow" w:hAnsi="Arial Narrow"/>
          <w:position w:val="5"/>
          <w:sz w:val="36"/>
        </w:rPr>
        <w:t>300</w:t>
      </w:r>
      <w:r>
        <w:rPr>
          <w:rFonts w:ascii="Arial Narrow" w:eastAsia="Arial Narrow" w:hAnsi="Arial Narrow"/>
          <w:spacing w:val="14"/>
          <w:position w:val="5"/>
          <w:sz w:val="36"/>
        </w:rPr>
        <w:t xml:space="preserve"> </w:t>
      </w:r>
      <w:r>
        <w:t>家网 点，本地客户根底深厚。扎根首都，强化首都银行定位，北京银行深度融入“两 区”建设、冬奥会筹办、城市副中心建设、京津冀协同等重大战略进展，</w:t>
      </w:r>
      <w:r>
        <w:rPr>
          <w:spacing w:val="-147"/>
        </w:rPr>
        <w:t xml:space="preserve"> </w:t>
      </w:r>
      <w:r>
        <w:rPr>
          <w:spacing w:val="-4"/>
          <w:w w:val="105"/>
        </w:rPr>
        <w:t>优越的 经济环境和政策环境为经营供给良好的土壤。</w:t>
      </w:r>
    </w:p>
    <w:p>
      <w:pPr>
        <w:pStyle w:val="BodyText"/>
        <w:rPr>
          <w:sz w:val="36"/>
        </w:rPr>
      </w:pPr>
    </w:p>
    <w:p>
      <w:pPr>
        <w:pStyle w:val="BodyText"/>
        <w:spacing w:line="540" w:lineRule="atLeast"/>
        <w:ind w:left="2333" w:right="1540"/>
      </w:pPr>
      <w:r>
        <w:t>长期经营过程中，沉淀了大量优质对公客户，以本地大型国有企业和政府企业为 主。</w:t>
      </w:r>
      <w:r>
        <w:rPr>
          <w:rFonts w:ascii="Arial Narrow" w:eastAsia="Arial Narrow"/>
          <w:position w:val="5"/>
          <w:sz w:val="36"/>
        </w:rPr>
        <w:t>2023</w:t>
      </w:r>
      <w:r>
        <w:rPr>
          <w:rFonts w:ascii="Arial Narrow" w:eastAsia="Arial Narrow"/>
          <w:spacing w:val="21"/>
          <w:position w:val="5"/>
          <w:sz w:val="36"/>
        </w:rPr>
        <w:t xml:space="preserve"> </w:t>
      </w:r>
      <w:r>
        <w:t>年设立机构业务部，进一步稳固强化财政、社保、医保、税务、教育、 医疗、工会、公积金等八大机构业务领域优势。</w:t>
      </w:r>
      <w:r>
        <w:rPr>
          <w:spacing w:val="-9"/>
        </w:rPr>
        <w:t xml:space="preserve">截至 </w:t>
      </w:r>
      <w:r>
        <w:rPr>
          <w:rFonts w:ascii="Arial Narrow" w:eastAsia="Arial Narrow"/>
          <w:position w:val="5"/>
          <w:sz w:val="36"/>
        </w:rPr>
        <w:t>202IHl</w:t>
      </w:r>
      <w:r>
        <w:rPr>
          <w:rFonts w:ascii="Arial Narrow" w:eastAsia="Arial Narrow"/>
          <w:spacing w:val="54"/>
          <w:position w:val="5"/>
          <w:sz w:val="36"/>
        </w:rPr>
        <w:t xml:space="preserve"> </w:t>
      </w:r>
      <w:r>
        <w:rPr>
          <w:spacing w:val="18"/>
        </w:rPr>
        <w:t xml:space="preserve">末，公司客户达 </w:t>
      </w:r>
      <w:r>
        <w:rPr>
          <w:rFonts w:ascii="Arial Narrow" w:eastAsia="Arial Narrow"/>
          <w:position w:val="5"/>
          <w:sz w:val="36"/>
        </w:rPr>
        <w:t>152,277</w:t>
      </w:r>
      <w:r>
        <w:rPr>
          <w:rFonts w:ascii="Arial Narrow" w:eastAsia="Arial Narrow"/>
          <w:spacing w:val="52"/>
          <w:position w:val="5"/>
          <w:sz w:val="36"/>
        </w:rPr>
        <w:t xml:space="preserve"> </w:t>
      </w:r>
      <w:r>
        <w:rPr>
          <w:spacing w:val="-3"/>
        </w:rPr>
        <w:t xml:space="preserve">户，同比增长 </w:t>
      </w:r>
      <w:r>
        <w:rPr>
          <w:rFonts w:ascii="Arial Narrow" w:eastAsia="Arial Narrow"/>
          <w:position w:val="5"/>
          <w:sz w:val="36"/>
        </w:rPr>
        <w:t>17%</w:t>
      </w:r>
      <w:r>
        <w:rPr>
          <w:spacing w:val="36"/>
          <w:position w:val="11"/>
          <w:sz w:val="29"/>
        </w:rPr>
        <w:t xml:space="preserve">； </w:t>
      </w:r>
      <w:r>
        <w:t>对公贷款规模超万亿元，占总贷款比重接</w:t>
      </w:r>
      <w:r>
        <w:rPr>
          <w:spacing w:val="-37"/>
        </w:rPr>
        <w:t xml:space="preserve">近 </w:t>
      </w:r>
      <w:r>
        <w:rPr>
          <w:rFonts w:ascii="Arial Narrow" w:eastAsia="Arial Narrow"/>
          <w:position w:val="5"/>
          <w:sz w:val="36"/>
        </w:rPr>
        <w:t>70%,</w:t>
      </w:r>
      <w:r>
        <w:rPr>
          <w:rFonts w:ascii="Arial Narrow" w:eastAsia="Arial Narrow"/>
          <w:spacing w:val="24"/>
          <w:position w:val="5"/>
          <w:sz w:val="36"/>
        </w:rPr>
        <w:t xml:space="preserve"> </w:t>
      </w:r>
      <w:r>
        <w:t>主要投放于广义基建、房地产、制造业和批零业。</w:t>
      </w:r>
    </w:p>
    <w:p>
      <w:pPr>
        <w:pStyle w:val="BodyText"/>
        <w:spacing w:before="11"/>
        <w:rPr>
          <w:sz w:val="32"/>
        </w:rPr>
      </w:pPr>
    </w:p>
    <w:p>
      <w:pPr>
        <w:spacing w:before="0"/>
        <w:ind w:left="2334" w:right="1578" w:firstLine="0"/>
        <w:jc w:val="center"/>
        <w:rPr>
          <w:b/>
          <w:sz w:val="51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908304</wp:posOffset>
            </wp:positionV>
            <wp:extent cx="11343131" cy="6147942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3131" cy="6147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3"/>
          <w:sz w:val="54"/>
        </w:rPr>
        <w:t xml:space="preserve">图 </w:t>
      </w:r>
      <w:r>
        <w:rPr>
          <w:rFonts w:ascii="Arial Narrow" w:eastAsia="Arial Narrow"/>
          <w:b/>
          <w:position w:val="-1"/>
          <w:sz w:val="51"/>
        </w:rPr>
        <w:t>2:</w:t>
      </w:r>
      <w:r>
        <w:rPr>
          <w:sz w:val="54"/>
        </w:rPr>
        <w:t>北京银行拥有城商行中最多的网点数</w:t>
      </w:r>
      <w:r>
        <w:rPr>
          <w:b/>
          <w:position w:val="5"/>
          <w:sz w:val="29"/>
        </w:rPr>
        <w:t>〔</w:t>
      </w:r>
      <w:r>
        <w:rPr>
          <w:b/>
          <w:spacing w:val="134"/>
          <w:position w:val="5"/>
          <w:sz w:val="29"/>
        </w:rPr>
        <w:t xml:space="preserve"> </w:t>
      </w:r>
      <w:r>
        <w:rPr>
          <w:rFonts w:ascii="Arial Narrow" w:eastAsia="Arial Narrow"/>
          <w:b/>
          <w:position w:val="-1"/>
          <w:sz w:val="51"/>
        </w:rPr>
        <w:t>202IHl</w:t>
      </w:r>
      <w:r>
        <w:rPr>
          <w:b/>
          <w:position w:val="-1"/>
          <w:sz w:val="51"/>
        </w:rPr>
        <w:t>〕</w:t>
      </w:r>
    </w:p>
    <w:p>
      <w:pPr>
        <w:pStyle w:val="BodyText"/>
        <w:spacing w:before="8"/>
        <w:rPr>
          <w:b/>
          <w:sz w:val="9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1447800</wp:posOffset>
            </wp:positionH>
            <wp:positionV relativeFrom="paragraph">
              <wp:posOffset>103679</wp:posOffset>
            </wp:positionV>
            <wp:extent cx="8855106" cy="38004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510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56"/>
        </w:rPr>
      </w:pPr>
    </w:p>
    <w:p>
      <w:pPr>
        <w:pStyle w:val="BodyText"/>
        <w:rPr>
          <w:b/>
          <w:sz w:val="63"/>
        </w:rPr>
      </w:pPr>
    </w:p>
    <w:p>
      <w:pPr>
        <w:spacing w:before="0"/>
        <w:ind w:left="2334" w:right="1669" w:firstLine="0"/>
        <w:jc w:val="center"/>
        <w:rPr>
          <w:sz w:val="36"/>
        </w:rPr>
      </w:pPr>
      <w:r>
        <w:rPr>
          <w:sz w:val="36"/>
        </w:rPr>
        <w:t>员工总数〔个〕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1"/>
      </w:pPr>
    </w:p>
    <w:p>
      <w:pPr>
        <w:pStyle w:val="BodyText"/>
        <w:ind w:left="2333"/>
      </w:pPr>
      <w:r>
        <w:t>〔二〕打造科技、文化、绿色金融特色品牌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https://d.book118.com/548037031035006023</w:t>
        </w:r>
      </w:hyperlink>
    </w:p>
    <w:p>
      <w:pPr>
        <w:spacing w:after="0"/>
      </w:pPr>
    </w:p>
    <w:sectPr>
      <w:pgSz w:w="17870" w:h="25270"/>
      <w:pgMar w:top="1840" w:right="0" w:bottom="280" w:left="0" w:header="708" w:footer="70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  <w:font w:name="Trebuchet MS">
    <w:altName w:val="Trebuchet MS"/>
    <w:charset w:val="00"/>
    <w:family w:val="swiss"/>
    <w:pitch w:val="variable"/>
    <w:sig w:usb0="00000000" w:usb1="00000000" w:usb2="00000000" w:usb3="00000000" w:csb0="00000001" w:csb1="00000000"/>
  </w:font>
  <w:font w:name="Cambria Math">
    <w:altName w:val="Cambria Math"/>
    <w:charset w:val="00"/>
    <w:family w:val="roman"/>
    <w:pitch w:val="variable"/>
    <w:sig w:usb0="00000000" w:usb1="00000000" w:usb2="00000000" w:usb3="00000000" w:csb0="00000001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E1F76"/>
    <w:multiLevelType w:val="hybridMultilevel"/>
    <w:tmpl w:val="00000000"/>
    <w:lvl w:ilvl="0">
      <w:start w:val="0"/>
      <w:numFmt w:val="bullet"/>
      <w:lvlText w:val="■"/>
      <w:lvlJc w:val="left"/>
      <w:pPr>
        <w:ind w:left="4018" w:hanging="576"/>
      </w:pPr>
      <w:rPr>
        <w:rFonts w:ascii="幼圆" w:eastAsia="幼圆" w:hAnsi="幼圆" w:cs="幼圆" w:hint="default"/>
        <w:color w:val="4E77A1"/>
        <w:w w:val="100"/>
        <w:position w:val="5"/>
        <w:sz w:val="36"/>
        <w:szCs w:val="36"/>
      </w:rPr>
    </w:lvl>
    <w:lvl w:ilvl="1">
      <w:start w:val="0"/>
      <w:numFmt w:val="bullet"/>
      <w:lvlText w:val="•"/>
      <w:lvlJc w:val="left"/>
      <w:pPr>
        <w:ind w:left="4354" w:hanging="5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89" w:hanging="5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23" w:hanging="5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358" w:hanging="5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693" w:hanging="5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27" w:hanging="5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62" w:hanging="5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697" w:hanging="57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0"/>
      <w:szCs w:val="30"/>
    </w:rPr>
  </w:style>
  <w:style w:type="paragraph" w:customStyle="1" w:styleId="Heading1">
    <w:name w:val="Heading 1"/>
    <w:basedOn w:val="Normal"/>
    <w:uiPriority w:val="1"/>
    <w:qFormat/>
    <w:pPr>
      <w:ind w:left="2333"/>
      <w:outlineLvl w:val="1"/>
    </w:pPr>
    <w:rPr>
      <w:rFonts w:ascii="宋体" w:eastAsia="宋体" w:hAnsi="宋体" w:cs="宋体"/>
      <w:sz w:val="54"/>
      <w:szCs w:val="54"/>
    </w:rPr>
  </w:style>
  <w:style w:type="paragraph" w:customStyle="1" w:styleId="Heading2">
    <w:name w:val="Heading 2"/>
    <w:basedOn w:val="Normal"/>
    <w:uiPriority w:val="1"/>
    <w:qFormat/>
    <w:pPr>
      <w:ind w:left="2334" w:right="863"/>
      <w:jc w:val="center"/>
      <w:outlineLvl w:val="2"/>
    </w:pPr>
    <w:rPr>
      <w:rFonts w:ascii="宋体" w:eastAsia="宋体" w:hAnsi="宋体" w:cs="宋体"/>
      <w:sz w:val="39"/>
      <w:szCs w:val="39"/>
    </w:rPr>
  </w:style>
  <w:style w:type="paragraph" w:styleId="ListParagraph">
    <w:name w:val="List Paragraph"/>
    <w:basedOn w:val="Normal"/>
    <w:uiPriority w:val="1"/>
    <w:qFormat/>
    <w:pPr>
      <w:spacing w:before="81"/>
      <w:ind w:left="4018" w:hanging="577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Arial Narrow" w:eastAsia="Arial Narrow" w:hAnsi="Arial Narrow" w:cs="Arial Narro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hyperlink" Target="https://d.book118.com/548037031035006023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2023-09-30T12:03:21Z</dcterms:created>
  <dcterms:modified xsi:type="dcterms:W3CDTF">2023-09-30T12:03:21Z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LastSaved">
    <vt:filetime>2023-09-30T00:00:00Z</vt:filetime>
  </property>
</Properties>
</file>