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before="54" w:line="275" w:lineRule="exact"/>
        <w:ind w:left="7322"/>
      </w:pPr>
      <w:r>
        <w:rPr>
          <w:rFonts w:ascii="Times New Roman" w:eastAsia="Times New Roman" w:hAnsi="Times New Roman" w:cs="Times New Roman"/>
          <w:spacing w:val="10"/>
          <w:position w:val="1"/>
        </w:rPr>
        <w:t>T/</w:t>
      </w:r>
      <w:r>
        <w:rPr>
          <w:rFonts w:ascii="Times New Roman" w:eastAsia="Times New Roman" w:hAnsi="Times New Roman" w:cs="Times New Roman"/>
          <w:position w:val="1"/>
        </w:rPr>
        <w:t>GDSAIA</w:t>
      </w:r>
      <w:r>
        <w:rPr>
          <w:rFonts w:ascii="Times New Roman" w:eastAsia="Times New Roman" w:hAnsi="Times New Roman" w:cs="Times New Roman"/>
          <w:spacing w:val="10"/>
          <w:position w:val="1"/>
        </w:rPr>
        <w:t xml:space="preserve">  </w:t>
      </w:r>
      <w:r>
        <w:rPr>
          <w:position w:val="1"/>
        </w:rPr>
        <w:t>XXX</w:t>
      </w:r>
      <w:r>
        <w:rPr>
          <w:spacing w:val="10"/>
          <w:position w:val="1"/>
        </w:rPr>
        <w:t>—2024</w:t>
      </w:r>
    </w:p>
    <w:p>
      <w:pPr>
        <w:pStyle w:val="BodyText"/>
        <w:spacing w:before="348" w:line="228" w:lineRule="auto"/>
        <w:ind w:left="2079"/>
        <w:outlineLvl w:val="0"/>
        <w:rPr>
          <w:sz w:val="35"/>
          <w:szCs w:val="35"/>
        </w:rPr>
      </w:pPr>
      <w:r>
        <w:rPr>
          <w:spacing w:val="8"/>
          <w:sz w:val="35"/>
          <w:szCs w:val="35"/>
        </w:rPr>
        <w:t>非充气弹性支撑轮</w:t>
      </w:r>
      <w:r>
        <w:rPr>
          <w:spacing w:val="8"/>
          <w:sz w:val="35"/>
          <w:szCs w:val="35"/>
        </w:rPr>
        <w:t xml:space="preserve"> </w:t>
      </w:r>
      <w:r>
        <w:rPr>
          <w:spacing w:val="8"/>
          <w:sz w:val="35"/>
          <w:szCs w:val="35"/>
        </w:rPr>
        <w:t>术语及其定义</w:t>
      </w:r>
    </w:p>
    <w:p>
      <w:pPr>
        <w:spacing w:line="358" w:lineRule="auto"/>
        <w:rPr>
          <w:rFonts w:ascii="Arial"/>
          <w:sz w:val="21"/>
        </w:rPr>
      </w:pPr>
    </w:p>
    <w:p>
      <w:pPr>
        <w:pStyle w:val="BodyText"/>
        <w:spacing w:before="65" w:line="231" w:lineRule="auto"/>
        <w:ind w:left="12"/>
        <w:outlineLvl w:val="1"/>
      </w:pPr>
      <w:r>
        <w:rPr>
          <w:spacing w:val="-3"/>
        </w:rPr>
        <w:t>1</w:t>
      </w:r>
      <w:r>
        <w:rPr>
          <w:spacing w:val="10"/>
        </w:rPr>
        <w:t xml:space="preserve">  </w:t>
      </w:r>
      <w:r>
        <w:rPr>
          <w:spacing w:val="-3"/>
        </w:rPr>
        <w:t>范围</w:t>
      </w:r>
    </w:p>
    <w:p>
      <w:pPr>
        <w:spacing w:line="306" w:lineRule="auto"/>
        <w:rPr>
          <w:rFonts w:ascii="Arial"/>
          <w:sz w:val="21"/>
        </w:rPr>
      </w:pPr>
    </w:p>
    <w:p>
      <w:pPr>
        <w:spacing w:before="65" w:line="273" w:lineRule="auto"/>
        <w:ind w:firstLine="421"/>
        <w:jc w:val="both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7"/>
          <w:sz w:val="20"/>
          <w:szCs w:val="20"/>
        </w:rPr>
        <w:t xml:space="preserve">本文件界定了非充气弹性支撑轮行业一般术语及其定义、非充气弹性支撑轮尺寸术语及其定义、非 </w:t>
      </w:r>
      <w:r>
        <w:rPr>
          <w:rFonts w:ascii="SimSun" w:eastAsia="SimSun" w:hAnsi="SimSun" w:cs="SimSun"/>
          <w:spacing w:val="7"/>
          <w:sz w:val="20"/>
          <w:szCs w:val="20"/>
        </w:rPr>
        <w:t xml:space="preserve">充气弹性支撑轮工艺流程术语定义、非充气弹性支撑轮分类、非充气弹性支撑轮面花纹、非充气弹性支 </w:t>
      </w:r>
      <w:r>
        <w:rPr>
          <w:rFonts w:ascii="SimSun" w:eastAsia="SimSun" w:hAnsi="SimSun" w:cs="SimSun"/>
          <w:spacing w:val="5"/>
          <w:sz w:val="20"/>
          <w:szCs w:val="20"/>
        </w:rPr>
        <w:t>撑轮性能及其测试、非充气弹性支撑轮规格标志、非充气弹性支撑轮外</w:t>
      </w:r>
      <w:r>
        <w:rPr>
          <w:rFonts w:ascii="SimSun" w:eastAsia="SimSun" w:hAnsi="SimSun" w:cs="SimSun"/>
          <w:spacing w:val="4"/>
          <w:sz w:val="20"/>
          <w:szCs w:val="20"/>
        </w:rPr>
        <w:t>观缺陷、非充气弹性支撑轮使用、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9"/>
          <w:sz w:val="20"/>
          <w:szCs w:val="20"/>
        </w:rPr>
        <w:t>非充气弹性支撑轮翻新与修补等术语及其定义。</w:t>
      </w:r>
    </w:p>
    <w:p>
      <w:pPr>
        <w:spacing w:before="64" w:line="228" w:lineRule="auto"/>
        <w:ind w:left="422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9"/>
          <w:sz w:val="20"/>
          <w:szCs w:val="20"/>
        </w:rPr>
        <w:t>本文件适用于规范非充气弹性支撑轮行业用</w:t>
      </w:r>
      <w:r>
        <w:rPr>
          <w:rFonts w:ascii="SimSun" w:eastAsia="SimSun" w:hAnsi="SimSun" w:cs="SimSun"/>
          <w:spacing w:val="8"/>
          <w:sz w:val="20"/>
          <w:szCs w:val="20"/>
        </w:rPr>
        <w:t>语。</w:t>
      </w:r>
    </w:p>
    <w:p>
      <w:pPr>
        <w:spacing w:line="310" w:lineRule="auto"/>
        <w:rPr>
          <w:rFonts w:ascii="Arial"/>
          <w:sz w:val="21"/>
        </w:rPr>
      </w:pPr>
    </w:p>
    <w:p>
      <w:pPr>
        <w:pStyle w:val="BodyText"/>
        <w:spacing w:before="65" w:line="230" w:lineRule="auto"/>
        <w:outlineLvl w:val="1"/>
      </w:pPr>
      <w:r>
        <w:rPr>
          <w:spacing w:val="7"/>
        </w:rPr>
        <w:t>2</w:t>
      </w:r>
      <w:r>
        <w:rPr>
          <w:spacing w:val="7"/>
        </w:rPr>
        <w:t xml:space="preserve">  </w:t>
      </w:r>
      <w:r>
        <w:rPr>
          <w:spacing w:val="7"/>
        </w:rPr>
        <w:t>规范性引用文件</w:t>
      </w:r>
    </w:p>
    <w:p>
      <w:pPr>
        <w:spacing w:line="307" w:lineRule="auto"/>
        <w:rPr>
          <w:rFonts w:ascii="Arial"/>
          <w:sz w:val="21"/>
        </w:rPr>
      </w:pPr>
    </w:p>
    <w:p>
      <w:pPr>
        <w:spacing w:before="66" w:line="228" w:lineRule="auto"/>
        <w:ind w:left="422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8"/>
          <w:sz w:val="20"/>
          <w:szCs w:val="20"/>
        </w:rPr>
        <w:t>本文件没有规范性引用文件。</w:t>
      </w:r>
    </w:p>
    <w:p>
      <w:pPr>
        <w:spacing w:line="310" w:lineRule="auto"/>
        <w:rPr>
          <w:rFonts w:ascii="Arial"/>
          <w:sz w:val="21"/>
        </w:rPr>
      </w:pPr>
    </w:p>
    <w:p>
      <w:pPr>
        <w:pStyle w:val="BodyText"/>
        <w:spacing w:before="66" w:line="229" w:lineRule="auto"/>
        <w:ind w:left="1"/>
        <w:outlineLvl w:val="1"/>
      </w:pPr>
      <w:r>
        <w:rPr>
          <w:spacing w:val="8"/>
        </w:rPr>
        <w:t>3</w:t>
      </w:r>
      <w:r>
        <w:rPr>
          <w:spacing w:val="8"/>
        </w:rPr>
        <w:t xml:space="preserve">  </w:t>
      </w:r>
      <w:r>
        <w:rPr>
          <w:spacing w:val="8"/>
        </w:rPr>
        <w:t>非充气弹性支撑轮一般术语及其定义</w:t>
      </w:r>
    </w:p>
    <w:p>
      <w:pPr>
        <w:spacing w:line="339" w:lineRule="auto"/>
        <w:rPr>
          <w:rFonts w:ascii="Arial"/>
          <w:sz w:val="21"/>
        </w:rPr>
      </w:pPr>
    </w:p>
    <w:p>
      <w:pPr>
        <w:pStyle w:val="BodyText"/>
        <w:spacing w:before="65" w:line="191" w:lineRule="auto"/>
        <w:ind w:left="1"/>
      </w:pPr>
      <w:r>
        <w:rPr>
          <w:spacing w:val="2"/>
        </w:rPr>
        <w:t>3.1</w:t>
      </w:r>
    </w:p>
    <w:p>
      <w:pPr>
        <w:pStyle w:val="BodyText"/>
        <w:spacing w:before="231" w:line="226" w:lineRule="auto"/>
        <w:ind w:left="425"/>
        <w:outlineLvl w:val="2"/>
      </w:pPr>
      <w:r>
        <w:rPr>
          <w:spacing w:val="13"/>
        </w:rPr>
        <w:t>非充气弹性支撑轮</w:t>
      </w:r>
      <w:r>
        <w:rPr>
          <w:spacing w:val="13"/>
        </w:rPr>
        <w:t xml:space="preserve">  </w:t>
      </w:r>
      <w:r>
        <w:t>air</w:t>
      </w:r>
      <w:r>
        <w:rPr>
          <w:spacing w:val="13"/>
        </w:rPr>
        <w:t>-</w:t>
      </w:r>
      <w:r>
        <w:rPr>
          <w:spacing w:val="-47"/>
        </w:rPr>
        <w:t xml:space="preserve"> </w:t>
      </w:r>
      <w:r>
        <w:t>less</w:t>
      </w:r>
      <w:r>
        <w:rPr>
          <w:spacing w:val="13"/>
        </w:rPr>
        <w:t xml:space="preserve"> </w:t>
      </w:r>
      <w:r>
        <w:t>tyre</w:t>
      </w:r>
      <w:r>
        <w:rPr>
          <w:spacing w:val="13"/>
        </w:rPr>
        <w:t xml:space="preserve"> </w:t>
      </w:r>
      <w:r>
        <w:t>with</w:t>
      </w:r>
      <w:r>
        <w:rPr>
          <w:spacing w:val="13"/>
        </w:rPr>
        <w:t xml:space="preserve"> </w:t>
      </w:r>
      <w:r>
        <w:t>elastic</w:t>
      </w:r>
      <w:r>
        <w:rPr>
          <w:spacing w:val="13"/>
        </w:rPr>
        <w:t xml:space="preserve"> </w:t>
      </w:r>
      <w:r>
        <w:t>support</w:t>
      </w:r>
    </w:p>
    <w:p>
      <w:pPr>
        <w:spacing w:before="254" w:line="190" w:lineRule="auto"/>
        <w:ind w:left="415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4"/>
          <w:sz w:val="20"/>
          <w:szCs w:val="20"/>
        </w:rPr>
        <w:t>ALTES</w:t>
      </w:r>
    </w:p>
    <w:p>
      <w:pPr>
        <w:spacing w:before="75" w:line="268" w:lineRule="auto"/>
        <w:ind w:left="3" w:firstLine="422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4"/>
          <w:sz w:val="20"/>
          <w:szCs w:val="20"/>
        </w:rPr>
        <w:t>安装在车轮或机轮上的圆环形弹性制品，采用弹性支撑体实现车辆的使用需求，无需气压维持装置。</w:t>
      </w:r>
      <w:r>
        <w:rPr>
          <w:rFonts w:ascii="SimSun" w:eastAsia="SimSun" w:hAnsi="SimSun" w:cs="SimSun"/>
          <w:spacing w:val="15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7"/>
          <w:sz w:val="20"/>
          <w:szCs w:val="20"/>
        </w:rPr>
        <w:t xml:space="preserve">综合性能等同充气轮胎的一类高性能轮系统。可供汽车、工程机械、农业机械、工业车辆、摩托车、力 </w:t>
      </w:r>
      <w:r>
        <w:rPr>
          <w:rFonts w:ascii="SimSun" w:eastAsia="SimSun" w:hAnsi="SimSun" w:cs="SimSun"/>
          <w:spacing w:val="8"/>
          <w:sz w:val="20"/>
          <w:szCs w:val="20"/>
        </w:rPr>
        <w:t>车及其他车辆等行驶使用。</w:t>
      </w:r>
    </w:p>
    <w:p>
      <w:pPr>
        <w:pStyle w:val="BodyText"/>
        <w:spacing w:before="251" w:line="191" w:lineRule="auto"/>
        <w:ind w:left="1"/>
      </w:pPr>
      <w:r>
        <w:rPr>
          <w:spacing w:val="2"/>
        </w:rPr>
        <w:t>3.2</w:t>
      </w:r>
    </w:p>
    <w:p>
      <w:pPr>
        <w:pStyle w:val="BodyText"/>
        <w:spacing w:before="230" w:line="231" w:lineRule="auto"/>
        <w:ind w:left="421"/>
        <w:outlineLvl w:val="2"/>
      </w:pPr>
      <w:r>
        <w:rPr>
          <w:spacing w:val="14"/>
        </w:rPr>
        <w:t>轮面</w:t>
      </w:r>
      <w:r>
        <w:rPr>
          <w:spacing w:val="13"/>
        </w:rPr>
        <w:t xml:space="preserve"> </w:t>
      </w:r>
      <w:r>
        <w:t>tread</w:t>
      </w:r>
    </w:p>
    <w:p>
      <w:pPr>
        <w:spacing w:before="218" w:line="499" w:lineRule="exact"/>
        <w:ind w:left="425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9"/>
          <w:position w:val="22"/>
          <w:sz w:val="20"/>
          <w:szCs w:val="20"/>
        </w:rPr>
        <w:t>非充气弹性支撑轮与地面接触的部分，一般为橡胶材料。</w:t>
      </w:r>
    </w:p>
    <w:p>
      <w:pPr>
        <w:pStyle w:val="BodyText"/>
        <w:spacing w:line="191" w:lineRule="auto"/>
        <w:ind w:left="1"/>
      </w:pPr>
      <w:r>
        <w:rPr>
          <w:spacing w:val="2"/>
        </w:rPr>
        <w:t>3.3</w:t>
      </w:r>
    </w:p>
    <w:p>
      <w:pPr>
        <w:pStyle w:val="BodyText"/>
        <w:spacing w:before="231" w:line="229" w:lineRule="auto"/>
        <w:ind w:left="425"/>
        <w:outlineLvl w:val="2"/>
      </w:pPr>
      <w:r>
        <w:rPr>
          <w:spacing w:val="13"/>
        </w:rPr>
        <w:t>剪切带</w:t>
      </w:r>
      <w:r>
        <w:rPr>
          <w:spacing w:val="12"/>
        </w:rPr>
        <w:t xml:space="preserve">  </w:t>
      </w:r>
      <w:r>
        <w:t>shear</w:t>
      </w:r>
      <w:r>
        <w:rPr>
          <w:spacing w:val="13"/>
        </w:rPr>
        <w:t xml:space="preserve"> </w:t>
      </w:r>
      <w:r>
        <w:t>band</w:t>
      </w:r>
    </w:p>
    <w:p>
      <w:pPr>
        <w:spacing w:before="219" w:line="258" w:lineRule="auto"/>
        <w:ind w:left="1" w:right="74" w:firstLine="42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8"/>
          <w:sz w:val="20"/>
          <w:szCs w:val="20"/>
        </w:rPr>
        <w:t>位于轮面内层，参与非充气弹性支撑轮承载，</w:t>
      </w:r>
      <w:r>
        <w:rPr>
          <w:rFonts w:ascii="SimSun" w:eastAsia="SimSun" w:hAnsi="SimSun" w:cs="SimSun"/>
          <w:spacing w:val="7"/>
          <w:sz w:val="20"/>
          <w:szCs w:val="20"/>
        </w:rPr>
        <w:t>将载荷分散到非接地区域的结构，一般为由弹性体和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8"/>
          <w:sz w:val="20"/>
          <w:szCs w:val="20"/>
        </w:rPr>
        <w:t>加强杆组成的复合材料。</w:t>
      </w:r>
    </w:p>
    <w:p>
      <w:pPr>
        <w:pStyle w:val="BodyText"/>
        <w:spacing w:before="252" w:line="191" w:lineRule="auto"/>
        <w:ind w:left="1"/>
        <w:sectPr>
          <w:footerReference w:type="default" r:id="rId4"/>
          <w:pgSz w:w="11906" w:h="16839"/>
          <w:pgMar w:top="1363" w:right="1062" w:bottom="1423" w:left="1424" w:header="0" w:footer="1244" w:gutter="0"/>
          <w:cols w:space="708"/>
        </w:sectPr>
      </w:pPr>
      <w:r>
        <w:rPr>
          <w:spacing w:val="2"/>
        </w:rPr>
        <w:t>3.4</w:t>
      </w:r>
    </w:p>
    <w:p>
      <w:pPr>
        <w:pStyle w:val="BodyText"/>
        <w:spacing w:before="231" w:line="226" w:lineRule="auto"/>
        <w:ind w:left="420"/>
        <w:outlineLvl w:val="2"/>
      </w:pPr>
      <w:r>
        <w:rPr>
          <w:spacing w:val="11"/>
        </w:rPr>
        <w:t>外缓冲层</w:t>
      </w:r>
      <w:r>
        <w:rPr>
          <w:spacing w:val="11"/>
        </w:rPr>
        <w:t xml:space="preserve">  </w:t>
      </w:r>
      <w:r>
        <w:t>outer</w:t>
      </w:r>
      <w:r>
        <w:rPr>
          <w:spacing w:val="17"/>
        </w:rPr>
        <w:t xml:space="preserve"> </w:t>
      </w:r>
      <w:r>
        <w:t>buffer</w:t>
      </w:r>
      <w:r>
        <w:rPr>
          <w:spacing w:val="48"/>
        </w:rPr>
        <w:t xml:space="preserve"> </w:t>
      </w:r>
      <w:r>
        <w:t>layer</w:t>
      </w:r>
    </w:p>
    <w:p>
      <w:pPr>
        <w:spacing w:before="222" w:line="259" w:lineRule="auto"/>
        <w:ind w:left="6" w:right="71" w:firstLine="414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8"/>
          <w:sz w:val="20"/>
          <w:szCs w:val="20"/>
        </w:rPr>
        <w:t>位于剪切带内层，支撑体径向外侧，便于工艺成型</w:t>
      </w:r>
      <w:r>
        <w:rPr>
          <w:rFonts w:ascii="SimSun" w:eastAsia="SimSun" w:hAnsi="SimSun" w:cs="SimSun"/>
          <w:spacing w:val="7"/>
          <w:sz w:val="20"/>
          <w:szCs w:val="20"/>
        </w:rPr>
        <w:t>和粘接的结构，一般与支撑体材料一致，为可选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"/>
          <w:sz w:val="20"/>
          <w:szCs w:val="20"/>
        </w:rPr>
        <w:t>结构。</w:t>
      </w:r>
    </w:p>
    <w:p>
      <w:pPr>
        <w:pStyle w:val="BodyText"/>
        <w:spacing w:before="250" w:line="191" w:lineRule="auto"/>
        <w:ind w:left="1"/>
      </w:pPr>
      <w:r>
        <w:rPr>
          <w:spacing w:val="2"/>
        </w:rPr>
        <w:t>3.5</w:t>
      </w:r>
    </w:p>
    <w:p>
      <w:pPr>
        <w:pStyle w:val="BodyText"/>
        <w:spacing w:before="231" w:line="226" w:lineRule="auto"/>
        <w:ind w:left="420"/>
        <w:outlineLvl w:val="2"/>
      </w:pPr>
      <w:r>
        <w:rPr>
          <w:spacing w:val="16"/>
        </w:rPr>
        <w:t>外圈组件</w:t>
      </w:r>
      <w:r>
        <w:rPr>
          <w:spacing w:val="16"/>
        </w:rPr>
        <w:t xml:space="preserve">  </w:t>
      </w:r>
      <w:r>
        <w:t>outer</w:t>
      </w:r>
      <w:r>
        <w:rPr>
          <w:spacing w:val="30"/>
        </w:rPr>
        <w:t xml:space="preserve"> </w:t>
      </w:r>
      <w:r>
        <w:t>ring</w:t>
      </w:r>
      <w:r>
        <w:rPr>
          <w:spacing w:val="16"/>
        </w:rPr>
        <w:t xml:space="preserve"> </w:t>
      </w:r>
      <w:r>
        <w:t>component</w:t>
      </w:r>
    </w:p>
    <w:p>
      <w:pPr>
        <w:spacing w:line="226" w:lineRule="auto"/>
        <w:sectPr>
          <w:footerReference w:type="default" r:id="rId5"/>
          <w:type w:val="nextPage"/>
          <w:pgSz w:w="11906" w:h="16839"/>
          <w:pgMar w:top="1363" w:right="1062" w:bottom="1423" w:left="1424" w:header="0" w:footer="1244" w:gutter="0"/>
          <w:pgNumType w:start="2"/>
          <w:cols w:space="708"/>
          <w:titlePg w:val="0"/>
        </w:sectPr>
      </w:pPr>
    </w:p>
    <w:p>
      <w:pPr>
        <w:pStyle w:val="BodyText"/>
        <w:spacing w:before="54" w:line="275" w:lineRule="exact"/>
      </w:pPr>
      <w:r>
        <w:rPr>
          <w:rFonts w:ascii="Times New Roman" w:eastAsia="Times New Roman" w:hAnsi="Times New Roman" w:cs="Times New Roman"/>
          <w:spacing w:val="9"/>
          <w:position w:val="1"/>
        </w:rPr>
        <w:t>T/</w:t>
      </w:r>
      <w:r>
        <w:rPr>
          <w:rFonts w:ascii="Times New Roman" w:eastAsia="Times New Roman" w:hAnsi="Times New Roman" w:cs="Times New Roman"/>
          <w:position w:val="1"/>
        </w:rPr>
        <w:t>GDSAIA</w:t>
      </w:r>
      <w:r>
        <w:rPr>
          <w:rFonts w:ascii="Times New Roman" w:eastAsia="Times New Roman" w:hAnsi="Times New Roman" w:cs="Times New Roman"/>
          <w:spacing w:val="9"/>
          <w:position w:val="1"/>
        </w:rPr>
        <w:t xml:space="preserve">  </w:t>
      </w:r>
      <w:r>
        <w:rPr>
          <w:position w:val="1"/>
        </w:rPr>
        <w:t>XXX</w:t>
      </w:r>
      <w:r>
        <w:rPr>
          <w:spacing w:val="9"/>
          <w:position w:val="1"/>
        </w:rPr>
        <w:t>—2024</w:t>
      </w:r>
    </w:p>
    <w:p>
      <w:pPr>
        <w:spacing w:before="270" w:line="498" w:lineRule="exact"/>
        <w:ind w:left="445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9"/>
          <w:position w:val="22"/>
          <w:sz w:val="20"/>
          <w:szCs w:val="20"/>
        </w:rPr>
        <w:t>以轮面、剪切带和外缓冲层为主体部分，沿圆周连续的结构统称为非充气弹性支撑轮外圈</w:t>
      </w:r>
      <w:r>
        <w:rPr>
          <w:rFonts w:ascii="SimSun" w:eastAsia="SimSun" w:hAnsi="SimSun" w:cs="SimSun"/>
          <w:spacing w:val="8"/>
          <w:position w:val="22"/>
          <w:sz w:val="20"/>
          <w:szCs w:val="20"/>
        </w:rPr>
        <w:t>结构。</w:t>
      </w:r>
    </w:p>
    <w:p>
      <w:pPr>
        <w:pStyle w:val="BodyText"/>
        <w:spacing w:line="191" w:lineRule="auto"/>
        <w:ind w:left="1"/>
      </w:pPr>
      <w:r>
        <w:rPr>
          <w:spacing w:val="2"/>
        </w:rPr>
        <w:t>3.6</w:t>
      </w:r>
    </w:p>
    <w:p>
      <w:pPr>
        <w:pStyle w:val="BodyText"/>
        <w:spacing w:before="230" w:line="226" w:lineRule="auto"/>
        <w:ind w:left="428"/>
        <w:outlineLvl w:val="2"/>
      </w:pPr>
      <w:r>
        <w:rPr>
          <w:spacing w:val="17"/>
        </w:rPr>
        <w:t>支撑体组件</w:t>
      </w:r>
      <w:r>
        <w:rPr>
          <w:spacing w:val="17"/>
        </w:rPr>
        <w:t xml:space="preserve">  </w:t>
      </w:r>
      <w:r>
        <w:t>support</w:t>
      </w:r>
      <w:r>
        <w:rPr>
          <w:spacing w:val="17"/>
        </w:rPr>
        <w:t xml:space="preserve"> </w:t>
      </w:r>
      <w:r>
        <w:t>body</w:t>
      </w:r>
      <w:r>
        <w:rPr>
          <w:spacing w:val="13"/>
        </w:rPr>
        <w:t xml:space="preserve"> </w:t>
      </w:r>
      <w:r>
        <w:t>assembly</w:t>
      </w:r>
    </w:p>
    <w:p>
      <w:pPr>
        <w:spacing w:before="222" w:line="268" w:lineRule="auto"/>
        <w:ind w:left="1" w:firstLine="422"/>
        <w:jc w:val="both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9"/>
          <w:sz w:val="20"/>
          <w:szCs w:val="20"/>
        </w:rPr>
        <w:t>指连接轮辋和外圈结构，或连接内缓冲层与外圈结构</w:t>
      </w:r>
      <w:r>
        <w:rPr>
          <w:rFonts w:ascii="SimSun" w:eastAsia="SimSun" w:hAnsi="SimSun" w:cs="SimSun"/>
          <w:spacing w:val="8"/>
          <w:sz w:val="20"/>
          <w:szCs w:val="20"/>
        </w:rPr>
        <w:t>的结构，能承受较大载荷，能发生较大变形，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8"/>
          <w:sz w:val="20"/>
          <w:szCs w:val="20"/>
        </w:rPr>
        <w:t>起到承载和缓冲作用。支撑体组件沿轮系统圆周方向或宽度方向</w:t>
      </w:r>
      <w:r>
        <w:rPr>
          <w:rFonts w:ascii="SimSun" w:eastAsia="SimSun" w:hAnsi="SimSun" w:cs="SimSun"/>
          <w:spacing w:val="7"/>
          <w:sz w:val="20"/>
          <w:szCs w:val="20"/>
        </w:rPr>
        <w:t>具有离散的结构特征，由一种及以上的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5"/>
          <w:sz w:val="20"/>
          <w:szCs w:val="20"/>
        </w:rPr>
        <w:t>材料构成。</w:t>
      </w:r>
    </w:p>
    <w:p>
      <w:pPr>
        <w:pStyle w:val="BodyText"/>
        <w:spacing w:before="252" w:line="191" w:lineRule="auto"/>
        <w:ind w:left="1"/>
      </w:pPr>
      <w:r>
        <w:rPr>
          <w:spacing w:val="2"/>
        </w:rPr>
        <w:t>3.7</w:t>
      </w:r>
    </w:p>
    <w:p>
      <w:pPr>
        <w:pStyle w:val="BodyText"/>
        <w:spacing w:before="230" w:line="226" w:lineRule="auto"/>
        <w:ind w:left="428"/>
        <w:outlineLvl w:val="2"/>
      </w:pPr>
      <w:r>
        <w:rPr>
          <w:spacing w:val="16"/>
        </w:rPr>
        <w:t>支撑体单元</w:t>
      </w:r>
      <w:r>
        <w:rPr>
          <w:spacing w:val="16"/>
        </w:rPr>
        <w:t xml:space="preserve">  </w:t>
      </w:r>
      <w:r>
        <w:t>support</w:t>
      </w:r>
      <w:r>
        <w:rPr>
          <w:spacing w:val="17"/>
        </w:rPr>
        <w:t xml:space="preserve"> </w:t>
      </w:r>
      <w:r>
        <w:t>body</w:t>
      </w:r>
      <w:r>
        <w:rPr>
          <w:spacing w:val="16"/>
        </w:rPr>
        <w:t xml:space="preserve"> </w:t>
      </w:r>
      <w:r>
        <w:t>element</w:t>
      </w:r>
    </w:p>
    <w:p>
      <w:pPr>
        <w:spacing w:before="223" w:line="499" w:lineRule="exact"/>
        <w:ind w:left="424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9"/>
          <w:position w:val="22"/>
          <w:sz w:val="20"/>
          <w:szCs w:val="20"/>
        </w:rPr>
        <w:t>指组成支撑体组件的，沿轮系统圆周方向或宽度方向离散分布的最小周期性结构。</w:t>
      </w:r>
    </w:p>
    <w:p>
      <w:pPr>
        <w:pStyle w:val="BodyText"/>
        <w:spacing w:line="191" w:lineRule="auto"/>
        <w:ind w:left="1"/>
      </w:pPr>
      <w:r>
        <w:rPr>
          <w:spacing w:val="2"/>
        </w:rPr>
        <w:t>3.8</w:t>
      </w:r>
    </w:p>
    <w:p>
      <w:pPr>
        <w:pStyle w:val="BodyText"/>
        <w:spacing w:before="231" w:line="226" w:lineRule="auto"/>
        <w:ind w:left="435"/>
        <w:outlineLvl w:val="2"/>
      </w:pPr>
      <w:r>
        <w:rPr>
          <w:spacing w:val="3"/>
        </w:rPr>
        <w:t>内缓冲层</w:t>
      </w:r>
      <w:r>
        <w:rPr>
          <w:spacing w:val="26"/>
        </w:rPr>
        <w:t xml:space="preserve">  </w:t>
      </w:r>
      <w:r>
        <w:t>inner</w:t>
      </w:r>
      <w:r>
        <w:rPr>
          <w:spacing w:val="3"/>
        </w:rPr>
        <w:t xml:space="preserve"> </w:t>
      </w:r>
      <w:r>
        <w:t>buffer</w:t>
      </w:r>
      <w:r>
        <w:rPr>
          <w:spacing w:val="49"/>
        </w:rPr>
        <w:t xml:space="preserve"> </w:t>
      </w:r>
      <w:r>
        <w:t>layer</w:t>
      </w:r>
    </w:p>
    <w:p>
      <w:pPr>
        <w:spacing w:before="222" w:line="499" w:lineRule="exact"/>
        <w:ind w:left="421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9"/>
          <w:position w:val="22"/>
          <w:sz w:val="20"/>
          <w:szCs w:val="20"/>
        </w:rPr>
        <w:t>位于支撑体径向内侧，便于成型过程中将支撑体固定至轮辋上的结构，为可选结构。</w:t>
      </w:r>
    </w:p>
    <w:p>
      <w:pPr>
        <w:pStyle w:val="BodyText"/>
        <w:spacing w:line="191" w:lineRule="auto"/>
        <w:ind w:left="1"/>
      </w:pPr>
      <w:r>
        <w:rPr>
          <w:spacing w:val="2"/>
        </w:rPr>
        <w:t>3.9</w:t>
      </w:r>
    </w:p>
    <w:p>
      <w:pPr>
        <w:pStyle w:val="BodyText"/>
        <w:spacing w:before="231" w:line="226" w:lineRule="auto"/>
        <w:ind w:left="425"/>
        <w:outlineLvl w:val="2"/>
      </w:pPr>
      <w:r>
        <w:rPr>
          <w:spacing w:val="15"/>
        </w:rPr>
        <w:t>非充气弹性支撑轮专用轮辋</w:t>
      </w:r>
      <w:r>
        <w:rPr>
          <w:spacing w:val="15"/>
        </w:rPr>
        <w:t xml:space="preserve">  </w:t>
      </w:r>
      <w:r>
        <w:t>special</w:t>
      </w:r>
      <w:r>
        <w:rPr>
          <w:spacing w:val="15"/>
        </w:rPr>
        <w:t xml:space="preserve"> </w:t>
      </w:r>
      <w:r>
        <w:t>rim</w:t>
      </w:r>
      <w:r>
        <w:rPr>
          <w:spacing w:val="15"/>
        </w:rPr>
        <w:t xml:space="preserve"> </w:t>
      </w:r>
      <w:r>
        <w:t>for</w:t>
      </w:r>
      <w:r>
        <w:rPr>
          <w:spacing w:val="15"/>
        </w:rPr>
        <w:t xml:space="preserve"> </w:t>
      </w:r>
      <w:r>
        <w:t>air</w:t>
      </w:r>
      <w:r>
        <w:rPr>
          <w:spacing w:val="15"/>
        </w:rPr>
        <w:t>-</w:t>
      </w:r>
      <w:r>
        <w:rPr>
          <w:spacing w:val="-57"/>
        </w:rPr>
        <w:t xml:space="preserve"> </w:t>
      </w:r>
      <w:r>
        <w:t>less</w:t>
      </w:r>
      <w:r>
        <w:rPr>
          <w:spacing w:val="10"/>
        </w:rPr>
        <w:t xml:space="preserve"> </w:t>
      </w:r>
      <w:r>
        <w:t>tyre</w:t>
      </w:r>
      <w:r>
        <w:rPr>
          <w:spacing w:val="15"/>
        </w:rPr>
        <w:t xml:space="preserve"> </w:t>
      </w:r>
      <w:r>
        <w:t>with</w:t>
      </w:r>
      <w:r>
        <w:rPr>
          <w:spacing w:val="13"/>
        </w:rPr>
        <w:t xml:space="preserve"> </w:t>
      </w:r>
      <w:r>
        <w:t>elastic</w:t>
      </w:r>
      <w:r>
        <w:rPr>
          <w:spacing w:val="17"/>
        </w:rPr>
        <w:t xml:space="preserve"> </w:t>
      </w:r>
      <w:r>
        <w:t>support</w:t>
      </w:r>
    </w:p>
    <w:p>
      <w:pPr>
        <w:spacing w:before="223" w:line="498" w:lineRule="exact"/>
        <w:ind w:left="426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9"/>
          <w:position w:val="22"/>
          <w:sz w:val="20"/>
          <w:szCs w:val="20"/>
        </w:rPr>
        <w:t>与非充气弹性支撑轮固定为一体的金属部分，简称专用轮辋。</w:t>
      </w:r>
    </w:p>
    <w:p>
      <w:pPr>
        <w:pStyle w:val="BodyText"/>
        <w:spacing w:line="191" w:lineRule="auto"/>
        <w:ind w:left="1"/>
      </w:pPr>
      <w:r>
        <w:rPr>
          <w:spacing w:val="3"/>
        </w:rPr>
        <w:t>3.10</w:t>
      </w:r>
    </w:p>
    <w:p>
      <w:pPr>
        <w:pStyle w:val="BodyText"/>
        <w:spacing w:before="231" w:line="226" w:lineRule="auto"/>
        <w:ind w:left="425"/>
        <w:outlineLvl w:val="2"/>
      </w:pPr>
      <w:r>
        <w:rPr>
          <w:spacing w:val="16"/>
        </w:rPr>
        <w:t>非充气弹性支撑轮专用轮辐</w:t>
      </w:r>
      <w:r>
        <w:rPr>
          <w:spacing w:val="16"/>
        </w:rPr>
        <w:t xml:space="preserve"> </w:t>
      </w:r>
      <w:r>
        <w:t>special</w:t>
      </w:r>
      <w:r>
        <w:rPr>
          <w:spacing w:val="16"/>
        </w:rPr>
        <w:t xml:space="preserve"> </w:t>
      </w:r>
      <w:r>
        <w:t>wheel</w:t>
      </w:r>
      <w:r>
        <w:rPr>
          <w:spacing w:val="16"/>
        </w:rPr>
        <w:t xml:space="preserve"> </w:t>
      </w:r>
      <w:r>
        <w:t>disc</w:t>
      </w:r>
      <w:r>
        <w:rPr>
          <w:spacing w:val="16"/>
        </w:rPr>
        <w:t xml:space="preserve"> </w:t>
      </w:r>
      <w:r>
        <w:t>for</w:t>
      </w:r>
      <w:r>
        <w:rPr>
          <w:spacing w:val="16"/>
        </w:rPr>
        <w:t xml:space="preserve"> </w:t>
      </w:r>
      <w:r>
        <w:t>air</w:t>
      </w:r>
      <w:r>
        <w:rPr>
          <w:spacing w:val="16"/>
        </w:rPr>
        <w:t>-</w:t>
      </w:r>
      <w:r>
        <w:rPr>
          <w:spacing w:val="-56"/>
        </w:rPr>
        <w:t xml:space="preserve"> </w:t>
      </w:r>
      <w:r>
        <w:t>less</w:t>
      </w:r>
      <w:r>
        <w:rPr>
          <w:spacing w:val="16"/>
        </w:rPr>
        <w:t xml:space="preserve"> </w:t>
      </w:r>
      <w:r>
        <w:t>tyre</w:t>
      </w:r>
      <w:r>
        <w:rPr>
          <w:spacing w:val="16"/>
        </w:rPr>
        <w:t xml:space="preserve"> </w:t>
      </w:r>
      <w:r>
        <w:t>with</w:t>
      </w:r>
      <w:r>
        <w:rPr>
          <w:spacing w:val="16"/>
        </w:rPr>
        <w:t xml:space="preserve"> </w:t>
      </w:r>
      <w:r>
        <w:t>elastic</w:t>
      </w:r>
      <w:r>
        <w:rPr>
          <w:spacing w:val="17"/>
        </w:rPr>
        <w:t xml:space="preserve"> </w:t>
      </w:r>
      <w:r>
        <w:t>support</w:t>
      </w:r>
    </w:p>
    <w:p>
      <w:pPr>
        <w:spacing w:line="466" w:lineRule="auto"/>
        <w:rPr>
          <w:rFonts w:ascii="Arial"/>
          <w:sz w:val="21"/>
        </w:rPr>
      </w:pPr>
    </w:p>
    <w:p>
      <w:pPr>
        <w:spacing w:before="66" w:line="499" w:lineRule="exact"/>
        <w:ind w:left="422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9"/>
          <w:position w:val="22"/>
          <w:sz w:val="20"/>
          <w:szCs w:val="20"/>
        </w:rPr>
        <w:t>连接非充气弹性支撑轮专用轮辋和汽车车轴的金属结构，简称专用轮辐。</w:t>
      </w:r>
    </w:p>
    <w:p>
      <w:pPr>
        <w:pStyle w:val="BodyText"/>
        <w:spacing w:line="191" w:lineRule="auto"/>
        <w:ind w:left="1"/>
      </w:pPr>
      <w:r>
        <w:rPr>
          <w:spacing w:val="3"/>
        </w:rPr>
        <w:t>3.11</w:t>
      </w:r>
    </w:p>
    <w:p>
      <w:pPr>
        <w:pStyle w:val="BodyText"/>
        <w:spacing w:before="231" w:line="226" w:lineRule="auto"/>
        <w:ind w:left="421"/>
        <w:outlineLvl w:val="2"/>
      </w:pPr>
      <w:r>
        <w:rPr>
          <w:spacing w:val="18"/>
        </w:rPr>
        <w:t>轮系统</w:t>
      </w:r>
      <w:r>
        <w:rPr>
          <w:spacing w:val="18"/>
        </w:rPr>
        <w:t xml:space="preserve">  </w:t>
      </w:r>
      <w:r>
        <w:t>airless</w:t>
      </w:r>
      <w:r>
        <w:rPr>
          <w:spacing w:val="18"/>
        </w:rPr>
        <w:t xml:space="preserve"> </w:t>
      </w:r>
      <w:r>
        <w:t>wheel</w:t>
      </w:r>
      <w:r>
        <w:rPr>
          <w:spacing w:val="21"/>
        </w:rPr>
        <w:t xml:space="preserve"> </w:t>
      </w:r>
      <w:r>
        <w:t>system</w:t>
      </w:r>
    </w:p>
    <w:p>
      <w:pPr>
        <w:spacing w:before="222" w:line="499" w:lineRule="exact"/>
        <w:ind w:left="421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6"/>
          <w:position w:val="22"/>
          <w:sz w:val="20"/>
          <w:szCs w:val="20"/>
        </w:rPr>
        <w:t>包含3.1至3.10的所有结构。</w:t>
      </w:r>
    </w:p>
    <w:p>
      <w:pPr>
        <w:pStyle w:val="BodyText"/>
        <w:spacing w:line="191" w:lineRule="auto"/>
        <w:ind w:left="1"/>
      </w:pPr>
      <w:r>
        <w:rPr>
          <w:spacing w:val="3"/>
        </w:rPr>
        <w:t>3.12</w:t>
      </w:r>
    </w:p>
    <w:p>
      <w:pPr>
        <w:spacing w:before="230" w:line="258" w:lineRule="auto"/>
        <w:ind w:left="1" w:right="46" w:firstLine="423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18"/>
          <w:sz w:val="20"/>
          <w:szCs w:val="20"/>
        </w:rPr>
        <w:t xml:space="preserve">非充气弹性支撑轮专用弹性体 </w:t>
      </w:r>
      <w:r>
        <w:rPr>
          <w:rFonts w:ascii="SimSun" w:eastAsia="SimSun" w:hAnsi="SimSun" w:cs="SimSun"/>
          <w:sz w:val="20"/>
          <w:szCs w:val="20"/>
        </w:rPr>
        <w:t>special</w:t>
      </w:r>
      <w:r>
        <w:rPr>
          <w:rFonts w:ascii="SimSun" w:eastAsia="SimSun" w:hAnsi="SimSun" w:cs="SimSun"/>
          <w:spacing w:val="18"/>
          <w:sz w:val="20"/>
          <w:szCs w:val="20"/>
        </w:rPr>
        <w:t xml:space="preserve"> </w:t>
      </w:r>
      <w:r>
        <w:rPr>
          <w:rFonts w:ascii="SimSun" w:eastAsia="SimSun" w:hAnsi="SimSun" w:cs="SimSun"/>
          <w:sz w:val="20"/>
          <w:szCs w:val="20"/>
        </w:rPr>
        <w:t>elastomer</w:t>
      </w:r>
      <w:r>
        <w:rPr>
          <w:rFonts w:ascii="SimSun" w:eastAsia="SimSun" w:hAnsi="SimSun" w:cs="SimSun"/>
          <w:spacing w:val="18"/>
          <w:sz w:val="20"/>
          <w:szCs w:val="20"/>
        </w:rPr>
        <w:t xml:space="preserve"> </w:t>
      </w:r>
      <w:r>
        <w:rPr>
          <w:rFonts w:ascii="SimSun" w:eastAsia="SimSun" w:hAnsi="SimSun" w:cs="SimSun"/>
          <w:sz w:val="20"/>
          <w:szCs w:val="20"/>
        </w:rPr>
        <w:t>for</w:t>
      </w:r>
      <w:r>
        <w:rPr>
          <w:rFonts w:ascii="SimSun" w:eastAsia="SimSun" w:hAnsi="SimSun" w:cs="SimSun"/>
          <w:spacing w:val="18"/>
          <w:sz w:val="20"/>
          <w:szCs w:val="20"/>
        </w:rPr>
        <w:t xml:space="preserve"> </w:t>
      </w:r>
      <w:r>
        <w:rPr>
          <w:rFonts w:ascii="SimSun" w:eastAsia="SimSun" w:hAnsi="SimSun" w:cs="SimSun"/>
          <w:sz w:val="20"/>
          <w:szCs w:val="20"/>
        </w:rPr>
        <w:t>air</w:t>
      </w:r>
      <w:r>
        <w:rPr>
          <w:rFonts w:ascii="SimSun" w:eastAsia="SimSun" w:hAnsi="SimSun" w:cs="SimSun"/>
          <w:spacing w:val="18"/>
          <w:sz w:val="20"/>
          <w:szCs w:val="20"/>
        </w:rPr>
        <w:t>-</w:t>
      </w:r>
      <w:r>
        <w:rPr>
          <w:rFonts w:ascii="SimSun" w:eastAsia="SimSun" w:hAnsi="SimSun" w:cs="SimSun"/>
          <w:sz w:val="20"/>
          <w:szCs w:val="20"/>
        </w:rPr>
        <w:t>less</w:t>
      </w:r>
      <w:r>
        <w:rPr>
          <w:rFonts w:ascii="SimSun" w:eastAsia="SimSun" w:hAnsi="SimSun" w:cs="SimSun"/>
          <w:spacing w:val="18"/>
          <w:sz w:val="20"/>
          <w:szCs w:val="20"/>
        </w:rPr>
        <w:t xml:space="preserve"> </w:t>
      </w:r>
      <w:r>
        <w:rPr>
          <w:rFonts w:ascii="SimSun" w:eastAsia="SimSun" w:hAnsi="SimSun" w:cs="SimSun"/>
          <w:sz w:val="20"/>
          <w:szCs w:val="20"/>
        </w:rPr>
        <w:t>tyre</w:t>
      </w:r>
      <w:r>
        <w:rPr>
          <w:rFonts w:ascii="SimSun" w:eastAsia="SimSun" w:hAnsi="SimSun" w:cs="SimSun"/>
          <w:spacing w:val="18"/>
          <w:sz w:val="20"/>
          <w:szCs w:val="20"/>
        </w:rPr>
        <w:t xml:space="preserve"> </w:t>
      </w:r>
      <w:r>
        <w:rPr>
          <w:rFonts w:ascii="SimSun" w:eastAsia="SimSun" w:hAnsi="SimSun" w:cs="SimSun"/>
          <w:sz w:val="20"/>
          <w:szCs w:val="20"/>
        </w:rPr>
        <w:t>with</w:t>
      </w:r>
      <w:r>
        <w:rPr>
          <w:rFonts w:ascii="SimSun" w:eastAsia="SimSun" w:hAnsi="SimSun" w:cs="SimSun"/>
          <w:spacing w:val="21"/>
          <w:sz w:val="20"/>
          <w:szCs w:val="20"/>
        </w:rPr>
        <w:t xml:space="preserve"> </w:t>
      </w:r>
      <w:r>
        <w:rPr>
          <w:rFonts w:ascii="SimSun" w:eastAsia="SimSun" w:hAnsi="SimSun" w:cs="SimSun"/>
          <w:sz w:val="20"/>
          <w:szCs w:val="20"/>
        </w:rPr>
        <w:t>elastic</w:t>
      </w:r>
      <w:r>
        <w:rPr>
          <w:rFonts w:ascii="SimSun" w:eastAsia="SimSun" w:hAnsi="SimSun" w:cs="SimSun"/>
          <w:spacing w:val="21"/>
          <w:sz w:val="20"/>
          <w:szCs w:val="20"/>
        </w:rPr>
        <w:t xml:space="preserve"> </w:t>
      </w:r>
      <w:r>
        <w:rPr>
          <w:rFonts w:ascii="SimSun" w:eastAsia="SimSun" w:hAnsi="SimSun" w:cs="SimSun"/>
          <w:sz w:val="20"/>
          <w:szCs w:val="20"/>
        </w:rPr>
        <w:t>support</w:t>
      </w:r>
      <w:r>
        <w:rPr>
          <w:rFonts w:ascii="SimSun" w:eastAsia="SimSun" w:hAnsi="SimSun" w:cs="SimSun"/>
          <w:spacing w:val="18"/>
          <w:sz w:val="20"/>
          <w:szCs w:val="20"/>
        </w:rPr>
        <w:t>包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0"/>
          <w:sz w:val="20"/>
          <w:szCs w:val="20"/>
        </w:rPr>
        <w:t>含热塑性弹性体和热固性弹性体，如橡胶、聚氨酯、</w:t>
      </w:r>
      <w:r>
        <w:rPr>
          <w:rFonts w:ascii="SimSun" w:eastAsia="SimSun" w:hAnsi="SimSun" w:cs="SimSun"/>
          <w:sz w:val="20"/>
          <w:szCs w:val="20"/>
        </w:rPr>
        <w:t>TPE</w:t>
      </w:r>
      <w:r>
        <w:rPr>
          <w:rFonts w:ascii="SimSun" w:eastAsia="SimSun" w:hAnsi="SimSun" w:cs="SimSun"/>
          <w:spacing w:val="10"/>
          <w:sz w:val="20"/>
          <w:szCs w:val="20"/>
        </w:rPr>
        <w:t>等，简</w:t>
      </w:r>
      <w:r>
        <w:rPr>
          <w:rFonts w:ascii="SimSun" w:eastAsia="SimSun" w:hAnsi="SimSun" w:cs="SimSun"/>
          <w:spacing w:val="9"/>
          <w:sz w:val="20"/>
          <w:szCs w:val="20"/>
        </w:rPr>
        <w:t>称弹性体。</w:t>
      </w:r>
    </w:p>
    <w:p>
      <w:pPr>
        <w:pStyle w:val="BodyText"/>
        <w:spacing w:before="252" w:line="191" w:lineRule="auto"/>
        <w:ind w:left="1"/>
      </w:pPr>
      <w:r>
        <w:rPr>
          <w:spacing w:val="3"/>
        </w:rPr>
        <w:t>3.13</w:t>
      </w:r>
    </w:p>
    <w:p>
      <w:pPr>
        <w:spacing w:before="230" w:line="256" w:lineRule="auto"/>
        <w:ind w:left="10" w:right="45" w:firstLine="414"/>
        <w:rPr>
          <w:rFonts w:ascii="SimSun" w:eastAsia="SimSun" w:hAnsi="SimSun" w:cs="SimSun"/>
          <w:sz w:val="20"/>
          <w:szCs w:val="20"/>
        </w:rPr>
        <w:sectPr>
          <w:footerReference w:type="default" r:id="rId6"/>
          <w:pgSz w:w="11906" w:h="16839"/>
          <w:pgMar w:top="1363" w:right="1088" w:bottom="1317" w:left="1424" w:header="0" w:footer="1139" w:gutter="0"/>
          <w:pgNumType w:start="3"/>
          <w:cols w:space="708"/>
        </w:sectPr>
      </w:pPr>
      <w:r>
        <w:rPr>
          <w:rFonts w:ascii="SimSun" w:eastAsia="SimSun" w:hAnsi="SimSun" w:cs="SimSun"/>
          <w:spacing w:val="19"/>
          <w:sz w:val="20"/>
          <w:szCs w:val="20"/>
        </w:rPr>
        <w:t xml:space="preserve">非充气弹性支撑轮专用加强杆 </w:t>
      </w:r>
      <w:r>
        <w:rPr>
          <w:rFonts w:ascii="SimSun" w:eastAsia="SimSun" w:hAnsi="SimSun" w:cs="SimSun"/>
          <w:sz w:val="20"/>
          <w:szCs w:val="20"/>
        </w:rPr>
        <w:t>special</w:t>
      </w:r>
      <w:r>
        <w:rPr>
          <w:rFonts w:ascii="SimSun" w:eastAsia="SimSun" w:hAnsi="SimSun" w:cs="SimSun"/>
          <w:spacing w:val="19"/>
          <w:sz w:val="20"/>
          <w:szCs w:val="20"/>
        </w:rPr>
        <w:t xml:space="preserve"> </w:t>
      </w:r>
      <w:r>
        <w:rPr>
          <w:rFonts w:ascii="SimSun" w:eastAsia="SimSun" w:hAnsi="SimSun" w:cs="SimSun"/>
          <w:sz w:val="20"/>
          <w:szCs w:val="20"/>
        </w:rPr>
        <w:t>reinforcement</w:t>
      </w:r>
      <w:r>
        <w:rPr>
          <w:rFonts w:ascii="SimSun" w:eastAsia="SimSun" w:hAnsi="SimSun" w:cs="SimSun"/>
          <w:spacing w:val="19"/>
          <w:sz w:val="20"/>
          <w:szCs w:val="20"/>
        </w:rPr>
        <w:t xml:space="preserve"> </w:t>
      </w:r>
      <w:r>
        <w:rPr>
          <w:rFonts w:ascii="SimSun" w:eastAsia="SimSun" w:hAnsi="SimSun" w:cs="SimSun"/>
          <w:sz w:val="20"/>
          <w:szCs w:val="20"/>
        </w:rPr>
        <w:t>rebar</w:t>
      </w:r>
      <w:r>
        <w:rPr>
          <w:rFonts w:ascii="SimSun" w:eastAsia="SimSun" w:hAnsi="SimSun" w:cs="SimSun"/>
          <w:spacing w:val="19"/>
          <w:sz w:val="20"/>
          <w:szCs w:val="20"/>
        </w:rPr>
        <w:t xml:space="preserve"> </w:t>
      </w:r>
      <w:r>
        <w:rPr>
          <w:rFonts w:ascii="SimSun" w:eastAsia="SimSun" w:hAnsi="SimSun" w:cs="SimSun"/>
          <w:sz w:val="20"/>
          <w:szCs w:val="20"/>
        </w:rPr>
        <w:t>for</w:t>
      </w:r>
      <w:r>
        <w:rPr>
          <w:rFonts w:ascii="SimSun" w:eastAsia="SimSun" w:hAnsi="SimSun" w:cs="SimSun"/>
          <w:spacing w:val="19"/>
          <w:sz w:val="20"/>
          <w:szCs w:val="20"/>
        </w:rPr>
        <w:t xml:space="preserve"> </w:t>
      </w:r>
      <w:r>
        <w:rPr>
          <w:rFonts w:ascii="SimSun" w:eastAsia="SimSun" w:hAnsi="SimSun" w:cs="SimSun"/>
          <w:sz w:val="20"/>
          <w:szCs w:val="20"/>
        </w:rPr>
        <w:t>air</w:t>
      </w:r>
      <w:r>
        <w:rPr>
          <w:rFonts w:ascii="SimSun" w:eastAsia="SimSun" w:hAnsi="SimSun" w:cs="SimSun"/>
          <w:spacing w:val="19"/>
          <w:sz w:val="20"/>
          <w:szCs w:val="20"/>
        </w:rPr>
        <w:t>-</w:t>
      </w:r>
      <w:r>
        <w:rPr>
          <w:rFonts w:ascii="SimSun" w:eastAsia="SimSun" w:hAnsi="SimSun" w:cs="SimSun"/>
          <w:sz w:val="20"/>
          <w:szCs w:val="20"/>
        </w:rPr>
        <w:t>less</w:t>
      </w:r>
      <w:r>
        <w:rPr>
          <w:rFonts w:ascii="SimSun" w:eastAsia="SimSun" w:hAnsi="SimSun" w:cs="SimSun"/>
          <w:spacing w:val="19"/>
          <w:sz w:val="20"/>
          <w:szCs w:val="20"/>
        </w:rPr>
        <w:t xml:space="preserve"> </w:t>
      </w:r>
      <w:r>
        <w:rPr>
          <w:rFonts w:ascii="SimSun" w:eastAsia="SimSun" w:hAnsi="SimSun" w:cs="SimSun"/>
          <w:sz w:val="20"/>
          <w:szCs w:val="20"/>
        </w:rPr>
        <w:t>tyre</w:t>
      </w:r>
      <w:r>
        <w:rPr>
          <w:rFonts w:ascii="SimSun" w:eastAsia="SimSun" w:hAnsi="SimSun" w:cs="SimSun"/>
          <w:spacing w:val="19"/>
          <w:sz w:val="20"/>
          <w:szCs w:val="20"/>
        </w:rPr>
        <w:t xml:space="preserve"> </w:t>
      </w:r>
      <w:r>
        <w:rPr>
          <w:rFonts w:ascii="SimSun" w:eastAsia="SimSun" w:hAnsi="SimSun" w:cs="SimSun"/>
          <w:sz w:val="20"/>
          <w:szCs w:val="20"/>
        </w:rPr>
        <w:t>with</w:t>
      </w:r>
      <w:r>
        <w:rPr>
          <w:rFonts w:ascii="SimSun" w:eastAsia="SimSun" w:hAnsi="SimSun" w:cs="SimSun"/>
          <w:spacing w:val="22"/>
          <w:sz w:val="20"/>
          <w:szCs w:val="20"/>
        </w:rPr>
        <w:t xml:space="preserve"> </w:t>
      </w:r>
      <w:r>
        <w:rPr>
          <w:rFonts w:ascii="SimSun" w:eastAsia="SimSun" w:hAnsi="SimSun" w:cs="SimSun"/>
          <w:sz w:val="20"/>
          <w:szCs w:val="20"/>
        </w:rPr>
        <w:t xml:space="preserve">elastic </w:t>
      </w:r>
      <w:r>
        <w:rPr>
          <w:rFonts w:ascii="SimSun" w:eastAsia="SimSun" w:hAnsi="SimSun" w:cs="SimSun"/>
          <w:spacing w:val="2"/>
          <w:sz w:val="20"/>
          <w:szCs w:val="20"/>
        </w:rPr>
        <w:t>support</w:t>
      </w:r>
    </w:p>
    <w:p>
      <w:pPr>
        <w:spacing w:before="69" w:line="257" w:lineRule="auto"/>
        <w:ind w:left="4" w:right="48" w:firstLine="417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8"/>
          <w:sz w:val="20"/>
          <w:szCs w:val="20"/>
        </w:rPr>
        <w:t>位于支撑体及剪切带中，起到主要的承载作用</w:t>
      </w:r>
      <w:r>
        <w:rPr>
          <w:rFonts w:ascii="SimSun" w:eastAsia="SimSun" w:hAnsi="SimSun" w:cs="SimSun"/>
          <w:spacing w:val="7"/>
          <w:sz w:val="20"/>
          <w:szCs w:val="20"/>
        </w:rPr>
        <w:t>，具有较大的弯曲或压缩刚度的纤维复合材料，弯曲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8"/>
          <w:sz w:val="20"/>
          <w:szCs w:val="20"/>
        </w:rPr>
        <w:t>或压缩弹性模量不小于拉伸弹性模量的1/5,简称加强杆。</w:t>
      </w:r>
    </w:p>
    <w:p>
      <w:pPr>
        <w:pStyle w:val="BodyText"/>
        <w:spacing w:before="255" w:line="191" w:lineRule="auto"/>
        <w:ind w:left="1"/>
      </w:pPr>
      <w:r>
        <w:rPr>
          <w:spacing w:val="3"/>
        </w:rPr>
        <w:t>3.14</w:t>
      </w:r>
    </w:p>
    <w:p>
      <w:pPr>
        <w:spacing w:line="191" w:lineRule="auto"/>
        <w:sectPr>
          <w:footerReference w:type="default" r:id="rId7"/>
          <w:type w:val="nextPage"/>
          <w:pgSz w:w="11906" w:h="16839"/>
          <w:pgMar w:top="1363" w:right="1088" w:bottom="1317" w:left="1424" w:header="0" w:footer="1139" w:gutter="0"/>
          <w:pgNumType w:start="4"/>
          <w:cols w:space="708"/>
          <w:titlePg w:val="0"/>
        </w:sectPr>
      </w:pPr>
    </w:p>
    <w:p>
      <w:pPr>
        <w:pStyle w:val="BodyText"/>
        <w:spacing w:before="54" w:line="275" w:lineRule="exact"/>
        <w:jc w:val="right"/>
      </w:pPr>
      <w:r>
        <w:rPr>
          <w:rFonts w:ascii="Times New Roman" w:eastAsia="Times New Roman" w:hAnsi="Times New Roman" w:cs="Times New Roman"/>
          <w:spacing w:val="10"/>
          <w:position w:val="1"/>
        </w:rPr>
        <w:t>T/</w:t>
      </w:r>
      <w:r>
        <w:rPr>
          <w:rFonts w:ascii="Times New Roman" w:eastAsia="Times New Roman" w:hAnsi="Times New Roman" w:cs="Times New Roman"/>
          <w:position w:val="1"/>
        </w:rPr>
        <w:t>GDSAIA</w:t>
      </w:r>
      <w:r>
        <w:rPr>
          <w:rFonts w:ascii="Times New Roman" w:eastAsia="Times New Roman" w:hAnsi="Times New Roman" w:cs="Times New Roman"/>
          <w:spacing w:val="10"/>
          <w:position w:val="1"/>
        </w:rPr>
        <w:t xml:space="preserve">  </w:t>
      </w:r>
      <w:r>
        <w:rPr>
          <w:position w:val="1"/>
        </w:rPr>
        <w:t>XXX</w:t>
      </w:r>
      <w:r>
        <w:rPr>
          <w:spacing w:val="10"/>
          <w:position w:val="1"/>
        </w:rPr>
        <w:t>—2024</w:t>
      </w:r>
    </w:p>
    <w:p>
      <w:pPr>
        <w:spacing w:before="269" w:line="256" w:lineRule="auto"/>
        <w:ind w:left="14" w:firstLine="414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14"/>
          <w:sz w:val="20"/>
          <w:szCs w:val="20"/>
        </w:rPr>
        <w:t xml:space="preserve">非充气弹性支撑轮专用加强帘线 </w:t>
      </w:r>
      <w:r>
        <w:rPr>
          <w:rFonts w:ascii="SimSun" w:eastAsia="SimSun" w:hAnsi="SimSun" w:cs="SimSun"/>
          <w:sz w:val="20"/>
          <w:szCs w:val="20"/>
        </w:rPr>
        <w:t>special</w:t>
      </w:r>
      <w:r>
        <w:rPr>
          <w:rFonts w:ascii="SimSun" w:eastAsia="SimSun" w:hAnsi="SimSun" w:cs="SimSun"/>
          <w:spacing w:val="14"/>
          <w:sz w:val="20"/>
          <w:szCs w:val="20"/>
        </w:rPr>
        <w:t xml:space="preserve"> </w:t>
      </w:r>
      <w:r>
        <w:rPr>
          <w:rFonts w:ascii="SimSun" w:eastAsia="SimSun" w:hAnsi="SimSun" w:cs="SimSun"/>
          <w:sz w:val="20"/>
          <w:szCs w:val="20"/>
        </w:rPr>
        <w:t>reinforcement</w:t>
      </w:r>
      <w:r>
        <w:rPr>
          <w:rFonts w:ascii="SimSun" w:eastAsia="SimSun" w:hAnsi="SimSun" w:cs="SimSun"/>
          <w:spacing w:val="14"/>
          <w:sz w:val="20"/>
          <w:szCs w:val="20"/>
        </w:rPr>
        <w:t xml:space="preserve"> </w:t>
      </w:r>
      <w:r>
        <w:rPr>
          <w:rFonts w:ascii="SimSun" w:eastAsia="SimSun" w:hAnsi="SimSun" w:cs="SimSun"/>
          <w:sz w:val="20"/>
          <w:szCs w:val="20"/>
        </w:rPr>
        <w:t>cord</w:t>
      </w:r>
      <w:r>
        <w:rPr>
          <w:rFonts w:ascii="SimSun" w:eastAsia="SimSun" w:hAnsi="SimSun" w:cs="SimSun"/>
          <w:spacing w:val="14"/>
          <w:sz w:val="20"/>
          <w:szCs w:val="20"/>
        </w:rPr>
        <w:t xml:space="preserve"> </w:t>
      </w:r>
      <w:r>
        <w:rPr>
          <w:rFonts w:ascii="SimSun" w:eastAsia="SimSun" w:hAnsi="SimSun" w:cs="SimSun"/>
          <w:sz w:val="20"/>
          <w:szCs w:val="20"/>
        </w:rPr>
        <w:t>for</w:t>
      </w:r>
      <w:r>
        <w:rPr>
          <w:rFonts w:ascii="SimSun" w:eastAsia="SimSun" w:hAnsi="SimSun" w:cs="SimSun"/>
          <w:spacing w:val="14"/>
          <w:sz w:val="20"/>
          <w:szCs w:val="20"/>
        </w:rPr>
        <w:t xml:space="preserve"> </w:t>
      </w:r>
      <w:r>
        <w:rPr>
          <w:rFonts w:ascii="SimSun" w:eastAsia="SimSun" w:hAnsi="SimSun" w:cs="SimSun"/>
          <w:sz w:val="20"/>
          <w:szCs w:val="20"/>
        </w:rPr>
        <w:t>air</w:t>
      </w:r>
      <w:r>
        <w:rPr>
          <w:rFonts w:ascii="SimSun" w:eastAsia="SimSun" w:hAnsi="SimSun" w:cs="SimSun"/>
          <w:spacing w:val="14"/>
          <w:sz w:val="20"/>
          <w:szCs w:val="20"/>
        </w:rPr>
        <w:t>-</w:t>
      </w:r>
      <w:r>
        <w:rPr>
          <w:rFonts w:ascii="SimSun" w:eastAsia="SimSun" w:hAnsi="SimSun" w:cs="SimSun"/>
          <w:sz w:val="20"/>
          <w:szCs w:val="20"/>
        </w:rPr>
        <w:t>less</w:t>
      </w:r>
      <w:r>
        <w:rPr>
          <w:rFonts w:ascii="SimSun" w:eastAsia="SimSun" w:hAnsi="SimSun" w:cs="SimSun"/>
          <w:spacing w:val="14"/>
          <w:sz w:val="20"/>
          <w:szCs w:val="20"/>
        </w:rPr>
        <w:t xml:space="preserve"> </w:t>
      </w:r>
      <w:r>
        <w:rPr>
          <w:rFonts w:ascii="SimSun" w:eastAsia="SimSun" w:hAnsi="SimSun" w:cs="SimSun"/>
          <w:sz w:val="20"/>
          <w:szCs w:val="20"/>
        </w:rPr>
        <w:t>tyre</w:t>
      </w:r>
      <w:r>
        <w:rPr>
          <w:rFonts w:ascii="SimSun" w:eastAsia="SimSun" w:hAnsi="SimSun" w:cs="SimSun"/>
          <w:spacing w:val="14"/>
          <w:sz w:val="20"/>
          <w:szCs w:val="20"/>
        </w:rPr>
        <w:t xml:space="preserve"> </w:t>
      </w:r>
      <w:r>
        <w:rPr>
          <w:rFonts w:ascii="SimSun" w:eastAsia="SimSun" w:hAnsi="SimSun" w:cs="SimSun"/>
          <w:sz w:val="20"/>
          <w:szCs w:val="20"/>
        </w:rPr>
        <w:t>with</w:t>
      </w:r>
      <w:r>
        <w:rPr>
          <w:rFonts w:ascii="SimSun" w:eastAsia="SimSun" w:hAnsi="SimSun" w:cs="SimSun"/>
          <w:spacing w:val="14"/>
          <w:sz w:val="20"/>
          <w:szCs w:val="20"/>
        </w:rPr>
        <w:t xml:space="preserve"> </w:t>
      </w:r>
      <w:r>
        <w:rPr>
          <w:rFonts w:ascii="SimSun" w:eastAsia="SimSun" w:hAnsi="SimSun" w:cs="SimSun"/>
          <w:sz w:val="20"/>
          <w:szCs w:val="20"/>
        </w:rPr>
        <w:t xml:space="preserve">elastic </w:t>
      </w:r>
      <w:r>
        <w:rPr>
          <w:rFonts w:ascii="SimSun" w:eastAsia="SimSun" w:hAnsi="SimSun" w:cs="SimSun"/>
          <w:spacing w:val="2"/>
          <w:sz w:val="20"/>
          <w:szCs w:val="20"/>
        </w:rPr>
        <w:t>support</w:t>
      </w:r>
    </w:p>
    <w:p>
      <w:pPr>
        <w:spacing w:before="70" w:line="498" w:lineRule="exact"/>
        <w:ind w:left="425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9"/>
          <w:position w:val="22"/>
          <w:sz w:val="20"/>
          <w:szCs w:val="20"/>
        </w:rPr>
        <w:t>位于支撑体及剪切带中，组成各部位用的柔性线绳，简称加强帘线。</w:t>
      </w:r>
    </w:p>
    <w:p>
      <w:pPr>
        <w:pStyle w:val="BodyText"/>
        <w:spacing w:line="191" w:lineRule="auto"/>
        <w:ind w:left="5"/>
      </w:pPr>
      <w:r>
        <w:rPr>
          <w:spacing w:val="3"/>
        </w:rPr>
        <w:t>3.15</w:t>
      </w:r>
    </w:p>
    <w:p>
      <w:pPr>
        <w:pStyle w:val="BodyText"/>
        <w:spacing w:before="230" w:line="231" w:lineRule="auto"/>
        <w:ind w:left="425"/>
        <w:outlineLvl w:val="2"/>
      </w:pPr>
      <w:r>
        <w:rPr>
          <w:spacing w:val="21"/>
        </w:rPr>
        <w:t>轮肩倒角</w:t>
      </w:r>
      <w:r>
        <w:rPr>
          <w:spacing w:val="21"/>
        </w:rPr>
        <w:t xml:space="preserve"> </w:t>
      </w:r>
      <w:r>
        <w:t>Wheel</w:t>
      </w:r>
      <w:r>
        <w:rPr>
          <w:spacing w:val="21"/>
        </w:rPr>
        <w:t xml:space="preserve"> </w:t>
      </w:r>
      <w:r>
        <w:t>shoulder</w:t>
      </w:r>
      <w:r>
        <w:rPr>
          <w:spacing w:val="21"/>
        </w:rPr>
        <w:t xml:space="preserve"> </w:t>
      </w:r>
      <w:r>
        <w:t>chamfer</w:t>
      </w:r>
    </w:p>
    <w:p>
      <w:pPr>
        <w:spacing w:before="217" w:line="228" w:lineRule="auto"/>
        <w:ind w:left="425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9"/>
          <w:sz w:val="20"/>
          <w:szCs w:val="20"/>
        </w:rPr>
        <w:t>位于轮面沿宽度方向的两端，沿圆周方向连续的倒角，属于轮面结构的一部分。</w:t>
      </w:r>
    </w:p>
    <w:p>
      <w:pPr>
        <w:spacing w:line="310" w:lineRule="auto"/>
        <w:rPr>
          <w:rFonts w:ascii="Arial"/>
          <w:sz w:val="21"/>
        </w:rPr>
      </w:pPr>
    </w:p>
    <w:p>
      <w:pPr>
        <w:pStyle w:val="BodyText"/>
        <w:spacing w:before="65" w:line="229" w:lineRule="auto"/>
        <w:outlineLvl w:val="1"/>
      </w:pPr>
      <w:r>
        <w:rPr>
          <w:spacing w:val="7"/>
        </w:rPr>
        <w:t>4</w:t>
      </w:r>
      <w:r>
        <w:rPr>
          <w:spacing w:val="7"/>
        </w:rPr>
        <w:t xml:space="preserve">  </w:t>
      </w:r>
      <w:r>
        <w:rPr>
          <w:spacing w:val="7"/>
        </w:rPr>
        <w:t>非充气弹性支撑轮尺寸术语及其定义（见图</w:t>
      </w:r>
      <w:r>
        <w:rPr>
          <w:spacing w:val="-12"/>
        </w:rPr>
        <w:t xml:space="preserve"> </w:t>
      </w:r>
      <w:r>
        <w:rPr>
          <w:spacing w:val="7"/>
        </w:rPr>
        <w:t>1）</w:t>
      </w:r>
    </w:p>
    <w:p>
      <w:pPr>
        <w:spacing w:line="393" w:lineRule="auto"/>
        <w:rPr>
          <w:rFonts w:ascii="Arial"/>
          <w:sz w:val="21"/>
        </w:rPr>
      </w:pPr>
    </w:p>
    <w:p>
      <w:pPr>
        <w:spacing w:before="1" w:line="5145" w:lineRule="exact"/>
        <w:ind w:firstLine="417"/>
      </w:pPr>
      <w:r>
        <w:rPr>
          <w:position w:val="-102"/>
        </w:rPr>
        <w:drawing>
          <wp:inline distT="0" distB="0" distL="0" distR="0">
            <wp:extent cx="5452871" cy="3267455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52871" cy="3267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39" w:line="228" w:lineRule="auto"/>
        <w:ind w:left="428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2"/>
          <w:sz w:val="20"/>
          <w:szCs w:val="20"/>
        </w:rPr>
        <w:t>说明：</w:t>
      </w:r>
    </w:p>
    <w:p>
      <w:pPr>
        <w:spacing w:before="65" w:line="228" w:lineRule="auto"/>
        <w:ind w:left="421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6"/>
          <w:sz w:val="20"/>
          <w:szCs w:val="20"/>
        </w:rPr>
        <w:t>D</w:t>
      </w:r>
      <w:r>
        <w:rPr>
          <w:rFonts w:ascii="SimSun" w:eastAsia="SimSun" w:hAnsi="SimSun" w:cs="SimSun"/>
          <w:spacing w:val="6"/>
          <w:position w:val="-2"/>
          <w:sz w:val="10"/>
          <w:szCs w:val="10"/>
        </w:rPr>
        <w:t>1</w:t>
      </w:r>
      <w:r>
        <w:rPr>
          <w:rFonts w:ascii="SimSun" w:eastAsia="SimSun" w:hAnsi="SimSun" w:cs="SimSun"/>
          <w:spacing w:val="6"/>
          <w:sz w:val="20"/>
          <w:szCs w:val="20"/>
        </w:rPr>
        <w:t>——外直径；</w:t>
      </w:r>
    </w:p>
    <w:p>
      <w:pPr>
        <w:spacing w:before="65" w:line="228" w:lineRule="auto"/>
        <w:ind w:left="421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7"/>
          <w:sz w:val="20"/>
          <w:szCs w:val="20"/>
        </w:rPr>
        <w:t>D</w:t>
      </w:r>
      <w:r>
        <w:rPr>
          <w:rFonts w:ascii="SimSun" w:eastAsia="SimSun" w:hAnsi="SimSun" w:cs="SimSun"/>
          <w:spacing w:val="7"/>
          <w:position w:val="-2"/>
          <w:sz w:val="10"/>
          <w:szCs w:val="10"/>
        </w:rPr>
        <w:t>2</w:t>
      </w:r>
      <w:r>
        <w:rPr>
          <w:rFonts w:ascii="SimSun" w:eastAsia="SimSun" w:hAnsi="SimSun" w:cs="SimSun"/>
          <w:spacing w:val="7"/>
          <w:sz w:val="20"/>
          <w:szCs w:val="20"/>
        </w:rPr>
        <w:t>——剪切带外直径；</w:t>
      </w:r>
    </w:p>
    <w:p>
      <w:pPr>
        <w:spacing w:before="64" w:line="312" w:lineRule="exact"/>
        <w:ind w:left="421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8"/>
          <w:position w:val="7"/>
          <w:sz w:val="20"/>
          <w:szCs w:val="20"/>
        </w:rPr>
        <w:t>D</w:t>
      </w:r>
      <w:r>
        <w:rPr>
          <w:rFonts w:ascii="SimSun" w:eastAsia="SimSun" w:hAnsi="SimSun" w:cs="SimSun"/>
          <w:spacing w:val="8"/>
          <w:position w:val="5"/>
          <w:sz w:val="10"/>
          <w:szCs w:val="10"/>
        </w:rPr>
        <w:t>3</w:t>
      </w:r>
      <w:r>
        <w:rPr>
          <w:rFonts w:ascii="SimSun" w:eastAsia="SimSun" w:hAnsi="SimSun" w:cs="SimSun"/>
          <w:spacing w:val="8"/>
          <w:position w:val="7"/>
          <w:sz w:val="20"/>
          <w:szCs w:val="20"/>
        </w:rPr>
        <w:t>——剪切带内直径、外缓冲层外直径；</w:t>
      </w:r>
    </w:p>
    <w:p>
      <w:pPr>
        <w:spacing w:before="1" w:line="228" w:lineRule="auto"/>
        <w:ind w:left="421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7"/>
          <w:sz w:val="20"/>
          <w:szCs w:val="20"/>
        </w:rPr>
        <w:t>D</w:t>
      </w:r>
      <w:r>
        <w:rPr>
          <w:rFonts w:ascii="SimSun" w:eastAsia="SimSun" w:hAnsi="SimSun" w:cs="SimSun"/>
          <w:spacing w:val="7"/>
          <w:position w:val="-2"/>
          <w:sz w:val="10"/>
          <w:szCs w:val="10"/>
        </w:rPr>
        <w:t>4</w:t>
      </w:r>
      <w:r>
        <w:rPr>
          <w:rFonts w:ascii="SimSun" w:eastAsia="SimSun" w:hAnsi="SimSun" w:cs="SimSun"/>
          <w:spacing w:val="7"/>
          <w:sz w:val="20"/>
          <w:szCs w:val="20"/>
        </w:rPr>
        <w:t>——外缓冲层内直径；</w:t>
      </w:r>
    </w:p>
    <w:p>
      <w:pPr>
        <w:spacing w:before="65" w:line="228" w:lineRule="auto"/>
        <w:ind w:left="421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4"/>
          <w:sz w:val="20"/>
          <w:szCs w:val="20"/>
        </w:rPr>
        <w:t>D</w:t>
      </w:r>
      <w:r>
        <w:rPr>
          <w:rFonts w:ascii="SimSun" w:eastAsia="SimSun" w:hAnsi="SimSun" w:cs="SimSun"/>
          <w:spacing w:val="4"/>
          <w:position w:val="-2"/>
          <w:sz w:val="10"/>
          <w:szCs w:val="10"/>
        </w:rPr>
        <w:t>5</w:t>
      </w:r>
      <w:r>
        <w:rPr>
          <w:rFonts w:ascii="SimSun" w:eastAsia="SimSun" w:hAnsi="SimSun" w:cs="SimSun"/>
          <w:spacing w:val="4"/>
          <w:sz w:val="20"/>
          <w:szCs w:val="20"/>
        </w:rPr>
        <w:t>——</w:t>
      </w:r>
      <w:r>
        <w:rPr>
          <w:rFonts w:ascii="SimSun" w:eastAsia="SimSun" w:hAnsi="SimSun" w:cs="SimSun"/>
          <w:spacing w:val="-59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4"/>
          <w:sz w:val="20"/>
          <w:szCs w:val="20"/>
        </w:rPr>
        <w:t>内缓冲层外直径；</w:t>
      </w:r>
    </w:p>
    <w:p>
      <w:pPr>
        <w:spacing w:before="65" w:line="228" w:lineRule="auto"/>
        <w:ind w:left="421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6"/>
          <w:sz w:val="20"/>
          <w:szCs w:val="20"/>
        </w:rPr>
        <w:t>D</w:t>
      </w:r>
      <w:r>
        <w:rPr>
          <w:rFonts w:ascii="SimSun" w:eastAsia="SimSun" w:hAnsi="SimSun" w:cs="SimSun"/>
          <w:spacing w:val="6"/>
          <w:position w:val="-2"/>
          <w:sz w:val="10"/>
          <w:szCs w:val="10"/>
        </w:rPr>
        <w:t>6</w:t>
      </w:r>
      <w:r>
        <w:rPr>
          <w:rFonts w:ascii="SimSun" w:eastAsia="SimSun" w:hAnsi="SimSun" w:cs="SimSun"/>
          <w:spacing w:val="6"/>
          <w:sz w:val="20"/>
          <w:szCs w:val="20"/>
        </w:rPr>
        <w:t>——</w:t>
      </w:r>
      <w:r>
        <w:rPr>
          <w:rFonts w:ascii="SimSun" w:eastAsia="SimSun" w:hAnsi="SimSun" w:cs="SimSun"/>
          <w:spacing w:val="-56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6"/>
          <w:sz w:val="20"/>
          <w:szCs w:val="20"/>
        </w:rPr>
        <w:t>内缓冲层内直径、轮辋名义直径。</w:t>
      </w:r>
    </w:p>
    <w:p>
      <w:pPr>
        <w:pStyle w:val="BodyText"/>
        <w:spacing w:before="221" w:line="229" w:lineRule="auto"/>
        <w:ind w:left="2725"/>
      </w:pPr>
      <w:r>
        <w:rPr>
          <w:spacing w:val="7"/>
        </w:rPr>
        <w:t>图</w:t>
      </w:r>
      <w:r>
        <w:rPr>
          <w:spacing w:val="-26"/>
        </w:rPr>
        <w:t xml:space="preserve"> </w:t>
      </w:r>
      <w:r>
        <w:rPr>
          <w:spacing w:val="7"/>
        </w:rPr>
        <w:t>1</w:t>
      </w:r>
      <w:r>
        <w:rPr>
          <w:spacing w:val="7"/>
        </w:rPr>
        <w:t xml:space="preserve">  </w:t>
      </w:r>
      <w:r>
        <w:rPr>
          <w:spacing w:val="7"/>
        </w:rPr>
        <w:t>非充气弹性支撑轮结构和尺寸示意图</w:t>
      </w:r>
    </w:p>
    <w:p>
      <w:pPr>
        <w:pStyle w:val="BodyText"/>
        <w:spacing w:before="252" w:line="189" w:lineRule="auto"/>
        <w:sectPr>
          <w:footerReference w:type="default" r:id="rId9"/>
          <w:pgSz w:w="11906" w:h="16839"/>
          <w:pgMar w:top="1363" w:right="1133" w:bottom="1423" w:left="1420" w:header="0" w:footer="1244" w:gutter="0"/>
          <w:pgNumType w:start="5"/>
          <w:cols w:space="708"/>
        </w:sectPr>
      </w:pPr>
      <w:r>
        <w:rPr>
          <w:spacing w:val="4"/>
        </w:rPr>
        <w:t>4.1</w:t>
      </w:r>
    </w:p>
    <w:p>
      <w:pPr>
        <w:pStyle w:val="BodyText"/>
        <w:spacing w:before="231" w:line="232" w:lineRule="auto"/>
        <w:ind w:left="423"/>
        <w:outlineLvl w:val="2"/>
      </w:pPr>
      <w:r>
        <w:rPr>
          <w:spacing w:val="19"/>
        </w:rPr>
        <w:t>外直径</w:t>
      </w:r>
      <w:r>
        <w:rPr>
          <w:spacing w:val="19"/>
        </w:rPr>
        <w:t xml:space="preserve">  </w:t>
      </w:r>
      <w:r>
        <w:t>overall</w:t>
      </w:r>
      <w:r>
        <w:rPr>
          <w:spacing w:val="19"/>
        </w:rPr>
        <w:t xml:space="preserve"> </w:t>
      </w:r>
      <w:r>
        <w:t>diameter</w:t>
      </w:r>
    </w:p>
    <w:p>
      <w:pPr>
        <w:spacing w:before="216" w:line="499" w:lineRule="exact"/>
        <w:ind w:left="428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9"/>
          <w:position w:val="22"/>
          <w:sz w:val="20"/>
          <w:szCs w:val="20"/>
        </w:rPr>
        <w:t>非充气弹性支撑轮轮面最外表面的圆周直径，</w:t>
      </w:r>
      <w:r>
        <w:rPr>
          <w:rFonts w:ascii="SimSun" w:eastAsia="SimSun" w:hAnsi="SimSun" w:cs="SimSun"/>
          <w:spacing w:val="8"/>
          <w:position w:val="22"/>
          <w:sz w:val="20"/>
          <w:szCs w:val="20"/>
        </w:rPr>
        <w:t>见图1。</w:t>
      </w:r>
    </w:p>
    <w:p>
      <w:pPr>
        <w:pStyle w:val="BodyText"/>
        <w:spacing w:before="1" w:line="190" w:lineRule="auto"/>
      </w:pPr>
      <w:r>
        <w:rPr>
          <w:spacing w:val="4"/>
        </w:rPr>
        <w:t>4.2</w:t>
      </w:r>
    </w:p>
    <w:p>
      <w:pPr>
        <w:spacing w:line="190" w:lineRule="auto"/>
        <w:sectPr>
          <w:footerReference w:type="default" r:id="rId10"/>
          <w:type w:val="nextPage"/>
          <w:pgSz w:w="11906" w:h="16839"/>
          <w:pgMar w:top="1363" w:right="1133" w:bottom="1423" w:left="1420" w:header="0" w:footer="1244" w:gutter="0"/>
          <w:pgNumType w:start="6"/>
          <w:cols w:space="708"/>
          <w:titlePg w:val="0"/>
        </w:sectPr>
      </w:pPr>
    </w:p>
    <w:p>
      <w:pPr>
        <w:pStyle w:val="BodyText"/>
        <w:spacing w:before="54" w:line="275" w:lineRule="exact"/>
        <w:ind w:left="3"/>
      </w:pPr>
      <w:r>
        <w:rPr>
          <w:rFonts w:ascii="Times New Roman" w:eastAsia="Times New Roman" w:hAnsi="Times New Roman" w:cs="Times New Roman"/>
          <w:spacing w:val="9"/>
          <w:position w:val="1"/>
        </w:rPr>
        <w:t>T/</w:t>
      </w:r>
      <w:r>
        <w:rPr>
          <w:rFonts w:ascii="Times New Roman" w:eastAsia="Times New Roman" w:hAnsi="Times New Roman" w:cs="Times New Roman"/>
          <w:position w:val="1"/>
        </w:rPr>
        <w:t>GDSAIA</w:t>
      </w:r>
      <w:r>
        <w:rPr>
          <w:rFonts w:ascii="Times New Roman" w:eastAsia="Times New Roman" w:hAnsi="Times New Roman" w:cs="Times New Roman"/>
          <w:spacing w:val="9"/>
          <w:position w:val="1"/>
        </w:rPr>
        <w:t xml:space="preserve">  </w:t>
      </w:r>
      <w:r>
        <w:rPr>
          <w:position w:val="1"/>
        </w:rPr>
        <w:t>XXX</w:t>
      </w:r>
      <w:r>
        <w:rPr>
          <w:spacing w:val="9"/>
          <w:position w:val="1"/>
        </w:rPr>
        <w:t>—2024</w:t>
      </w:r>
    </w:p>
    <w:p>
      <w:pPr>
        <w:pStyle w:val="BodyText"/>
        <w:spacing w:before="270" w:line="231" w:lineRule="auto"/>
        <w:ind w:left="423"/>
        <w:outlineLvl w:val="2"/>
      </w:pPr>
      <w:r>
        <w:rPr>
          <w:spacing w:val="19"/>
        </w:rPr>
        <w:t>外周长</w:t>
      </w:r>
      <w:r>
        <w:rPr>
          <w:spacing w:val="19"/>
        </w:rPr>
        <w:t xml:space="preserve">  </w:t>
      </w:r>
      <w:r>
        <w:t>overall</w:t>
      </w:r>
      <w:r>
        <w:rPr>
          <w:spacing w:val="19"/>
        </w:rPr>
        <w:t xml:space="preserve"> </w:t>
      </w:r>
      <w:r>
        <w:t>diameter</w:t>
      </w:r>
    </w:p>
    <w:p>
      <w:pPr>
        <w:spacing w:before="217" w:line="498" w:lineRule="exact"/>
        <w:ind w:left="428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9"/>
          <w:position w:val="22"/>
          <w:sz w:val="20"/>
          <w:szCs w:val="20"/>
        </w:rPr>
        <w:t>非充气弹性支撑轮两外侧之间的最大距离，包括标志、装饰线和防擦线所增加的宽度。</w:t>
      </w:r>
    </w:p>
    <w:p>
      <w:pPr>
        <w:pStyle w:val="BodyText"/>
        <w:spacing w:line="191" w:lineRule="auto"/>
      </w:pPr>
      <w:r>
        <w:rPr>
          <w:spacing w:val="4"/>
        </w:rPr>
        <w:t>4.3</w:t>
      </w:r>
    </w:p>
    <w:p>
      <w:pPr>
        <w:pStyle w:val="BodyText"/>
        <w:spacing w:before="230" w:line="230" w:lineRule="auto"/>
        <w:ind w:left="425"/>
        <w:outlineLvl w:val="2"/>
      </w:pPr>
      <w:r>
        <w:rPr>
          <w:spacing w:val="16"/>
        </w:rPr>
        <w:t>轮面厚度</w:t>
      </w:r>
      <w:r>
        <w:rPr>
          <w:spacing w:val="16"/>
        </w:rPr>
        <w:t xml:space="preserve">  </w:t>
      </w:r>
      <w:r>
        <w:t>tread</w:t>
      </w:r>
      <w:r>
        <w:rPr>
          <w:spacing w:val="16"/>
        </w:rPr>
        <w:t xml:space="preserve"> </w:t>
      </w:r>
      <w:r>
        <w:t>thickness</w:t>
      </w:r>
    </w:p>
    <w:p>
      <w:pPr>
        <w:pStyle w:val="BodyText"/>
        <w:spacing w:before="219" w:line="184" w:lineRule="auto"/>
        <w:ind w:left="425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8"/>
        </w:rPr>
        <w:t>轮面的厚度。计算方法见公式</w:t>
      </w:r>
      <w:r>
        <w:rPr>
          <w:spacing w:val="8"/>
        </w:rPr>
        <w:t>1</w:t>
      </w:r>
      <w:r>
        <w:rPr>
          <w:rFonts w:ascii="SimSun" w:eastAsia="SimSun" w:hAnsi="SimSun" w:cs="SimSun"/>
          <w:spacing w:val="8"/>
        </w:rPr>
        <w:t>。</w:t>
      </w:r>
    </w:p>
    <w:p>
      <w:pPr>
        <w:spacing w:line="426" w:lineRule="exact"/>
        <w:ind w:left="9"/>
        <w:rPr>
          <w:rFonts w:ascii="Cambria Math" w:eastAsia="Cambria Math" w:hAnsi="Cambria Math" w:cs="Cambria Math"/>
          <w:sz w:val="20"/>
          <w:szCs w:val="20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15.45pt;height:14.55pt;margin-top:4.61pt;margin-left:203.32pt;position:absolute;z-index:251658240" filled="f" stroked="f">
            <o:lock v:ext="edit" aspectratio="f"/>
            <v:textbox inset="0,0,0,0">
              <w:txbxContent>
                <w:p>
                  <w:pPr>
                    <w:spacing w:before="20" w:line="231" w:lineRule="auto"/>
                    <w:ind w:left="20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-11"/>
                      <w:sz w:val="20"/>
                      <w:szCs w:val="20"/>
                    </w:rPr>
                    <w:t>(1)</w:t>
                  </w:r>
                </w:p>
              </w:txbxContent>
            </v:textbox>
          </v:shape>
        </w:pict>
      </w:r>
      <w:r>
        <w:rPr>
          <w:rFonts w:ascii="Cambria Math" w:eastAsia="Cambria Math" w:hAnsi="Cambria Math" w:cs="Cambria Math"/>
          <w:position w:val="8"/>
          <w:sz w:val="20"/>
          <w:szCs w:val="20"/>
        </w:rPr>
        <w:t>D</w:t>
      </w:r>
      <w:r>
        <w:rPr>
          <w:rFonts w:ascii="Cambria Math" w:eastAsia="Cambria Math" w:hAnsi="Cambria Math" w:cs="Cambria Math"/>
          <w:position w:val="4"/>
          <w:sz w:val="14"/>
          <w:szCs w:val="14"/>
        </w:rPr>
        <w:t>t</w:t>
      </w:r>
      <w:r>
        <w:rPr>
          <w:rFonts w:ascii="Cambria Math" w:eastAsia="Cambria Math" w:hAnsi="Cambria Math" w:cs="Cambria Math"/>
          <w:spacing w:val="12"/>
          <w:position w:val="4"/>
          <w:sz w:val="14"/>
          <w:szCs w:val="14"/>
        </w:rPr>
        <w:t xml:space="preserve">  </w:t>
      </w:r>
      <w:r>
        <w:rPr>
          <w:rFonts w:ascii="Cambria Math" w:eastAsia="Cambria Math" w:hAnsi="Cambria Math" w:cs="Cambria Math"/>
          <w:position w:val="8"/>
          <w:sz w:val="20"/>
          <w:szCs w:val="20"/>
        </w:rPr>
        <w:t>=</w:t>
      </w:r>
      <w:r>
        <w:rPr>
          <w:rFonts w:ascii="Cambria Math" w:eastAsia="Cambria Math" w:hAnsi="Cambria Math" w:cs="Cambria Math"/>
          <w:spacing w:val="32"/>
          <w:position w:val="8"/>
          <w:sz w:val="20"/>
          <w:szCs w:val="20"/>
        </w:rPr>
        <w:t xml:space="preserve"> </w:t>
      </w:r>
      <w:r>
        <w:rPr>
          <w:rFonts w:ascii="Cambria Math" w:eastAsia="Cambria Math" w:hAnsi="Cambria Math" w:cs="Cambria Math"/>
          <w:position w:val="8"/>
          <w:sz w:val="20"/>
          <w:szCs w:val="20"/>
        </w:rPr>
        <w:t>(D</w:t>
      </w:r>
      <w:r>
        <w:rPr>
          <w:rFonts w:ascii="Cambria Math" w:eastAsia="Cambria Math" w:hAnsi="Cambria Math" w:cs="Cambria Math"/>
          <w:position w:val="4"/>
          <w:sz w:val="14"/>
          <w:szCs w:val="14"/>
        </w:rPr>
        <w:t xml:space="preserve">1  </w:t>
      </w:r>
      <w:r>
        <w:rPr>
          <w:rFonts w:ascii="Cambria Math" w:eastAsia="Cambria Math" w:hAnsi="Cambria Math" w:cs="Cambria Math"/>
          <w:position w:val="8"/>
          <w:sz w:val="20"/>
          <w:szCs w:val="20"/>
        </w:rPr>
        <w:t>−</w:t>
      </w:r>
      <w:r>
        <w:rPr>
          <w:rFonts w:ascii="Cambria Math" w:eastAsia="Cambria Math" w:hAnsi="Cambria Math" w:cs="Cambria Math"/>
          <w:spacing w:val="16"/>
          <w:position w:val="8"/>
          <w:sz w:val="20"/>
          <w:szCs w:val="20"/>
        </w:rPr>
        <w:t xml:space="preserve"> </w:t>
      </w:r>
      <w:r>
        <w:rPr>
          <w:rFonts w:ascii="Cambria Math" w:eastAsia="Cambria Math" w:hAnsi="Cambria Math" w:cs="Cambria Math"/>
          <w:position w:val="8"/>
          <w:sz w:val="20"/>
          <w:szCs w:val="20"/>
        </w:rPr>
        <w:t>D</w:t>
      </w:r>
      <w:r>
        <w:rPr>
          <w:rFonts w:ascii="Cambria Math" w:eastAsia="Cambria Math" w:hAnsi="Cambria Math" w:cs="Cambria Math"/>
          <w:position w:val="4"/>
          <w:sz w:val="14"/>
          <w:szCs w:val="14"/>
        </w:rPr>
        <w:t>2</w:t>
      </w:r>
      <w:r>
        <w:rPr>
          <w:rFonts w:ascii="Cambria Math" w:eastAsia="Cambria Math" w:hAnsi="Cambria Math" w:cs="Cambria Math"/>
          <w:position w:val="8"/>
          <w:sz w:val="20"/>
          <w:szCs w:val="20"/>
        </w:rPr>
        <w:t>)/2</w:t>
      </w:r>
    </w:p>
    <w:p>
      <w:pPr>
        <w:spacing w:before="1" w:line="226" w:lineRule="auto"/>
        <w:ind w:left="42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1"/>
          <w:sz w:val="20"/>
          <w:szCs w:val="20"/>
        </w:rPr>
        <w:t>式中：</w:t>
      </w:r>
    </w:p>
    <w:p>
      <w:pPr>
        <w:spacing w:before="64" w:line="500" w:lineRule="exact"/>
        <w:ind w:left="421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position w:val="22"/>
          <w:sz w:val="20"/>
          <w:szCs w:val="20"/>
        </w:rPr>
        <w:t>D</w:t>
      </w:r>
      <w:r>
        <w:rPr>
          <w:rFonts w:ascii="SimSun" w:eastAsia="SimSun" w:hAnsi="SimSun" w:cs="SimSun"/>
          <w:position w:val="20"/>
          <w:sz w:val="10"/>
          <w:szCs w:val="10"/>
        </w:rPr>
        <w:t>t</w:t>
      </w:r>
      <w:r>
        <w:rPr>
          <w:rFonts w:ascii="SimSun" w:eastAsia="SimSun" w:hAnsi="SimSun" w:cs="SimSun"/>
          <w:spacing w:val="8"/>
          <w:position w:val="22"/>
          <w:sz w:val="20"/>
          <w:szCs w:val="20"/>
        </w:rPr>
        <w:t>表示轮面厚度。</w:t>
      </w:r>
    </w:p>
    <w:p>
      <w:pPr>
        <w:pStyle w:val="BodyText"/>
        <w:spacing w:before="1" w:line="189" w:lineRule="auto"/>
      </w:pPr>
      <w:r>
        <w:rPr>
          <w:spacing w:val="4"/>
        </w:rPr>
        <w:t>4.4</w:t>
      </w:r>
    </w:p>
    <w:p>
      <w:pPr>
        <w:pStyle w:val="BodyText"/>
        <w:spacing w:before="231" w:line="229" w:lineRule="auto"/>
        <w:ind w:left="429"/>
        <w:outlineLvl w:val="2"/>
      </w:pPr>
      <w:r>
        <w:rPr>
          <w:spacing w:val="17"/>
        </w:rPr>
        <w:t>剪切带厚度</w:t>
      </w:r>
      <w:r>
        <w:rPr>
          <w:spacing w:val="17"/>
        </w:rPr>
        <w:t xml:space="preserve">  </w:t>
      </w:r>
      <w:r>
        <w:t>shear</w:t>
      </w:r>
      <w:r>
        <w:rPr>
          <w:spacing w:val="17"/>
        </w:rPr>
        <w:t xml:space="preserve"> </w:t>
      </w:r>
      <w:r>
        <w:t>band</w:t>
      </w:r>
      <w:r>
        <w:rPr>
          <w:spacing w:val="9"/>
        </w:rPr>
        <w:t xml:space="preserve"> </w:t>
      </w:r>
      <w:r>
        <w:t>thickness</w:t>
      </w:r>
    </w:p>
    <w:p>
      <w:pPr>
        <w:pStyle w:val="BodyText"/>
        <w:spacing w:before="219" w:line="181" w:lineRule="auto"/>
        <w:ind w:left="426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8"/>
        </w:rPr>
        <w:t>剪切带的厚度。计算方法见公式</w:t>
      </w:r>
      <w:r>
        <w:rPr>
          <w:spacing w:val="8"/>
        </w:rPr>
        <w:t>2</w:t>
      </w:r>
      <w:r>
        <w:rPr>
          <w:rFonts w:ascii="SimSun" w:eastAsia="SimSun" w:hAnsi="SimSun" w:cs="SimSun"/>
          <w:spacing w:val="8"/>
        </w:rPr>
        <w:t>。</w:t>
      </w:r>
    </w:p>
    <w:p>
      <w:pPr>
        <w:spacing w:line="426" w:lineRule="exact"/>
        <w:ind w:left="9"/>
        <w:rPr>
          <w:rFonts w:ascii="SimSun" w:eastAsia="SimSun" w:hAnsi="SimSun" w:cs="SimSun"/>
          <w:sz w:val="20"/>
          <w:szCs w:val="20"/>
        </w:rPr>
      </w:pPr>
      <w:r>
        <w:rPr>
          <w:rFonts w:ascii="Cambria Math" w:eastAsia="Cambria Math" w:hAnsi="Cambria Math" w:cs="Cambria Math"/>
          <w:spacing w:val="-1"/>
          <w:position w:val="8"/>
          <w:sz w:val="20"/>
          <w:szCs w:val="20"/>
        </w:rPr>
        <w:t>D</w:t>
      </w:r>
      <w:r>
        <w:rPr>
          <w:rFonts w:ascii="Cambria Math" w:eastAsia="Cambria Math" w:hAnsi="Cambria Math" w:cs="Cambria Math"/>
          <w:spacing w:val="-1"/>
          <w:position w:val="5"/>
          <w:sz w:val="14"/>
          <w:szCs w:val="14"/>
        </w:rPr>
        <w:t>j</w:t>
      </w:r>
      <w:r>
        <w:rPr>
          <w:rFonts w:ascii="Cambria Math" w:eastAsia="Cambria Math" w:hAnsi="Cambria Math" w:cs="Cambria Math"/>
          <w:spacing w:val="10"/>
          <w:position w:val="5"/>
          <w:sz w:val="14"/>
          <w:szCs w:val="14"/>
        </w:rPr>
        <w:t xml:space="preserve">  </w:t>
      </w:r>
      <w:r>
        <w:rPr>
          <w:rFonts w:ascii="Cambria Math" w:eastAsia="Cambria Math" w:hAnsi="Cambria Math" w:cs="Cambria Math"/>
          <w:spacing w:val="-1"/>
          <w:position w:val="8"/>
          <w:sz w:val="20"/>
          <w:szCs w:val="20"/>
        </w:rPr>
        <w:t>=</w:t>
      </w:r>
      <w:r>
        <w:rPr>
          <w:rFonts w:ascii="Cambria Math" w:eastAsia="Cambria Math" w:hAnsi="Cambria Math" w:cs="Cambria Math"/>
          <w:spacing w:val="34"/>
          <w:position w:val="8"/>
          <w:sz w:val="20"/>
          <w:szCs w:val="20"/>
        </w:rPr>
        <w:t xml:space="preserve"> </w:t>
      </w:r>
      <w:r>
        <w:rPr>
          <w:rFonts w:ascii="Cambria Math" w:eastAsia="Cambria Math" w:hAnsi="Cambria Math" w:cs="Cambria Math"/>
          <w:spacing w:val="-1"/>
          <w:position w:val="8"/>
          <w:sz w:val="20"/>
          <w:szCs w:val="20"/>
        </w:rPr>
        <w:t>(D</w:t>
      </w:r>
      <w:r>
        <w:rPr>
          <w:rFonts w:ascii="Cambria Math" w:eastAsia="Cambria Math" w:hAnsi="Cambria Math" w:cs="Cambria Math"/>
          <w:spacing w:val="-1"/>
          <w:position w:val="5"/>
          <w:sz w:val="14"/>
          <w:szCs w:val="14"/>
        </w:rPr>
        <w:t xml:space="preserve">2  </w:t>
      </w:r>
      <w:r>
        <w:rPr>
          <w:rFonts w:ascii="Cambria Math" w:eastAsia="Cambria Math" w:hAnsi="Cambria Math" w:cs="Cambria Math"/>
          <w:spacing w:val="-1"/>
          <w:position w:val="8"/>
          <w:sz w:val="20"/>
          <w:szCs w:val="20"/>
        </w:rPr>
        <w:t>−</w:t>
      </w:r>
      <w:r>
        <w:rPr>
          <w:rFonts w:ascii="Cambria Math" w:eastAsia="Cambria Math" w:hAnsi="Cambria Math" w:cs="Cambria Math"/>
          <w:spacing w:val="14"/>
          <w:position w:val="8"/>
          <w:sz w:val="20"/>
          <w:szCs w:val="20"/>
        </w:rPr>
        <w:t xml:space="preserve"> </w:t>
      </w:r>
      <w:r>
        <w:rPr>
          <w:rFonts w:ascii="Cambria Math" w:eastAsia="Cambria Math" w:hAnsi="Cambria Math" w:cs="Cambria Math"/>
          <w:spacing w:val="-1"/>
          <w:position w:val="8"/>
          <w:sz w:val="20"/>
          <w:szCs w:val="20"/>
        </w:rPr>
        <w:t>D</w:t>
      </w:r>
      <w:r>
        <w:rPr>
          <w:rFonts w:ascii="Cambria Math" w:eastAsia="Cambria Math" w:hAnsi="Cambria Math" w:cs="Cambria Math"/>
          <w:spacing w:val="-1"/>
          <w:position w:val="5"/>
          <w:sz w:val="14"/>
          <w:szCs w:val="14"/>
        </w:rPr>
        <w:t>3</w:t>
      </w:r>
      <w:r>
        <w:rPr>
          <w:rFonts w:ascii="Cambria Math" w:eastAsia="Cambria Math" w:hAnsi="Cambria Math" w:cs="Cambria Math"/>
          <w:spacing w:val="-1"/>
          <w:position w:val="8"/>
          <w:sz w:val="20"/>
          <w:szCs w:val="20"/>
        </w:rPr>
        <w:t xml:space="preserve">)/2                                         </w:t>
      </w:r>
      <w:r>
        <w:rPr>
          <w:rFonts w:ascii="Cambria Math" w:eastAsia="Cambria Math" w:hAnsi="Cambria Math" w:cs="Cambria Math"/>
          <w:spacing w:val="-2"/>
          <w:position w:val="8"/>
          <w:sz w:val="20"/>
          <w:szCs w:val="20"/>
        </w:rPr>
        <w:t xml:space="preserve">                  </w:t>
      </w:r>
      <w:r>
        <w:rPr>
          <w:rFonts w:ascii="SimSun" w:eastAsia="SimSun" w:hAnsi="SimSun" w:cs="SimSun"/>
          <w:spacing w:val="-2"/>
          <w:position w:val="8"/>
          <w:sz w:val="20"/>
          <w:szCs w:val="20"/>
        </w:rPr>
        <w:t>(2)</w:t>
      </w:r>
    </w:p>
    <w:p>
      <w:pPr>
        <w:spacing w:before="2" w:line="229" w:lineRule="auto"/>
        <w:ind w:left="42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1"/>
          <w:sz w:val="20"/>
          <w:szCs w:val="20"/>
        </w:rPr>
        <w:t>式中：</w:t>
      </w:r>
    </w:p>
    <w:p>
      <w:pPr>
        <w:spacing w:before="64" w:line="500" w:lineRule="exact"/>
        <w:ind w:left="421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position w:val="22"/>
          <w:sz w:val="20"/>
          <w:szCs w:val="20"/>
        </w:rPr>
        <w:t>D</w:t>
      </w:r>
      <w:r>
        <w:rPr>
          <w:rFonts w:ascii="SimSun" w:eastAsia="SimSun" w:hAnsi="SimSun" w:cs="SimSun"/>
          <w:position w:val="20"/>
          <w:sz w:val="10"/>
          <w:szCs w:val="10"/>
        </w:rPr>
        <w:t>j</w:t>
      </w:r>
      <w:r>
        <w:rPr>
          <w:rFonts w:ascii="SimSun" w:eastAsia="SimSun" w:hAnsi="SimSun" w:cs="SimSun"/>
          <w:spacing w:val="8"/>
          <w:position w:val="22"/>
          <w:sz w:val="20"/>
          <w:szCs w:val="20"/>
        </w:rPr>
        <w:t>表示剪切带厚度。</w:t>
      </w:r>
    </w:p>
    <w:p>
      <w:pPr>
        <w:pStyle w:val="BodyText"/>
        <w:spacing w:before="1" w:line="189" w:lineRule="auto"/>
      </w:pPr>
      <w:r>
        <w:rPr>
          <w:spacing w:val="4"/>
        </w:rPr>
        <w:t>4.5</w:t>
      </w:r>
    </w:p>
    <w:p>
      <w:pPr>
        <w:pStyle w:val="BodyText"/>
        <w:spacing w:before="231" w:line="226" w:lineRule="auto"/>
        <w:ind w:left="423"/>
        <w:outlineLvl w:val="2"/>
      </w:pPr>
      <w:r>
        <w:rPr>
          <w:spacing w:val="15"/>
        </w:rPr>
        <w:t>外缓冲层厚度</w:t>
      </w:r>
      <w:r>
        <w:rPr>
          <w:spacing w:val="15"/>
        </w:rPr>
        <w:t xml:space="preserve">  </w:t>
      </w:r>
      <w:r>
        <w:t>outer</w:t>
      </w:r>
      <w:r>
        <w:rPr>
          <w:spacing w:val="15"/>
        </w:rPr>
        <w:t xml:space="preserve"> </w:t>
      </w:r>
      <w:r>
        <w:t>buffer</w:t>
      </w:r>
      <w:r>
        <w:rPr>
          <w:spacing w:val="52"/>
        </w:rPr>
        <w:t xml:space="preserve"> </w:t>
      </w:r>
      <w:r>
        <w:t>layer</w:t>
      </w:r>
      <w:r>
        <w:rPr>
          <w:spacing w:val="15"/>
        </w:rPr>
        <w:t xml:space="preserve"> </w:t>
      </w:r>
      <w:r>
        <w:t>thickness</w:t>
      </w:r>
    </w:p>
    <w:p>
      <w:pPr>
        <w:pStyle w:val="BodyText"/>
        <w:spacing w:before="223" w:line="184" w:lineRule="auto"/>
        <w:ind w:left="429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8"/>
        </w:rPr>
        <w:t>外缓冲层的厚度。计算方法见公式</w:t>
      </w:r>
      <w:r>
        <w:rPr>
          <w:spacing w:val="8"/>
        </w:rPr>
        <w:t>3</w:t>
      </w:r>
      <w:r>
        <w:rPr>
          <w:rFonts w:ascii="SimSun" w:eastAsia="SimSun" w:hAnsi="SimSun" w:cs="SimSun"/>
          <w:spacing w:val="8"/>
        </w:rPr>
        <w:t>。</w:t>
      </w:r>
    </w:p>
    <w:p>
      <w:pPr>
        <w:spacing w:line="427" w:lineRule="exact"/>
        <w:ind w:left="9"/>
        <w:rPr>
          <w:rFonts w:ascii="SimSun" w:eastAsia="SimSun" w:hAnsi="SimSun" w:cs="SimSun"/>
          <w:sz w:val="20"/>
          <w:szCs w:val="20"/>
        </w:rPr>
      </w:pPr>
      <w:r>
        <w:rPr>
          <w:rFonts w:ascii="Cambria Math" w:eastAsia="Cambria Math" w:hAnsi="Cambria Math" w:cs="Cambria Math"/>
          <w:position w:val="7"/>
          <w:sz w:val="20"/>
          <w:szCs w:val="20"/>
        </w:rPr>
        <w:t>D</w:t>
      </w:r>
      <w:r>
        <w:rPr>
          <w:rFonts w:ascii="Cambria Math" w:eastAsia="Cambria Math" w:hAnsi="Cambria Math" w:cs="Cambria Math"/>
          <w:position w:val="4"/>
          <w:sz w:val="14"/>
          <w:szCs w:val="14"/>
        </w:rPr>
        <w:t>wℎ</w:t>
      </w:r>
      <w:r>
        <w:rPr>
          <w:rFonts w:ascii="Cambria Math" w:eastAsia="Cambria Math" w:hAnsi="Cambria Math" w:cs="Cambria Math"/>
          <w:spacing w:val="9"/>
          <w:w w:val="103"/>
          <w:position w:val="4"/>
          <w:sz w:val="14"/>
          <w:szCs w:val="14"/>
        </w:rPr>
        <w:t xml:space="preserve">  </w:t>
      </w:r>
      <w:r>
        <w:rPr>
          <w:rFonts w:ascii="Cambria Math" w:eastAsia="Cambria Math" w:hAnsi="Cambria Math" w:cs="Cambria Math"/>
          <w:position w:val="7"/>
          <w:sz w:val="20"/>
          <w:szCs w:val="20"/>
        </w:rPr>
        <w:t>=</w:t>
      </w:r>
      <w:r>
        <w:rPr>
          <w:rFonts w:ascii="Cambria Math" w:eastAsia="Cambria Math" w:hAnsi="Cambria Math" w:cs="Cambria Math"/>
          <w:spacing w:val="31"/>
          <w:w w:val="102"/>
          <w:position w:val="7"/>
          <w:sz w:val="20"/>
          <w:szCs w:val="20"/>
        </w:rPr>
        <w:t xml:space="preserve"> </w:t>
      </w:r>
      <w:r>
        <w:rPr>
          <w:rFonts w:ascii="Cambria Math" w:eastAsia="Cambria Math" w:hAnsi="Cambria Math" w:cs="Cambria Math"/>
          <w:position w:val="7"/>
          <w:sz w:val="20"/>
          <w:szCs w:val="20"/>
        </w:rPr>
        <w:t>(D</w:t>
      </w:r>
      <w:r>
        <w:rPr>
          <w:rFonts w:ascii="Cambria Math" w:eastAsia="Cambria Math" w:hAnsi="Cambria Math" w:cs="Cambria Math"/>
          <w:position w:val="4"/>
          <w:sz w:val="14"/>
          <w:szCs w:val="14"/>
        </w:rPr>
        <w:t xml:space="preserve">3  </w:t>
      </w:r>
      <w:r>
        <w:rPr>
          <w:rFonts w:ascii="Cambria Math" w:eastAsia="Cambria Math" w:hAnsi="Cambria Math" w:cs="Cambria Math"/>
          <w:position w:val="7"/>
          <w:sz w:val="20"/>
          <w:szCs w:val="20"/>
        </w:rPr>
        <w:t>−</w:t>
      </w:r>
      <w:r>
        <w:rPr>
          <w:rFonts w:ascii="Cambria Math" w:eastAsia="Cambria Math" w:hAnsi="Cambria Math" w:cs="Cambria Math"/>
          <w:spacing w:val="13"/>
          <w:w w:val="101"/>
          <w:position w:val="7"/>
          <w:sz w:val="20"/>
          <w:szCs w:val="20"/>
        </w:rPr>
        <w:t xml:space="preserve"> </w:t>
      </w:r>
      <w:r>
        <w:rPr>
          <w:rFonts w:ascii="Cambria Math" w:eastAsia="Cambria Math" w:hAnsi="Cambria Math" w:cs="Cambria Math"/>
          <w:position w:val="7"/>
          <w:sz w:val="20"/>
          <w:szCs w:val="20"/>
        </w:rPr>
        <w:t>D</w:t>
      </w:r>
      <w:r>
        <w:rPr>
          <w:rFonts w:ascii="Cambria Math" w:eastAsia="Cambria Math" w:hAnsi="Cambria Math" w:cs="Cambria Math"/>
          <w:position w:val="4"/>
          <w:sz w:val="14"/>
          <w:szCs w:val="14"/>
        </w:rPr>
        <w:t>4</w:t>
      </w:r>
      <w:r>
        <w:rPr>
          <w:rFonts w:ascii="Cambria Math" w:eastAsia="Cambria Math" w:hAnsi="Cambria Math" w:cs="Cambria Math"/>
          <w:position w:val="7"/>
          <w:sz w:val="20"/>
          <w:szCs w:val="20"/>
        </w:rPr>
        <w:t xml:space="preserve">)/2                                  </w:t>
      </w:r>
      <w:r>
        <w:rPr>
          <w:rFonts w:ascii="Cambria Math" w:eastAsia="Cambria Math" w:hAnsi="Cambria Math" w:cs="Cambria Math"/>
          <w:spacing w:val="-1"/>
          <w:position w:val="7"/>
          <w:sz w:val="20"/>
          <w:szCs w:val="20"/>
        </w:rPr>
        <w:t xml:space="preserve">                    </w:t>
      </w:r>
      <w:r>
        <w:rPr>
          <w:rFonts w:ascii="SimSun" w:eastAsia="SimSun" w:hAnsi="SimSun" w:cs="SimSun"/>
          <w:spacing w:val="-1"/>
          <w:position w:val="7"/>
          <w:sz w:val="20"/>
          <w:szCs w:val="20"/>
        </w:rPr>
        <w:t>(3)</w:t>
      </w:r>
    </w:p>
    <w:p>
      <w:pPr>
        <w:spacing w:before="1" w:line="226" w:lineRule="auto"/>
        <w:ind w:left="42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1"/>
          <w:sz w:val="20"/>
          <w:szCs w:val="20"/>
        </w:rPr>
        <w:t>式中：</w:t>
      </w:r>
    </w:p>
    <w:p>
      <w:pPr>
        <w:spacing w:before="63" w:line="501" w:lineRule="exact"/>
        <w:ind w:left="421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position w:val="22"/>
          <w:sz w:val="20"/>
          <w:szCs w:val="20"/>
        </w:rPr>
        <w:t>D</w:t>
      </w:r>
      <w:r>
        <w:rPr>
          <w:rFonts w:ascii="SimSun" w:eastAsia="SimSun" w:hAnsi="SimSun" w:cs="SimSun"/>
          <w:position w:val="20"/>
          <w:sz w:val="10"/>
          <w:szCs w:val="10"/>
        </w:rPr>
        <w:t>wh</w:t>
      </w:r>
      <w:r>
        <w:rPr>
          <w:rFonts w:ascii="SimSun" w:eastAsia="SimSun" w:hAnsi="SimSun" w:cs="SimSun"/>
          <w:spacing w:val="9"/>
          <w:position w:val="22"/>
          <w:sz w:val="20"/>
          <w:szCs w:val="20"/>
        </w:rPr>
        <w:t>表示外缓冲层厚度。</w:t>
      </w:r>
    </w:p>
    <w:p>
      <w:pPr>
        <w:pStyle w:val="BodyText"/>
        <w:spacing w:line="189" w:lineRule="auto"/>
      </w:pPr>
      <w:r>
        <w:rPr>
          <w:spacing w:val="4"/>
        </w:rPr>
        <w:t>4.6</w:t>
      </w:r>
    </w:p>
    <w:p>
      <w:pPr>
        <w:pStyle w:val="BodyText"/>
        <w:spacing w:before="231" w:line="226" w:lineRule="auto"/>
        <w:ind w:left="432"/>
        <w:outlineLvl w:val="2"/>
      </w:pPr>
      <w:r>
        <w:rPr>
          <w:spacing w:val="15"/>
        </w:rPr>
        <w:t>支撑体高度</w:t>
      </w:r>
      <w:r>
        <w:rPr>
          <w:spacing w:val="15"/>
        </w:rPr>
        <w:t xml:space="preserve">  </w:t>
      </w:r>
      <w:r>
        <w:t>support</w:t>
      </w:r>
      <w:r>
        <w:rPr>
          <w:spacing w:val="19"/>
        </w:rPr>
        <w:t xml:space="preserve"> </w:t>
      </w:r>
      <w:r>
        <w:t>body</w:t>
      </w:r>
      <w:r>
        <w:rPr>
          <w:spacing w:val="16"/>
        </w:rPr>
        <w:t xml:space="preserve"> </w:t>
      </w:r>
      <w:r>
        <w:t>height</w:t>
      </w:r>
    </w:p>
    <w:p>
      <w:pPr>
        <w:pStyle w:val="BodyText"/>
        <w:spacing w:before="223" w:line="184" w:lineRule="auto"/>
        <w:ind w:left="426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8"/>
        </w:rPr>
        <w:t>支撑体的高度。计算方法见公式</w:t>
      </w:r>
      <w:r>
        <w:rPr>
          <w:spacing w:val="8"/>
        </w:rPr>
        <w:t>4</w:t>
      </w:r>
      <w:r>
        <w:rPr>
          <w:rFonts w:ascii="SimSun" w:eastAsia="SimSun" w:hAnsi="SimSun" w:cs="SimSun"/>
          <w:spacing w:val="8"/>
        </w:rPr>
        <w:t>。</w:t>
      </w:r>
    </w:p>
    <w:p>
      <w:pPr>
        <w:spacing w:line="427" w:lineRule="exact"/>
        <w:ind w:left="9"/>
        <w:rPr>
          <w:rFonts w:ascii="SimSun" w:eastAsia="SimSun" w:hAnsi="SimSun" w:cs="SimSun"/>
          <w:sz w:val="20"/>
          <w:szCs w:val="20"/>
        </w:rPr>
      </w:pPr>
      <w:r>
        <w:rPr>
          <w:rFonts w:ascii="Cambria Math" w:eastAsia="Cambria Math" w:hAnsi="Cambria Math" w:cs="Cambria Math"/>
          <w:spacing w:val="-1"/>
          <w:position w:val="7"/>
          <w:sz w:val="20"/>
          <w:szCs w:val="20"/>
        </w:rPr>
        <w:t>D</w:t>
      </w:r>
      <w:r>
        <w:rPr>
          <w:rFonts w:ascii="Cambria Math" w:eastAsia="Cambria Math" w:hAnsi="Cambria Math" w:cs="Cambria Math"/>
          <w:spacing w:val="-1"/>
          <w:position w:val="3"/>
          <w:sz w:val="14"/>
          <w:szCs w:val="14"/>
        </w:rPr>
        <w:t>z</w:t>
      </w:r>
      <w:r>
        <w:rPr>
          <w:rFonts w:ascii="Cambria Math" w:eastAsia="Cambria Math" w:hAnsi="Cambria Math" w:cs="Cambria Math"/>
          <w:spacing w:val="10"/>
          <w:w w:val="102"/>
          <w:position w:val="3"/>
          <w:sz w:val="14"/>
          <w:szCs w:val="14"/>
        </w:rPr>
        <w:t xml:space="preserve">  </w:t>
      </w:r>
      <w:r>
        <w:rPr>
          <w:rFonts w:ascii="Cambria Math" w:eastAsia="Cambria Math" w:hAnsi="Cambria Math" w:cs="Cambria Math"/>
          <w:spacing w:val="-1"/>
          <w:position w:val="7"/>
          <w:sz w:val="20"/>
          <w:szCs w:val="20"/>
        </w:rPr>
        <w:t>=</w:t>
      </w:r>
      <w:r>
        <w:rPr>
          <w:rFonts w:ascii="Cambria Math" w:eastAsia="Cambria Math" w:hAnsi="Cambria Math" w:cs="Cambria Math"/>
          <w:spacing w:val="34"/>
          <w:position w:val="7"/>
          <w:sz w:val="20"/>
          <w:szCs w:val="20"/>
        </w:rPr>
        <w:t xml:space="preserve"> </w:t>
      </w:r>
      <w:r>
        <w:rPr>
          <w:rFonts w:ascii="Cambria Math" w:eastAsia="Cambria Math" w:hAnsi="Cambria Math" w:cs="Cambria Math"/>
          <w:spacing w:val="-1"/>
          <w:position w:val="7"/>
          <w:sz w:val="20"/>
          <w:szCs w:val="20"/>
        </w:rPr>
        <w:t>(D</w:t>
      </w:r>
      <w:r>
        <w:rPr>
          <w:rFonts w:ascii="Cambria Math" w:eastAsia="Cambria Math" w:hAnsi="Cambria Math" w:cs="Cambria Math"/>
          <w:spacing w:val="-1"/>
          <w:position w:val="3"/>
          <w:sz w:val="14"/>
          <w:szCs w:val="14"/>
        </w:rPr>
        <w:t xml:space="preserve">4  </w:t>
      </w:r>
      <w:r>
        <w:rPr>
          <w:rFonts w:ascii="Cambria Math" w:eastAsia="Cambria Math" w:hAnsi="Cambria Math" w:cs="Cambria Math"/>
          <w:spacing w:val="-1"/>
          <w:position w:val="7"/>
          <w:sz w:val="20"/>
          <w:szCs w:val="20"/>
        </w:rPr>
        <w:t>−</w:t>
      </w:r>
      <w:r>
        <w:rPr>
          <w:rFonts w:ascii="Cambria Math" w:eastAsia="Cambria Math" w:hAnsi="Cambria Math" w:cs="Cambria Math"/>
          <w:spacing w:val="16"/>
          <w:w w:val="101"/>
          <w:position w:val="7"/>
          <w:sz w:val="20"/>
          <w:szCs w:val="20"/>
        </w:rPr>
        <w:t xml:space="preserve"> </w:t>
      </w:r>
      <w:r>
        <w:rPr>
          <w:rFonts w:ascii="Cambria Math" w:eastAsia="Cambria Math" w:hAnsi="Cambria Math" w:cs="Cambria Math"/>
          <w:spacing w:val="-1"/>
          <w:position w:val="7"/>
          <w:sz w:val="20"/>
          <w:szCs w:val="20"/>
        </w:rPr>
        <w:t>D</w:t>
      </w:r>
      <w:r>
        <w:rPr>
          <w:rFonts w:ascii="Cambria Math" w:eastAsia="Cambria Math" w:hAnsi="Cambria Math" w:cs="Cambria Math"/>
          <w:spacing w:val="-1"/>
          <w:position w:val="3"/>
          <w:sz w:val="14"/>
          <w:szCs w:val="14"/>
        </w:rPr>
        <w:t>5</w:t>
      </w:r>
      <w:r>
        <w:rPr>
          <w:rFonts w:ascii="Cambria Math" w:eastAsia="Cambria Math" w:hAnsi="Cambria Math" w:cs="Cambria Math"/>
          <w:spacing w:val="-1"/>
          <w:position w:val="7"/>
          <w:sz w:val="20"/>
          <w:szCs w:val="20"/>
        </w:rPr>
        <w:t xml:space="preserve">)/2                                                     </w:t>
      </w:r>
      <w:r>
        <w:rPr>
          <w:rFonts w:ascii="Cambria Math" w:eastAsia="Cambria Math" w:hAnsi="Cambria Math" w:cs="Cambria Math"/>
          <w:spacing w:val="-2"/>
          <w:position w:val="7"/>
          <w:sz w:val="20"/>
          <w:szCs w:val="20"/>
        </w:rPr>
        <w:t xml:space="preserve">     </w:t>
      </w:r>
      <w:r>
        <w:rPr>
          <w:rFonts w:ascii="SimSun" w:eastAsia="SimSun" w:hAnsi="SimSun" w:cs="SimSun"/>
          <w:spacing w:val="-2"/>
          <w:position w:val="7"/>
          <w:sz w:val="20"/>
          <w:szCs w:val="20"/>
        </w:rPr>
        <w:t>(4)</w:t>
      </w:r>
    </w:p>
    <w:p>
      <w:pPr>
        <w:spacing w:before="1" w:line="226" w:lineRule="auto"/>
        <w:ind w:left="42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1"/>
          <w:sz w:val="20"/>
          <w:szCs w:val="20"/>
        </w:rPr>
        <w:t>式中：</w:t>
      </w:r>
    </w:p>
    <w:p>
      <w:pPr>
        <w:spacing w:before="64" w:line="500" w:lineRule="exact"/>
        <w:ind w:left="421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position w:val="22"/>
          <w:sz w:val="20"/>
          <w:szCs w:val="20"/>
        </w:rPr>
        <w:t>Dz</w:t>
      </w:r>
      <w:r>
        <w:rPr>
          <w:rFonts w:ascii="SimSun" w:eastAsia="SimSun" w:hAnsi="SimSun" w:cs="SimSun"/>
          <w:spacing w:val="9"/>
          <w:position w:val="22"/>
          <w:sz w:val="20"/>
          <w:szCs w:val="20"/>
        </w:rPr>
        <w:t>表示支撑体的高度。</w:t>
      </w:r>
    </w:p>
    <w:p>
      <w:pPr>
        <w:pStyle w:val="BodyText"/>
        <w:spacing w:line="189" w:lineRule="auto"/>
      </w:pPr>
      <w:r>
        <w:rPr>
          <w:spacing w:val="4"/>
        </w:rPr>
        <w:t>4.7</w:t>
      </w:r>
    </w:p>
    <w:p>
      <w:pPr>
        <w:pStyle w:val="BodyText"/>
        <w:spacing w:before="231" w:line="226" w:lineRule="auto"/>
        <w:ind w:left="438"/>
        <w:outlineLvl w:val="2"/>
        <w:sectPr>
          <w:footerReference w:type="default" r:id="rId11"/>
          <w:pgSz w:w="11906" w:h="16839"/>
          <w:pgMar w:top="1363" w:right="1785" w:bottom="1317" w:left="1420" w:header="0" w:footer="1139" w:gutter="0"/>
          <w:pgNumType w:start="7"/>
          <w:cols w:space="708"/>
        </w:sectPr>
      </w:pPr>
      <w:r>
        <w:rPr>
          <w:spacing w:val="10"/>
        </w:rPr>
        <w:t>内缓冲层厚度</w:t>
      </w:r>
      <w:r>
        <w:rPr>
          <w:spacing w:val="30"/>
        </w:rPr>
        <w:t xml:space="preserve">  </w:t>
      </w:r>
      <w:r>
        <w:t>inner</w:t>
      </w:r>
      <w:r>
        <w:rPr>
          <w:spacing w:val="10"/>
        </w:rPr>
        <w:t xml:space="preserve"> </w:t>
      </w:r>
      <w:r>
        <w:t>buffer</w:t>
      </w:r>
      <w:r>
        <w:rPr>
          <w:spacing w:val="47"/>
        </w:rPr>
        <w:t xml:space="preserve"> </w:t>
      </w:r>
      <w:r>
        <w:t>layer</w:t>
      </w:r>
      <w:r>
        <w:rPr>
          <w:spacing w:val="10"/>
        </w:rPr>
        <w:t xml:space="preserve"> </w:t>
      </w:r>
      <w:r>
        <w:t>thickness</w:t>
      </w:r>
    </w:p>
    <w:p>
      <w:pPr>
        <w:pStyle w:val="BodyText"/>
        <w:spacing w:before="223" w:line="184" w:lineRule="auto"/>
        <w:ind w:left="450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7"/>
        </w:rPr>
        <w:t>内缓冲层的厚度。计算方法见公式</w:t>
      </w:r>
      <w:r>
        <w:rPr>
          <w:spacing w:val="7"/>
        </w:rPr>
        <w:t>5</w:t>
      </w:r>
      <w:r>
        <w:rPr>
          <w:rFonts w:ascii="SimSun" w:eastAsia="SimSun" w:hAnsi="SimSun" w:cs="SimSun"/>
          <w:spacing w:val="7"/>
        </w:rPr>
        <w:t>。</w:t>
      </w:r>
    </w:p>
    <w:p>
      <w:pPr>
        <w:spacing w:line="427" w:lineRule="exact"/>
        <w:ind w:left="9"/>
        <w:rPr>
          <w:rFonts w:ascii="SimSun" w:eastAsia="SimSun" w:hAnsi="SimSun" w:cs="SimSun"/>
          <w:sz w:val="20"/>
          <w:szCs w:val="20"/>
        </w:rPr>
      </w:pPr>
      <w:r>
        <w:rPr>
          <w:rFonts w:ascii="Cambria Math" w:eastAsia="Cambria Math" w:hAnsi="Cambria Math" w:cs="Cambria Math"/>
          <w:position w:val="7"/>
          <w:sz w:val="20"/>
          <w:szCs w:val="20"/>
        </w:rPr>
        <w:t>D</w:t>
      </w:r>
      <w:r>
        <w:rPr>
          <w:rFonts w:ascii="Cambria Math" w:eastAsia="Cambria Math" w:hAnsi="Cambria Math" w:cs="Cambria Math"/>
          <w:position w:val="4"/>
          <w:sz w:val="14"/>
          <w:szCs w:val="14"/>
        </w:rPr>
        <w:t xml:space="preserve">nℎ= </w:t>
      </w:r>
      <w:r>
        <w:rPr>
          <w:rFonts w:ascii="Cambria Math" w:eastAsia="Cambria Math" w:hAnsi="Cambria Math" w:cs="Cambria Math"/>
          <w:position w:val="7"/>
          <w:sz w:val="20"/>
          <w:szCs w:val="20"/>
        </w:rPr>
        <w:t>(D</w:t>
      </w:r>
      <w:r>
        <w:rPr>
          <w:rFonts w:ascii="Cambria Math" w:eastAsia="Cambria Math" w:hAnsi="Cambria Math" w:cs="Cambria Math"/>
          <w:position w:val="4"/>
          <w:sz w:val="14"/>
          <w:szCs w:val="14"/>
        </w:rPr>
        <w:t xml:space="preserve">5  </w:t>
      </w:r>
      <w:r>
        <w:rPr>
          <w:rFonts w:ascii="Cambria Math" w:eastAsia="Cambria Math" w:hAnsi="Cambria Math" w:cs="Cambria Math"/>
          <w:position w:val="7"/>
          <w:sz w:val="20"/>
          <w:szCs w:val="20"/>
        </w:rPr>
        <w:t>−</w:t>
      </w:r>
      <w:r>
        <w:rPr>
          <w:rFonts w:ascii="Cambria Math" w:eastAsia="Cambria Math" w:hAnsi="Cambria Math" w:cs="Cambria Math"/>
          <w:spacing w:val="16"/>
          <w:position w:val="7"/>
          <w:sz w:val="20"/>
          <w:szCs w:val="20"/>
        </w:rPr>
        <w:t xml:space="preserve"> </w:t>
      </w:r>
      <w:r>
        <w:rPr>
          <w:rFonts w:ascii="Cambria Math" w:eastAsia="Cambria Math" w:hAnsi="Cambria Math" w:cs="Cambria Math"/>
          <w:position w:val="7"/>
          <w:sz w:val="20"/>
          <w:szCs w:val="20"/>
        </w:rPr>
        <w:t>D</w:t>
      </w:r>
      <w:r>
        <w:rPr>
          <w:rFonts w:ascii="Cambria Math" w:eastAsia="Cambria Math" w:hAnsi="Cambria Math" w:cs="Cambria Math"/>
          <w:position w:val="4"/>
          <w:sz w:val="14"/>
          <w:szCs w:val="14"/>
        </w:rPr>
        <w:t>6</w:t>
      </w:r>
      <w:r>
        <w:rPr>
          <w:rFonts w:ascii="Cambria Math" w:eastAsia="Cambria Math" w:hAnsi="Cambria Math" w:cs="Cambria Math"/>
          <w:position w:val="7"/>
          <w:sz w:val="20"/>
          <w:szCs w:val="20"/>
        </w:rPr>
        <w:t xml:space="preserve">)/2                                                          </w:t>
      </w:r>
      <w:r>
        <w:rPr>
          <w:rFonts w:ascii="SimSun" w:eastAsia="SimSun" w:hAnsi="SimSun" w:cs="SimSun"/>
          <w:position w:val="7"/>
          <w:sz w:val="20"/>
          <w:szCs w:val="20"/>
        </w:rPr>
        <w:t>(5)</w:t>
      </w:r>
    </w:p>
    <w:p>
      <w:pPr>
        <w:spacing w:before="1" w:line="226" w:lineRule="auto"/>
        <w:ind w:left="42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1"/>
          <w:sz w:val="20"/>
          <w:szCs w:val="20"/>
        </w:rPr>
        <w:t>式中：</w:t>
      </w:r>
    </w:p>
    <w:p>
      <w:pPr>
        <w:spacing w:before="64" w:line="500" w:lineRule="exact"/>
        <w:ind w:left="421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position w:val="22"/>
          <w:sz w:val="20"/>
          <w:szCs w:val="20"/>
        </w:rPr>
        <w:t>D</w:t>
      </w:r>
      <w:r>
        <w:rPr>
          <w:rFonts w:ascii="SimSun" w:eastAsia="SimSun" w:hAnsi="SimSun" w:cs="SimSun"/>
          <w:position w:val="20"/>
          <w:sz w:val="10"/>
          <w:szCs w:val="10"/>
        </w:rPr>
        <w:t>nh</w:t>
      </w:r>
      <w:r>
        <w:rPr>
          <w:rFonts w:ascii="SimSun" w:eastAsia="SimSun" w:hAnsi="SimSun" w:cs="SimSun"/>
          <w:spacing w:val="9"/>
          <w:position w:val="22"/>
          <w:sz w:val="20"/>
          <w:szCs w:val="20"/>
        </w:rPr>
        <w:t>表示内缓冲层的厚度。</w:t>
      </w:r>
    </w:p>
    <w:p>
      <w:pPr>
        <w:pStyle w:val="BodyText"/>
        <w:spacing w:before="1" w:line="189" w:lineRule="auto"/>
      </w:pPr>
      <w:r>
        <w:rPr>
          <w:spacing w:val="4"/>
        </w:rPr>
        <w:t>4.8</w:t>
      </w:r>
    </w:p>
    <w:p>
      <w:pPr>
        <w:pStyle w:val="BodyText"/>
        <w:spacing w:before="230" w:line="232" w:lineRule="auto"/>
        <w:ind w:left="438"/>
        <w:outlineLvl w:val="2"/>
      </w:pPr>
      <w:r>
        <w:rPr>
          <w:spacing w:val="8"/>
        </w:rPr>
        <w:t>内直径</w:t>
      </w:r>
      <w:r>
        <w:rPr>
          <w:spacing w:val="27"/>
        </w:rPr>
        <w:t xml:space="preserve">  </w:t>
      </w:r>
      <w:r>
        <w:t>inner</w:t>
      </w:r>
      <w:r>
        <w:rPr>
          <w:spacing w:val="8"/>
        </w:rPr>
        <w:t xml:space="preserve"> </w:t>
      </w:r>
      <w:r>
        <w:t>diameter</w:t>
      </w:r>
    </w:p>
    <w:p>
      <w:pPr>
        <w:spacing w:line="232" w:lineRule="auto"/>
        <w:sectPr>
          <w:footerReference w:type="default" r:id="rId12"/>
          <w:type w:val="nextPage"/>
          <w:pgSz w:w="11906" w:h="16839"/>
          <w:pgMar w:top="1363" w:right="1785" w:bottom="1317" w:left="1420" w:header="0" w:footer="1139" w:gutter="0"/>
          <w:pgNumType w:start="8"/>
          <w:cols w:space="708"/>
          <w:titlePg w:val="0"/>
        </w:sectPr>
      </w:pPr>
    </w:p>
    <w:p>
      <w:pPr>
        <w:pStyle w:val="BodyText"/>
        <w:spacing w:before="54" w:line="275" w:lineRule="exact"/>
        <w:ind w:left="7326"/>
      </w:pPr>
      <w:r>
        <w:rPr>
          <w:rFonts w:ascii="Times New Roman" w:eastAsia="Times New Roman" w:hAnsi="Times New Roman" w:cs="Times New Roman"/>
          <w:spacing w:val="10"/>
          <w:position w:val="1"/>
        </w:rPr>
        <w:t>T/</w:t>
      </w:r>
      <w:r>
        <w:rPr>
          <w:rFonts w:ascii="Times New Roman" w:eastAsia="Times New Roman" w:hAnsi="Times New Roman" w:cs="Times New Roman"/>
          <w:position w:val="1"/>
        </w:rPr>
        <w:t>GDSAIA</w:t>
      </w:r>
      <w:r>
        <w:rPr>
          <w:rFonts w:ascii="Times New Roman" w:eastAsia="Times New Roman" w:hAnsi="Times New Roman" w:cs="Times New Roman"/>
          <w:spacing w:val="10"/>
          <w:position w:val="1"/>
        </w:rPr>
        <w:t xml:space="preserve">  </w:t>
      </w:r>
      <w:r>
        <w:rPr>
          <w:position w:val="1"/>
        </w:rPr>
        <w:t>XXX</w:t>
      </w:r>
      <w:r>
        <w:rPr>
          <w:spacing w:val="10"/>
          <w:position w:val="1"/>
        </w:rPr>
        <w:t>—2024</w:t>
      </w:r>
    </w:p>
    <w:p>
      <w:pPr>
        <w:pStyle w:val="BodyText"/>
        <w:spacing w:before="270" w:line="499" w:lineRule="exact"/>
        <w:ind w:left="428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8"/>
          <w:position w:val="22"/>
        </w:rPr>
        <w:t>非充气弹性支撑轮内直径，也是轮辋外径。见图</w:t>
      </w:r>
      <w:r>
        <w:rPr>
          <w:spacing w:val="8"/>
          <w:position w:val="22"/>
        </w:rPr>
        <w:t>1</w:t>
      </w:r>
      <w:r>
        <w:rPr>
          <w:rFonts w:ascii="SimSun" w:eastAsia="SimSun" w:hAnsi="SimSun" w:cs="SimSun"/>
          <w:spacing w:val="8"/>
          <w:position w:val="22"/>
        </w:rPr>
        <w:t>。</w:t>
      </w:r>
    </w:p>
    <w:p>
      <w:pPr>
        <w:pStyle w:val="BodyText"/>
        <w:spacing w:line="190" w:lineRule="auto"/>
      </w:pPr>
      <w:r>
        <w:rPr>
          <w:spacing w:val="4"/>
        </w:rPr>
        <w:t>4.9</w:t>
      </w:r>
    </w:p>
    <w:p>
      <w:pPr>
        <w:pStyle w:val="BodyText"/>
        <w:spacing w:before="230" w:line="226" w:lineRule="auto"/>
        <w:ind w:left="433"/>
        <w:outlineLvl w:val="2"/>
      </w:pPr>
      <w:r>
        <w:rPr>
          <w:spacing w:val="14"/>
        </w:rPr>
        <w:t>断面高度</w:t>
      </w:r>
      <w:r>
        <w:rPr>
          <w:spacing w:val="14"/>
        </w:rPr>
        <w:t xml:space="preserve">  </w:t>
      </w:r>
      <w:r>
        <w:t>section</w:t>
      </w:r>
      <w:r>
        <w:rPr>
          <w:spacing w:val="17"/>
        </w:rPr>
        <w:t xml:space="preserve"> </w:t>
      </w:r>
      <w:r>
        <w:t>height</w:t>
      </w:r>
    </w:p>
    <w:p>
      <w:pPr>
        <w:pStyle w:val="BodyText"/>
        <w:spacing w:before="222" w:line="191" w:lineRule="auto"/>
        <w:ind w:left="433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7"/>
        </w:rPr>
        <w:t>断面的高度。计算方法见公式</w:t>
      </w:r>
      <w:r>
        <w:rPr>
          <w:spacing w:val="7"/>
        </w:rPr>
        <w:t>6</w:t>
      </w:r>
      <w:r>
        <w:rPr>
          <w:rFonts w:ascii="SimSun" w:eastAsia="SimSun" w:hAnsi="SimSun" w:cs="SimSun"/>
          <w:spacing w:val="7"/>
        </w:rPr>
        <w:t>。</w:t>
      </w:r>
    </w:p>
    <w:p>
      <w:pPr>
        <w:spacing w:line="427" w:lineRule="exact"/>
        <w:ind w:left="9"/>
        <w:rPr>
          <w:rFonts w:ascii="SimSun" w:eastAsia="SimSun" w:hAnsi="SimSun" w:cs="SimSun"/>
          <w:sz w:val="20"/>
          <w:szCs w:val="20"/>
        </w:rPr>
      </w:pPr>
      <w:r>
        <w:rPr>
          <w:rFonts w:ascii="Cambria Math" w:eastAsia="Cambria Math" w:hAnsi="Cambria Math" w:cs="Cambria Math"/>
          <w:spacing w:val="-4"/>
          <w:position w:val="7"/>
          <w:sz w:val="20"/>
          <w:szCs w:val="20"/>
        </w:rPr>
        <w:t>D</w:t>
      </w:r>
      <w:r>
        <w:rPr>
          <w:rFonts w:ascii="Cambria Math" w:eastAsia="Cambria Math" w:hAnsi="Cambria Math" w:cs="Cambria Math"/>
          <w:spacing w:val="-4"/>
          <w:position w:val="3"/>
          <w:sz w:val="14"/>
          <w:szCs w:val="14"/>
        </w:rPr>
        <w:t>ℎ</w:t>
      </w:r>
      <w:r>
        <w:rPr>
          <w:rFonts w:ascii="Cambria Math" w:eastAsia="Cambria Math" w:hAnsi="Cambria Math" w:cs="Cambria Math"/>
          <w:spacing w:val="15"/>
          <w:position w:val="3"/>
          <w:sz w:val="14"/>
          <w:szCs w:val="14"/>
        </w:rPr>
        <w:t xml:space="preserve">  </w:t>
      </w:r>
      <w:r>
        <w:rPr>
          <w:rFonts w:ascii="Cambria Math" w:eastAsia="Cambria Math" w:hAnsi="Cambria Math" w:cs="Cambria Math"/>
          <w:spacing w:val="-4"/>
          <w:position w:val="7"/>
          <w:sz w:val="20"/>
          <w:szCs w:val="20"/>
        </w:rPr>
        <w:t>=</w:t>
      </w:r>
      <w:r>
        <w:rPr>
          <w:rFonts w:ascii="Cambria Math" w:eastAsia="Cambria Math" w:hAnsi="Cambria Math" w:cs="Cambria Math"/>
          <w:spacing w:val="29"/>
          <w:w w:val="101"/>
          <w:position w:val="7"/>
          <w:sz w:val="20"/>
          <w:szCs w:val="20"/>
        </w:rPr>
        <w:t xml:space="preserve"> </w:t>
      </w:r>
      <w:r>
        <w:rPr>
          <w:rFonts w:ascii="Cambria Math" w:eastAsia="Cambria Math" w:hAnsi="Cambria Math" w:cs="Cambria Math"/>
          <w:spacing w:val="-4"/>
          <w:position w:val="7"/>
          <w:sz w:val="20"/>
          <w:szCs w:val="20"/>
        </w:rPr>
        <w:t>(D</w:t>
      </w:r>
      <w:r>
        <w:rPr>
          <w:rFonts w:ascii="Cambria Math" w:eastAsia="Cambria Math" w:hAnsi="Cambria Math" w:cs="Cambria Math"/>
          <w:spacing w:val="-4"/>
          <w:position w:val="3"/>
          <w:sz w:val="14"/>
          <w:szCs w:val="14"/>
        </w:rPr>
        <w:t xml:space="preserve">1  </w:t>
      </w:r>
      <w:r>
        <w:rPr>
          <w:rFonts w:ascii="Cambria Math" w:eastAsia="Cambria Math" w:hAnsi="Cambria Math" w:cs="Cambria Math"/>
          <w:spacing w:val="-4"/>
          <w:position w:val="7"/>
          <w:sz w:val="20"/>
          <w:szCs w:val="20"/>
        </w:rPr>
        <w:t>−</w:t>
      </w:r>
      <w:r>
        <w:rPr>
          <w:rFonts w:ascii="Cambria Math" w:eastAsia="Cambria Math" w:hAnsi="Cambria Math" w:cs="Cambria Math"/>
          <w:spacing w:val="16"/>
          <w:position w:val="7"/>
          <w:sz w:val="20"/>
          <w:szCs w:val="20"/>
        </w:rPr>
        <w:t xml:space="preserve"> </w:t>
      </w:r>
      <w:r>
        <w:rPr>
          <w:rFonts w:ascii="Cambria Math" w:eastAsia="Cambria Math" w:hAnsi="Cambria Math" w:cs="Cambria Math"/>
          <w:spacing w:val="-4"/>
          <w:position w:val="7"/>
          <w:sz w:val="20"/>
          <w:szCs w:val="20"/>
        </w:rPr>
        <w:t>D</w:t>
      </w:r>
      <w:r>
        <w:rPr>
          <w:rFonts w:ascii="Cambria Math" w:eastAsia="Cambria Math" w:hAnsi="Cambria Math" w:cs="Cambria Math"/>
          <w:spacing w:val="-4"/>
          <w:position w:val="3"/>
          <w:sz w:val="14"/>
          <w:szCs w:val="14"/>
        </w:rPr>
        <w:t>6</w:t>
      </w:r>
      <w:r>
        <w:rPr>
          <w:rFonts w:ascii="Cambria Math" w:eastAsia="Cambria Math" w:hAnsi="Cambria Math" w:cs="Cambria Math"/>
          <w:spacing w:val="11"/>
          <w:position w:val="3"/>
          <w:sz w:val="14"/>
          <w:szCs w:val="14"/>
        </w:rPr>
        <w:t xml:space="preserve"> </w:t>
      </w:r>
      <w:r>
        <w:rPr>
          <w:rFonts w:ascii="SimSun" w:eastAsia="SimSun" w:hAnsi="SimSun" w:cs="SimSun"/>
          <w:spacing w:val="-4"/>
          <w:position w:val="7"/>
          <w:sz w:val="20"/>
          <w:szCs w:val="20"/>
        </w:rPr>
        <w:t>）</w:t>
      </w:r>
      <w:r>
        <w:rPr>
          <w:rFonts w:ascii="Cambria Math" w:eastAsia="Cambria Math" w:hAnsi="Cambria Math" w:cs="Cambria Math"/>
          <w:spacing w:val="-4"/>
          <w:position w:val="7"/>
          <w:sz w:val="20"/>
          <w:szCs w:val="20"/>
        </w:rPr>
        <w:t>/2</w:t>
      </w:r>
      <w:r>
        <w:rPr>
          <w:rFonts w:ascii="Cambria Math" w:eastAsia="Cambria Math" w:hAnsi="Cambria Math" w:cs="Cambria Math"/>
          <w:spacing w:val="1"/>
          <w:position w:val="7"/>
          <w:sz w:val="20"/>
          <w:szCs w:val="20"/>
        </w:rPr>
        <w:t xml:space="preserve">                           </w:t>
      </w:r>
      <w:r>
        <w:rPr>
          <w:rFonts w:ascii="Cambria Math" w:eastAsia="Cambria Math" w:hAnsi="Cambria Math" w:cs="Cambria Math"/>
          <w:position w:val="7"/>
          <w:sz w:val="20"/>
          <w:szCs w:val="20"/>
        </w:rPr>
        <w:t xml:space="preserve">                          </w:t>
      </w:r>
      <w:r>
        <w:rPr>
          <w:rFonts w:ascii="SimSun" w:eastAsia="SimSun" w:hAnsi="SimSun" w:cs="SimSun"/>
          <w:spacing w:val="-4"/>
          <w:position w:val="7"/>
          <w:sz w:val="20"/>
          <w:szCs w:val="20"/>
        </w:rPr>
        <w:t>(6)</w:t>
      </w:r>
    </w:p>
    <w:p>
      <w:pPr>
        <w:spacing w:line="220" w:lineRule="auto"/>
        <w:ind w:left="42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1"/>
          <w:sz w:val="20"/>
          <w:szCs w:val="20"/>
        </w:rPr>
        <w:t>式中：</w:t>
      </w:r>
    </w:p>
    <w:p>
      <w:pPr>
        <w:spacing w:before="64" w:line="499" w:lineRule="exact"/>
        <w:ind w:left="421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position w:val="22"/>
          <w:sz w:val="20"/>
          <w:szCs w:val="20"/>
        </w:rPr>
        <w:t>D</w:t>
      </w:r>
      <w:r>
        <w:rPr>
          <w:rFonts w:ascii="SimSun" w:eastAsia="SimSun" w:hAnsi="SimSun" w:cs="SimSun"/>
          <w:position w:val="20"/>
          <w:sz w:val="10"/>
          <w:szCs w:val="10"/>
        </w:rPr>
        <w:t>h</w:t>
      </w:r>
      <w:r>
        <w:rPr>
          <w:rFonts w:ascii="SimSun" w:eastAsia="SimSun" w:hAnsi="SimSun" w:cs="SimSun"/>
          <w:spacing w:val="8"/>
          <w:position w:val="22"/>
          <w:sz w:val="20"/>
          <w:szCs w:val="20"/>
        </w:rPr>
        <w:t>表示断面高度。</w:t>
      </w:r>
    </w:p>
    <w:p>
      <w:pPr>
        <w:pStyle w:val="BodyText"/>
        <w:spacing w:line="190" w:lineRule="auto"/>
      </w:pPr>
      <w:r>
        <w:rPr>
          <w:spacing w:val="4"/>
        </w:rPr>
        <w:t>4.10</w:t>
      </w:r>
    </w:p>
    <w:p>
      <w:pPr>
        <w:pStyle w:val="BodyText"/>
        <w:spacing w:before="231" w:line="229" w:lineRule="auto"/>
        <w:ind w:left="431"/>
        <w:outlineLvl w:val="2"/>
      </w:pPr>
      <w:r>
        <w:rPr>
          <w:spacing w:val="15"/>
        </w:rPr>
        <w:t>最大宽度</w:t>
      </w:r>
      <w:r>
        <w:rPr>
          <w:spacing w:val="15"/>
        </w:rPr>
        <w:t xml:space="preserve">  </w:t>
      </w:r>
      <w:r>
        <w:t>maximum</w:t>
      </w:r>
      <w:r>
        <w:rPr>
          <w:spacing w:val="15"/>
        </w:rPr>
        <w:t xml:space="preserve"> </w:t>
      </w:r>
      <w:r>
        <w:t>tire</w:t>
      </w:r>
      <w:r>
        <w:rPr>
          <w:spacing w:val="15"/>
        </w:rPr>
        <w:t xml:space="preserve"> </w:t>
      </w:r>
      <w:r>
        <w:t>width</w:t>
      </w:r>
    </w:p>
    <w:p>
      <w:pPr>
        <w:spacing w:before="220" w:line="258" w:lineRule="auto"/>
        <w:ind w:left="8" w:right="62" w:firstLine="42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8"/>
          <w:sz w:val="20"/>
          <w:szCs w:val="20"/>
        </w:rPr>
        <w:t>非充气弹性支撑轮两外侧之间的最大距离，</w:t>
      </w:r>
      <w:r>
        <w:rPr>
          <w:rFonts w:ascii="SimSun" w:eastAsia="SimSun" w:hAnsi="SimSun" w:cs="SimSun"/>
          <w:spacing w:val="7"/>
          <w:sz w:val="20"/>
          <w:szCs w:val="20"/>
        </w:rPr>
        <w:t>包括标志、装饰线和防擦线所增加的宽度，一般是轮面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5"/>
          <w:sz w:val="20"/>
          <w:szCs w:val="20"/>
        </w:rPr>
        <w:t>最大宽度。</w:t>
      </w:r>
    </w:p>
    <w:p>
      <w:pPr>
        <w:pStyle w:val="BodyText"/>
        <w:spacing w:before="253" w:line="189" w:lineRule="auto"/>
      </w:pPr>
      <w:r>
        <w:rPr>
          <w:spacing w:val="4"/>
        </w:rPr>
        <w:t>4.11</w:t>
      </w:r>
    </w:p>
    <w:p>
      <w:pPr>
        <w:pStyle w:val="BodyText"/>
        <w:spacing w:before="232" w:line="226" w:lineRule="auto"/>
        <w:ind w:left="431"/>
        <w:outlineLvl w:val="2"/>
      </w:pPr>
      <w:r>
        <w:rPr>
          <w:spacing w:val="11"/>
        </w:rPr>
        <w:t>高宽比</w:t>
      </w:r>
      <w:r>
        <w:rPr>
          <w:spacing w:val="11"/>
        </w:rPr>
        <w:t xml:space="preserve">  </w:t>
      </w:r>
      <w:r>
        <w:t>aspect</w:t>
      </w:r>
      <w:r>
        <w:rPr>
          <w:spacing w:val="29"/>
        </w:rPr>
        <w:t xml:space="preserve"> </w:t>
      </w:r>
      <w:r>
        <w:t>ratio</w:t>
      </w:r>
    </w:p>
    <w:p>
      <w:pPr>
        <w:spacing w:before="222" w:line="499" w:lineRule="exact"/>
        <w:ind w:left="428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8"/>
          <w:position w:val="22"/>
          <w:sz w:val="20"/>
          <w:szCs w:val="20"/>
        </w:rPr>
        <w:t>非充气弹性支撑轮断面高度与最大宽度的比值。</w:t>
      </w:r>
    </w:p>
    <w:p>
      <w:pPr>
        <w:pStyle w:val="BodyText"/>
        <w:spacing w:before="1" w:line="190" w:lineRule="auto"/>
      </w:pPr>
      <w:r>
        <w:rPr>
          <w:spacing w:val="4"/>
        </w:rPr>
        <w:t>4.12</w:t>
      </w:r>
    </w:p>
    <w:p>
      <w:pPr>
        <w:pStyle w:val="BodyText"/>
        <w:spacing w:before="231" w:line="226" w:lineRule="auto"/>
        <w:ind w:left="429"/>
        <w:outlineLvl w:val="2"/>
      </w:pPr>
      <w:r>
        <w:rPr>
          <w:spacing w:val="7"/>
        </w:rPr>
        <w:t>剪切带角度</w:t>
      </w:r>
      <w:r>
        <w:rPr>
          <w:spacing w:val="7"/>
        </w:rPr>
        <w:t xml:space="preserve"> </w:t>
      </w:r>
      <w:r>
        <w:t>shear</w:t>
      </w:r>
      <w:r>
        <w:rPr>
          <w:spacing w:val="20"/>
        </w:rPr>
        <w:t xml:space="preserve"> </w:t>
      </w:r>
      <w:r>
        <w:t>band</w:t>
      </w:r>
      <w:r>
        <w:rPr>
          <w:spacing w:val="13"/>
        </w:rPr>
        <w:t xml:space="preserve"> </w:t>
      </w:r>
      <w:r>
        <w:t>ang</w:t>
      </w:r>
      <w:r>
        <w:rPr>
          <w:spacing w:val="-56"/>
        </w:rPr>
        <w:t xml:space="preserve"> </w:t>
      </w:r>
      <w:r>
        <w:t>le</w:t>
      </w:r>
    </w:p>
    <w:p>
      <w:pPr>
        <w:spacing w:before="223" w:line="498" w:lineRule="exact"/>
        <w:jc w:val="right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9"/>
          <w:position w:val="22"/>
          <w:sz w:val="20"/>
          <w:szCs w:val="20"/>
        </w:rPr>
        <w:t>指非充气弹性支撑轮的剪切带周向切线，与剪切带部位加强杆轴向方向所构成夹角，可以</w:t>
      </w:r>
      <w:r>
        <w:rPr>
          <w:rFonts w:ascii="SimSun" w:eastAsia="SimSun" w:hAnsi="SimSun" w:cs="SimSun"/>
          <w:spacing w:val="8"/>
          <w:position w:val="22"/>
          <w:sz w:val="20"/>
          <w:szCs w:val="20"/>
        </w:rPr>
        <w:t>为多个。</w:t>
      </w:r>
    </w:p>
    <w:p>
      <w:pPr>
        <w:pStyle w:val="BodyText"/>
        <w:spacing w:line="191" w:lineRule="auto"/>
      </w:pPr>
      <w:r>
        <w:rPr>
          <w:spacing w:val="4"/>
        </w:rPr>
        <w:t>4.13</w:t>
      </w:r>
    </w:p>
    <w:p>
      <w:pPr>
        <w:pStyle w:val="BodyText"/>
        <w:spacing w:before="231" w:line="226" w:lineRule="auto"/>
        <w:ind w:left="426"/>
        <w:outlineLvl w:val="2"/>
      </w:pPr>
      <w:r>
        <w:rPr>
          <w:spacing w:val="22"/>
        </w:rPr>
        <w:t>加强杆排列密度</w:t>
      </w:r>
      <w:r>
        <w:rPr>
          <w:spacing w:val="22"/>
        </w:rPr>
        <w:t xml:space="preserve"> </w:t>
      </w:r>
      <w:r>
        <w:t>arrangement</w:t>
      </w:r>
      <w:r>
        <w:rPr>
          <w:spacing w:val="22"/>
        </w:rPr>
        <w:t xml:space="preserve"> </w:t>
      </w:r>
      <w:r>
        <w:t>density</w:t>
      </w:r>
      <w:r>
        <w:rPr>
          <w:spacing w:val="22"/>
        </w:rPr>
        <w:t xml:space="preserve"> </w:t>
      </w:r>
      <w:r>
        <w:t>of</w:t>
      </w:r>
      <w:r>
        <w:rPr>
          <w:spacing w:val="22"/>
        </w:rPr>
        <w:t xml:space="preserve"> </w:t>
      </w:r>
      <w:r>
        <w:t>reinforcement</w:t>
      </w:r>
      <w:r>
        <w:rPr>
          <w:spacing w:val="38"/>
        </w:rPr>
        <w:t xml:space="preserve"> </w:t>
      </w:r>
      <w:r>
        <w:t>rebars</w:t>
      </w:r>
    </w:p>
    <w:p>
      <w:pPr>
        <w:spacing w:before="223" w:line="500" w:lineRule="exact"/>
        <w:ind w:left="428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9"/>
          <w:position w:val="22"/>
          <w:sz w:val="20"/>
          <w:szCs w:val="20"/>
        </w:rPr>
        <w:t xml:space="preserve">非充气弹性支撑轮各部位的加强杆，沿垂直于加强杆轴向方向每10 </w:t>
      </w:r>
      <w:r>
        <w:rPr>
          <w:rFonts w:ascii="SimSun" w:eastAsia="SimSun" w:hAnsi="SimSun" w:cs="SimSun"/>
          <w:position w:val="22"/>
          <w:sz w:val="20"/>
          <w:szCs w:val="20"/>
        </w:rPr>
        <w:t>cm</w:t>
      </w:r>
      <w:r>
        <w:rPr>
          <w:rFonts w:ascii="SimSun" w:eastAsia="SimSun" w:hAnsi="SimSun" w:cs="SimSun"/>
          <w:spacing w:val="9"/>
          <w:position w:val="22"/>
          <w:sz w:val="20"/>
          <w:szCs w:val="20"/>
        </w:rPr>
        <w:t>宽度所含的加强件根数。</w:t>
      </w:r>
    </w:p>
    <w:p>
      <w:pPr>
        <w:pStyle w:val="BodyText"/>
        <w:spacing w:line="189" w:lineRule="auto"/>
      </w:pPr>
      <w:r>
        <w:rPr>
          <w:spacing w:val="4"/>
        </w:rPr>
        <w:t>4.14</w:t>
      </w:r>
    </w:p>
    <w:p>
      <w:pPr>
        <w:pStyle w:val="BodyText"/>
        <w:spacing w:before="232" w:line="226" w:lineRule="auto"/>
        <w:ind w:left="426"/>
        <w:outlineLvl w:val="2"/>
      </w:pPr>
      <w:r>
        <w:rPr>
          <w:spacing w:val="22"/>
        </w:rPr>
        <w:t>加强帘线排列密度</w:t>
      </w:r>
      <w:r>
        <w:rPr>
          <w:spacing w:val="22"/>
        </w:rPr>
        <w:t xml:space="preserve"> </w:t>
      </w:r>
      <w:r>
        <w:t>arrangement</w:t>
      </w:r>
      <w:r>
        <w:rPr>
          <w:spacing w:val="22"/>
        </w:rPr>
        <w:t xml:space="preserve"> </w:t>
      </w:r>
      <w:r>
        <w:t>density</w:t>
      </w:r>
      <w:r>
        <w:rPr>
          <w:spacing w:val="22"/>
        </w:rPr>
        <w:t xml:space="preserve"> </w:t>
      </w:r>
      <w:r>
        <w:t>of</w:t>
      </w:r>
      <w:r>
        <w:rPr>
          <w:spacing w:val="22"/>
        </w:rPr>
        <w:t xml:space="preserve"> </w:t>
      </w:r>
      <w:r>
        <w:t>reinforcement</w:t>
      </w:r>
      <w:r>
        <w:rPr>
          <w:spacing w:val="19"/>
        </w:rPr>
        <w:t xml:space="preserve"> </w:t>
      </w:r>
      <w:r>
        <w:t>cords</w:t>
      </w:r>
    </w:p>
    <w:p>
      <w:pPr>
        <w:spacing w:before="222" w:line="500" w:lineRule="exact"/>
        <w:ind w:left="428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9"/>
          <w:position w:val="22"/>
          <w:sz w:val="20"/>
          <w:szCs w:val="20"/>
        </w:rPr>
        <w:t xml:space="preserve">非充气弹性支撑轮各部位的帘线，沿垂直于帘线方向每10 </w:t>
      </w:r>
      <w:r>
        <w:rPr>
          <w:rFonts w:ascii="SimSun" w:eastAsia="SimSun" w:hAnsi="SimSun" w:cs="SimSun"/>
          <w:position w:val="22"/>
          <w:sz w:val="20"/>
          <w:szCs w:val="20"/>
        </w:rPr>
        <w:t>cm</w:t>
      </w:r>
      <w:r>
        <w:rPr>
          <w:rFonts w:ascii="SimSun" w:eastAsia="SimSun" w:hAnsi="SimSun" w:cs="SimSun"/>
          <w:spacing w:val="9"/>
          <w:position w:val="22"/>
          <w:sz w:val="20"/>
          <w:szCs w:val="20"/>
        </w:rPr>
        <w:t>宽度所含的帘线根数。</w:t>
      </w:r>
    </w:p>
    <w:p>
      <w:pPr>
        <w:pStyle w:val="BodyText"/>
        <w:spacing w:before="1" w:line="189" w:lineRule="auto"/>
      </w:pPr>
      <w:r>
        <w:rPr>
          <w:spacing w:val="4"/>
        </w:rPr>
        <w:t>4.15</w:t>
      </w:r>
    </w:p>
    <w:p>
      <w:pPr>
        <w:pStyle w:val="BodyText"/>
        <w:spacing w:before="231" w:line="226" w:lineRule="auto"/>
        <w:ind w:left="424"/>
        <w:outlineLvl w:val="2"/>
      </w:pPr>
      <w:r>
        <w:rPr>
          <w:spacing w:val="18"/>
        </w:rPr>
        <w:t>接地面宽度</w:t>
      </w:r>
      <w:r>
        <w:rPr>
          <w:spacing w:val="18"/>
        </w:rPr>
        <w:t xml:space="preserve"> </w:t>
      </w:r>
      <w:r>
        <w:t>ground</w:t>
      </w:r>
      <w:r>
        <w:rPr>
          <w:spacing w:val="18"/>
        </w:rPr>
        <w:t xml:space="preserve"> </w:t>
      </w:r>
      <w:r>
        <w:t>contact</w:t>
      </w:r>
      <w:r>
        <w:rPr>
          <w:spacing w:val="18"/>
        </w:rPr>
        <w:t xml:space="preserve"> </w:t>
      </w:r>
      <w:r>
        <w:t>width</w:t>
      </w:r>
    </w:p>
    <w:p>
      <w:pPr>
        <w:spacing w:before="223" w:line="500" w:lineRule="exact"/>
        <w:ind w:left="428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9"/>
          <w:position w:val="22"/>
          <w:sz w:val="20"/>
          <w:szCs w:val="20"/>
        </w:rPr>
        <w:t>非充气弹性支撑轮的轮面，与地面接触一侧的宽度，一般略小于轮面最大宽度。</w:t>
      </w:r>
    </w:p>
    <w:p>
      <w:pPr>
        <w:pStyle w:val="BodyText"/>
        <w:spacing w:line="189" w:lineRule="auto"/>
        <w:sectPr>
          <w:footerReference w:type="default" r:id="rId13"/>
          <w:pgSz w:w="11906" w:h="16839"/>
          <w:pgMar w:top="1363" w:right="1072" w:bottom="1421" w:left="1420" w:header="0" w:footer="1244" w:gutter="0"/>
          <w:pgNumType w:start="9"/>
          <w:cols w:space="708"/>
        </w:sectPr>
      </w:pPr>
      <w:r>
        <w:rPr>
          <w:spacing w:val="4"/>
        </w:rPr>
        <w:t>4.16</w:t>
      </w:r>
    </w:p>
    <w:p>
      <w:pPr>
        <w:pStyle w:val="BodyText"/>
        <w:spacing w:before="231" w:line="229" w:lineRule="auto"/>
        <w:ind w:left="429"/>
        <w:outlineLvl w:val="2"/>
      </w:pPr>
      <w:r>
        <w:rPr>
          <w:spacing w:val="14"/>
        </w:rPr>
        <w:t>剪切带宽度</w:t>
      </w:r>
      <w:r>
        <w:rPr>
          <w:spacing w:val="14"/>
        </w:rPr>
        <w:t xml:space="preserve"> </w:t>
      </w:r>
      <w:r>
        <w:t>shear</w:t>
      </w:r>
      <w:r>
        <w:rPr>
          <w:spacing w:val="21"/>
        </w:rPr>
        <w:t xml:space="preserve"> </w:t>
      </w:r>
      <w:r>
        <w:t>band</w:t>
      </w:r>
      <w:r>
        <w:rPr>
          <w:spacing w:val="14"/>
        </w:rPr>
        <w:t xml:space="preserve"> </w:t>
      </w:r>
      <w:r>
        <w:t>width</w:t>
      </w:r>
    </w:p>
    <w:p>
      <w:pPr>
        <w:spacing w:before="220" w:line="500" w:lineRule="exact"/>
        <w:ind w:left="428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9"/>
          <w:position w:val="22"/>
          <w:sz w:val="20"/>
          <w:szCs w:val="20"/>
        </w:rPr>
        <w:t>非充气弹性支撑轮剪切带中，加强件沿轮旋转轴方向的最大距离。</w:t>
      </w:r>
    </w:p>
    <w:p>
      <w:pPr>
        <w:pStyle w:val="BodyText"/>
        <w:spacing w:line="189" w:lineRule="auto"/>
      </w:pPr>
      <w:r>
        <w:rPr>
          <w:spacing w:val="4"/>
        </w:rPr>
        <w:t>4.17</w:t>
      </w:r>
    </w:p>
    <w:p>
      <w:pPr>
        <w:spacing w:line="189" w:lineRule="auto"/>
        <w:sectPr>
          <w:footerReference w:type="default" r:id="rId14"/>
          <w:type w:val="nextPage"/>
          <w:pgSz w:w="11906" w:h="16839"/>
          <w:pgMar w:top="1363" w:right="1072" w:bottom="1421" w:left="1420" w:header="0" w:footer="1244" w:gutter="0"/>
          <w:pgNumType w:start="10"/>
          <w:cols w:space="708"/>
          <w:titlePg w:val="0"/>
        </w:sectPr>
      </w:pPr>
    </w:p>
    <w:p>
      <w:pPr>
        <w:pStyle w:val="BodyText"/>
        <w:spacing w:before="54" w:line="275" w:lineRule="exact"/>
        <w:ind w:left="3"/>
      </w:pPr>
      <w:r>
        <w:rPr>
          <w:rFonts w:ascii="Times New Roman" w:eastAsia="Times New Roman" w:hAnsi="Times New Roman" w:cs="Times New Roman"/>
          <w:spacing w:val="9"/>
          <w:position w:val="1"/>
        </w:rPr>
        <w:t>T/</w:t>
      </w:r>
      <w:r>
        <w:rPr>
          <w:rFonts w:ascii="Times New Roman" w:eastAsia="Times New Roman" w:hAnsi="Times New Roman" w:cs="Times New Roman"/>
          <w:position w:val="1"/>
        </w:rPr>
        <w:t>GDSAIA</w:t>
      </w:r>
      <w:r>
        <w:rPr>
          <w:rFonts w:ascii="Times New Roman" w:eastAsia="Times New Roman" w:hAnsi="Times New Roman" w:cs="Times New Roman"/>
          <w:spacing w:val="9"/>
          <w:position w:val="1"/>
        </w:rPr>
        <w:t xml:space="preserve">  </w:t>
      </w:r>
      <w:r>
        <w:rPr>
          <w:position w:val="1"/>
        </w:rPr>
        <w:t>XXX</w:t>
      </w:r>
      <w:r>
        <w:rPr>
          <w:spacing w:val="9"/>
          <w:position w:val="1"/>
        </w:rPr>
        <w:t>—2024</w:t>
      </w:r>
    </w:p>
    <w:p>
      <w:pPr>
        <w:pStyle w:val="BodyText"/>
        <w:spacing w:before="270" w:line="226" w:lineRule="auto"/>
        <w:ind w:left="423"/>
        <w:outlineLvl w:val="2"/>
      </w:pPr>
      <w:r>
        <w:rPr>
          <w:spacing w:val="12"/>
        </w:rPr>
        <w:t>外缓冲层宽度</w:t>
      </w:r>
      <w:r>
        <w:rPr>
          <w:spacing w:val="12"/>
        </w:rPr>
        <w:t xml:space="preserve"> </w:t>
      </w:r>
      <w:r>
        <w:t>outer</w:t>
      </w:r>
      <w:r>
        <w:rPr>
          <w:spacing w:val="12"/>
        </w:rPr>
        <w:t xml:space="preserve"> </w:t>
      </w:r>
      <w:r>
        <w:t>buffer</w:t>
      </w:r>
      <w:r>
        <w:rPr>
          <w:spacing w:val="49"/>
        </w:rPr>
        <w:t xml:space="preserve"> </w:t>
      </w:r>
      <w:r>
        <w:t>layer</w:t>
      </w:r>
    </w:p>
    <w:p>
      <w:pPr>
        <w:spacing w:before="222" w:line="500" w:lineRule="exact"/>
        <w:ind w:left="428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9"/>
          <w:position w:val="22"/>
          <w:sz w:val="20"/>
          <w:szCs w:val="20"/>
        </w:rPr>
        <w:t>非充气弹性支撑轮，外缓冲层沿轴向的宽度尺</w:t>
      </w:r>
      <w:r>
        <w:rPr>
          <w:rFonts w:ascii="SimSun" w:eastAsia="SimSun" w:hAnsi="SimSun" w:cs="SimSun"/>
          <w:spacing w:val="8"/>
          <w:position w:val="22"/>
          <w:sz w:val="20"/>
          <w:szCs w:val="20"/>
        </w:rPr>
        <w:t>寸。</w:t>
      </w:r>
    </w:p>
    <w:p>
      <w:pPr>
        <w:pStyle w:val="BodyText"/>
        <w:spacing w:line="189" w:lineRule="auto"/>
      </w:pPr>
      <w:r>
        <w:rPr>
          <w:spacing w:val="4"/>
        </w:rPr>
        <w:t>4.18</w:t>
      </w:r>
    </w:p>
    <w:p>
      <w:pPr>
        <w:pStyle w:val="BodyText"/>
        <w:spacing w:before="231" w:line="226" w:lineRule="auto"/>
        <w:ind w:left="430"/>
        <w:outlineLvl w:val="2"/>
      </w:pPr>
      <w:r>
        <w:rPr>
          <w:spacing w:val="16"/>
        </w:rPr>
        <w:t>宽度比</w:t>
      </w:r>
      <w:r>
        <w:rPr>
          <w:spacing w:val="16"/>
        </w:rPr>
        <w:t xml:space="preserve"> </w:t>
      </w:r>
      <w:r>
        <w:t>depth</w:t>
      </w:r>
      <w:r>
        <w:rPr>
          <w:spacing w:val="16"/>
        </w:rPr>
        <w:t>-</w:t>
      </w:r>
      <w:r>
        <w:t>width</w:t>
      </w:r>
      <w:r>
        <w:rPr>
          <w:spacing w:val="25"/>
        </w:rPr>
        <w:t xml:space="preserve"> </w:t>
      </w:r>
      <w:r>
        <w:t>ratio</w:t>
      </w:r>
    </w:p>
    <w:p>
      <w:pPr>
        <w:spacing w:before="222" w:line="500" w:lineRule="exact"/>
        <w:ind w:left="428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9"/>
          <w:position w:val="22"/>
          <w:sz w:val="20"/>
          <w:szCs w:val="20"/>
        </w:rPr>
        <w:t>非充气弹性支撑轮内缓冲层的宽度与最大宽度的比值。</w:t>
      </w:r>
    </w:p>
    <w:p>
      <w:pPr>
        <w:pStyle w:val="BodyText"/>
        <w:spacing w:line="190" w:lineRule="auto"/>
      </w:pPr>
      <w:r>
        <w:rPr>
          <w:spacing w:val="4"/>
        </w:rPr>
        <w:t>4.19</w:t>
      </w:r>
    </w:p>
    <w:p>
      <w:pPr>
        <w:pStyle w:val="BodyText"/>
        <w:spacing w:before="231" w:line="226" w:lineRule="auto"/>
        <w:ind w:left="432"/>
        <w:outlineLvl w:val="2"/>
      </w:pPr>
      <w:r>
        <w:rPr>
          <w:spacing w:val="16"/>
        </w:rPr>
        <w:t>支撑体宽度</w:t>
      </w:r>
      <w:r>
        <w:rPr>
          <w:spacing w:val="16"/>
        </w:rPr>
        <w:t xml:space="preserve"> </w:t>
      </w:r>
      <w:r>
        <w:t>support</w:t>
      </w:r>
      <w:r>
        <w:rPr>
          <w:spacing w:val="16"/>
        </w:rPr>
        <w:t xml:space="preserve"> </w:t>
      </w:r>
      <w:r>
        <w:t>body</w:t>
      </w:r>
      <w:r>
        <w:rPr>
          <w:spacing w:val="16"/>
        </w:rPr>
        <w:t xml:space="preserve"> </w:t>
      </w:r>
      <w:r>
        <w:t>width</w:t>
      </w:r>
    </w:p>
    <w:p>
      <w:pPr>
        <w:spacing w:before="223" w:line="498" w:lineRule="exact"/>
        <w:ind w:left="428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9"/>
          <w:position w:val="22"/>
          <w:sz w:val="20"/>
          <w:szCs w:val="20"/>
        </w:rPr>
        <w:t>非充气弹性支撑轮的支撑体结构，沿轴向的宽度尺寸。</w:t>
      </w:r>
    </w:p>
    <w:p>
      <w:pPr>
        <w:pStyle w:val="BodyText"/>
        <w:spacing w:line="191" w:lineRule="auto"/>
      </w:pPr>
      <w:r>
        <w:rPr>
          <w:spacing w:val="4"/>
        </w:rPr>
        <w:t>4.20</w:t>
      </w:r>
    </w:p>
    <w:p>
      <w:pPr>
        <w:pStyle w:val="BodyText"/>
        <w:spacing w:before="231" w:line="226" w:lineRule="auto"/>
        <w:ind w:left="432"/>
        <w:outlineLvl w:val="2"/>
      </w:pPr>
      <w:r>
        <w:rPr>
          <w:spacing w:val="17"/>
        </w:rPr>
        <w:t>支撑体宽度变化比</w:t>
      </w:r>
      <w:r>
        <w:rPr>
          <w:spacing w:val="17"/>
        </w:rPr>
        <w:t xml:space="preserve"> </w:t>
      </w:r>
      <w:r>
        <w:t>support</w:t>
      </w:r>
      <w:r>
        <w:rPr>
          <w:spacing w:val="17"/>
        </w:rPr>
        <w:t xml:space="preserve"> </w:t>
      </w:r>
      <w:r>
        <w:t>width</w:t>
      </w:r>
      <w:r>
        <w:rPr>
          <w:spacing w:val="17"/>
        </w:rPr>
        <w:t xml:space="preserve"> </w:t>
      </w:r>
      <w:r>
        <w:t>variation</w:t>
      </w:r>
      <w:r>
        <w:rPr>
          <w:spacing w:val="28"/>
        </w:rPr>
        <w:t xml:space="preserve"> </w:t>
      </w:r>
      <w:r>
        <w:t>ratio</w:t>
      </w:r>
    </w:p>
    <w:p>
      <w:pPr>
        <w:spacing w:before="223" w:line="498" w:lineRule="exact"/>
        <w:ind w:left="428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9"/>
          <w:position w:val="22"/>
          <w:sz w:val="20"/>
          <w:szCs w:val="20"/>
        </w:rPr>
        <w:t>非充气弹性支撑轮的支撑体结构，沿轴向的最小宽度和最大宽度的比值。</w:t>
      </w:r>
    </w:p>
    <w:p>
      <w:pPr>
        <w:pStyle w:val="BodyText"/>
        <w:spacing w:before="1" w:line="190" w:lineRule="auto"/>
      </w:pPr>
      <w:r>
        <w:rPr>
          <w:spacing w:val="4"/>
        </w:rPr>
        <w:t>4.21</w:t>
      </w:r>
    </w:p>
    <w:p>
      <w:pPr>
        <w:pStyle w:val="BodyText"/>
        <w:spacing w:before="231" w:line="226" w:lineRule="auto"/>
        <w:ind w:left="432"/>
        <w:outlineLvl w:val="2"/>
      </w:pPr>
      <w:r>
        <w:rPr>
          <w:spacing w:val="16"/>
        </w:rPr>
        <w:t>支撑体径向形状</w:t>
      </w:r>
      <w:r>
        <w:rPr>
          <w:spacing w:val="16"/>
        </w:rPr>
        <w:t xml:space="preserve"> </w:t>
      </w:r>
      <w:r>
        <w:t>radial</w:t>
      </w:r>
      <w:r>
        <w:rPr>
          <w:spacing w:val="24"/>
        </w:rPr>
        <w:t xml:space="preserve"> </w:t>
      </w:r>
      <w:r>
        <w:t>shape</w:t>
      </w:r>
      <w:r>
        <w:rPr>
          <w:spacing w:val="16"/>
        </w:rPr>
        <w:t xml:space="preserve"> </w:t>
      </w:r>
      <w:r>
        <w:t>of</w:t>
      </w:r>
      <w:r>
        <w:rPr>
          <w:spacing w:val="17"/>
        </w:rPr>
        <w:t xml:space="preserve"> </w:t>
      </w:r>
      <w:r>
        <w:t>support</w:t>
      </w:r>
      <w:r>
        <w:rPr>
          <w:spacing w:val="15"/>
        </w:rPr>
        <w:t xml:space="preserve"> </w:t>
      </w:r>
      <w:r>
        <w:t>body</w:t>
      </w:r>
    </w:p>
    <w:p>
      <w:pPr>
        <w:spacing w:before="223" w:line="499" w:lineRule="exact"/>
        <w:ind w:left="42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9"/>
          <w:position w:val="22"/>
          <w:sz w:val="20"/>
          <w:szCs w:val="20"/>
        </w:rPr>
        <w:t>简称支撑体形状，非充气弹性支撑轮，大致沿轮轮径向延伸的形状。</w:t>
      </w:r>
    </w:p>
    <w:p>
      <w:pPr>
        <w:pStyle w:val="BodyText"/>
        <w:spacing w:before="1" w:line="190" w:lineRule="auto"/>
      </w:pPr>
      <w:r>
        <w:rPr>
          <w:spacing w:val="4"/>
        </w:rPr>
        <w:t>4.22</w:t>
      </w:r>
    </w:p>
    <w:p>
      <w:pPr>
        <w:pStyle w:val="BodyText"/>
        <w:spacing w:before="231" w:line="226" w:lineRule="auto"/>
        <w:ind w:left="432"/>
        <w:outlineLvl w:val="2"/>
      </w:pPr>
      <w:r>
        <w:rPr>
          <w:spacing w:val="16"/>
        </w:rPr>
        <w:t>支撑体宽度形状</w:t>
      </w:r>
      <w:r>
        <w:rPr>
          <w:spacing w:val="16"/>
        </w:rPr>
        <w:t xml:space="preserve"> </w:t>
      </w:r>
      <w:r>
        <w:t>width</w:t>
      </w:r>
      <w:r>
        <w:rPr>
          <w:spacing w:val="16"/>
        </w:rPr>
        <w:t xml:space="preserve"> </w:t>
      </w:r>
      <w:r>
        <w:t>shape</w:t>
      </w:r>
      <w:r>
        <w:rPr>
          <w:spacing w:val="16"/>
        </w:rPr>
        <w:t xml:space="preserve"> </w:t>
      </w:r>
      <w:r>
        <w:t>of</w:t>
      </w:r>
      <w:r>
        <w:rPr>
          <w:spacing w:val="20"/>
        </w:rPr>
        <w:t xml:space="preserve"> </w:t>
      </w:r>
      <w:r>
        <w:t>support</w:t>
      </w:r>
      <w:r>
        <w:rPr>
          <w:spacing w:val="14"/>
        </w:rPr>
        <w:t xml:space="preserve"> </w:t>
      </w:r>
      <w:r>
        <w:t>body</w:t>
      </w:r>
    </w:p>
    <w:p>
      <w:pPr>
        <w:spacing w:before="223" w:line="268" w:lineRule="auto"/>
        <w:ind w:left="6" w:firstLine="422"/>
        <w:jc w:val="both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8"/>
          <w:sz w:val="20"/>
          <w:szCs w:val="20"/>
        </w:rPr>
        <w:t>非充气弹性支撑轮，宽度从径向内侧到径向</w:t>
      </w:r>
      <w:r>
        <w:rPr>
          <w:rFonts w:ascii="SimSun" w:eastAsia="SimSun" w:hAnsi="SimSun" w:cs="SimSun"/>
          <w:spacing w:val="7"/>
          <w:sz w:val="20"/>
          <w:szCs w:val="20"/>
        </w:rPr>
        <w:t>外侧变化的方式，如等宽、线性增加、二次增加、（一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8"/>
          <w:sz w:val="20"/>
          <w:szCs w:val="20"/>
        </w:rPr>
        <w:t>端相切的）圆弧增加、（一端相切的）圆弧减小等、（一端相切</w:t>
      </w:r>
      <w:r>
        <w:rPr>
          <w:rFonts w:ascii="SimSun" w:eastAsia="SimSun" w:hAnsi="SimSun" w:cs="SimSun"/>
          <w:spacing w:val="7"/>
          <w:sz w:val="20"/>
          <w:szCs w:val="20"/>
        </w:rPr>
        <w:t>的）样条曲线增加、（一端相切的）样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6"/>
          <w:sz w:val="20"/>
          <w:szCs w:val="20"/>
        </w:rPr>
        <w:t>条曲线减小等。</w:t>
      </w:r>
    </w:p>
    <w:p>
      <w:pPr>
        <w:pStyle w:val="BodyText"/>
        <w:spacing w:before="251" w:line="191" w:lineRule="auto"/>
      </w:pPr>
      <w:r>
        <w:rPr>
          <w:spacing w:val="4"/>
        </w:rPr>
        <w:t>4.23</w:t>
      </w:r>
    </w:p>
    <w:p>
      <w:pPr>
        <w:pStyle w:val="BodyText"/>
        <w:spacing w:before="231" w:line="226" w:lineRule="auto"/>
        <w:ind w:left="438"/>
        <w:outlineLvl w:val="2"/>
      </w:pPr>
      <w:r>
        <w:rPr>
          <w:spacing w:val="8"/>
        </w:rPr>
        <w:t>内缓冲层宽度</w:t>
      </w:r>
      <w:r>
        <w:rPr>
          <w:spacing w:val="50"/>
        </w:rPr>
        <w:t xml:space="preserve"> </w:t>
      </w:r>
      <w:r>
        <w:t>inner</w:t>
      </w:r>
      <w:r>
        <w:rPr>
          <w:spacing w:val="8"/>
        </w:rPr>
        <w:t xml:space="preserve"> </w:t>
      </w:r>
      <w:r>
        <w:t>buffer</w:t>
      </w:r>
      <w:r>
        <w:rPr>
          <w:spacing w:val="48"/>
        </w:rPr>
        <w:t xml:space="preserve"> </w:t>
      </w:r>
      <w:r>
        <w:t>layer</w:t>
      </w:r>
      <w:r>
        <w:rPr>
          <w:spacing w:val="8"/>
        </w:rPr>
        <w:t xml:space="preserve"> </w:t>
      </w:r>
      <w:r>
        <w:t>width</w:t>
      </w:r>
    </w:p>
    <w:p>
      <w:pPr>
        <w:spacing w:before="222" w:line="228" w:lineRule="auto"/>
        <w:ind w:left="428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9"/>
          <w:sz w:val="20"/>
          <w:szCs w:val="20"/>
        </w:rPr>
        <w:t>非充气弹性支撑轮，内缓冲层沿轴向的宽度尺</w:t>
      </w:r>
      <w:r>
        <w:rPr>
          <w:rFonts w:ascii="SimSun" w:eastAsia="SimSun" w:hAnsi="SimSun" w:cs="SimSun"/>
          <w:spacing w:val="8"/>
          <w:sz w:val="20"/>
          <w:szCs w:val="20"/>
        </w:rPr>
        <w:t>寸。</w:t>
      </w:r>
    </w:p>
    <w:p>
      <w:pPr>
        <w:pStyle w:val="BodyText"/>
        <w:spacing w:before="252" w:line="191" w:lineRule="auto"/>
      </w:pPr>
      <w:r>
        <w:rPr>
          <w:spacing w:val="4"/>
        </w:rPr>
        <w:t>4.24</w:t>
      </w:r>
    </w:p>
    <w:p>
      <w:pPr>
        <w:pStyle w:val="BodyText"/>
        <w:spacing w:before="231" w:line="226" w:lineRule="auto"/>
        <w:ind w:left="428"/>
        <w:outlineLvl w:val="2"/>
      </w:pPr>
      <w:r>
        <w:rPr>
          <w:spacing w:val="12"/>
        </w:rPr>
        <w:t>非充气弹性支撑轮专用轮辋宽度</w:t>
      </w:r>
      <w:r>
        <w:rPr>
          <w:spacing w:val="12"/>
        </w:rPr>
        <w:t xml:space="preserve"> </w:t>
      </w:r>
      <w:r>
        <w:t>special</w:t>
      </w:r>
      <w:r>
        <w:rPr>
          <w:spacing w:val="12"/>
        </w:rPr>
        <w:t xml:space="preserve"> </w:t>
      </w:r>
      <w:r>
        <w:t>rim</w:t>
      </w:r>
      <w:r>
        <w:rPr>
          <w:spacing w:val="12"/>
        </w:rPr>
        <w:t xml:space="preserve"> </w:t>
      </w:r>
      <w:r>
        <w:t>width</w:t>
      </w:r>
    </w:p>
    <w:p>
      <w:pPr>
        <w:spacing w:before="223" w:line="499" w:lineRule="exact"/>
        <w:ind w:left="428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9"/>
          <w:position w:val="22"/>
          <w:sz w:val="20"/>
          <w:szCs w:val="20"/>
        </w:rPr>
        <w:t>非充气弹性支撑轮，轮辋沿轴向的最大宽度尺</w:t>
      </w:r>
      <w:r>
        <w:rPr>
          <w:rFonts w:ascii="SimSun" w:eastAsia="SimSun" w:hAnsi="SimSun" w:cs="SimSun"/>
          <w:spacing w:val="8"/>
          <w:position w:val="22"/>
          <w:sz w:val="20"/>
          <w:szCs w:val="20"/>
        </w:rPr>
        <w:t>寸。</w:t>
      </w:r>
    </w:p>
    <w:p>
      <w:pPr>
        <w:pStyle w:val="BodyText"/>
        <w:spacing w:line="191" w:lineRule="auto"/>
      </w:pPr>
      <w:r>
        <w:rPr>
          <w:spacing w:val="4"/>
        </w:rPr>
        <w:t>4.25</w:t>
      </w:r>
    </w:p>
    <w:p>
      <w:pPr>
        <w:pStyle w:val="BodyText"/>
        <w:spacing w:before="231" w:line="226" w:lineRule="auto"/>
        <w:ind w:left="432"/>
        <w:outlineLvl w:val="2"/>
        <w:sectPr>
          <w:footerReference w:type="default" r:id="rId15"/>
          <w:pgSz w:w="11906" w:h="16839"/>
          <w:pgMar w:top="1363" w:right="1134" w:bottom="1317" w:left="1420" w:header="0" w:footer="1139" w:gutter="0"/>
          <w:pgNumType w:start="11"/>
          <w:cols w:space="708"/>
        </w:sectPr>
      </w:pPr>
      <w:r>
        <w:rPr>
          <w:spacing w:val="17"/>
        </w:rPr>
        <w:t>支撑体个数</w:t>
      </w:r>
      <w:r>
        <w:rPr>
          <w:spacing w:val="17"/>
        </w:rPr>
        <w:t xml:space="preserve"> </w:t>
      </w:r>
      <w:r>
        <w:t>support</w:t>
      </w:r>
      <w:r>
        <w:rPr>
          <w:spacing w:val="16"/>
        </w:rPr>
        <w:t xml:space="preserve"> </w:t>
      </w:r>
      <w:r>
        <w:t>body</w:t>
      </w:r>
      <w:r>
        <w:rPr>
          <w:spacing w:val="16"/>
        </w:rPr>
        <w:t xml:space="preserve"> </w:t>
      </w:r>
      <w:r>
        <w:t>number</w:t>
      </w:r>
    </w:p>
    <w:p>
      <w:pPr>
        <w:spacing w:before="222" w:line="499" w:lineRule="exact"/>
        <w:ind w:left="428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9"/>
          <w:position w:val="22"/>
          <w:sz w:val="20"/>
          <w:szCs w:val="20"/>
        </w:rPr>
        <w:t>非充气弹性支撑轮，支撑组件中最小周期性单元的总个数。</w:t>
      </w:r>
    </w:p>
    <w:p>
      <w:pPr>
        <w:pStyle w:val="BodyText"/>
        <w:spacing w:line="191" w:lineRule="auto"/>
      </w:pPr>
      <w:r>
        <w:rPr>
          <w:spacing w:val="4"/>
        </w:rPr>
        <w:t>4.26</w:t>
      </w:r>
    </w:p>
    <w:p>
      <w:pPr>
        <w:pStyle w:val="BodyText"/>
        <w:spacing w:before="231" w:line="226" w:lineRule="auto"/>
        <w:ind w:left="432"/>
        <w:outlineLvl w:val="2"/>
      </w:pPr>
      <w:r>
        <w:rPr>
          <w:spacing w:val="16"/>
        </w:rPr>
        <w:t>支撑体单元组成个数</w:t>
      </w:r>
      <w:r>
        <w:rPr>
          <w:spacing w:val="16"/>
        </w:rPr>
        <w:t xml:space="preserve"> </w:t>
      </w:r>
      <w:r>
        <w:t>number</w:t>
      </w:r>
      <w:r>
        <w:rPr>
          <w:spacing w:val="16"/>
        </w:rPr>
        <w:t xml:space="preserve"> </w:t>
      </w:r>
      <w:r>
        <w:t>of</w:t>
      </w:r>
      <w:r>
        <w:rPr>
          <w:spacing w:val="16"/>
        </w:rPr>
        <w:t xml:space="preserve"> </w:t>
      </w:r>
      <w:r>
        <w:t>members</w:t>
      </w:r>
      <w:r>
        <w:rPr>
          <w:spacing w:val="16"/>
        </w:rPr>
        <w:t xml:space="preserve"> </w:t>
      </w:r>
      <w:r>
        <w:t>of</w:t>
      </w:r>
      <w:r>
        <w:rPr>
          <w:spacing w:val="16"/>
        </w:rPr>
        <w:t xml:space="preserve"> </w:t>
      </w:r>
      <w:r>
        <w:t>a</w:t>
      </w:r>
      <w:r>
        <w:rPr>
          <w:spacing w:val="23"/>
        </w:rPr>
        <w:t xml:space="preserve"> </w:t>
      </w:r>
      <w:r>
        <w:t>support</w:t>
      </w:r>
      <w:r>
        <w:rPr>
          <w:spacing w:val="16"/>
        </w:rPr>
        <w:t xml:space="preserve"> </w:t>
      </w:r>
      <w:r>
        <w:t>number</w:t>
      </w:r>
    </w:p>
    <w:p>
      <w:pPr>
        <w:spacing w:line="226" w:lineRule="auto"/>
        <w:sectPr>
          <w:footerReference w:type="default" r:id="rId16"/>
          <w:type w:val="nextPage"/>
          <w:pgSz w:w="11906" w:h="16839"/>
          <w:pgMar w:top="1363" w:right="1134" w:bottom="1317" w:left="1420" w:header="0" w:footer="1139" w:gutter="0"/>
          <w:pgNumType w:start="12"/>
          <w:cols w:space="708"/>
          <w:titlePg w:val="0"/>
        </w:sectPr>
      </w:pPr>
    </w:p>
    <w:p>
      <w:pPr>
        <w:pStyle w:val="BodyText"/>
        <w:spacing w:before="54" w:line="275" w:lineRule="exact"/>
        <w:jc w:val="right"/>
      </w:pPr>
      <w:r>
        <w:rPr>
          <w:rFonts w:ascii="Times New Roman" w:eastAsia="Times New Roman" w:hAnsi="Times New Roman" w:cs="Times New Roman"/>
          <w:spacing w:val="10"/>
          <w:position w:val="1"/>
        </w:rPr>
        <w:t>T/</w:t>
      </w:r>
      <w:r>
        <w:rPr>
          <w:rFonts w:ascii="Times New Roman" w:eastAsia="Times New Roman" w:hAnsi="Times New Roman" w:cs="Times New Roman"/>
          <w:position w:val="1"/>
        </w:rPr>
        <w:t>GDSAIA</w:t>
      </w:r>
      <w:r>
        <w:rPr>
          <w:rFonts w:ascii="Times New Roman" w:eastAsia="Times New Roman" w:hAnsi="Times New Roman" w:cs="Times New Roman"/>
          <w:spacing w:val="10"/>
          <w:position w:val="1"/>
        </w:rPr>
        <w:t xml:space="preserve">  </w:t>
      </w:r>
      <w:r>
        <w:rPr>
          <w:position w:val="1"/>
        </w:rPr>
        <w:t>XXX</w:t>
      </w:r>
      <w:r>
        <w:rPr>
          <w:spacing w:val="10"/>
          <w:position w:val="1"/>
        </w:rPr>
        <w:t>—2024</w:t>
      </w:r>
    </w:p>
    <w:p>
      <w:pPr>
        <w:spacing w:before="270" w:line="498" w:lineRule="exact"/>
        <w:ind w:left="428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9"/>
          <w:position w:val="22"/>
          <w:sz w:val="20"/>
          <w:szCs w:val="20"/>
        </w:rPr>
        <w:t>非充气弹性支撑轮，支撑体单元中可分解的部件数量。</w:t>
      </w:r>
    </w:p>
    <w:p>
      <w:pPr>
        <w:pStyle w:val="BodyText"/>
        <w:spacing w:before="1" w:line="190" w:lineRule="auto"/>
      </w:pPr>
      <w:r>
        <w:rPr>
          <w:spacing w:val="4"/>
        </w:rPr>
        <w:t>4.27</w:t>
      </w:r>
    </w:p>
    <w:p>
      <w:pPr>
        <w:pStyle w:val="BodyText"/>
        <w:spacing w:before="231" w:line="226" w:lineRule="auto"/>
        <w:ind w:left="427"/>
        <w:outlineLvl w:val="2"/>
      </w:pPr>
      <w:r>
        <w:rPr>
          <w:spacing w:val="19"/>
        </w:rPr>
        <w:t>顶部承载系数</w:t>
      </w:r>
      <w:r>
        <w:rPr>
          <w:spacing w:val="19"/>
        </w:rPr>
        <w:t xml:space="preserve"> </w:t>
      </w:r>
      <w:r>
        <w:t>top</w:t>
      </w:r>
      <w:r>
        <w:rPr>
          <w:spacing w:val="19"/>
        </w:rPr>
        <w:t xml:space="preserve"> </w:t>
      </w:r>
      <w:r>
        <w:t>bearing</w:t>
      </w:r>
      <w:r>
        <w:rPr>
          <w:spacing w:val="19"/>
        </w:rPr>
        <w:t xml:space="preserve"> </w:t>
      </w:r>
      <w:r>
        <w:t>coefficient</w:t>
      </w:r>
    </w:p>
    <w:p>
      <w:pPr>
        <w:spacing w:before="222" w:line="258" w:lineRule="auto"/>
        <w:ind w:left="5" w:right="3" w:firstLine="423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7"/>
          <w:sz w:val="20"/>
          <w:szCs w:val="20"/>
        </w:rPr>
        <w:t>非充气弹性支撑轮的力学承载方式特性。以轮心所在水平面，上半部分支撑体在竖直方向上提供的</w:t>
      </w:r>
      <w:r>
        <w:rPr>
          <w:rFonts w:ascii="SimSun" w:eastAsia="SimSun" w:hAnsi="SimSun" w:cs="SimSun"/>
          <w:spacing w:val="16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7"/>
          <w:sz w:val="20"/>
          <w:szCs w:val="20"/>
        </w:rPr>
        <w:t>承载，</w:t>
      </w:r>
      <w:r>
        <w:rPr>
          <w:rFonts w:ascii="SimSun" w:eastAsia="SimSun" w:hAnsi="SimSun" w:cs="SimSun"/>
          <w:spacing w:val="-4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7"/>
          <w:sz w:val="20"/>
          <w:szCs w:val="20"/>
        </w:rPr>
        <w:t>占非充气弹性支撑轮总载荷的比值。顶部承载系数＞0。</w:t>
      </w:r>
    </w:p>
    <w:p>
      <w:pPr>
        <w:spacing w:line="310" w:lineRule="auto"/>
        <w:rPr>
          <w:rFonts w:ascii="Arial"/>
          <w:sz w:val="21"/>
        </w:rPr>
      </w:pPr>
    </w:p>
    <w:p>
      <w:pPr>
        <w:pStyle w:val="BodyText"/>
        <w:spacing w:before="65" w:line="229" w:lineRule="auto"/>
        <w:outlineLvl w:val="1"/>
      </w:pPr>
      <w:r>
        <w:rPr>
          <w:spacing w:val="8"/>
        </w:rPr>
        <w:t>5</w:t>
      </w:r>
      <w:r>
        <w:rPr>
          <w:spacing w:val="8"/>
        </w:rPr>
        <w:t xml:space="preserve">  </w:t>
      </w:r>
      <w:r>
        <w:rPr>
          <w:spacing w:val="8"/>
        </w:rPr>
        <w:t>非充气弹性支撑轮工艺流程术语定义</w:t>
      </w:r>
    </w:p>
    <w:p>
      <w:pPr>
        <w:spacing w:line="340" w:lineRule="auto"/>
        <w:rPr>
          <w:rFonts w:ascii="Arial"/>
          <w:sz w:val="21"/>
        </w:rPr>
      </w:pPr>
    </w:p>
    <w:p>
      <w:pPr>
        <w:pStyle w:val="BodyText"/>
        <w:spacing w:before="65" w:line="190" w:lineRule="auto"/>
      </w:pPr>
      <w:r>
        <w:rPr>
          <w:spacing w:val="4"/>
        </w:rPr>
        <w:t>5.1</w:t>
      </w:r>
    </w:p>
    <w:p>
      <w:pPr>
        <w:pStyle w:val="BodyText"/>
        <w:spacing w:before="231" w:line="226" w:lineRule="auto"/>
        <w:ind w:left="425"/>
        <w:outlineLvl w:val="2"/>
      </w:pPr>
      <w:r>
        <w:rPr>
          <w:spacing w:val="18"/>
        </w:rPr>
        <w:t>环形轮面胚</w:t>
      </w:r>
      <w:r>
        <w:rPr>
          <w:spacing w:val="18"/>
        </w:rPr>
        <w:t xml:space="preserve"> </w:t>
      </w:r>
      <w:r>
        <w:t>annular</w:t>
      </w:r>
      <w:r>
        <w:rPr>
          <w:spacing w:val="18"/>
        </w:rPr>
        <w:t xml:space="preserve"> </w:t>
      </w:r>
      <w:r>
        <w:t>tread</w:t>
      </w:r>
      <w:r>
        <w:rPr>
          <w:spacing w:val="18"/>
        </w:rPr>
        <w:t xml:space="preserve"> </w:t>
      </w:r>
      <w:r>
        <w:t>embryo</w:t>
      </w:r>
    </w:p>
    <w:p>
      <w:pPr>
        <w:spacing w:before="222" w:line="499" w:lineRule="exact"/>
        <w:ind w:left="428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9"/>
          <w:position w:val="22"/>
          <w:sz w:val="20"/>
          <w:szCs w:val="20"/>
        </w:rPr>
        <w:t>非充气弹性支撑轮与地面接触的部分，一般为橡胶材料，硫化成型前的结构。</w:t>
      </w:r>
    </w:p>
    <w:p>
      <w:pPr>
        <w:pStyle w:val="BodyText"/>
        <w:spacing w:line="191" w:lineRule="auto"/>
      </w:pPr>
      <w:r>
        <w:rPr>
          <w:spacing w:val="4"/>
        </w:rPr>
        <w:t>5.2</w:t>
      </w:r>
    </w:p>
    <w:p>
      <w:pPr>
        <w:pStyle w:val="BodyText"/>
        <w:spacing w:before="230" w:line="231" w:lineRule="auto"/>
        <w:ind w:left="425"/>
        <w:outlineLvl w:val="2"/>
      </w:pPr>
      <w:r>
        <w:rPr>
          <w:spacing w:val="16"/>
        </w:rPr>
        <w:t>环形轮面</w:t>
      </w:r>
      <w:r>
        <w:rPr>
          <w:spacing w:val="16"/>
        </w:rPr>
        <w:t xml:space="preserve"> </w:t>
      </w:r>
      <w:r>
        <w:t>Annular</w:t>
      </w:r>
      <w:r>
        <w:rPr>
          <w:spacing w:val="16"/>
        </w:rPr>
        <w:t xml:space="preserve"> </w:t>
      </w:r>
      <w:r>
        <w:t>tread</w:t>
      </w:r>
    </w:p>
    <w:p>
      <w:pPr>
        <w:spacing w:before="218" w:line="499" w:lineRule="exact"/>
        <w:ind w:left="428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9"/>
          <w:position w:val="22"/>
          <w:sz w:val="20"/>
          <w:szCs w:val="20"/>
        </w:rPr>
        <w:t>非充气弹性支撑轮与地面接触的部分，一般为橡胶材料。</w:t>
      </w:r>
    </w:p>
    <w:p>
      <w:pPr>
        <w:pStyle w:val="BodyText"/>
        <w:spacing w:line="191" w:lineRule="auto"/>
      </w:pPr>
      <w:r>
        <w:rPr>
          <w:spacing w:val="4"/>
        </w:rPr>
        <w:t>5.3</w:t>
      </w:r>
    </w:p>
    <w:p>
      <w:pPr>
        <w:pStyle w:val="BodyText"/>
        <w:spacing w:before="231" w:line="226" w:lineRule="auto"/>
        <w:ind w:left="432"/>
        <w:outlineLvl w:val="2"/>
      </w:pPr>
      <w:r>
        <w:rPr>
          <w:spacing w:val="20"/>
        </w:rPr>
        <w:t>离心浇注</w:t>
      </w:r>
      <w:r>
        <w:rPr>
          <w:spacing w:val="20"/>
        </w:rPr>
        <w:t xml:space="preserve"> </w:t>
      </w:r>
      <w:r>
        <w:t>centrifugal</w:t>
      </w:r>
      <w:r>
        <w:rPr>
          <w:spacing w:val="20"/>
        </w:rPr>
        <w:t xml:space="preserve"> </w:t>
      </w:r>
      <w:r>
        <w:t>casting</w:t>
      </w:r>
    </w:p>
    <w:p>
      <w:pPr>
        <w:spacing w:before="222" w:line="228" w:lineRule="auto"/>
        <w:ind w:left="428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9"/>
          <w:sz w:val="20"/>
          <w:szCs w:val="20"/>
        </w:rPr>
        <w:t>非充气弹性支撑轮，由浇注型弹性体材料构成时，可以采用的弹性体结构成型工艺方式。</w:t>
      </w:r>
    </w:p>
    <w:p>
      <w:pPr>
        <w:pStyle w:val="BodyText"/>
        <w:spacing w:before="253" w:line="190" w:lineRule="auto"/>
      </w:pPr>
      <w:r>
        <w:rPr>
          <w:spacing w:val="4"/>
        </w:rPr>
        <w:t>5.4</w:t>
      </w:r>
    </w:p>
    <w:p>
      <w:pPr>
        <w:pStyle w:val="BodyText"/>
        <w:spacing w:before="198" w:line="283" w:lineRule="exact"/>
        <w:ind w:left="428"/>
        <w:outlineLvl w:val="2"/>
        <w:rPr>
          <w:rFonts w:ascii="Segoe UI" w:eastAsia="Segoe UI" w:hAnsi="Segoe UI" w:cs="Segoe UI"/>
        </w:rPr>
      </w:pPr>
      <w:r>
        <w:rPr>
          <w:spacing w:val="16"/>
          <w:position w:val="3"/>
        </w:rPr>
        <w:t>非充气弹性支撑轮脱模</w:t>
      </w:r>
      <w:r>
        <w:rPr>
          <w:spacing w:val="16"/>
          <w:position w:val="3"/>
        </w:rPr>
        <w:t xml:space="preserve"> </w:t>
      </w:r>
      <w:r>
        <w:rPr>
          <w:position w:val="3"/>
        </w:rPr>
        <w:t>air</w:t>
      </w:r>
      <w:r>
        <w:rPr>
          <w:spacing w:val="16"/>
          <w:position w:val="3"/>
        </w:rPr>
        <w:t>-</w:t>
      </w:r>
      <w:r>
        <w:rPr>
          <w:spacing w:val="-49"/>
          <w:position w:val="3"/>
        </w:rPr>
        <w:t xml:space="preserve"> </w:t>
      </w:r>
      <w:r>
        <w:rPr>
          <w:position w:val="3"/>
        </w:rPr>
        <w:t>less</w:t>
      </w:r>
      <w:r>
        <w:rPr>
          <w:spacing w:val="16"/>
          <w:position w:val="3"/>
        </w:rPr>
        <w:t xml:space="preserve"> </w:t>
      </w:r>
      <w:r>
        <w:rPr>
          <w:position w:val="3"/>
        </w:rPr>
        <w:t>tyres</w:t>
      </w:r>
      <w:r>
        <w:rPr>
          <w:spacing w:val="16"/>
          <w:position w:val="3"/>
        </w:rPr>
        <w:t xml:space="preserve"> </w:t>
      </w:r>
      <w:r>
        <w:rPr>
          <w:position w:val="3"/>
        </w:rPr>
        <w:t>with</w:t>
      </w:r>
      <w:r>
        <w:rPr>
          <w:spacing w:val="16"/>
          <w:position w:val="3"/>
        </w:rPr>
        <w:t xml:space="preserve"> </w:t>
      </w:r>
      <w:r>
        <w:rPr>
          <w:position w:val="3"/>
        </w:rPr>
        <w:t>elastic</w:t>
      </w:r>
      <w:r>
        <w:rPr>
          <w:spacing w:val="16"/>
          <w:position w:val="3"/>
        </w:rPr>
        <w:t xml:space="preserve"> </w:t>
      </w:r>
      <w:r>
        <w:rPr>
          <w:position w:val="3"/>
        </w:rPr>
        <w:t>support</w:t>
      </w:r>
      <w:r>
        <w:rPr>
          <w:spacing w:val="16"/>
          <w:position w:val="3"/>
        </w:rPr>
        <w:t xml:space="preserve"> </w:t>
      </w:r>
      <w:r>
        <w:rPr>
          <w:rFonts w:ascii="Segoe UI" w:eastAsia="Segoe UI" w:hAnsi="Segoe UI" w:cs="Segoe UI"/>
          <w:color w:val="2A2B2E"/>
          <w:position w:val="3"/>
        </w:rPr>
        <w:t>demoulding</w:t>
      </w:r>
    </w:p>
    <w:p>
      <w:pPr>
        <w:spacing w:before="217" w:line="228" w:lineRule="auto"/>
        <w:ind w:left="428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9"/>
          <w:sz w:val="20"/>
          <w:szCs w:val="20"/>
        </w:rPr>
        <w:t>非充气弹性支撑轮，由浇注型弹性体材料构成时，弹性体固化后的脱模步骤。</w:t>
      </w:r>
    </w:p>
    <w:p>
      <w:pPr>
        <w:pStyle w:val="BodyText"/>
        <w:spacing w:before="256" w:line="187" w:lineRule="auto"/>
      </w:pPr>
      <w:r>
        <w:rPr>
          <w:spacing w:val="4"/>
        </w:rPr>
        <w:t>5.5</w:t>
      </w:r>
    </w:p>
    <w:p>
      <w:pPr>
        <w:pStyle w:val="BodyText"/>
        <w:spacing w:before="231" w:line="226" w:lineRule="auto"/>
        <w:ind w:left="424"/>
        <w:outlineLvl w:val="2"/>
      </w:pPr>
      <w:r>
        <w:rPr>
          <w:spacing w:val="23"/>
        </w:rPr>
        <w:t>后硫化</w:t>
      </w:r>
      <w:r>
        <w:rPr>
          <w:spacing w:val="23"/>
        </w:rPr>
        <w:t xml:space="preserve"> </w:t>
      </w:r>
      <w:r>
        <w:t>post</w:t>
      </w:r>
      <w:r>
        <w:rPr>
          <w:spacing w:val="23"/>
        </w:rPr>
        <w:t xml:space="preserve"> </w:t>
      </w:r>
      <w:r>
        <w:t>vulcanization</w:t>
      </w:r>
    </w:p>
    <w:p>
      <w:pPr>
        <w:spacing w:before="223" w:line="228" w:lineRule="auto"/>
        <w:ind w:left="428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9"/>
          <w:sz w:val="20"/>
          <w:szCs w:val="20"/>
        </w:rPr>
        <w:t>非充气弹性支撑轮，由浇注型弹性体材料构成时，弹性体固化后的保温硫化步骤。</w:t>
      </w:r>
    </w:p>
    <w:p>
      <w:pPr>
        <w:pStyle w:val="BodyText"/>
        <w:spacing w:before="253" w:line="190" w:lineRule="auto"/>
      </w:pPr>
      <w:r>
        <w:rPr>
          <w:spacing w:val="4"/>
        </w:rPr>
        <w:t>5.6</w:t>
      </w:r>
    </w:p>
    <w:p>
      <w:pPr>
        <w:pStyle w:val="BodyText"/>
        <w:spacing w:before="230" w:line="231" w:lineRule="auto"/>
        <w:ind w:left="428"/>
        <w:outlineLvl w:val="2"/>
      </w:pPr>
      <w:r>
        <w:rPr>
          <w:spacing w:val="23"/>
        </w:rPr>
        <w:t>二次硫化</w:t>
      </w:r>
      <w:r>
        <w:rPr>
          <w:spacing w:val="23"/>
        </w:rPr>
        <w:t xml:space="preserve"> </w:t>
      </w:r>
      <w:r>
        <w:t>finished</w:t>
      </w:r>
      <w:r>
        <w:rPr>
          <w:spacing w:val="23"/>
        </w:rPr>
        <w:t xml:space="preserve"> </w:t>
      </w:r>
      <w:r>
        <w:t>vulcanization</w:t>
      </w:r>
    </w:p>
    <w:p>
      <w:pPr>
        <w:spacing w:before="218" w:line="228" w:lineRule="auto"/>
        <w:ind w:left="427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8"/>
          <w:sz w:val="20"/>
          <w:szCs w:val="20"/>
        </w:rPr>
        <w:t>用于已成型部件之间粘接的硫化粘接。</w:t>
      </w:r>
    </w:p>
    <w:p>
      <w:pPr>
        <w:spacing w:line="309" w:lineRule="auto"/>
        <w:rPr>
          <w:rFonts w:ascii="Arial"/>
          <w:sz w:val="21"/>
        </w:rPr>
      </w:pPr>
    </w:p>
    <w:p>
      <w:pPr>
        <w:pStyle w:val="BodyText"/>
        <w:spacing w:before="66" w:line="229" w:lineRule="auto"/>
        <w:ind w:left="4"/>
        <w:outlineLvl w:val="1"/>
        <w:sectPr>
          <w:footerReference w:type="default" r:id="rId17"/>
          <w:pgSz w:w="11906" w:h="16839"/>
          <w:pgMar w:top="1363" w:right="1133" w:bottom="1421" w:left="1420" w:header="0" w:footer="1244" w:gutter="0"/>
          <w:pgNumType w:start="13"/>
          <w:cols w:space="708"/>
        </w:sectPr>
      </w:pPr>
      <w:r>
        <w:rPr>
          <w:spacing w:val="8"/>
        </w:rPr>
        <w:t>6</w:t>
      </w:r>
      <w:r>
        <w:rPr>
          <w:spacing w:val="8"/>
        </w:rPr>
        <w:t xml:space="preserve">  </w:t>
      </w:r>
      <w:r>
        <w:rPr>
          <w:spacing w:val="8"/>
        </w:rPr>
        <w:t>非充气弹性支撑轮分类</w:t>
      </w:r>
    </w:p>
    <w:p>
      <w:pPr>
        <w:spacing w:line="340" w:lineRule="auto"/>
        <w:rPr>
          <w:rFonts w:ascii="Arial"/>
          <w:sz w:val="21"/>
        </w:rPr>
      </w:pPr>
    </w:p>
    <w:p>
      <w:pPr>
        <w:pStyle w:val="BodyText"/>
        <w:spacing w:before="66" w:line="190" w:lineRule="auto"/>
        <w:ind w:left="4"/>
      </w:pPr>
      <w:r>
        <w:rPr>
          <w:spacing w:val="2"/>
        </w:rPr>
        <w:t>6.1</w:t>
      </w:r>
    </w:p>
    <w:p>
      <w:pPr>
        <w:pStyle w:val="BodyText"/>
        <w:spacing w:before="231" w:line="226" w:lineRule="auto"/>
        <w:ind w:left="8"/>
        <w:outlineLvl w:val="2"/>
      </w:pPr>
      <w:r>
        <w:rPr>
          <w:spacing w:val="17"/>
        </w:rPr>
        <w:t>弹性体非充气弹性支撑轮</w:t>
      </w:r>
      <w:r>
        <w:rPr>
          <w:spacing w:val="-32"/>
        </w:rPr>
        <w:t xml:space="preserve"> </w:t>
      </w:r>
      <w:r>
        <w:t>air</w:t>
      </w:r>
      <w:r>
        <w:rPr>
          <w:spacing w:val="17"/>
        </w:rPr>
        <w:t>-</w:t>
      </w:r>
      <w:r>
        <w:rPr>
          <w:spacing w:val="-58"/>
        </w:rPr>
        <w:t xml:space="preserve"> </w:t>
      </w:r>
      <w:r>
        <w:t>less</w:t>
      </w:r>
      <w:r>
        <w:rPr>
          <w:spacing w:val="17"/>
        </w:rPr>
        <w:t xml:space="preserve"> </w:t>
      </w:r>
      <w:r>
        <w:t>tyres</w:t>
      </w:r>
      <w:r>
        <w:rPr>
          <w:spacing w:val="17"/>
        </w:rPr>
        <w:t xml:space="preserve"> </w:t>
      </w:r>
      <w:r>
        <w:t>with</w:t>
      </w:r>
      <w:r>
        <w:rPr>
          <w:spacing w:val="17"/>
        </w:rPr>
        <w:t xml:space="preserve"> </w:t>
      </w:r>
      <w:r>
        <w:t>elastic</w:t>
      </w:r>
      <w:r>
        <w:rPr>
          <w:spacing w:val="17"/>
        </w:rPr>
        <w:t xml:space="preserve"> </w:t>
      </w:r>
      <w:r>
        <w:t>support</w:t>
      </w:r>
      <w:r>
        <w:rPr>
          <w:spacing w:val="17"/>
        </w:rPr>
        <w:t xml:space="preserve"> </w:t>
      </w:r>
      <w:r>
        <w:t>composed</w:t>
      </w:r>
      <w:r>
        <w:rPr>
          <w:spacing w:val="17"/>
        </w:rPr>
        <w:t xml:space="preserve"> </w:t>
      </w:r>
      <w:r>
        <w:t>of</w:t>
      </w:r>
      <w:r>
        <w:rPr>
          <w:spacing w:val="17"/>
        </w:rPr>
        <w:t xml:space="preserve"> </w:t>
      </w:r>
      <w:r>
        <w:t>elastomer</w:t>
      </w:r>
    </w:p>
    <w:p>
      <w:pPr>
        <w:spacing w:line="226" w:lineRule="auto"/>
      </w:pP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8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https://d.book118.com/548052027034006041</w:t>
        </w:r>
      </w:hyperlink>
    </w:p>
    <w:p>
      <w:pPr>
        <w:spacing w:line="226" w:lineRule="auto"/>
      </w:pPr>
    </w:p>
    <w:sectPr>
      <w:footerReference w:type="default" r:id="rId19"/>
      <w:type w:val="nextPage"/>
      <w:pgSz w:w="11906" w:h="16839"/>
      <w:pgMar w:top="1363" w:right="1133" w:bottom="1421" w:left="1420" w:header="0" w:footer="1244" w:gutter="0"/>
      <w:pgNumType w:start="14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9059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9059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2" w:lineRule="auto"/>
      <w:ind w:left="298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2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2" w:lineRule="auto"/>
      <w:ind w:left="298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2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2" w:lineRule="auto"/>
      <w:ind w:left="9053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3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2" w:lineRule="auto"/>
      <w:ind w:left="9053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3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2" w:lineRule="auto"/>
      <w:ind w:left="298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4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2" w:lineRule="auto"/>
      <w:ind w:left="298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4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1" w:lineRule="auto"/>
      <w:ind w:left="9053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5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1" w:lineRule="auto"/>
      <w:ind w:left="9053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5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2" w:lineRule="auto"/>
      <w:ind w:left="301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6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2" w:lineRule="auto"/>
      <w:ind w:left="301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6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1" w:lineRule="auto"/>
      <w:ind w:left="9054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7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1" w:lineRule="auto"/>
      <w:ind w:left="9054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7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Hei" w:eastAsia="SimHei" w:hAnsi="SimHei" w:cs="SimHei"/>
      <w:sz w:val="20"/>
      <w:szCs w:val="20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18"/>
      <w:szCs w:val="18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footer" Target="footer11.xml" /><Relationship Id="rId16" Type="http://schemas.openxmlformats.org/officeDocument/2006/relationships/footer" Target="footer12.xml" /><Relationship Id="rId17" Type="http://schemas.openxmlformats.org/officeDocument/2006/relationships/footer" Target="footer13.xml" /><Relationship Id="rId18" Type="http://schemas.openxmlformats.org/officeDocument/2006/relationships/hyperlink" Target="https://d.book118.com/548052027034006041" TargetMode="External" /><Relationship Id="rId19" Type="http://schemas.openxmlformats.org/officeDocument/2006/relationships/footer" Target="footer14.xml" /><Relationship Id="rId2" Type="http://schemas.openxmlformats.org/officeDocument/2006/relationships/webSettings" Target="webSettings.xml" /><Relationship Id="rId20" Type="http://schemas.openxmlformats.org/officeDocument/2006/relationships/theme" Target="theme/theme1.xml" /><Relationship Id="rId21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image" Target="media/image1.jpeg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标准名称</dc:title>
  <dc:creator>CNIS</dc:creator>
  <cp:revision>0</cp:revision>
  <dcterms:created xsi:type="dcterms:W3CDTF">2024-02-29T10:29:53Z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2024-02-29T11:22:19Z</vt:filetime>
  </property>
  <property fmtid="{D5CDD505-2E9C-101B-9397-08002B2CF9AE}" pid="3" name="CRO">
    <vt:lpwstr>wqlLaW5nc29mdCBQREYgdG8gV1BTIDkw</vt:lpwstr>
  </property>
</Properties>
</file>