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非标设备及零部件项目规划设计蓝图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36" w:history="1">
        <w:r>
          <w:rPr>
            <w:rFonts w:ascii="仿宋" w:eastAsia="仿宋" w:hAnsi="仿宋" w:cs="仿宋" w:hint="eastAsia"/>
            <w:lang w:eastAsia="zh-CN"/>
          </w:rPr>
          <w:t>概论</w:t>
        </w:r>
        <w:r>
          <w:tab/>
        </w:r>
        <w:r>
          <w:fldChar w:fldCharType="begin"/>
        </w:r>
        <w:r>
          <w:instrText xml:space="preserve"> PAGEREF _Toc31036 \h </w:instrText>
        </w:r>
        <w:r>
          <w:fldChar w:fldCharType="separate"/>
        </w:r>
        <w:r>
          <w:t>3</w:t>
        </w:r>
        <w:r>
          <w:fldChar w:fldCharType="end"/>
        </w:r>
      </w:hyperlink>
    </w:p>
    <w:p>
      <w:pPr>
        <w:pStyle w:val="TOC1"/>
        <w:tabs>
          <w:tab w:val="right" w:leader="dot" w:pos="8306"/>
        </w:tabs>
      </w:pPr>
      <w:hyperlink w:anchor="_Toc16227" w:history="1">
        <w:r>
          <w:rPr>
            <w:rFonts w:ascii="仿宋" w:eastAsia="仿宋" w:hAnsi="仿宋" w:cs="仿宋" w:hint="eastAsia"/>
            <w:lang w:eastAsia="zh-CN"/>
          </w:rPr>
          <w:t>一、市场分析、调研</w:t>
        </w:r>
        <w:r>
          <w:tab/>
        </w:r>
        <w:r>
          <w:fldChar w:fldCharType="begin"/>
        </w:r>
        <w:r>
          <w:instrText xml:space="preserve"> PAGEREF _Toc16227 \h </w:instrText>
        </w:r>
        <w:r>
          <w:fldChar w:fldCharType="separate"/>
        </w:r>
        <w:r>
          <w:t>3</w:t>
        </w:r>
        <w:r>
          <w:fldChar w:fldCharType="end"/>
        </w:r>
      </w:hyperlink>
    </w:p>
    <w:p>
      <w:pPr>
        <w:pStyle w:val="TOC2"/>
        <w:tabs>
          <w:tab w:val="right" w:leader="dot" w:pos="8306"/>
        </w:tabs>
      </w:pPr>
      <w:hyperlink w:anchor="_Toc26872" w:history="1">
        <w:r>
          <w:rPr>
            <w:rFonts w:ascii="仿宋" w:eastAsia="仿宋" w:hAnsi="仿宋" w:cs="仿宋" w:hint="eastAsia"/>
            <w:lang w:eastAsia="zh-CN"/>
          </w:rPr>
          <w:t>(一)、非标设备及零部件行业分析</w:t>
        </w:r>
        <w:r>
          <w:tab/>
        </w:r>
        <w:r>
          <w:fldChar w:fldCharType="begin"/>
        </w:r>
        <w:r>
          <w:instrText xml:space="preserve"> PAGEREF _Toc26872 \h </w:instrText>
        </w:r>
        <w:r>
          <w:fldChar w:fldCharType="separate"/>
        </w:r>
        <w:r>
          <w:t>3</w:t>
        </w:r>
        <w:r>
          <w:fldChar w:fldCharType="end"/>
        </w:r>
      </w:hyperlink>
    </w:p>
    <w:p>
      <w:pPr>
        <w:pStyle w:val="TOC2"/>
        <w:tabs>
          <w:tab w:val="right" w:leader="dot" w:pos="8306"/>
        </w:tabs>
      </w:pPr>
      <w:hyperlink w:anchor="_Toc15564" w:history="1">
        <w:r>
          <w:rPr>
            <w:rFonts w:ascii="仿宋" w:eastAsia="仿宋" w:hAnsi="仿宋" w:cs="仿宋" w:hint="eastAsia"/>
            <w:lang w:eastAsia="zh-CN"/>
          </w:rPr>
          <w:t>(二)、非标设备及零部件市场分析预测</w:t>
        </w:r>
        <w:r>
          <w:tab/>
        </w:r>
        <w:r>
          <w:fldChar w:fldCharType="begin"/>
        </w:r>
        <w:r>
          <w:instrText xml:space="preserve"> PAGEREF _Toc15564 \h </w:instrText>
        </w:r>
        <w:r>
          <w:fldChar w:fldCharType="separate"/>
        </w:r>
        <w:r>
          <w:t>4</w:t>
        </w:r>
        <w:r>
          <w:fldChar w:fldCharType="end"/>
        </w:r>
      </w:hyperlink>
    </w:p>
    <w:p>
      <w:pPr>
        <w:pStyle w:val="TOC1"/>
        <w:tabs>
          <w:tab w:val="right" w:leader="dot" w:pos="8306"/>
        </w:tabs>
      </w:pPr>
      <w:hyperlink w:anchor="_Toc16773" w:history="1">
        <w:r>
          <w:rPr>
            <w:rFonts w:ascii="仿宋" w:eastAsia="仿宋" w:hAnsi="仿宋" w:cs="仿宋" w:hint="eastAsia"/>
            <w:lang w:eastAsia="zh-CN"/>
          </w:rPr>
          <w:t>二、产品规划分析</w:t>
        </w:r>
        <w:r>
          <w:tab/>
        </w:r>
        <w:r>
          <w:fldChar w:fldCharType="begin"/>
        </w:r>
        <w:r>
          <w:instrText xml:space="preserve"> PAGEREF _Toc16773 \h </w:instrText>
        </w:r>
        <w:r>
          <w:fldChar w:fldCharType="separate"/>
        </w:r>
        <w:r>
          <w:t>5</w:t>
        </w:r>
        <w:r>
          <w:fldChar w:fldCharType="end"/>
        </w:r>
      </w:hyperlink>
    </w:p>
    <w:p>
      <w:pPr>
        <w:pStyle w:val="TOC2"/>
        <w:tabs>
          <w:tab w:val="right" w:leader="dot" w:pos="8306"/>
        </w:tabs>
      </w:pPr>
      <w:hyperlink w:anchor="_Toc7405" w:history="1">
        <w:r>
          <w:rPr>
            <w:rFonts w:ascii="仿宋" w:eastAsia="仿宋" w:hAnsi="仿宋" w:cs="仿宋" w:hint="eastAsia"/>
            <w:lang w:eastAsia="zh-CN"/>
          </w:rPr>
          <w:t>(一)、产品规划</w:t>
        </w:r>
        <w:r>
          <w:tab/>
        </w:r>
        <w:r>
          <w:fldChar w:fldCharType="begin"/>
        </w:r>
        <w:r>
          <w:instrText xml:space="preserve"> PAGEREF _Toc7405 \h </w:instrText>
        </w:r>
        <w:r>
          <w:fldChar w:fldCharType="separate"/>
        </w:r>
        <w:r>
          <w:t>5</w:t>
        </w:r>
        <w:r>
          <w:fldChar w:fldCharType="end"/>
        </w:r>
      </w:hyperlink>
    </w:p>
    <w:p>
      <w:pPr>
        <w:pStyle w:val="TOC2"/>
        <w:tabs>
          <w:tab w:val="right" w:leader="dot" w:pos="8306"/>
        </w:tabs>
      </w:pPr>
      <w:hyperlink w:anchor="_Toc20337" w:history="1">
        <w:r>
          <w:rPr>
            <w:rFonts w:ascii="仿宋" w:eastAsia="仿宋" w:hAnsi="仿宋" w:cs="仿宋" w:hint="eastAsia"/>
            <w:lang w:eastAsia="zh-CN"/>
          </w:rPr>
          <w:t>(二)、建设规模</w:t>
        </w:r>
        <w:r>
          <w:tab/>
        </w:r>
        <w:r>
          <w:fldChar w:fldCharType="begin"/>
        </w:r>
        <w:r>
          <w:instrText xml:space="preserve"> PAGEREF _Toc20337 \h </w:instrText>
        </w:r>
        <w:r>
          <w:fldChar w:fldCharType="separate"/>
        </w:r>
        <w:r>
          <w:t>5</w:t>
        </w:r>
        <w:r>
          <w:fldChar w:fldCharType="end"/>
        </w:r>
      </w:hyperlink>
    </w:p>
    <w:p>
      <w:pPr>
        <w:pStyle w:val="TOC1"/>
        <w:tabs>
          <w:tab w:val="right" w:leader="dot" w:pos="8306"/>
        </w:tabs>
      </w:pPr>
      <w:hyperlink w:anchor="_Toc9571" w:history="1">
        <w:r>
          <w:rPr>
            <w:rFonts w:ascii="仿宋" w:eastAsia="仿宋" w:hAnsi="仿宋" w:cs="仿宋" w:hint="eastAsia"/>
            <w:lang w:eastAsia="zh-CN"/>
          </w:rPr>
          <w:t>三、非标设备及零部件项目文档管理</w:t>
        </w:r>
        <w:r>
          <w:tab/>
        </w:r>
        <w:r>
          <w:fldChar w:fldCharType="begin"/>
        </w:r>
        <w:r>
          <w:instrText xml:space="preserve"> PAGEREF _Toc9571 \h </w:instrText>
        </w:r>
        <w:r>
          <w:fldChar w:fldCharType="separate"/>
        </w:r>
        <w:r>
          <w:t>7</w:t>
        </w:r>
        <w:r>
          <w:fldChar w:fldCharType="end"/>
        </w:r>
      </w:hyperlink>
    </w:p>
    <w:p>
      <w:pPr>
        <w:pStyle w:val="TOC2"/>
        <w:tabs>
          <w:tab w:val="right" w:leader="dot" w:pos="8306"/>
        </w:tabs>
      </w:pPr>
      <w:hyperlink w:anchor="_Toc26624" w:history="1">
        <w:r>
          <w:rPr>
            <w:rFonts w:ascii="仿宋" w:eastAsia="仿宋" w:hAnsi="仿宋" w:cs="仿宋" w:hint="eastAsia"/>
            <w:lang w:eastAsia="zh-CN"/>
          </w:rPr>
          <w:t>(一)、文档编制与审查</w:t>
        </w:r>
        <w:r>
          <w:tab/>
        </w:r>
        <w:r>
          <w:fldChar w:fldCharType="begin"/>
        </w:r>
        <w:r>
          <w:instrText xml:space="preserve"> PAGEREF _Toc26624 \h </w:instrText>
        </w:r>
        <w:r>
          <w:fldChar w:fldCharType="separate"/>
        </w:r>
        <w:r>
          <w:t>7</w:t>
        </w:r>
        <w:r>
          <w:fldChar w:fldCharType="end"/>
        </w:r>
      </w:hyperlink>
    </w:p>
    <w:p>
      <w:pPr>
        <w:pStyle w:val="TOC2"/>
        <w:tabs>
          <w:tab w:val="right" w:leader="dot" w:pos="8306"/>
        </w:tabs>
      </w:pPr>
      <w:hyperlink w:anchor="_Toc27644" w:history="1">
        <w:r>
          <w:rPr>
            <w:rFonts w:ascii="仿宋" w:eastAsia="仿宋" w:hAnsi="仿宋" w:cs="仿宋" w:hint="eastAsia"/>
            <w:lang w:eastAsia="zh-CN"/>
          </w:rPr>
          <w:t>(二)、文档发布与分发</w:t>
        </w:r>
        <w:r>
          <w:tab/>
        </w:r>
        <w:r>
          <w:fldChar w:fldCharType="begin"/>
        </w:r>
        <w:r>
          <w:instrText xml:space="preserve"> PAGEREF _Toc27644 \h </w:instrText>
        </w:r>
        <w:r>
          <w:fldChar w:fldCharType="separate"/>
        </w:r>
        <w:r>
          <w:t>8</w:t>
        </w:r>
        <w:r>
          <w:fldChar w:fldCharType="end"/>
        </w:r>
      </w:hyperlink>
    </w:p>
    <w:p>
      <w:pPr>
        <w:pStyle w:val="TOC2"/>
        <w:tabs>
          <w:tab w:val="right" w:leader="dot" w:pos="8306"/>
        </w:tabs>
      </w:pPr>
      <w:hyperlink w:anchor="_Toc28928" w:history="1">
        <w:r>
          <w:rPr>
            <w:rFonts w:ascii="仿宋" w:eastAsia="仿宋" w:hAnsi="仿宋" w:cs="仿宋" w:hint="eastAsia"/>
            <w:lang w:eastAsia="zh-CN"/>
          </w:rPr>
          <w:t>(三)、文档存档与归档</w:t>
        </w:r>
        <w:r>
          <w:tab/>
        </w:r>
        <w:r>
          <w:fldChar w:fldCharType="begin"/>
        </w:r>
        <w:r>
          <w:instrText xml:space="preserve"> PAGEREF _Toc28928 \h </w:instrText>
        </w:r>
        <w:r>
          <w:fldChar w:fldCharType="separate"/>
        </w:r>
        <w:r>
          <w:t>9</w:t>
        </w:r>
        <w:r>
          <w:fldChar w:fldCharType="end"/>
        </w:r>
      </w:hyperlink>
    </w:p>
    <w:p>
      <w:pPr>
        <w:pStyle w:val="TOC1"/>
        <w:tabs>
          <w:tab w:val="right" w:leader="dot" w:pos="8306"/>
        </w:tabs>
      </w:pPr>
      <w:hyperlink w:anchor="_Toc4537" w:history="1">
        <w:r>
          <w:rPr>
            <w:rFonts w:ascii="仿宋" w:eastAsia="仿宋" w:hAnsi="仿宋" w:cs="仿宋" w:hint="eastAsia"/>
            <w:lang w:eastAsia="zh-CN"/>
          </w:rPr>
          <w:t>四、非标设备及零部件项目土建工程</w:t>
        </w:r>
        <w:r>
          <w:tab/>
        </w:r>
        <w:r>
          <w:fldChar w:fldCharType="begin"/>
        </w:r>
        <w:r>
          <w:instrText xml:space="preserve"> PAGEREF _Toc4537 \h </w:instrText>
        </w:r>
        <w:r>
          <w:fldChar w:fldCharType="separate"/>
        </w:r>
        <w:r>
          <w:t>10</w:t>
        </w:r>
        <w:r>
          <w:fldChar w:fldCharType="end"/>
        </w:r>
      </w:hyperlink>
    </w:p>
    <w:p>
      <w:pPr>
        <w:pStyle w:val="TOC2"/>
        <w:tabs>
          <w:tab w:val="right" w:leader="dot" w:pos="8306"/>
        </w:tabs>
      </w:pPr>
      <w:hyperlink w:anchor="_Toc14384" w:history="1">
        <w:r>
          <w:rPr>
            <w:rFonts w:ascii="仿宋" w:eastAsia="仿宋" w:hAnsi="仿宋" w:cs="仿宋" w:hint="eastAsia"/>
            <w:lang w:eastAsia="zh-CN"/>
          </w:rPr>
          <w:t>(一)、建筑工程设计原则</w:t>
        </w:r>
        <w:r>
          <w:tab/>
        </w:r>
        <w:r>
          <w:fldChar w:fldCharType="begin"/>
        </w:r>
        <w:r>
          <w:instrText xml:space="preserve"> PAGEREF _Toc14384 \h </w:instrText>
        </w:r>
        <w:r>
          <w:fldChar w:fldCharType="separate"/>
        </w:r>
        <w:r>
          <w:t>10</w:t>
        </w:r>
        <w:r>
          <w:fldChar w:fldCharType="end"/>
        </w:r>
      </w:hyperlink>
    </w:p>
    <w:p>
      <w:pPr>
        <w:pStyle w:val="TOC2"/>
        <w:tabs>
          <w:tab w:val="right" w:leader="dot" w:pos="8306"/>
        </w:tabs>
      </w:pPr>
      <w:hyperlink w:anchor="_Toc8984" w:history="1">
        <w:r>
          <w:rPr>
            <w:rFonts w:ascii="仿宋" w:eastAsia="仿宋" w:hAnsi="仿宋" w:cs="仿宋" w:hint="eastAsia"/>
            <w:lang w:eastAsia="zh-CN"/>
          </w:rPr>
          <w:t>(二)、土建工程设计年限及安全等级</w:t>
        </w:r>
        <w:r>
          <w:tab/>
        </w:r>
        <w:r>
          <w:fldChar w:fldCharType="begin"/>
        </w:r>
        <w:r>
          <w:instrText xml:space="preserve"> PAGEREF _Toc8984 \h </w:instrText>
        </w:r>
        <w:r>
          <w:fldChar w:fldCharType="separate"/>
        </w:r>
        <w:r>
          <w:t>11</w:t>
        </w:r>
        <w:r>
          <w:fldChar w:fldCharType="end"/>
        </w:r>
      </w:hyperlink>
    </w:p>
    <w:p>
      <w:pPr>
        <w:pStyle w:val="TOC2"/>
        <w:tabs>
          <w:tab w:val="right" w:leader="dot" w:pos="8306"/>
        </w:tabs>
      </w:pPr>
      <w:hyperlink w:anchor="_Toc7907" w:history="1">
        <w:r>
          <w:rPr>
            <w:rFonts w:ascii="仿宋" w:eastAsia="仿宋" w:hAnsi="仿宋" w:cs="仿宋" w:hint="eastAsia"/>
            <w:lang w:eastAsia="zh-CN"/>
          </w:rPr>
          <w:t>(三)、建筑工程设计总体要求</w:t>
        </w:r>
        <w:r>
          <w:tab/>
        </w:r>
        <w:r>
          <w:fldChar w:fldCharType="begin"/>
        </w:r>
        <w:r>
          <w:instrText xml:space="preserve"> PAGEREF _Toc7907 \h </w:instrText>
        </w:r>
        <w:r>
          <w:fldChar w:fldCharType="separate"/>
        </w:r>
        <w:r>
          <w:t>13</w:t>
        </w:r>
        <w:r>
          <w:fldChar w:fldCharType="end"/>
        </w:r>
      </w:hyperlink>
    </w:p>
    <w:p>
      <w:pPr>
        <w:pStyle w:val="TOC2"/>
        <w:tabs>
          <w:tab w:val="right" w:leader="dot" w:pos="8306"/>
        </w:tabs>
      </w:pPr>
      <w:hyperlink w:anchor="_Toc12203" w:history="1">
        <w:r>
          <w:rPr>
            <w:rFonts w:ascii="仿宋" w:eastAsia="仿宋" w:hAnsi="仿宋" w:cs="仿宋" w:hint="eastAsia"/>
            <w:lang w:eastAsia="zh-CN"/>
          </w:rPr>
          <w:t>(四)、土建工程建设指标</w:t>
        </w:r>
        <w:r>
          <w:tab/>
        </w:r>
        <w:r>
          <w:fldChar w:fldCharType="begin"/>
        </w:r>
        <w:r>
          <w:instrText xml:space="preserve"> PAGEREF _Toc12203 \h </w:instrText>
        </w:r>
        <w:r>
          <w:fldChar w:fldCharType="separate"/>
        </w:r>
        <w:r>
          <w:t>13</w:t>
        </w:r>
        <w:r>
          <w:fldChar w:fldCharType="end"/>
        </w:r>
      </w:hyperlink>
    </w:p>
    <w:p>
      <w:pPr>
        <w:pStyle w:val="TOC1"/>
        <w:tabs>
          <w:tab w:val="right" w:leader="dot" w:pos="8306"/>
        </w:tabs>
      </w:pPr>
      <w:hyperlink w:anchor="_Toc970" w:history="1">
        <w:r>
          <w:rPr>
            <w:rFonts w:ascii="仿宋" w:eastAsia="仿宋" w:hAnsi="仿宋" w:cs="仿宋" w:hint="eastAsia"/>
            <w:lang w:eastAsia="zh-CN"/>
          </w:rPr>
          <w:t>五、非标设备及零部件项目可持续发展</w:t>
        </w:r>
        <w:r>
          <w:tab/>
        </w:r>
        <w:r>
          <w:fldChar w:fldCharType="begin"/>
        </w:r>
        <w:r>
          <w:instrText xml:space="preserve"> PAGEREF _Toc970 \h </w:instrText>
        </w:r>
        <w:r>
          <w:fldChar w:fldCharType="separate"/>
        </w:r>
        <w:r>
          <w:t>13</w:t>
        </w:r>
        <w:r>
          <w:fldChar w:fldCharType="end"/>
        </w:r>
      </w:hyperlink>
    </w:p>
    <w:p>
      <w:pPr>
        <w:pStyle w:val="TOC2"/>
        <w:tabs>
          <w:tab w:val="right" w:leader="dot" w:pos="8306"/>
        </w:tabs>
      </w:pPr>
      <w:hyperlink w:anchor="_Toc31541" w:history="1">
        <w:r>
          <w:rPr>
            <w:rFonts w:ascii="仿宋" w:eastAsia="仿宋" w:hAnsi="仿宋" w:cs="仿宋" w:hint="eastAsia"/>
            <w:lang w:eastAsia="zh-CN"/>
          </w:rPr>
          <w:t>(一)、可持续战略与实践</w:t>
        </w:r>
        <w:r>
          <w:tab/>
        </w:r>
        <w:r>
          <w:fldChar w:fldCharType="begin"/>
        </w:r>
        <w:r>
          <w:instrText xml:space="preserve"> PAGEREF _Toc31541 \h </w:instrText>
        </w:r>
        <w:r>
          <w:fldChar w:fldCharType="separate"/>
        </w:r>
        <w:r>
          <w:t>13</w:t>
        </w:r>
        <w:r>
          <w:fldChar w:fldCharType="end"/>
        </w:r>
      </w:hyperlink>
    </w:p>
    <w:p>
      <w:pPr>
        <w:pStyle w:val="TOC2"/>
        <w:tabs>
          <w:tab w:val="right" w:leader="dot" w:pos="8306"/>
        </w:tabs>
      </w:pPr>
      <w:hyperlink w:anchor="_Toc25614" w:history="1">
        <w:r>
          <w:rPr>
            <w:rFonts w:ascii="仿宋" w:eastAsia="仿宋" w:hAnsi="仿宋" w:cs="仿宋" w:hint="eastAsia"/>
            <w:lang w:eastAsia="zh-CN"/>
          </w:rPr>
          <w:t>(二)、环保与社会责任</w:t>
        </w:r>
        <w:r>
          <w:tab/>
        </w:r>
        <w:r>
          <w:fldChar w:fldCharType="begin"/>
        </w:r>
        <w:r>
          <w:instrText xml:space="preserve"> PAGEREF _Toc25614 \h </w:instrText>
        </w:r>
        <w:r>
          <w:fldChar w:fldCharType="separate"/>
        </w:r>
        <w:r>
          <w:t>14</w:t>
        </w:r>
        <w:r>
          <w:fldChar w:fldCharType="end"/>
        </w:r>
      </w:hyperlink>
    </w:p>
    <w:p>
      <w:pPr>
        <w:pStyle w:val="TOC1"/>
        <w:tabs>
          <w:tab w:val="right" w:leader="dot" w:pos="8306"/>
        </w:tabs>
      </w:pPr>
      <w:hyperlink w:anchor="_Toc31976" w:history="1">
        <w:r>
          <w:rPr>
            <w:rFonts w:ascii="仿宋" w:eastAsia="仿宋" w:hAnsi="仿宋" w:cs="仿宋" w:hint="eastAsia"/>
            <w:lang w:eastAsia="zh-CN"/>
          </w:rPr>
          <w:t>六、非标设备及零部件项目建设背景及必要性分析</w:t>
        </w:r>
        <w:r>
          <w:tab/>
        </w:r>
        <w:r>
          <w:fldChar w:fldCharType="begin"/>
        </w:r>
        <w:r>
          <w:instrText xml:space="preserve"> PAGEREF _Toc31976 \h </w:instrText>
        </w:r>
        <w:r>
          <w:fldChar w:fldCharType="separate"/>
        </w:r>
        <w:r>
          <w:t>15</w:t>
        </w:r>
        <w:r>
          <w:fldChar w:fldCharType="end"/>
        </w:r>
      </w:hyperlink>
    </w:p>
    <w:p>
      <w:pPr>
        <w:pStyle w:val="TOC2"/>
        <w:tabs>
          <w:tab w:val="right" w:leader="dot" w:pos="8306"/>
        </w:tabs>
      </w:pPr>
      <w:hyperlink w:anchor="_Toc13848" w:history="1">
        <w:r>
          <w:rPr>
            <w:rFonts w:ascii="仿宋" w:eastAsia="仿宋" w:hAnsi="仿宋" w:cs="仿宋" w:hint="eastAsia"/>
            <w:lang w:eastAsia="zh-CN"/>
          </w:rPr>
          <w:t>(一)、非标设备及零部件项目背景分析</w:t>
        </w:r>
        <w:r>
          <w:tab/>
        </w:r>
        <w:r>
          <w:fldChar w:fldCharType="begin"/>
        </w:r>
        <w:r>
          <w:instrText xml:space="preserve"> PAGEREF _Toc13848 \h </w:instrText>
        </w:r>
        <w:r>
          <w:fldChar w:fldCharType="separate"/>
        </w:r>
        <w:r>
          <w:t>15</w:t>
        </w:r>
        <w:r>
          <w:fldChar w:fldCharType="end"/>
        </w:r>
      </w:hyperlink>
    </w:p>
    <w:p>
      <w:pPr>
        <w:pStyle w:val="TOC2"/>
        <w:tabs>
          <w:tab w:val="right" w:leader="dot" w:pos="8306"/>
        </w:tabs>
      </w:pPr>
      <w:hyperlink w:anchor="_Toc17796" w:history="1">
        <w:r>
          <w:rPr>
            <w:rFonts w:ascii="仿宋" w:eastAsia="仿宋" w:hAnsi="仿宋" w:cs="仿宋" w:hint="eastAsia"/>
            <w:lang w:eastAsia="zh-CN"/>
          </w:rPr>
          <w:t>(二)、非标设备及零部件项目建设必要性分析</w:t>
        </w:r>
        <w:r>
          <w:tab/>
        </w:r>
        <w:r>
          <w:fldChar w:fldCharType="begin"/>
        </w:r>
        <w:r>
          <w:instrText xml:space="preserve"> PAGEREF _Toc17796 \h </w:instrText>
        </w:r>
        <w:r>
          <w:fldChar w:fldCharType="separate"/>
        </w:r>
        <w:r>
          <w:t>17</w:t>
        </w:r>
        <w:r>
          <w:fldChar w:fldCharType="end"/>
        </w:r>
      </w:hyperlink>
    </w:p>
    <w:p>
      <w:pPr>
        <w:pStyle w:val="TOC1"/>
        <w:tabs>
          <w:tab w:val="right" w:leader="dot" w:pos="8306"/>
        </w:tabs>
      </w:pPr>
      <w:hyperlink w:anchor="_Toc21433" w:history="1">
        <w:r>
          <w:rPr>
            <w:rFonts w:ascii="仿宋" w:eastAsia="仿宋" w:hAnsi="仿宋" w:cs="仿宋" w:hint="eastAsia"/>
            <w:lang w:eastAsia="zh-CN"/>
          </w:rPr>
          <w:t>七、非标设备及零部件项目环境影响分析</w:t>
        </w:r>
        <w:r>
          <w:tab/>
        </w:r>
        <w:r>
          <w:fldChar w:fldCharType="begin"/>
        </w:r>
        <w:r>
          <w:instrText xml:space="preserve"> PAGEREF _Toc21433 \h </w:instrText>
        </w:r>
        <w:r>
          <w:fldChar w:fldCharType="separate"/>
        </w:r>
        <w:r>
          <w:t>18</w:t>
        </w:r>
        <w:r>
          <w:fldChar w:fldCharType="end"/>
        </w:r>
      </w:hyperlink>
    </w:p>
    <w:p>
      <w:pPr>
        <w:pStyle w:val="TOC2"/>
        <w:tabs>
          <w:tab w:val="right" w:leader="dot" w:pos="8306"/>
        </w:tabs>
      </w:pPr>
      <w:hyperlink w:anchor="_Toc27485" w:history="1">
        <w:r>
          <w:rPr>
            <w:rFonts w:ascii="仿宋" w:eastAsia="仿宋" w:hAnsi="仿宋" w:cs="仿宋" w:hint="eastAsia"/>
            <w:lang w:eastAsia="zh-CN"/>
          </w:rPr>
          <w:t>(一)、建设区域环境质量现状</w:t>
        </w:r>
        <w:r>
          <w:tab/>
        </w:r>
        <w:r>
          <w:fldChar w:fldCharType="begin"/>
        </w:r>
        <w:r>
          <w:instrText xml:space="preserve"> PAGEREF _Toc27485 \h </w:instrText>
        </w:r>
        <w:r>
          <w:fldChar w:fldCharType="separate"/>
        </w:r>
        <w:r>
          <w:t>18</w:t>
        </w:r>
        <w:r>
          <w:fldChar w:fldCharType="end"/>
        </w:r>
      </w:hyperlink>
    </w:p>
    <w:p>
      <w:pPr>
        <w:pStyle w:val="TOC2"/>
        <w:tabs>
          <w:tab w:val="right" w:leader="dot" w:pos="8306"/>
        </w:tabs>
      </w:pPr>
      <w:hyperlink w:anchor="_Toc13979" w:history="1">
        <w:r>
          <w:rPr>
            <w:rFonts w:ascii="仿宋" w:eastAsia="仿宋" w:hAnsi="仿宋" w:cs="仿宋" w:hint="eastAsia"/>
            <w:lang w:eastAsia="zh-CN"/>
          </w:rPr>
          <w:t>(二)、建设期环境保护</w:t>
        </w:r>
        <w:r>
          <w:tab/>
        </w:r>
        <w:r>
          <w:fldChar w:fldCharType="begin"/>
        </w:r>
        <w:r>
          <w:instrText xml:space="preserve"> PAGEREF _Toc13979 \h </w:instrText>
        </w:r>
        <w:r>
          <w:fldChar w:fldCharType="separate"/>
        </w:r>
        <w:r>
          <w:t>20</w:t>
        </w:r>
        <w:r>
          <w:fldChar w:fldCharType="end"/>
        </w:r>
      </w:hyperlink>
    </w:p>
    <w:p>
      <w:pPr>
        <w:pStyle w:val="TOC2"/>
        <w:tabs>
          <w:tab w:val="right" w:leader="dot" w:pos="8306"/>
        </w:tabs>
      </w:pPr>
      <w:hyperlink w:anchor="_Toc21391" w:history="1">
        <w:r>
          <w:rPr>
            <w:rFonts w:ascii="仿宋" w:eastAsia="仿宋" w:hAnsi="仿宋" w:cs="仿宋" w:hint="eastAsia"/>
            <w:lang w:eastAsia="zh-CN"/>
          </w:rPr>
          <w:t>(三)、运营期环境保护</w:t>
        </w:r>
        <w:r>
          <w:tab/>
        </w:r>
        <w:r>
          <w:fldChar w:fldCharType="begin"/>
        </w:r>
        <w:r>
          <w:instrText xml:space="preserve"> PAGEREF _Toc21391 \h </w:instrText>
        </w:r>
        <w:r>
          <w:fldChar w:fldCharType="separate"/>
        </w:r>
        <w:r>
          <w:t>21</w:t>
        </w:r>
        <w:r>
          <w:fldChar w:fldCharType="end"/>
        </w:r>
      </w:hyperlink>
    </w:p>
    <w:p>
      <w:pPr>
        <w:pStyle w:val="TOC2"/>
        <w:tabs>
          <w:tab w:val="right" w:leader="dot" w:pos="8306"/>
        </w:tabs>
      </w:pPr>
      <w:hyperlink w:anchor="_Toc8474" w:history="1">
        <w:r>
          <w:rPr>
            <w:rFonts w:ascii="仿宋" w:eastAsia="仿宋" w:hAnsi="仿宋" w:cs="仿宋" w:hint="eastAsia"/>
            <w:lang w:eastAsia="zh-CN"/>
          </w:rPr>
          <w:t>(四)、非标设备及零部件项目建设对区域经济的影响</w:t>
        </w:r>
        <w:r>
          <w:tab/>
        </w:r>
        <w:r>
          <w:fldChar w:fldCharType="begin"/>
        </w:r>
        <w:r>
          <w:instrText xml:space="preserve"> PAGEREF _Toc8474 \h </w:instrText>
        </w:r>
        <w:r>
          <w:fldChar w:fldCharType="separate"/>
        </w:r>
        <w:r>
          <w:t>23</w:t>
        </w:r>
        <w:r>
          <w:fldChar w:fldCharType="end"/>
        </w:r>
      </w:hyperlink>
    </w:p>
    <w:p>
      <w:pPr>
        <w:pStyle w:val="TOC2"/>
        <w:tabs>
          <w:tab w:val="right" w:leader="dot" w:pos="8306"/>
        </w:tabs>
      </w:pPr>
      <w:hyperlink w:anchor="_Toc10737" w:history="1">
        <w:r>
          <w:rPr>
            <w:rFonts w:ascii="仿宋" w:eastAsia="仿宋" w:hAnsi="仿宋" w:cs="仿宋" w:hint="eastAsia"/>
            <w:lang w:eastAsia="zh-CN"/>
          </w:rPr>
          <w:t>(五)、废弃物处理</w:t>
        </w:r>
        <w:r>
          <w:tab/>
        </w:r>
        <w:r>
          <w:fldChar w:fldCharType="begin"/>
        </w:r>
        <w:r>
          <w:instrText xml:space="preserve"> PAGEREF _Toc10737 \h </w:instrText>
        </w:r>
        <w:r>
          <w:fldChar w:fldCharType="separate"/>
        </w:r>
        <w:r>
          <w:t>24</w:t>
        </w:r>
        <w:r>
          <w:fldChar w:fldCharType="end"/>
        </w:r>
      </w:hyperlink>
    </w:p>
    <w:p>
      <w:pPr>
        <w:pStyle w:val="TOC2"/>
        <w:tabs>
          <w:tab w:val="right" w:leader="dot" w:pos="8306"/>
        </w:tabs>
      </w:pPr>
      <w:hyperlink w:anchor="_Toc24308" w:history="1">
        <w:r>
          <w:rPr>
            <w:rFonts w:ascii="仿宋" w:eastAsia="仿宋" w:hAnsi="仿宋" w:cs="仿宋" w:hint="eastAsia"/>
            <w:lang w:eastAsia="zh-CN"/>
          </w:rPr>
          <w:t>(六)、特殊环境影响分析</w:t>
        </w:r>
        <w:r>
          <w:tab/>
        </w:r>
        <w:r>
          <w:fldChar w:fldCharType="begin"/>
        </w:r>
        <w:r>
          <w:instrText xml:space="preserve"> PAGEREF _Toc24308 \h </w:instrText>
        </w:r>
        <w:r>
          <w:fldChar w:fldCharType="separate"/>
        </w:r>
        <w:r>
          <w:t>26</w:t>
        </w:r>
        <w:r>
          <w:fldChar w:fldCharType="end"/>
        </w:r>
      </w:hyperlink>
    </w:p>
    <w:p>
      <w:pPr>
        <w:pStyle w:val="TOC2"/>
        <w:tabs>
          <w:tab w:val="right" w:leader="dot" w:pos="8306"/>
        </w:tabs>
      </w:pPr>
      <w:hyperlink w:anchor="_Toc9605" w:history="1">
        <w:r>
          <w:rPr>
            <w:rFonts w:ascii="仿宋" w:eastAsia="仿宋" w:hAnsi="仿宋" w:cs="仿宋" w:hint="eastAsia"/>
            <w:lang w:eastAsia="zh-CN"/>
          </w:rPr>
          <w:t>(七)、清洁生产</w:t>
        </w:r>
        <w:r>
          <w:tab/>
        </w:r>
        <w:r>
          <w:fldChar w:fldCharType="begin"/>
        </w:r>
        <w:r>
          <w:instrText xml:space="preserve"> PAGEREF _Toc9605 \h </w:instrText>
        </w:r>
        <w:r>
          <w:fldChar w:fldCharType="separate"/>
        </w:r>
        <w:r>
          <w:t>27</w:t>
        </w:r>
        <w:r>
          <w:fldChar w:fldCharType="end"/>
        </w:r>
      </w:hyperlink>
    </w:p>
    <w:p>
      <w:pPr>
        <w:pStyle w:val="TOC2"/>
        <w:tabs>
          <w:tab w:val="right" w:leader="dot" w:pos="8306"/>
        </w:tabs>
      </w:pPr>
      <w:hyperlink w:anchor="_Toc25716" w:history="1">
        <w:r>
          <w:rPr>
            <w:rFonts w:ascii="仿宋" w:eastAsia="仿宋" w:hAnsi="仿宋" w:cs="仿宋" w:hint="eastAsia"/>
            <w:lang w:eastAsia="zh-CN"/>
          </w:rPr>
          <w:t>(八)、环境保护综合评价</w:t>
        </w:r>
        <w:r>
          <w:tab/>
        </w:r>
        <w:r>
          <w:fldChar w:fldCharType="begin"/>
        </w:r>
        <w:r>
          <w:instrText xml:space="preserve"> PAGEREF _Toc25716 \h </w:instrText>
        </w:r>
        <w:r>
          <w:fldChar w:fldCharType="separate"/>
        </w:r>
        <w:r>
          <w:t>28</w:t>
        </w:r>
        <w:r>
          <w:fldChar w:fldCharType="end"/>
        </w:r>
      </w:hyperlink>
    </w:p>
    <w:p>
      <w:pPr>
        <w:pStyle w:val="TOC1"/>
        <w:tabs>
          <w:tab w:val="right" w:leader="dot" w:pos="8306"/>
        </w:tabs>
      </w:pPr>
      <w:hyperlink w:anchor="_Toc25971" w:history="1">
        <w:r>
          <w:rPr>
            <w:rFonts w:ascii="仿宋" w:eastAsia="仿宋" w:hAnsi="仿宋" w:cs="仿宋" w:hint="eastAsia"/>
            <w:lang w:eastAsia="zh-CN"/>
          </w:rPr>
          <w:t>八、非标设备及零部件项目社会影响</w:t>
        </w:r>
        <w:r>
          <w:tab/>
        </w:r>
        <w:r>
          <w:fldChar w:fldCharType="begin"/>
        </w:r>
        <w:r>
          <w:instrText xml:space="preserve"> PAGEREF _Toc25971 \h </w:instrText>
        </w:r>
        <w:r>
          <w:fldChar w:fldCharType="separate"/>
        </w:r>
        <w:r>
          <w:t>30</w:t>
        </w:r>
        <w:r>
          <w:fldChar w:fldCharType="end"/>
        </w:r>
      </w:hyperlink>
    </w:p>
    <w:p>
      <w:pPr>
        <w:pStyle w:val="TOC2"/>
        <w:tabs>
          <w:tab w:val="right" w:leader="dot" w:pos="8306"/>
        </w:tabs>
      </w:pPr>
      <w:hyperlink w:anchor="_Toc2053" w:history="1">
        <w:r>
          <w:rPr>
            <w:rFonts w:ascii="仿宋" w:eastAsia="仿宋" w:hAnsi="仿宋" w:cs="仿宋" w:hint="eastAsia"/>
            <w:lang w:eastAsia="zh-CN"/>
          </w:rPr>
          <w:t>(一)、社会责任与义务</w:t>
        </w:r>
        <w:r>
          <w:tab/>
        </w:r>
        <w:r>
          <w:fldChar w:fldCharType="begin"/>
        </w:r>
        <w:r>
          <w:instrText xml:space="preserve"> PAGEREF _Toc2053 \h </w:instrText>
        </w:r>
        <w:r>
          <w:fldChar w:fldCharType="separate"/>
        </w:r>
        <w:r>
          <w:t>30</w:t>
        </w:r>
        <w:r>
          <w:fldChar w:fldCharType="end"/>
        </w:r>
      </w:hyperlink>
    </w:p>
    <w:p>
      <w:pPr>
        <w:pStyle w:val="TOC2"/>
        <w:tabs>
          <w:tab w:val="right" w:leader="dot" w:pos="8306"/>
        </w:tabs>
      </w:pPr>
      <w:hyperlink w:anchor="_Toc21202" w:history="1">
        <w:r>
          <w:rPr>
            <w:rFonts w:ascii="仿宋" w:eastAsia="仿宋" w:hAnsi="仿宋" w:cs="仿宋" w:hint="eastAsia"/>
            <w:lang w:eastAsia="zh-CN"/>
          </w:rPr>
          <w:t>(二)、社会参与与沟通</w:t>
        </w:r>
        <w:r>
          <w:tab/>
        </w:r>
        <w:r>
          <w:fldChar w:fldCharType="begin"/>
        </w:r>
        <w:r>
          <w:instrText xml:space="preserve"> PAGEREF _Toc21202 \h </w:instrText>
        </w:r>
        <w:r>
          <w:fldChar w:fldCharType="separate"/>
        </w:r>
        <w:r>
          <w:t>30</w:t>
        </w:r>
        <w:r>
          <w:fldChar w:fldCharType="end"/>
        </w:r>
      </w:hyperlink>
    </w:p>
    <w:p>
      <w:pPr>
        <w:pStyle w:val="TOC1"/>
        <w:tabs>
          <w:tab w:val="right" w:leader="dot" w:pos="8306"/>
        </w:tabs>
      </w:pPr>
      <w:hyperlink w:anchor="_Toc12624" w:history="1">
        <w:r>
          <w:rPr>
            <w:rFonts w:ascii="仿宋" w:eastAsia="仿宋" w:hAnsi="仿宋" w:cs="仿宋" w:hint="eastAsia"/>
            <w:lang w:eastAsia="zh-CN"/>
          </w:rPr>
          <w:t>九、非标设备及零部件项目经营效益</w:t>
        </w:r>
        <w:r>
          <w:tab/>
        </w:r>
        <w:r>
          <w:fldChar w:fldCharType="begin"/>
        </w:r>
        <w:r>
          <w:instrText xml:space="preserve"> PAGEREF _Toc12624 \h </w:instrText>
        </w:r>
        <w:r>
          <w:fldChar w:fldCharType="separate"/>
        </w:r>
        <w:r>
          <w:t>31</w:t>
        </w:r>
        <w:r>
          <w:fldChar w:fldCharType="end"/>
        </w:r>
      </w:hyperlink>
    </w:p>
    <w:p>
      <w:pPr>
        <w:pStyle w:val="TOC2"/>
        <w:tabs>
          <w:tab w:val="right" w:leader="dot" w:pos="8306"/>
        </w:tabs>
      </w:pPr>
      <w:hyperlink w:anchor="_Toc5584" w:history="1">
        <w:r>
          <w:rPr>
            <w:rFonts w:ascii="仿宋" w:eastAsia="仿宋" w:hAnsi="仿宋" w:cs="仿宋" w:hint="eastAsia"/>
            <w:lang w:eastAsia="zh-CN"/>
          </w:rPr>
          <w:t>(一)、经济评价财务测算</w:t>
        </w:r>
        <w:r>
          <w:tab/>
        </w:r>
        <w:r>
          <w:fldChar w:fldCharType="begin"/>
        </w:r>
        <w:r>
          <w:instrText xml:space="preserve"> PAGEREF _Toc5584 \h </w:instrText>
        </w:r>
        <w:r>
          <w:fldChar w:fldCharType="separate"/>
        </w:r>
        <w:r>
          <w:t>31</w:t>
        </w:r>
        <w:r>
          <w:fldChar w:fldCharType="end"/>
        </w:r>
      </w:hyperlink>
    </w:p>
    <w:p>
      <w:pPr>
        <w:pStyle w:val="TOC2"/>
        <w:tabs>
          <w:tab w:val="right" w:leader="dot" w:pos="8306"/>
        </w:tabs>
      </w:pPr>
      <w:hyperlink w:anchor="_Toc29267" w:history="1">
        <w:r>
          <w:rPr>
            <w:rFonts w:ascii="仿宋" w:eastAsia="仿宋" w:hAnsi="仿宋" w:cs="仿宋" w:hint="eastAsia"/>
            <w:lang w:eastAsia="zh-CN"/>
          </w:rPr>
          <w:t>(二)、非标设备及零部件项目盈利能力分析</w:t>
        </w:r>
        <w:r>
          <w:tab/>
        </w:r>
        <w:r>
          <w:fldChar w:fldCharType="begin"/>
        </w:r>
        <w:r>
          <w:instrText xml:space="preserve"> PAGEREF _Toc29267 \h </w:instrText>
        </w:r>
        <w:r>
          <w:fldChar w:fldCharType="separate"/>
        </w:r>
        <w:r>
          <w:t>33</w:t>
        </w:r>
        <w:r>
          <w:fldChar w:fldCharType="end"/>
        </w:r>
      </w:hyperlink>
    </w:p>
    <w:p>
      <w:pPr>
        <w:pStyle w:val="TOC1"/>
        <w:tabs>
          <w:tab w:val="right" w:leader="dot" w:pos="8306"/>
        </w:tabs>
      </w:pPr>
      <w:hyperlink w:anchor="_Toc24819" w:history="1">
        <w:r>
          <w:rPr>
            <w:rFonts w:ascii="仿宋" w:eastAsia="仿宋" w:hAnsi="仿宋" w:cs="仿宋" w:hint="eastAsia"/>
            <w:lang w:eastAsia="zh-CN"/>
          </w:rPr>
          <w:t>十、非标设备及零部件项目人力资源管理</w:t>
        </w:r>
        <w:r>
          <w:tab/>
        </w:r>
        <w:r>
          <w:fldChar w:fldCharType="begin"/>
        </w:r>
        <w:r>
          <w:instrText xml:space="preserve"> PAGEREF _Toc24819 \h </w:instrText>
        </w:r>
        <w:r>
          <w:fldChar w:fldCharType="separate"/>
        </w:r>
        <w:r>
          <w:t>33</w:t>
        </w:r>
        <w:r>
          <w:fldChar w:fldCharType="end"/>
        </w:r>
      </w:hyperlink>
    </w:p>
    <w:p>
      <w:pPr>
        <w:pStyle w:val="TOC2"/>
        <w:tabs>
          <w:tab w:val="right" w:leader="dot" w:pos="8306"/>
        </w:tabs>
      </w:pPr>
      <w:hyperlink w:anchor="_Toc25098" w:history="1">
        <w:r>
          <w:rPr>
            <w:rFonts w:ascii="仿宋" w:eastAsia="仿宋" w:hAnsi="仿宋" w:cs="仿宋" w:hint="eastAsia"/>
            <w:lang w:eastAsia="zh-CN"/>
          </w:rPr>
          <w:t>(一)、建立健全的预算管理制度</w:t>
        </w:r>
        <w:r>
          <w:tab/>
        </w:r>
        <w:r>
          <w:fldChar w:fldCharType="begin"/>
        </w:r>
        <w:r>
          <w:instrText xml:space="preserve"> PAGEREF _Toc25098 \h </w:instrText>
        </w:r>
        <w:r>
          <w:fldChar w:fldCharType="separate"/>
        </w:r>
        <w:r>
          <w:t>33</w:t>
        </w:r>
        <w:r>
          <w:fldChar w:fldCharType="end"/>
        </w:r>
      </w:hyperlink>
    </w:p>
    <w:p>
      <w:pPr>
        <w:pStyle w:val="TOC2"/>
        <w:tabs>
          <w:tab w:val="right" w:leader="dot" w:pos="8306"/>
        </w:tabs>
      </w:pPr>
      <w:hyperlink w:anchor="_Toc11146" w:history="1">
        <w:r>
          <w:rPr>
            <w:rFonts w:ascii="仿宋" w:eastAsia="仿宋" w:hAnsi="仿宋" w:cs="仿宋" w:hint="eastAsia"/>
            <w:lang w:eastAsia="zh-CN"/>
          </w:rPr>
          <w:t>(二)、加强资金流动监控</w:t>
        </w:r>
        <w:r>
          <w:tab/>
        </w:r>
        <w:r>
          <w:fldChar w:fldCharType="begin"/>
        </w:r>
        <w:r>
          <w:instrText xml:space="preserve"> PAGEREF _Toc11146 \h </w:instrText>
        </w:r>
        <w:r>
          <w:fldChar w:fldCharType="separate"/>
        </w:r>
        <w:r>
          <w:t>35</w:t>
        </w:r>
        <w:r>
          <w:fldChar w:fldCharType="end"/>
        </w:r>
      </w:hyperlink>
    </w:p>
    <w:p>
      <w:pPr>
        <w:pStyle w:val="TOC2"/>
        <w:tabs>
          <w:tab w:val="right" w:leader="dot" w:pos="8306"/>
        </w:tabs>
      </w:pPr>
      <w:hyperlink w:anchor="_Toc3502" w:history="1">
        <w:r>
          <w:rPr>
            <w:rFonts w:ascii="仿宋" w:eastAsia="仿宋" w:hAnsi="仿宋" w:cs="仿宋" w:hint="eastAsia"/>
            <w:lang w:eastAsia="zh-CN"/>
          </w:rPr>
          <w:t>(三)、制定完善的风险控制机制</w:t>
        </w:r>
        <w:r>
          <w:tab/>
        </w:r>
        <w:r>
          <w:fldChar w:fldCharType="begin"/>
        </w:r>
        <w:r>
          <w:instrText xml:space="preserve"> PAGEREF _Toc3502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81" w:history="1">
        <w:r>
          <w:rPr>
            <w:rFonts w:ascii="仿宋" w:eastAsia="仿宋" w:hAnsi="仿宋" w:cs="仿宋" w:hint="eastAsia"/>
            <w:lang w:eastAsia="zh-CN"/>
          </w:rPr>
          <w:t>(四)、优化成本管理</w:t>
        </w:r>
        <w:r>
          <w:tab/>
        </w:r>
        <w:r>
          <w:fldChar w:fldCharType="begin"/>
        </w:r>
        <w:r>
          <w:instrText xml:space="preserve"> PAGEREF _Toc31881 \h </w:instrText>
        </w:r>
        <w:r>
          <w:fldChar w:fldCharType="separate"/>
        </w:r>
        <w:r>
          <w:t>38</w:t>
        </w:r>
        <w:r>
          <w:fldChar w:fldCharType="end"/>
        </w:r>
      </w:hyperlink>
    </w:p>
    <w:p>
      <w:pPr>
        <w:pStyle w:val="TOC1"/>
        <w:tabs>
          <w:tab w:val="right" w:leader="dot" w:pos="8306"/>
        </w:tabs>
      </w:pPr>
      <w:hyperlink w:anchor="_Toc15504" w:history="1">
        <w:r>
          <w:rPr>
            <w:rFonts w:ascii="仿宋" w:eastAsia="仿宋" w:hAnsi="仿宋" w:cs="仿宋" w:hint="eastAsia"/>
            <w:lang w:eastAsia="zh-CN"/>
          </w:rPr>
          <w:t>十一、生产安全保护</w:t>
        </w:r>
        <w:r>
          <w:tab/>
        </w:r>
        <w:r>
          <w:fldChar w:fldCharType="begin"/>
        </w:r>
        <w:r>
          <w:instrText xml:space="preserve"> PAGEREF _Toc15504 \h </w:instrText>
        </w:r>
        <w:r>
          <w:fldChar w:fldCharType="separate"/>
        </w:r>
        <w:r>
          <w:t>39</w:t>
        </w:r>
        <w:r>
          <w:fldChar w:fldCharType="end"/>
        </w:r>
      </w:hyperlink>
    </w:p>
    <w:p>
      <w:pPr>
        <w:pStyle w:val="TOC2"/>
        <w:tabs>
          <w:tab w:val="right" w:leader="dot" w:pos="8306"/>
        </w:tabs>
      </w:pPr>
      <w:hyperlink w:anchor="_Toc12645" w:history="1">
        <w:r>
          <w:rPr>
            <w:rFonts w:ascii="仿宋" w:eastAsia="仿宋" w:hAnsi="仿宋" w:cs="仿宋" w:hint="eastAsia"/>
            <w:lang w:eastAsia="zh-CN"/>
          </w:rPr>
          <w:t>(一)、消防安全</w:t>
        </w:r>
        <w:r>
          <w:tab/>
        </w:r>
        <w:r>
          <w:fldChar w:fldCharType="begin"/>
        </w:r>
        <w:r>
          <w:instrText xml:space="preserve"> PAGEREF _Toc12645 \h </w:instrText>
        </w:r>
        <w:r>
          <w:fldChar w:fldCharType="separate"/>
        </w:r>
        <w:r>
          <w:t>39</w:t>
        </w:r>
        <w:r>
          <w:fldChar w:fldCharType="end"/>
        </w:r>
      </w:hyperlink>
    </w:p>
    <w:p>
      <w:pPr>
        <w:pStyle w:val="TOC2"/>
        <w:tabs>
          <w:tab w:val="right" w:leader="dot" w:pos="8306"/>
        </w:tabs>
      </w:pPr>
      <w:hyperlink w:anchor="_Toc25621" w:history="1">
        <w:r>
          <w:rPr>
            <w:rFonts w:ascii="仿宋" w:eastAsia="仿宋" w:hAnsi="仿宋" w:cs="仿宋" w:hint="eastAsia"/>
            <w:lang w:eastAsia="zh-CN"/>
          </w:rPr>
          <w:t>(二)、防火防爆总图布置措施</w:t>
        </w:r>
        <w:r>
          <w:tab/>
        </w:r>
        <w:r>
          <w:fldChar w:fldCharType="begin"/>
        </w:r>
        <w:r>
          <w:instrText xml:space="preserve"> PAGEREF _Toc25621 \h </w:instrText>
        </w:r>
        <w:r>
          <w:fldChar w:fldCharType="separate"/>
        </w:r>
        <w:r>
          <w:t>41</w:t>
        </w:r>
        <w:r>
          <w:fldChar w:fldCharType="end"/>
        </w:r>
      </w:hyperlink>
    </w:p>
    <w:p>
      <w:pPr>
        <w:pStyle w:val="TOC2"/>
        <w:tabs>
          <w:tab w:val="right" w:leader="dot" w:pos="8306"/>
        </w:tabs>
      </w:pPr>
      <w:hyperlink w:anchor="_Toc18604" w:history="1">
        <w:r>
          <w:rPr>
            <w:rFonts w:ascii="仿宋" w:eastAsia="仿宋" w:hAnsi="仿宋" w:cs="仿宋" w:hint="eastAsia"/>
            <w:lang w:eastAsia="zh-CN"/>
          </w:rPr>
          <w:t>(三)、自然灾害防范措施</w:t>
        </w:r>
        <w:r>
          <w:tab/>
        </w:r>
        <w:r>
          <w:fldChar w:fldCharType="begin"/>
        </w:r>
        <w:r>
          <w:instrText xml:space="preserve"> PAGEREF _Toc18604 \h </w:instrText>
        </w:r>
        <w:r>
          <w:fldChar w:fldCharType="separate"/>
        </w:r>
        <w:r>
          <w:t>42</w:t>
        </w:r>
        <w:r>
          <w:fldChar w:fldCharType="end"/>
        </w:r>
      </w:hyperlink>
    </w:p>
    <w:p>
      <w:pPr>
        <w:pStyle w:val="TOC2"/>
        <w:tabs>
          <w:tab w:val="right" w:leader="dot" w:pos="8306"/>
        </w:tabs>
      </w:pPr>
      <w:hyperlink w:anchor="_Toc21607" w:history="1">
        <w:r>
          <w:rPr>
            <w:rFonts w:ascii="仿宋" w:eastAsia="仿宋" w:hAnsi="仿宋" w:cs="仿宋" w:hint="eastAsia"/>
            <w:lang w:eastAsia="zh-CN"/>
          </w:rPr>
          <w:t>(四)、安全色及安全标志使用要求</w:t>
        </w:r>
        <w:r>
          <w:tab/>
        </w:r>
        <w:r>
          <w:fldChar w:fldCharType="begin"/>
        </w:r>
        <w:r>
          <w:instrText xml:space="preserve"> PAGEREF _Toc21607 \h </w:instrText>
        </w:r>
        <w:r>
          <w:fldChar w:fldCharType="separate"/>
        </w:r>
        <w:r>
          <w:t>43</w:t>
        </w:r>
        <w:r>
          <w:fldChar w:fldCharType="end"/>
        </w:r>
      </w:hyperlink>
    </w:p>
    <w:p>
      <w:pPr>
        <w:pStyle w:val="TOC2"/>
        <w:tabs>
          <w:tab w:val="right" w:leader="dot" w:pos="8306"/>
        </w:tabs>
      </w:pPr>
      <w:hyperlink w:anchor="_Toc13924" w:history="1">
        <w:r>
          <w:rPr>
            <w:rFonts w:ascii="仿宋" w:eastAsia="仿宋" w:hAnsi="仿宋" w:cs="仿宋" w:hint="eastAsia"/>
            <w:lang w:eastAsia="zh-CN"/>
          </w:rPr>
          <w:t>(五)、防尘防毒措施</w:t>
        </w:r>
        <w:r>
          <w:tab/>
        </w:r>
        <w:r>
          <w:fldChar w:fldCharType="begin"/>
        </w:r>
        <w:r>
          <w:instrText xml:space="preserve"> PAGEREF _Toc13924 \h </w:instrText>
        </w:r>
        <w:r>
          <w:fldChar w:fldCharType="separate"/>
        </w:r>
        <w:r>
          <w:t>44</w:t>
        </w:r>
        <w:r>
          <w:fldChar w:fldCharType="end"/>
        </w:r>
      </w:hyperlink>
    </w:p>
    <w:p>
      <w:pPr>
        <w:pStyle w:val="TOC2"/>
        <w:tabs>
          <w:tab w:val="right" w:leader="dot" w:pos="8306"/>
        </w:tabs>
      </w:pPr>
      <w:hyperlink w:anchor="_Toc11220" w:history="1">
        <w:r>
          <w:rPr>
            <w:rFonts w:ascii="仿宋" w:eastAsia="仿宋" w:hAnsi="仿宋" w:cs="仿宋" w:hint="eastAsia"/>
            <w:lang w:eastAsia="zh-CN"/>
          </w:rPr>
          <w:t>(六)、防静电、触电防护及防雷措施</w:t>
        </w:r>
        <w:r>
          <w:tab/>
        </w:r>
        <w:r>
          <w:fldChar w:fldCharType="begin"/>
        </w:r>
        <w:r>
          <w:instrText xml:space="preserve"> PAGEREF _Toc11220 \h </w:instrText>
        </w:r>
        <w:r>
          <w:fldChar w:fldCharType="separate"/>
        </w:r>
        <w:r>
          <w:t>45</w:t>
        </w:r>
        <w:r>
          <w:fldChar w:fldCharType="end"/>
        </w:r>
      </w:hyperlink>
    </w:p>
    <w:p>
      <w:pPr>
        <w:pStyle w:val="TOC2"/>
        <w:tabs>
          <w:tab w:val="right" w:leader="dot" w:pos="8306"/>
        </w:tabs>
      </w:pPr>
      <w:hyperlink w:anchor="_Toc14465" w:history="1">
        <w:r>
          <w:rPr>
            <w:rFonts w:ascii="仿宋" w:eastAsia="仿宋" w:hAnsi="仿宋" w:cs="仿宋" w:hint="eastAsia"/>
            <w:lang w:eastAsia="zh-CN"/>
          </w:rPr>
          <w:t>(七)、机械设备安全保障措施</w:t>
        </w:r>
        <w:r>
          <w:tab/>
        </w:r>
        <w:r>
          <w:fldChar w:fldCharType="begin"/>
        </w:r>
        <w:r>
          <w:instrText xml:space="preserve"> PAGEREF _Toc14465 \h </w:instrText>
        </w:r>
        <w:r>
          <w:fldChar w:fldCharType="separate"/>
        </w:r>
        <w:r>
          <w:t>46</w:t>
        </w:r>
        <w:r>
          <w:fldChar w:fldCharType="end"/>
        </w:r>
      </w:hyperlink>
    </w:p>
    <w:p>
      <w:pPr>
        <w:pStyle w:val="TOC1"/>
        <w:tabs>
          <w:tab w:val="right" w:leader="dot" w:pos="8306"/>
        </w:tabs>
      </w:pPr>
      <w:hyperlink w:anchor="_Toc19951" w:history="1">
        <w:r>
          <w:rPr>
            <w:rFonts w:ascii="仿宋" w:eastAsia="仿宋" w:hAnsi="仿宋" w:cs="仿宋" w:hint="eastAsia"/>
            <w:lang w:eastAsia="zh-CN"/>
          </w:rPr>
          <w:t>十二、非标设备及零部件项目财务管理</w:t>
        </w:r>
        <w:r>
          <w:tab/>
        </w:r>
        <w:r>
          <w:fldChar w:fldCharType="begin"/>
        </w:r>
        <w:r>
          <w:instrText xml:space="preserve"> PAGEREF _Toc19951 \h </w:instrText>
        </w:r>
        <w:r>
          <w:fldChar w:fldCharType="separate"/>
        </w:r>
        <w:r>
          <w:t>48</w:t>
        </w:r>
        <w:r>
          <w:fldChar w:fldCharType="end"/>
        </w:r>
      </w:hyperlink>
    </w:p>
    <w:p>
      <w:pPr>
        <w:pStyle w:val="TOC2"/>
        <w:tabs>
          <w:tab w:val="right" w:leader="dot" w:pos="8306"/>
        </w:tabs>
      </w:pPr>
      <w:hyperlink w:anchor="_Toc5107" w:history="1">
        <w:r>
          <w:rPr>
            <w:rFonts w:ascii="仿宋" w:eastAsia="仿宋" w:hAnsi="仿宋" w:cs="仿宋" w:hint="eastAsia"/>
            <w:lang w:eastAsia="zh-CN"/>
          </w:rPr>
          <w:t>(一)、资金需求大</w:t>
        </w:r>
        <w:r>
          <w:tab/>
        </w:r>
        <w:r>
          <w:fldChar w:fldCharType="begin"/>
        </w:r>
        <w:r>
          <w:instrText xml:space="preserve"> PAGEREF _Toc5107 \h </w:instrText>
        </w:r>
        <w:r>
          <w:fldChar w:fldCharType="separate"/>
        </w:r>
        <w:r>
          <w:t>48</w:t>
        </w:r>
        <w:r>
          <w:fldChar w:fldCharType="end"/>
        </w:r>
      </w:hyperlink>
    </w:p>
    <w:p>
      <w:pPr>
        <w:pStyle w:val="TOC2"/>
        <w:tabs>
          <w:tab w:val="right" w:leader="dot" w:pos="8306"/>
        </w:tabs>
      </w:pPr>
      <w:hyperlink w:anchor="_Toc17647" w:history="1">
        <w:r>
          <w:rPr>
            <w:rFonts w:ascii="仿宋" w:eastAsia="仿宋" w:hAnsi="仿宋" w:cs="仿宋" w:hint="eastAsia"/>
            <w:lang w:eastAsia="zh-CN"/>
          </w:rPr>
          <w:t>(二)、研发周期长</w:t>
        </w:r>
        <w:r>
          <w:tab/>
        </w:r>
        <w:r>
          <w:fldChar w:fldCharType="begin"/>
        </w:r>
        <w:r>
          <w:instrText xml:space="preserve"> PAGEREF _Toc17647 \h </w:instrText>
        </w:r>
        <w:r>
          <w:fldChar w:fldCharType="separate"/>
        </w:r>
        <w:r>
          <w:t>49</w:t>
        </w:r>
        <w:r>
          <w:fldChar w:fldCharType="end"/>
        </w:r>
      </w:hyperlink>
    </w:p>
    <w:p>
      <w:pPr>
        <w:pStyle w:val="TOC2"/>
        <w:tabs>
          <w:tab w:val="right" w:leader="dot" w:pos="8306"/>
        </w:tabs>
      </w:pPr>
      <w:hyperlink w:anchor="_Toc9999" w:history="1">
        <w:r>
          <w:rPr>
            <w:rFonts w:ascii="仿宋" w:eastAsia="仿宋" w:hAnsi="仿宋" w:cs="仿宋" w:hint="eastAsia"/>
            <w:lang w:eastAsia="zh-CN"/>
          </w:rPr>
          <w:t>(三)、市场风险大</w:t>
        </w:r>
        <w:r>
          <w:tab/>
        </w:r>
        <w:r>
          <w:fldChar w:fldCharType="begin"/>
        </w:r>
        <w:r>
          <w:instrText xml:space="preserve"> PAGEREF _Toc9999 \h </w:instrText>
        </w:r>
        <w:r>
          <w:fldChar w:fldCharType="separate"/>
        </w:r>
        <w:r>
          <w:t>50</w:t>
        </w:r>
        <w:r>
          <w:fldChar w:fldCharType="end"/>
        </w:r>
      </w:hyperlink>
    </w:p>
    <w:p>
      <w:pPr>
        <w:pStyle w:val="TOC2"/>
        <w:tabs>
          <w:tab w:val="right" w:leader="dot" w:pos="8306"/>
        </w:tabs>
      </w:pPr>
      <w:hyperlink w:anchor="_Toc26343" w:history="1">
        <w:r>
          <w:rPr>
            <w:rFonts w:ascii="仿宋" w:eastAsia="仿宋" w:hAnsi="仿宋" w:cs="仿宋" w:hint="eastAsia"/>
            <w:lang w:eastAsia="zh-CN"/>
          </w:rPr>
          <w:t>(四)、利润率高</w:t>
        </w:r>
        <w:r>
          <w:tab/>
        </w:r>
        <w:r>
          <w:fldChar w:fldCharType="begin"/>
        </w:r>
        <w:r>
          <w:instrText xml:space="preserve"> PAGEREF _Toc26343 \h </w:instrText>
        </w:r>
        <w:r>
          <w:fldChar w:fldCharType="separate"/>
        </w:r>
        <w:r>
          <w:t>53</w:t>
        </w:r>
        <w:r>
          <w:fldChar w:fldCharType="end"/>
        </w:r>
      </w:hyperlink>
    </w:p>
    <w:p>
      <w:pPr>
        <w:pStyle w:val="TOC1"/>
        <w:tabs>
          <w:tab w:val="right" w:leader="dot" w:pos="8306"/>
        </w:tabs>
      </w:pPr>
      <w:hyperlink w:anchor="_Toc25702" w:history="1">
        <w:r>
          <w:rPr>
            <w:rFonts w:ascii="仿宋" w:eastAsia="仿宋" w:hAnsi="仿宋" w:cs="仿宋" w:hint="eastAsia"/>
            <w:lang w:eastAsia="zh-CN"/>
          </w:rPr>
          <w:t>十三、非标设备及零部件项目工程方案分析</w:t>
        </w:r>
        <w:r>
          <w:tab/>
        </w:r>
        <w:r>
          <w:fldChar w:fldCharType="begin"/>
        </w:r>
        <w:r>
          <w:instrText xml:space="preserve"> PAGEREF _Toc25702 \h </w:instrText>
        </w:r>
        <w:r>
          <w:fldChar w:fldCharType="separate"/>
        </w:r>
        <w:r>
          <w:t>55</w:t>
        </w:r>
        <w:r>
          <w:fldChar w:fldCharType="end"/>
        </w:r>
      </w:hyperlink>
    </w:p>
    <w:p>
      <w:pPr>
        <w:pStyle w:val="TOC2"/>
        <w:tabs>
          <w:tab w:val="right" w:leader="dot" w:pos="8306"/>
        </w:tabs>
      </w:pPr>
      <w:hyperlink w:anchor="_Toc9667" w:history="1">
        <w:r>
          <w:rPr>
            <w:rFonts w:ascii="仿宋" w:eastAsia="仿宋" w:hAnsi="仿宋" w:cs="仿宋" w:hint="eastAsia"/>
            <w:lang w:eastAsia="zh-CN"/>
          </w:rPr>
          <w:t>(一)、建筑工程设计原则</w:t>
        </w:r>
        <w:r>
          <w:tab/>
        </w:r>
        <w:r>
          <w:fldChar w:fldCharType="begin"/>
        </w:r>
        <w:r>
          <w:instrText xml:space="preserve"> PAGEREF _Toc9667 \h </w:instrText>
        </w:r>
        <w:r>
          <w:fldChar w:fldCharType="separate"/>
        </w:r>
        <w:r>
          <w:t>55</w:t>
        </w:r>
        <w:r>
          <w:fldChar w:fldCharType="end"/>
        </w:r>
      </w:hyperlink>
    </w:p>
    <w:p>
      <w:pPr>
        <w:pStyle w:val="TOC2"/>
        <w:tabs>
          <w:tab w:val="right" w:leader="dot" w:pos="8306"/>
        </w:tabs>
      </w:pPr>
      <w:hyperlink w:anchor="_Toc8526" w:history="1">
        <w:r>
          <w:rPr>
            <w:rFonts w:ascii="仿宋" w:eastAsia="仿宋" w:hAnsi="仿宋" w:cs="仿宋" w:hint="eastAsia"/>
            <w:lang w:eastAsia="zh-CN"/>
          </w:rPr>
          <w:t>(二)、土建工程建设指标</w:t>
        </w:r>
        <w:r>
          <w:tab/>
        </w:r>
        <w:r>
          <w:fldChar w:fldCharType="begin"/>
        </w:r>
        <w:r>
          <w:instrText xml:space="preserve"> PAGEREF _Toc8526 \h </w:instrText>
        </w:r>
        <w:r>
          <w:fldChar w:fldCharType="separate"/>
        </w:r>
        <w:r>
          <w:t>58</w:t>
        </w:r>
        <w:r>
          <w:fldChar w:fldCharType="end"/>
        </w:r>
      </w:hyperlink>
    </w:p>
    <w:p>
      <w:pPr>
        <w:pStyle w:val="TOC1"/>
        <w:tabs>
          <w:tab w:val="right" w:leader="dot" w:pos="8306"/>
        </w:tabs>
      </w:pPr>
      <w:hyperlink w:anchor="_Toc26675" w:history="1">
        <w:r>
          <w:rPr>
            <w:rFonts w:ascii="仿宋" w:eastAsia="仿宋" w:hAnsi="仿宋" w:cs="仿宋" w:hint="eastAsia"/>
            <w:lang w:eastAsia="zh-CN"/>
          </w:rPr>
          <w:t>十四、供应链管理</w:t>
        </w:r>
        <w:r>
          <w:tab/>
        </w:r>
        <w:r>
          <w:fldChar w:fldCharType="begin"/>
        </w:r>
        <w:r>
          <w:instrText xml:space="preserve"> PAGEREF _Toc26675 \h </w:instrText>
        </w:r>
        <w:r>
          <w:fldChar w:fldCharType="separate"/>
        </w:r>
        <w:r>
          <w:t>60</w:t>
        </w:r>
        <w:r>
          <w:fldChar w:fldCharType="end"/>
        </w:r>
      </w:hyperlink>
    </w:p>
    <w:p>
      <w:pPr>
        <w:pStyle w:val="TOC2"/>
        <w:tabs>
          <w:tab w:val="right" w:leader="dot" w:pos="8306"/>
        </w:tabs>
      </w:pPr>
      <w:hyperlink w:anchor="_Toc15778" w:history="1">
        <w:r>
          <w:rPr>
            <w:rFonts w:ascii="仿宋" w:eastAsia="仿宋" w:hAnsi="仿宋" w:cs="仿宋" w:hint="eastAsia"/>
            <w:lang w:eastAsia="zh-CN"/>
          </w:rPr>
          <w:t>(一)、供应链战略规划</w:t>
        </w:r>
        <w:r>
          <w:tab/>
        </w:r>
        <w:r>
          <w:fldChar w:fldCharType="begin"/>
        </w:r>
        <w:r>
          <w:instrText xml:space="preserve"> PAGEREF _Toc15778 \h </w:instrText>
        </w:r>
        <w:r>
          <w:fldChar w:fldCharType="separate"/>
        </w:r>
        <w:r>
          <w:t>60</w:t>
        </w:r>
        <w:r>
          <w:fldChar w:fldCharType="end"/>
        </w:r>
      </w:hyperlink>
    </w:p>
    <w:p>
      <w:pPr>
        <w:pStyle w:val="TOC2"/>
        <w:tabs>
          <w:tab w:val="right" w:leader="dot" w:pos="8306"/>
        </w:tabs>
      </w:pPr>
      <w:hyperlink w:anchor="_Toc31467" w:history="1">
        <w:r>
          <w:rPr>
            <w:rFonts w:ascii="仿宋" w:eastAsia="仿宋" w:hAnsi="仿宋" w:cs="仿宋" w:hint="eastAsia"/>
            <w:lang w:eastAsia="zh-CN"/>
          </w:rPr>
          <w:t>(二)、供应商选择与合作</w:t>
        </w:r>
        <w:r>
          <w:tab/>
        </w:r>
        <w:r>
          <w:fldChar w:fldCharType="begin"/>
        </w:r>
        <w:r>
          <w:instrText xml:space="preserve"> PAGEREF _Toc31467 \h </w:instrText>
        </w:r>
        <w:r>
          <w:fldChar w:fldCharType="separate"/>
        </w:r>
        <w:r>
          <w:t>62</w:t>
        </w:r>
        <w:r>
          <w:fldChar w:fldCharType="end"/>
        </w:r>
      </w:hyperlink>
    </w:p>
    <w:p>
      <w:pPr>
        <w:pStyle w:val="TOC2"/>
        <w:tabs>
          <w:tab w:val="right" w:leader="dot" w:pos="8306"/>
        </w:tabs>
      </w:pPr>
      <w:hyperlink w:anchor="_Toc5761" w:history="1">
        <w:r>
          <w:rPr>
            <w:rFonts w:ascii="仿宋" w:eastAsia="仿宋" w:hAnsi="仿宋" w:cs="仿宋" w:hint="eastAsia"/>
            <w:lang w:eastAsia="zh-CN"/>
          </w:rPr>
          <w:t>(三)、物流与库存管理</w:t>
        </w:r>
        <w:r>
          <w:tab/>
        </w:r>
        <w:r>
          <w:fldChar w:fldCharType="begin"/>
        </w:r>
        <w:r>
          <w:instrText xml:space="preserve"> PAGEREF _Toc5761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22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872"/>
      <w:r>
        <w:rPr>
          <w:rFonts w:ascii="仿宋" w:eastAsia="仿宋" w:hAnsi="仿宋" w:cs="仿宋" w:hint="eastAsia"/>
          <w:lang w:eastAsia="zh-CN"/>
        </w:rPr>
        <w:t>(一)、非标设备及零部件行业分析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非标设备及零部件行业一直以来都是市场的关注焦点。行业内的发展趋势、竞争态势以及潜在机会都对非标设备及零部件项目的推进产生深远的影响。通过深入研究行业的整体概貌，我们将更好地理解行业的核心特征，为非标设备及零部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标设备及零部件行业，技术一直是推动创新和发展的关键因素。我们将对当前技术趋势进行详尽分析，包括但不限于人工智能、大数据应用、先进制造技术等。这有助于非标设备及零部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非标设备及零部件项目成功的基础。我们将对主要竞争对手进行深入研究，包括其市场份额、产品特点、市场定位等。通过全面了解竞争对手的优势和劣势，非标设备及零部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564"/>
      <w:r>
        <w:rPr>
          <w:rFonts w:ascii="仿宋" w:eastAsia="仿宋" w:hAnsi="仿宋" w:cs="仿宋" w:hint="eastAsia"/>
          <w:sz w:val="28"/>
          <w:lang w:eastAsia="zh-CN"/>
        </w:rPr>
        <w:t>(二)、非标设备及零部件市场分析预测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非标设备及零部件市场未来的增长趋势。这包括市场的整体规模、各细分领域的发展趋势等。非标设备及零部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非标设备及零部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非标设备及零部件项目实施过程中需要充分考虑的因素。我们将对市场风险进行全面评估，包括但不限于政策法规风险、市场竞争风险、技术变革风险等。通过对潜在风险的深入分析，非标设备及零部件项目可以制定相应的风险缓解策略，降低不确定性对非标设备及零部件项目的影响。</w:t>
      </w:r>
    </w:p>
    <w:p>
      <w:pPr>
        <w:pStyle w:val="Heading1"/>
        <w:ind w:firstLine="560" w:firstLineChars="200"/>
        <w:rPr>
          <w:rFonts w:ascii="仿宋" w:eastAsia="仿宋" w:hAnsi="仿宋" w:cs="仿宋" w:hint="eastAsia"/>
          <w:sz w:val="28"/>
          <w:lang w:eastAsia="zh-CN"/>
        </w:rPr>
      </w:pPr>
      <w:bookmarkStart w:id="5" w:name="_Toc1677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740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非标设备及零部件项目的主要产品是XXXX，预计年产值为XXX万元。这一产品在市场中占据着重要的地位，其广泛的应用范围使得该非标设备及零部件项目的市场前景非常广阔。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非标设备及零部件项目的xxx产品作为重要的原材料之一，将在多个领域发挥关键作用。其在建筑、交通、能源等方面的广泛应用将为整个产业链提供强大的支持，形成产业协同效应。非标设备及零部件项目的年产值XXX万XXX万XXX万万元不仅反映了其在市场上的巨大潜力，更预示着它对国民经济的积极贡献。这种关联度高、涉及面广的产业关系，使得该非标设备及零部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033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标设备及零部件项目总征地面积为XXXX平方米，相当于约XX.XX亩，其中净用地面积为XXXX平方米，红线范围内相当于约XX.XX亩。这一用地规模充分考虑了非标设备及零部件项目的建设需求，保障了非标设备及零部件项目在合适的空间内得以充分发展。非标设备及零部件项目规划的总建筑面积为XXXX平方米，其中主体工程建设占XXXX平方米，计容建筑面积达XXXX平方米。预计建筑工程的投资将达到XXXX万元，为非标设备及零部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非标设备及零部件项目计划购置的设备共计XXXX台（套），设备购置费用为XXXX万元。这一设备购置计划充分考虑到非标设备及零部件项目的生产需求和技术要求，确保了非标设备及零部件项目在生产运营中具备先进的技术装备和高效的生产能力。设备的合理配置将为非标设备及零部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非标设备及零部件项目计划总投资为XXXX万元，预计年实现营业收入为XXXX万元。这一产能规模的设定旨在确保非标设备及零部件项目能够在投资与回报之间取得平衡，实现长期可持续的发展。非标设备及零部件项目的总投资充分考虑到各个方面的需求，包括用地建设、设备购置等多个环节，以确保非标设备及零部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9571"/>
      <w:r>
        <w:rPr>
          <w:rFonts w:ascii="仿宋" w:eastAsia="仿宋" w:hAnsi="仿宋" w:cs="仿宋" w:hint="eastAsia"/>
          <w:sz w:val="28"/>
          <w:lang w:eastAsia="zh-CN"/>
        </w:rPr>
        <w:t>三、非标设备及零部件项目文档管理</w:t>
      </w:r>
      <w:bookmarkEnd w:id="8"/>
    </w:p>
    <w:p>
      <w:pPr>
        <w:pStyle w:val="Heading2"/>
        <w:rPr>
          <w:rFonts w:ascii="仿宋" w:eastAsia="仿宋" w:hAnsi="仿宋" w:cs="仿宋" w:hint="eastAsia"/>
          <w:lang w:eastAsia="zh-CN"/>
        </w:rPr>
      </w:pPr>
      <w:bookmarkStart w:id="9" w:name="_Toc2662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非标设备及零部件项目高度重视文档的质量和准确性，以支持非标设备及零部件项目的各项活动和决策。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非标设备及零部件项目文档的编制始于非标设备及零部件项目计划的初期，我们制定了详细的文档编制计划，明确了每个文档的内容、格式和编写责任人。在非标设备及零部件项目启动阶段，我们首先编制了非标设备及零部件项目章程，明确定义了非标设备及零部件项目的目标、范围、风险等关键要素。随后，非标设备及零部件项目团队根据计划陆续编制了需求文档、设计文档、测试文档等各类文档，确保非标设备及零部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非标设备及零部件项目管理中的重要环节，旨在确保非标设备及零部件项目文档符合质量标准和非标设备及零部件项目需求。在非标设备及零部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非标设备及零部件项目相关利益方和专业领域的专家对文档进行独立审查。这有助于获取更全面、客观的反馈，确保非标设备及零部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非标设备及零部件项目在文档编制与审查方面建立了严格的管理机制，通过规范的流程和多维度的审查，确保非标设备及零部件项目文档的质量、准确性和可靠性，为非标设备及零部件项目的顺利推进提供了有力支持。</w:t>
      </w:r>
    </w:p>
    <w:p>
      <w:pPr>
        <w:pStyle w:val="Heading2"/>
        <w:ind w:firstLine="560" w:firstLineChars="200"/>
        <w:rPr>
          <w:rFonts w:ascii="仿宋" w:eastAsia="仿宋" w:hAnsi="仿宋" w:cs="仿宋" w:hint="eastAsia"/>
          <w:sz w:val="28"/>
          <w:lang w:eastAsia="zh-CN"/>
        </w:rPr>
      </w:pPr>
      <w:bookmarkStart w:id="10" w:name="_Toc2764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在非标设备及零部件项目中，我们致力于优化文档发布与分发过程，以确保信息的高效传递和团队间协作的顺畅进行。以下是我们采取的关键优化策略：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我们通过多渠道发布文档，包括电子邮件、非标设备及零部件项目管理平台、内部网站等，以满足不同团队成员的偏好和需求。多渠道发布确保了信息的全面覆盖。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我们采用了精细的权限控制，确保只有授权人员可以访问敏感信息。这种安全措施保护了非标设备及零部件项目文档的机密性，防止了未经授权的信息泄露。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892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非标设备及零部件项目生命周期中一个至关重要的环节，直接关系到非标设备及零部件项目信息的长期保存和历史记录的完整性。在非标设备及零部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4537"/>
      <w:r>
        <w:rPr>
          <w:rFonts w:ascii="仿宋" w:eastAsia="仿宋" w:hAnsi="仿宋" w:cs="仿宋" w:hint="eastAsia"/>
          <w:sz w:val="28"/>
          <w:lang w:eastAsia="zh-CN"/>
        </w:rPr>
        <w:t>四、非标设备及零部件项目土建工程</w:t>
      </w:r>
      <w:bookmarkEnd w:id="12"/>
    </w:p>
    <w:p>
      <w:pPr>
        <w:pStyle w:val="Heading2"/>
        <w:rPr>
          <w:rFonts w:ascii="仿宋" w:eastAsia="仿宋" w:hAnsi="仿宋" w:cs="仿宋" w:hint="eastAsia"/>
          <w:lang w:eastAsia="zh-CN"/>
        </w:rPr>
      </w:pPr>
      <w:bookmarkStart w:id="13" w:name="_Toc1438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在非标设备及零部件项目的建筑工程设计中，我们将秉承一系列重要的设计原则，以确保非标设备及零部件项目建筑在功能、美观、可持续性等方面达到最佳效果。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首要原则是确保建筑的功能性得到最大化的发挥。我们将充分理解非标设备及零部件项目的实际需求，合理布局各个功能区域，保证建筑在满足业务需求的同时，提供高效的工作环境。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在建筑设计中，我们将综合考虑建设和运营成本。通过精细的经济效益分析，确保设计方案在高效利用资源的同时，对非标设备及零部件项目的长期盈利能力有积极的贡献。</w:t>
      </w:r>
    </w:p>
    <w:p>
      <w:pPr>
        <w:pStyle w:val="Heading2"/>
        <w:ind w:firstLine="560" w:firstLineChars="200"/>
        <w:rPr>
          <w:rFonts w:ascii="仿宋" w:eastAsia="仿宋" w:hAnsi="仿宋" w:cs="仿宋" w:hint="eastAsia"/>
          <w:sz w:val="28"/>
          <w:lang w:eastAsia="zh-CN"/>
        </w:rPr>
      </w:pPr>
      <w:bookmarkStart w:id="14" w:name="_Toc898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非标设备及零部件项目的土建工程设计中，我们将精准设定设计年限，结合非标设备及零部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非标设备及零部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790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非标设备及零部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非标设备及零部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非标设备及零部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220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本期工程非标设备及零部件项目预计总建筑面积XXX平方米，其中：计容建筑面积XXX平方米，计划建筑工程投资XX万元，占非标设备及零部件项目总投资的XX%。</w:t>
      </w:r>
    </w:p>
    <w:p>
      <w:pPr>
        <w:pStyle w:val="Heading1"/>
        <w:ind w:firstLine="560" w:firstLineChars="200"/>
        <w:rPr>
          <w:rFonts w:ascii="仿宋" w:eastAsia="仿宋" w:hAnsi="仿宋" w:cs="仿宋" w:hint="eastAsia"/>
          <w:sz w:val="28"/>
          <w:lang w:eastAsia="zh-CN"/>
        </w:rPr>
      </w:pPr>
      <w:bookmarkStart w:id="17" w:name="_Toc970"/>
      <w:r>
        <w:rPr>
          <w:rFonts w:ascii="仿宋" w:eastAsia="仿宋" w:hAnsi="仿宋" w:cs="仿宋" w:hint="eastAsia"/>
          <w:sz w:val="28"/>
          <w:lang w:eastAsia="zh-CN"/>
        </w:rPr>
        <w:t>五、非标设备及零部件项目可持续发展</w:t>
      </w:r>
      <w:bookmarkEnd w:id="17"/>
    </w:p>
    <w:p>
      <w:pPr>
        <w:pStyle w:val="Heading2"/>
        <w:rPr>
          <w:rFonts w:ascii="仿宋" w:eastAsia="仿宋" w:hAnsi="仿宋" w:cs="仿宋" w:hint="eastAsia"/>
          <w:lang w:eastAsia="zh-CN"/>
        </w:rPr>
      </w:pPr>
      <w:bookmarkStart w:id="18" w:name="_Toc31541"/>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标设备及零部件项目中，非标设备及零部件项目团队着眼于未来，明确了可持续发展的战略方向。制定的具体可持续发展目标包括降低资源使用、采用环保技术、最大化社会效益等。这一步骤不仅有助于非标设备及零部件项目在环保和社会责任方面达到最高标准，也为未来提供了明确的指引，确保非标设备及零部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可持续实践的融入非标设备及零部件项目管理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非标设备及零部件项目管理周期。从非标设备及零部件项目规划开始，非标设备及零部件项目团队就考虑了环境和社会的因素。在执行阶段，非标设备及零部件项目团队积极推动绿色技术的应用，优化资源利用。此外，关注员工的社会责任，通过培训和沟通活动提高员工对可持续发展的认知，使他们能够在日常工作中践行可持续实践。这些举措不仅为非标设备及零部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5614"/>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非标设备及零部件项目的可持续发展理念，我们深信环保与社会责任是非标设备及零部件项目成功的关键支柱。在非标设备及零部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标设备及零部件项目团队通过引入先进的环保技术、建立高效的废物处理系统以及推动能源节约措施，积极履行环保责任。定期的环保监测和评估确保非标设备及零部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非标设备及零部件项目不仅致力于自身可持续发展，还注重对社会的回馈。通过支持社区非标设备及零部件项目、参与慈善事业、提供培训机会等方式，非标设备及零部件项目积极履行社会责任。与当地社区建立积极互动，关注员工的工作与生活平衡，以及员工的身心健康，是非标设备及零部件项目在社会责任层面的关键举措。这样的实践不仅增强了非标设备及零部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31976"/>
      <w:r>
        <w:rPr>
          <w:rFonts w:ascii="仿宋" w:eastAsia="仿宋" w:hAnsi="仿宋" w:cs="仿宋" w:hint="eastAsia"/>
          <w:sz w:val="28"/>
          <w:lang w:eastAsia="zh-CN"/>
        </w:rPr>
        <w:t>六、非标设备及零部件项目建设背景及必要性分析</w:t>
      </w:r>
      <w:bookmarkEnd w:id="20"/>
    </w:p>
    <w:p>
      <w:pPr>
        <w:pStyle w:val="Heading2"/>
        <w:rPr>
          <w:rFonts w:ascii="仿宋" w:eastAsia="仿宋" w:hAnsi="仿宋" w:cs="仿宋" w:hint="eastAsia"/>
          <w:lang w:eastAsia="zh-CN"/>
        </w:rPr>
      </w:pPr>
      <w:bookmarkStart w:id="21" w:name="_Toc13848"/>
      <w:r>
        <w:rPr>
          <w:rFonts w:ascii="仿宋" w:eastAsia="仿宋" w:hAnsi="仿宋" w:cs="仿宋" w:hint="eastAsia"/>
          <w:lang w:eastAsia="zh-CN"/>
        </w:rPr>
        <w:t>(一)、非标设备及零部件项目背景分析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非标设备及零部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非标设备及零部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非标设备及零部件项目在这个潮流中的定位。同时，我们将关注行业内涌现的新兴机遇，以便非标设备及零部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非标设备及零部件项目提供了强大的发展动力。我们将聚焦于行业内最新的技术发展趋势，包括但不限于人工智能、大数据分析、物联网等领域。通过深度的技术研究，我们将确保非标设备及零部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非标设备及零部件项目发展的源泉。我们将投入更多的精力对市场需求进行深入剖析，超越表面的需求，深入挖掘潜在的市场痛点和机遇。通过对市场需求的细致了解，非标设备及零部件项目将更有针对性地设计解决方案，满足市场的多样化需求，从而更好地促进非标设备及零部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非标设备及零部件项目战略至关重要。我们将对竞争态势进行更为深入的分析，包括但不限于市场份额、产品特点、客户满意度等多个维度。通过深度的竞争分析，非标设备及零部件项目将能够更准确地把握市场脉搏，制定具有竞争力的非标设备及零部件项目推进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https://d.book118.com/548056045007006031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非标设备及零部件项目规划设计蓝图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非标设备及零部件项目规划设计蓝图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非标设备及零部件项目规划设计蓝图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非标设备及零部件项目规划设计蓝图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非标设备及零部件项目规划设计蓝图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非标设备及零部件项目规划设计蓝图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非标设备及零部件项目规划设计蓝图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非标设备及零部件项目规划设计蓝图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非标设备及零部件项目规划设计蓝图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非标设备及零部件项目规划设计蓝图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非标设备及零部件项目规划设计蓝图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非标设备及零部件项目规划设计蓝图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非标设备及零部件项目规划设计蓝图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非标设备及零部件项目规划设计蓝图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非标设备及零部件项目规划设计蓝图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非标设备及零部件项目规划设计蓝图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非标设备及零部件项目规划设计蓝图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6916D1"/>
    <w:rsid w:val="286916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056045007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2024-01-23T17:37:00Z</dcterms:created>
  <dcterms:modified xsi:type="dcterms:W3CDTF">2024-01-23T17:37:31Z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151F7E0DFF6448109D1837CAE376F6B7_11</vt:lpwstr>
  </property>
  <property fmtid="{D5CDD505-2E9C-101B-9397-08002B2CF9AE}" pid="3" name="KSOProductBuildVer">
    <vt:lpwstr>2052-12.1.0.16120</vt:lpwstr>
  </property>
</Properties>
</file>