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embeddings/Microsoft_Excel_Worksheet1.xlsx" ContentType="application/vnd.openxmlformats-officedocument.spreadsheetml.sheet"/>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beforeLines="100" w:after="240" w:afterLines="100"/>
        <w:jc w:val="center"/>
        <w:rPr>
          <w:rFonts w:eastAsia="黑体"/>
          <w:sz w:val="36"/>
          <w:szCs w:val="44"/>
        </w:rPr>
      </w:pPr>
      <w:bookmarkStart w:id="0" w:name="_Toc335598643"/>
      <w:bookmarkStart w:id="1" w:name="_Toc134862131"/>
      <w:r>
        <w:rPr>
          <w:rFonts w:eastAsia="黑体"/>
          <w:sz w:val="36"/>
          <w:szCs w:val="44"/>
        </w:rPr>
        <w:t>摘</w:t>
      </w:r>
      <w:r>
        <w:rPr>
          <w:rFonts w:eastAsia="黑体" w:hint="eastAsia"/>
          <w:sz w:val="36"/>
          <w:szCs w:val="44"/>
        </w:rPr>
        <w:t xml:space="preserve">  </w:t>
      </w:r>
      <w:r>
        <w:rPr>
          <w:rFonts w:eastAsia="黑体"/>
          <w:sz w:val="36"/>
          <w:szCs w:val="44"/>
        </w:rPr>
        <w:t>要</w:t>
      </w:r>
      <w:bookmarkEnd w:id="0"/>
      <w:bookmarkEnd w:id="1"/>
    </w:p>
    <w:p>
      <w:pPr>
        <w:spacing w:line="360" w:lineRule="auto"/>
        <w:jc w:val="center"/>
        <w:rPr>
          <w:rFonts w:eastAsia="黑体"/>
          <w:sz w:val="36"/>
          <w:szCs w:val="44"/>
        </w:rPr>
      </w:pPr>
    </w:p>
    <w:p>
      <w:pPr>
        <w:pStyle w:val="BodyTextFirstIndent"/>
        <w:spacing w:after="0"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近年来，企业生存环境日趋复杂，竞争形势逐渐恶化，企业越来越关注自身的生存与发展。在企业战略系统中，财务战略往往居于核心地位，但是人们并未注意到财务战略的重要性与独立性，对于财务战略</w:t>
      </w:r>
      <w:bookmarkStart w:id="2" w:name="_GoBack"/>
      <w:bookmarkEnd w:id="2"/>
      <w:r>
        <w:rPr>
          <w:rFonts w:hint="eastAsia"/>
          <w:color w:val="000000" w:themeColor="text1"/>
          <w:sz w:val="24"/>
          <w:lang w:val="en-US" w:eastAsia="zh-CN"/>
          <w14:textFill>
            <w14:solidFill>
              <w14:schemeClr w14:val="tx1"/>
            </w14:solidFill>
          </w14:textFill>
        </w:rPr>
        <w:t>管理模式，不少企业均存在一定的认识误区，他们仅关注账面数字，而未关注到企业的可持续发展。所以，本文将站在可持续发展的视角，加强对财务战略的研究，</w:t>
      </w:r>
      <w:r>
        <w:rPr>
          <w:rFonts w:hint="eastAsia"/>
          <w:color w:val="000000" w:themeColor="text1"/>
          <w:sz w:val="24"/>
          <w14:textFill>
            <w14:solidFill>
              <w14:schemeClr w14:val="tx1"/>
            </w14:solidFill>
          </w14:textFill>
        </w:rPr>
        <w:t>在对财务战略相关理论进行分析的基础之上，阐述了</w:t>
      </w:r>
      <w:r>
        <w:rPr>
          <w:rFonts w:hint="eastAsia"/>
          <w:color w:val="000000" w:themeColor="text1"/>
          <w:sz w:val="24"/>
          <w:lang w:val="en-US" w:eastAsia="zh-CN"/>
          <w14:textFill>
            <w14:solidFill>
              <w14:schemeClr w14:val="tx1"/>
            </w14:solidFill>
          </w14:textFill>
        </w:rPr>
        <w:t>在可持续发展战略上加强对</w:t>
      </w:r>
      <w:r>
        <w:rPr>
          <w:rFonts w:hint="eastAsia"/>
          <w:color w:val="000000" w:themeColor="text1"/>
          <w:sz w:val="24"/>
          <w14:textFill>
            <w14:solidFill>
              <w14:schemeClr w14:val="tx1"/>
            </w14:solidFill>
          </w14:textFill>
        </w:rPr>
        <w:t>财务战略</w:t>
      </w:r>
      <w:r>
        <w:rPr>
          <w:rFonts w:hint="eastAsia"/>
          <w:color w:val="000000" w:themeColor="text1"/>
          <w:sz w:val="24"/>
          <w:lang w:val="en-US" w:eastAsia="zh-CN"/>
          <w14:textFill>
            <w14:solidFill>
              <w14:schemeClr w14:val="tx1"/>
            </w14:solidFill>
          </w14:textFill>
        </w:rPr>
        <w:t>的</w:t>
      </w:r>
      <w:r>
        <w:rPr>
          <w:rFonts w:hint="eastAsia"/>
          <w:color w:val="000000" w:themeColor="text1"/>
          <w:sz w:val="24"/>
          <w14:textFill>
            <w14:solidFill>
              <w14:schemeClr w14:val="tx1"/>
            </w14:solidFill>
          </w14:textFill>
        </w:rPr>
        <w:t>分析及改进等研究内容。</w:t>
      </w:r>
    </w:p>
    <w:p>
      <w:pPr>
        <w:pStyle w:val="BodyTextFirstIndent"/>
        <w:spacing w:after="0" w:line="360" w:lineRule="auto"/>
        <w:ind w:firstLine="480" w:firstLineChars="200"/>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本文先收集与整理国内外关于财务战略</w:t>
      </w:r>
      <w:r>
        <w:rPr>
          <w:rFonts w:hint="eastAsia"/>
          <w:color w:val="000000" w:themeColor="text1"/>
          <w:sz w:val="24"/>
          <w14:textFill>
            <w14:solidFill>
              <w14:schemeClr w14:val="tx1"/>
            </w14:solidFill>
          </w14:textFill>
        </w:rPr>
        <w:t>以及可持续发展理论研究文献的基础上，</w:t>
      </w:r>
      <w:r>
        <w:rPr>
          <w:rFonts w:hint="eastAsia"/>
          <w:color w:val="000000" w:themeColor="text1"/>
          <w:sz w:val="24"/>
          <w:lang w:val="en-US" w:eastAsia="zh-CN"/>
          <w14:textFill>
            <w14:solidFill>
              <w14:schemeClr w14:val="tx1"/>
            </w14:solidFill>
          </w14:textFill>
        </w:rPr>
        <w:t>把乐视网作为研究对象，应当采用</w:t>
      </w:r>
      <w:r>
        <w:rPr>
          <w:rFonts w:hint="eastAsia"/>
          <w:color w:val="000000" w:themeColor="text1"/>
          <w:sz w:val="24"/>
          <w14:textFill>
            <w14:solidFill>
              <w14:schemeClr w14:val="tx1"/>
            </w14:solidFill>
          </w14:textFill>
        </w:rPr>
        <w:t>案例研究的方法，对乐视网进行分析。本文通过对乐视网的分析判断其财务战略是不可持续的，</w:t>
      </w:r>
      <w:r>
        <w:rPr>
          <w:rFonts w:hint="eastAsia"/>
          <w:color w:val="000000" w:themeColor="text1"/>
          <w:sz w:val="24"/>
          <w:lang w:val="en-US" w:eastAsia="zh-CN"/>
          <w14:textFill>
            <w14:solidFill>
              <w14:schemeClr w14:val="tx1"/>
            </w14:solidFill>
          </w14:textFill>
        </w:rPr>
        <w:t>分析其原因发现，乐视网的产业链造成投资过度，想要进行大规模扩张，但后备力量不充分，就会使得财务战略实施出现一定问题。</w:t>
      </w:r>
    </w:p>
    <w:p>
      <w:pPr>
        <w:pStyle w:val="BodyTextFirstIndent"/>
        <w:spacing w:after="0"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因此，</w:t>
      </w:r>
      <w:r>
        <w:rPr>
          <w:rFonts w:hint="eastAsia"/>
          <w:color w:val="000000" w:themeColor="text1"/>
          <w:sz w:val="24"/>
          <w:lang w:val="en-US" w:eastAsia="zh-CN"/>
          <w14:textFill>
            <w14:solidFill>
              <w14:schemeClr w14:val="tx1"/>
            </w14:solidFill>
          </w14:textFill>
        </w:rPr>
        <w:t>对于乐视网财务战略存在的问题，应当提出相应的优化与建议。</w:t>
      </w:r>
      <w:r>
        <w:rPr>
          <w:rFonts w:hint="eastAsia"/>
          <w:color w:val="000000" w:themeColor="text1"/>
          <w:sz w:val="24"/>
          <w14:textFill>
            <w14:solidFill>
              <w14:schemeClr w14:val="tx1"/>
            </w14:solidFill>
          </w14:textFill>
        </w:rPr>
        <w:t>本文认为，企业为实现增长目标，应该将可持续发展和财务战略选择相结合</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保证财务战略作用的充分发挥，提高企业应对经济波动的能力，使企业价值实现增值的目标。</w:t>
      </w:r>
    </w:p>
    <w:p>
      <w:pPr>
        <w:spacing w:line="360" w:lineRule="auto"/>
        <w:ind w:firstLine="480" w:firstLineChars="200"/>
        <w:rPr>
          <w:color w:val="000000" w:themeColor="text1"/>
          <w:sz w:val="24"/>
          <w14:textFill>
            <w14:solidFill>
              <w14:schemeClr w14:val="tx1"/>
            </w14:solidFill>
          </w14:textFill>
        </w:rPr>
      </w:pPr>
    </w:p>
    <w:p>
      <w:pPr>
        <w:spacing w:line="360" w:lineRule="auto"/>
        <w:ind w:firstLine="480" w:firstLineChars="200"/>
        <w:rPr>
          <w:color w:val="000000" w:themeColor="text1"/>
          <w:sz w:val="24"/>
          <w14:textFill>
            <w14:solidFill>
              <w14:schemeClr w14:val="tx1"/>
            </w14:solidFill>
          </w14:textFill>
        </w:rPr>
        <w:sectPr>
          <w:footerReference w:type="default" r:id="rId5"/>
          <w:pgSz w:w="11907" w:h="16840"/>
          <w:pgMar w:top="1418" w:right="1418" w:bottom="1418" w:left="1418" w:header="851" w:footer="992" w:gutter="0"/>
          <w:pgNumType w:fmt="upperRoman" w:start="1"/>
          <w:cols w:num="1" w:space="425"/>
          <w:docGrid w:linePitch="312" w:charSpace="0"/>
        </w:sectPr>
      </w:pPr>
      <w:r>
        <w:rPr>
          <w:rFonts w:eastAsia="黑体"/>
          <w:b/>
          <w:color w:val="000000" w:themeColor="text1"/>
          <w:sz w:val="24"/>
          <w14:textFill>
            <w14:solidFill>
              <w14:schemeClr w14:val="tx1"/>
            </w14:solidFill>
          </w14:textFill>
        </w:rPr>
        <w:t>关键词</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财务战略，可持续发展，企业价值</w:t>
      </w:r>
      <w:r>
        <w:rPr>
          <w:color w:val="000000" w:themeColor="text1"/>
          <w:sz w:val="24"/>
          <w14:textFill>
            <w14:solidFill>
              <w14:schemeClr w14:val="tx1"/>
            </w14:solidFill>
          </w14:textFill>
        </w:rPr>
        <w:t xml:space="preserve"> </w:t>
      </w:r>
    </w:p>
    <w:p>
      <w:pPr>
        <w:spacing w:before="240" w:beforeLines="100" w:after="240" w:afterLines="100"/>
        <w:jc w:val="center"/>
        <w:rPr>
          <w:rFonts w:eastAsia="黑体"/>
          <w:color w:val="000000" w:themeColor="text1"/>
          <w:sz w:val="36"/>
          <w:szCs w:val="44"/>
          <w14:textFill>
            <w14:solidFill>
              <w14:schemeClr w14:val="tx1"/>
            </w14:solidFill>
          </w14:textFill>
        </w:rPr>
      </w:pPr>
      <w:bookmarkStart w:id="3" w:name="_Toc335598644"/>
      <w:r>
        <w:rPr>
          <w:rFonts w:eastAsia="黑体"/>
          <w:color w:val="000000" w:themeColor="text1"/>
          <w:sz w:val="36"/>
          <w:szCs w:val="44"/>
          <w14:textFill>
            <w14:solidFill>
              <w14:schemeClr w14:val="tx1"/>
            </w14:solidFill>
          </w14:textFill>
        </w:rPr>
        <w:t>Abstract</w:t>
      </w:r>
      <w:bookmarkEnd w:id="3"/>
    </w:p>
    <w:p>
      <w:pPr>
        <w:spacing w:before="240" w:beforeLines="100" w:after="240" w:afterLines="100"/>
        <w:rPr>
          <w:rFonts w:eastAsia="黑体"/>
          <w:color w:val="000000" w:themeColor="text1"/>
          <w:sz w:val="36"/>
          <w:szCs w:val="44"/>
          <w14:textFill>
            <w14:solidFill>
              <w14:schemeClr w14:val="tx1"/>
            </w14:solidFill>
          </w14:textFill>
        </w:rPr>
      </w:pPr>
    </w:p>
    <w:p>
      <w:pPr>
        <w:spacing w:line="360" w:lineRule="auto"/>
        <w:ind w:firstLine="240" w:firstLineChars="100"/>
        <w:rPr>
          <w:color w:val="000000" w:themeColor="text1"/>
          <w:sz w:val="24"/>
          <w14:textFill>
            <w14:solidFill>
              <w14:schemeClr w14:val="tx1"/>
            </w14:solidFill>
          </w14:textFill>
        </w:rPr>
      </w:pPr>
      <w:r>
        <w:rPr>
          <w:color w:val="000000" w:themeColor="text1"/>
          <w:sz w:val="24"/>
          <w14:textFill>
            <w14:solidFill>
              <w14:schemeClr w14:val="tx1"/>
            </w14:solidFill>
          </w14:textFill>
        </w:rPr>
        <w:t>With the increasing complexity of the living environment and the increasingly fierce competition situation, more and more enterprises begin to pay attention to the long-term survival and development of enterprises. The financial strategy is in the core position in the enterprise's strategic system, but its importance and independence have not aroused people's general concern, most enterprises still have many misunderstandings in the financial Strategic management mode, the focus of attention is only on the book number rather than the sustainable development of the enterprise.</w:t>
      </w:r>
    </w:p>
    <w:p>
      <w:pPr>
        <w:spacing w:line="360" w:lineRule="auto"/>
        <w:ind w:firstLine="240" w:firstLineChars="100"/>
        <w:rPr>
          <w:color w:val="000000" w:themeColor="text1"/>
          <w:sz w:val="24"/>
          <w14:textFill>
            <w14:solidFill>
              <w14:schemeClr w14:val="tx1"/>
            </w14:solidFill>
          </w14:textFill>
        </w:rPr>
      </w:pPr>
      <w:r>
        <w:rPr>
          <w:color w:val="000000" w:themeColor="text1"/>
          <w:sz w:val="24"/>
          <w14:textFill>
            <w14:solidFill>
              <w14:schemeClr w14:val="tx1"/>
            </w14:solidFill>
          </w14:textFill>
        </w:rPr>
        <w:t>Therefore, this paper focuses on the systematic study of enterprise financial strategy from the perspective of sustainable development, and expounds the research contents of financial strategy analysis and improvement based on sustainable development on the basis of analyzing the related theories of financial strategy. Based on the collection and collation of a large number of domestic and foreign research literature on financial strategy and sustainable development theory, this paper selects the Music Vision network as the research object, mainly uses the case study method, carries on the analysis to the music Vision network. Through the analysis of LeTV network, this paper determines that its financial strategy is not sustainable, the root cause is that the construction of the industrial chain of LeTV network leads to its excessive investment, enterprises carry out large-scale expansion but the reserve power is insufficient, the existing resources of enterprises can not support the huge business system, and ultimately lead to the implementation of financial strategy problems. Therefore, the paper puts forward the optimization and suggestion to the unreasonable financial strategy selected by the Music Vision Network.</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This paper holds that in order to achieve the growth goal, enterprises should combine sustainable development with financial strategy choice, give full play to the important role of financial strategy in the overall strategy of the company, and enhance the ability of enterprises to cope with economic fluctuation and financial resilience, so as to improve the sustainability of value added of enterprises.</w:t>
      </w:r>
    </w:p>
    <w:p>
      <w:pPr>
        <w:spacing w:line="360" w:lineRule="auto"/>
        <w:ind w:firstLine="240" w:firstLineChars="100"/>
        <w:rPr>
          <w:color w:val="000000" w:themeColor="text1"/>
          <w:sz w:val="24"/>
          <w14:textFill>
            <w14:solidFill>
              <w14:schemeClr w14:val="tx1"/>
            </w14:solidFill>
          </w14:textFill>
        </w:rPr>
      </w:pPr>
    </w:p>
    <w:p>
      <w:pPr>
        <w:spacing w:line="360" w:lineRule="auto"/>
        <w:ind w:firstLine="240" w:firstLineChars="100"/>
        <w:rPr>
          <w:color w:val="000000" w:themeColor="text1"/>
          <w:sz w:val="24"/>
          <w14:textFill>
            <w14:solidFill>
              <w14:schemeClr w14:val="tx1"/>
            </w14:solidFill>
          </w14:textFill>
        </w:rPr>
      </w:pPr>
      <w:r>
        <w:rPr>
          <w:rFonts w:eastAsia="黑体"/>
          <w:b/>
          <w:bCs/>
          <w:color w:val="000000" w:themeColor="text1"/>
          <w:sz w:val="24"/>
          <w14:textFill>
            <w14:solidFill>
              <w14:schemeClr w14:val="tx1"/>
            </w14:solidFill>
          </w14:textFill>
        </w:rPr>
        <w:t xml:space="preserve">Key </w:t>
      </w:r>
      <w:r>
        <w:rPr>
          <w:rFonts w:eastAsia="黑体" w:hint="eastAsia"/>
          <w:b/>
          <w:bCs/>
          <w:color w:val="000000" w:themeColor="text1"/>
          <w:sz w:val="24"/>
          <w14:textFill>
            <w14:solidFill>
              <w14:schemeClr w14:val="tx1"/>
            </w14:solidFill>
          </w14:textFill>
        </w:rPr>
        <w:t>W</w:t>
      </w:r>
      <w:r>
        <w:rPr>
          <w:rFonts w:eastAsia="黑体"/>
          <w:b/>
          <w:bCs/>
          <w:color w:val="000000" w:themeColor="text1"/>
          <w:sz w:val="24"/>
          <w14:textFill>
            <w14:solidFill>
              <w14:schemeClr w14:val="tx1"/>
            </w14:solidFill>
          </w14:textFill>
        </w:rPr>
        <w:t>ords</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 xml:space="preserve">Financial strategy, </w:t>
      </w:r>
      <w:r>
        <w:rPr>
          <w:rFonts w:hint="eastAsia"/>
          <w:color w:val="000000" w:themeColor="text1"/>
          <w:sz w:val="24"/>
          <w14:textFill>
            <w14:solidFill>
              <w14:schemeClr w14:val="tx1"/>
            </w14:solidFill>
          </w14:textFill>
        </w:rPr>
        <w:t>S</w:t>
      </w:r>
      <w:r>
        <w:rPr>
          <w:color w:val="000000" w:themeColor="text1"/>
          <w:sz w:val="24"/>
          <w14:textFill>
            <w14:solidFill>
              <w14:schemeClr w14:val="tx1"/>
            </w14:solidFill>
          </w14:textFill>
        </w:rPr>
        <w:t>ustainable development</w:t>
      </w:r>
      <w:r>
        <w:rPr>
          <w:rFonts w:hint="eastAsia"/>
          <w:color w:val="000000" w:themeColor="text1"/>
          <w:sz w:val="24"/>
          <w14:textFill>
            <w14:solidFill>
              <w14:schemeClr w14:val="tx1"/>
            </w14:solidFill>
          </w14:textFill>
        </w:rPr>
        <w:t>, C</w:t>
      </w:r>
      <w:r>
        <w:rPr>
          <w:color w:val="000000" w:themeColor="text1"/>
          <w:sz w:val="24"/>
          <w14:textFill>
            <w14:solidFill>
              <w14:schemeClr w14:val="tx1"/>
            </w14:solidFill>
          </w14:textFill>
        </w:rPr>
        <w:t xml:space="preserve">orporate </w:t>
      </w:r>
      <w:r>
        <w:rPr>
          <w:rFonts w:hint="eastAsia"/>
          <w:color w:val="000000" w:themeColor="text1"/>
          <w:sz w:val="24"/>
          <w14:textFill>
            <w14:solidFill>
              <w14:schemeClr w14:val="tx1"/>
            </w14:solidFill>
          </w14:textFill>
        </w:rPr>
        <w:t>values</w:t>
      </w:r>
    </w:p>
    <w:p>
      <w:pPr>
        <w:spacing w:line="360" w:lineRule="auto"/>
        <w:rPr>
          <w:rFonts w:eastAsia="黑体"/>
          <w:color w:val="000000" w:themeColor="text1"/>
          <w:sz w:val="44"/>
          <w:szCs w:val="44"/>
          <w14:textFill>
            <w14:solidFill>
              <w14:schemeClr w14:val="tx1"/>
            </w14:solidFill>
          </w14:textFill>
        </w:rPr>
        <w:sectPr>
          <w:headerReference w:type="default" r:id="rId6"/>
          <w:footerReference w:type="default" r:id="rId7"/>
          <w:pgSz w:w="11907" w:h="16840"/>
          <w:pgMar w:top="1418" w:right="1418" w:bottom="1418" w:left="1418" w:header="851" w:footer="992" w:gutter="0"/>
          <w:pgNumType w:fmt="upperRoman" w:start="2"/>
          <w:cols w:num="1" w:space="425"/>
          <w:docGrid w:linePitch="312" w:charSpace="0"/>
        </w:sectPr>
      </w:pPr>
    </w:p>
    <w:p>
      <w:pPr>
        <w:tabs>
          <w:tab w:val="left" w:pos="2700"/>
          <w:tab w:val="center" w:pos="4535"/>
        </w:tabs>
        <w:spacing w:line="360" w:lineRule="auto"/>
        <w:jc w:val="left"/>
        <w:rPr>
          <w:color w:val="000000" w:themeColor="text1"/>
          <w14:textFill>
            <w14:solidFill>
              <w14:schemeClr w14:val="tx1"/>
            </w14:solidFill>
          </w14:textFill>
        </w:rPr>
      </w:pPr>
      <w:bookmarkStart w:id="4" w:name="_Toc188426666"/>
      <w:bookmarkStart w:id="5" w:name="_Toc188427218"/>
      <w:bookmarkStart w:id="6" w:name="_Toc188433579"/>
      <w:bookmarkStart w:id="7" w:name="_Toc188426324"/>
      <w:bookmarkStart w:id="8" w:name="_Toc188426549"/>
      <w:r>
        <w:rPr>
          <w:rFonts w:eastAsia="黑体"/>
          <w:color w:val="000000" w:themeColor="text1"/>
          <w:sz w:val="36"/>
          <w:szCs w:val="44"/>
          <w14:textFill>
            <w14:solidFill>
              <w14:schemeClr w14:val="tx1"/>
            </w14:solidFill>
          </w14:textFill>
        </w:rPr>
        <w:tab/>
      </w:r>
      <w:r>
        <w:rPr>
          <w:rFonts w:eastAsia="黑体"/>
          <w:color w:val="000000" w:themeColor="text1"/>
          <w:sz w:val="36"/>
          <w:szCs w:val="44"/>
          <w14:textFill>
            <w14:solidFill>
              <w14:schemeClr w14:val="tx1"/>
            </w14:solidFill>
          </w14:textFill>
        </w:rPr>
        <w:tab/>
      </w:r>
      <w:r>
        <w:rPr>
          <w:rFonts w:eastAsia="黑体"/>
          <w:color w:val="000000" w:themeColor="text1"/>
          <w:sz w:val="36"/>
          <w:szCs w:val="44"/>
          <w14:textFill>
            <w14:solidFill>
              <w14:schemeClr w14:val="tx1"/>
            </w14:solidFill>
          </w14:textFill>
        </w:rPr>
        <w:t>目  录</w:t>
      </w:r>
      <w:bookmarkEnd w:id="4"/>
      <w:bookmarkEnd w:id="5"/>
      <w:bookmarkEnd w:id="6"/>
      <w:bookmarkEnd w:id="7"/>
      <w:bookmarkEnd w:id="8"/>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 TOC \o "1-3" \u </w:instrText>
      </w:r>
      <w:r>
        <w:rPr>
          <w:color w:val="000000" w:themeColor="text1"/>
          <w:sz w:val="24"/>
          <w14:textFill>
            <w14:solidFill>
              <w14:schemeClr w14:val="tx1"/>
            </w14:solidFill>
          </w14:textFill>
        </w:rPr>
        <w:fldChar w:fldCharType="separate"/>
      </w:r>
    </w:p>
    <w:p>
      <w:pPr>
        <w:pStyle w:val="TOC1"/>
        <w:rPr>
          <w:rFonts w:ascii="Calibri" w:eastAsia="宋体" w:hAnsi="Calibri" w:cs="宋体"/>
          <w:color w:val="000000" w:themeColor="text1"/>
          <w:sz w:val="21"/>
          <w:szCs w:val="22"/>
          <w14:textFill>
            <w14:solidFill>
              <w14:schemeClr w14:val="tx1"/>
            </w14:solidFill>
          </w14:textFill>
        </w:rPr>
      </w:pPr>
      <w:r>
        <w:rPr>
          <w:rFonts w:hint="eastAsia"/>
          <w:color w:val="000000" w:themeColor="text1"/>
          <w14:textFill>
            <w14:solidFill>
              <w14:schemeClr w14:val="tx1"/>
            </w14:solidFill>
          </w14:textFill>
        </w:rPr>
        <w:t>第</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章</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绪论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_Toc8155175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1.1 </w:t>
      </w:r>
      <w:r>
        <w:rPr>
          <w:rFonts w:hint="eastAsia"/>
          <w:color w:val="000000" w:themeColor="text1"/>
          <w14:textFill>
            <w14:solidFill>
              <w14:schemeClr w14:val="tx1"/>
            </w14:solidFill>
          </w14:textFill>
        </w:rPr>
        <w:t>研究背景及意义</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_Toc8155176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1.2 </w:t>
      </w:r>
      <w:r>
        <w:rPr>
          <w:rFonts w:hint="eastAsia"/>
          <w:color w:val="000000" w:themeColor="text1"/>
          <w14:textFill>
            <w14:solidFill>
              <w14:schemeClr w14:val="tx1"/>
            </w14:solidFill>
          </w14:textFill>
        </w:rPr>
        <w:t>研究内容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_Toc8155177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1.3 </w:t>
      </w:r>
      <w:r>
        <w:rPr>
          <w:rFonts w:hint="eastAsia"/>
          <w:color w:val="000000" w:themeColor="text1"/>
          <w14:textFill>
            <w14:solidFill>
              <w14:schemeClr w14:val="tx1"/>
            </w14:solidFill>
          </w14:textFill>
        </w:rPr>
        <w:t>研究方法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_Toc8155178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p>
    <w:p>
      <w:pPr>
        <w:pStyle w:val="TOC1"/>
        <w:rPr>
          <w:rFonts w:ascii="Calibri" w:eastAsia="宋体" w:hAnsi="Calibri" w:cs="宋体"/>
          <w:color w:val="000000" w:themeColor="text1"/>
          <w:sz w:val="21"/>
          <w:szCs w:val="22"/>
          <w14:textFill>
            <w14:solidFill>
              <w14:schemeClr w14:val="tx1"/>
            </w14:solidFill>
          </w14:textFill>
        </w:rPr>
      </w:pPr>
      <w:r>
        <w:rPr>
          <w:rFonts w:hint="eastAsia"/>
          <w:color w:val="000000" w:themeColor="text1"/>
          <w14:textFill>
            <w14:solidFill>
              <w14:schemeClr w14:val="tx1"/>
            </w14:solidFill>
          </w14:textFill>
        </w:rPr>
        <w:t>第</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章</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企业可持续发展财务战略理论基础</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_Toc8155179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2.1 </w:t>
      </w:r>
      <w:r>
        <w:rPr>
          <w:rFonts w:hint="eastAsia"/>
          <w:color w:val="000000" w:themeColor="text1"/>
          <w14:textFill>
            <w14:solidFill>
              <w14:schemeClr w14:val="tx1"/>
            </w14:solidFill>
          </w14:textFill>
        </w:rPr>
        <w:t>企业财务战略理论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_Toc8155180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2.1.1 </w:t>
      </w:r>
      <w:r>
        <w:rPr>
          <w:rFonts w:hint="eastAsia"/>
          <w:color w:val="000000" w:themeColor="text1"/>
          <w14:textFill>
            <w14:solidFill>
              <w14:schemeClr w14:val="tx1"/>
            </w14:solidFill>
          </w14:textFill>
        </w:rPr>
        <w:t>企业财务战略含义</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_Toc8155181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2.1.2</w:t>
      </w:r>
      <w:r>
        <w:rPr>
          <w:rFonts w:ascii="Calibri" w:eastAsia="宋体" w:hAnsi="Calibri" w:cs="宋体"/>
          <w:iCs w:val="0"/>
          <w:color w:val="000000" w:themeColor="text1"/>
          <w:sz w:val="21"/>
          <w:szCs w:val="22"/>
          <w14:textFill>
            <w14:solidFill>
              <w14:schemeClr w14:val="tx1"/>
            </w14:solidFill>
          </w14:textFill>
        </w:rPr>
        <w:tab/>
      </w:r>
      <w:r>
        <w:rPr>
          <w:rFonts w:hint="eastAsia"/>
          <w:color w:val="000000" w:themeColor="text1"/>
          <w14:textFill>
            <w14:solidFill>
              <w14:schemeClr w14:val="tx1"/>
            </w14:solidFill>
          </w14:textFill>
        </w:rPr>
        <w:t>财务战略的类型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_Toc8155182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2.1.3</w:t>
      </w:r>
      <w:r>
        <w:rPr>
          <w:rFonts w:hint="eastAsia"/>
          <w:color w:val="000000" w:themeColor="text1"/>
          <w14:textFill>
            <w14:solidFill>
              <w14:schemeClr w14:val="tx1"/>
            </w14:solidFill>
          </w14:textFill>
        </w:rPr>
        <w:t>国内外研究现状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_Toc8155183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2.2</w:t>
      </w:r>
      <w:r>
        <w:rPr>
          <w:rFonts w:hint="eastAsia"/>
          <w:color w:val="000000" w:themeColor="text1"/>
          <w14:textFill>
            <w14:solidFill>
              <w14:schemeClr w14:val="tx1"/>
            </w14:solidFill>
          </w14:textFill>
        </w:rPr>
        <w:t>企业可持续发展理论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_Toc8155184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2.2.1 </w:t>
      </w:r>
      <w:r>
        <w:rPr>
          <w:rFonts w:hint="eastAsia"/>
          <w:color w:val="000000" w:themeColor="text1"/>
          <w14:textFill>
            <w14:solidFill>
              <w14:schemeClr w14:val="tx1"/>
            </w14:solidFill>
          </w14:textFill>
        </w:rPr>
        <w:t>可持续发展概述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_Toc8155185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2.2.2 </w:t>
      </w:r>
      <w:r>
        <w:rPr>
          <w:rFonts w:hint="eastAsia"/>
          <w:color w:val="000000" w:themeColor="text1"/>
          <w14:textFill>
            <w14:solidFill>
              <w14:schemeClr w14:val="tx1"/>
            </w14:solidFill>
          </w14:textFill>
        </w:rPr>
        <w:t>国内外研究现状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_Toc8155186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2.3 </w:t>
      </w:r>
      <w:r>
        <w:rPr>
          <w:rFonts w:hint="eastAsia"/>
          <w:color w:val="000000" w:themeColor="text1"/>
          <w14:textFill>
            <w14:solidFill>
              <w14:schemeClr w14:val="tx1"/>
            </w14:solidFill>
          </w14:textFill>
        </w:rPr>
        <w:t>企业财务战略与可持续发展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_Toc8155187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2.3.1 </w:t>
      </w:r>
      <w:r>
        <w:rPr>
          <w:rFonts w:hint="eastAsia"/>
          <w:color w:val="000000" w:themeColor="text1"/>
          <w14:textFill>
            <w14:solidFill>
              <w14:schemeClr w14:val="tx1"/>
            </w14:solidFill>
          </w14:textFill>
        </w:rPr>
        <w:t>企业财务战略与可持续发展的关系</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_Toc8155188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2.3.2 </w:t>
      </w:r>
      <w:r>
        <w:rPr>
          <w:rFonts w:hint="eastAsia"/>
          <w:color w:val="000000" w:themeColor="text1"/>
          <w14:textFill>
            <w14:solidFill>
              <w14:schemeClr w14:val="tx1"/>
            </w14:solidFill>
          </w14:textFill>
        </w:rPr>
        <w:t>可持续发展能力衡量指标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_Toc8155189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p>
    <w:p>
      <w:pPr>
        <w:pStyle w:val="TOC1"/>
        <w:rPr>
          <w:rFonts w:ascii="Calibri" w:eastAsia="宋体" w:hAnsi="Calibri" w:cs="宋体"/>
          <w:color w:val="000000" w:themeColor="text1"/>
          <w:sz w:val="21"/>
          <w:szCs w:val="22"/>
          <w14:textFill>
            <w14:solidFill>
              <w14:schemeClr w14:val="tx1"/>
            </w14:solidFill>
          </w14:textFill>
        </w:rPr>
      </w:pPr>
      <w:r>
        <w:rPr>
          <w:rFonts w:hint="eastAsia"/>
          <w:color w:val="000000" w:themeColor="text1"/>
          <w14:textFill>
            <w14:solidFill>
              <w14:schemeClr w14:val="tx1"/>
            </w14:solidFill>
          </w14:textFill>
        </w:rPr>
        <w:t>第</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章</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乐视网财务战略现状及分析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_Toc8155190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3.1 </w:t>
      </w:r>
      <w:r>
        <w:rPr>
          <w:rFonts w:hint="eastAsia"/>
          <w:color w:val="000000" w:themeColor="text1"/>
          <w14:textFill>
            <w14:solidFill>
              <w14:schemeClr w14:val="tx1"/>
            </w14:solidFill>
          </w14:textFill>
        </w:rPr>
        <w:t>公司简介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_Toc8155191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3.2 </w:t>
      </w:r>
      <w:r>
        <w:rPr>
          <w:rFonts w:hint="eastAsia"/>
          <w:color w:val="000000" w:themeColor="text1"/>
          <w14:textFill>
            <w14:solidFill>
              <w14:schemeClr w14:val="tx1"/>
            </w14:solidFill>
          </w14:textFill>
        </w:rPr>
        <w:t>乐视网行业环境分析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_Toc8155192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3.3 </w:t>
      </w:r>
      <w:r>
        <w:rPr>
          <w:rFonts w:hint="eastAsia"/>
          <w:color w:val="000000" w:themeColor="text1"/>
          <w14:textFill>
            <w14:solidFill>
              <w14:schemeClr w14:val="tx1"/>
            </w14:solidFill>
          </w14:textFill>
        </w:rPr>
        <w:t>乐视网财务战略分析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_Toc8155193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3.3.1 </w:t>
      </w:r>
      <w:r>
        <w:rPr>
          <w:rFonts w:hint="eastAsia"/>
          <w:color w:val="000000" w:themeColor="text1"/>
          <w14:textFill>
            <w14:solidFill>
              <w14:schemeClr w14:val="tx1"/>
            </w14:solidFill>
          </w14:textFill>
        </w:rPr>
        <w:t>筹资战略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_Toc8155194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3.3.2 </w:t>
      </w:r>
      <w:r>
        <w:rPr>
          <w:rFonts w:hint="eastAsia"/>
          <w:color w:val="000000" w:themeColor="text1"/>
          <w14:textFill>
            <w14:solidFill>
              <w14:schemeClr w14:val="tx1"/>
            </w14:solidFill>
          </w14:textFill>
        </w:rPr>
        <w:t>投资战略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_Toc8155195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3.3.3 </w:t>
      </w:r>
      <w:r>
        <w:rPr>
          <w:rFonts w:hint="eastAsia"/>
          <w:color w:val="000000" w:themeColor="text1"/>
          <w14:textFill>
            <w14:solidFill>
              <w14:schemeClr w14:val="tx1"/>
            </w14:solidFill>
          </w14:textFill>
        </w:rPr>
        <w:t>股利战略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_Toc8155196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3.3.4 </w:t>
      </w:r>
      <w:r>
        <w:rPr>
          <w:rFonts w:hint="eastAsia"/>
          <w:color w:val="000000" w:themeColor="text1"/>
          <w14:textFill>
            <w14:solidFill>
              <w14:schemeClr w14:val="tx1"/>
            </w14:solidFill>
          </w14:textFill>
        </w:rPr>
        <w:t>营运战略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_Toc8155197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3.4</w:t>
      </w:r>
      <w:r>
        <w:rPr>
          <w:rFonts w:hint="eastAsia"/>
          <w:color w:val="000000" w:themeColor="text1"/>
          <w14:textFill>
            <w14:solidFill>
              <w14:schemeClr w14:val="tx1"/>
            </w14:solidFill>
          </w14:textFill>
        </w:rPr>
        <w:t>可持续发展能力分析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_Toc8155198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3.4.1 </w:t>
      </w:r>
      <w:r>
        <w:rPr>
          <w:rFonts w:hint="eastAsia"/>
          <w:color w:val="000000" w:themeColor="text1"/>
          <w14:textFill>
            <w14:solidFill>
              <w14:schemeClr w14:val="tx1"/>
            </w14:solidFill>
          </w14:textFill>
        </w:rPr>
        <w:t>发展能力静态指标分析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_Toc8155199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3.4.2 </w:t>
      </w:r>
      <w:r>
        <w:rPr>
          <w:rFonts w:hint="eastAsia"/>
          <w:color w:val="000000" w:themeColor="text1"/>
          <w14:textFill>
            <w14:solidFill>
              <w14:schemeClr w14:val="tx1"/>
            </w14:solidFill>
          </w14:textFill>
        </w:rPr>
        <w:t>可持续发展率分析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_Toc8155200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p>
    <w:p>
      <w:pPr>
        <w:pStyle w:val="TOC1"/>
        <w:rPr>
          <w:rFonts w:ascii="Calibri" w:eastAsia="宋体" w:hAnsi="Calibri" w:cs="宋体"/>
          <w:color w:val="000000" w:themeColor="text1"/>
          <w:sz w:val="21"/>
          <w:szCs w:val="22"/>
          <w14:textFill>
            <w14:solidFill>
              <w14:schemeClr w14:val="tx1"/>
            </w14:solidFill>
          </w14:textFill>
        </w:rPr>
      </w:pPr>
      <w:r>
        <w:rPr>
          <w:rFonts w:hint="eastAsia"/>
          <w:color w:val="000000" w:themeColor="text1"/>
          <w14:textFill>
            <w14:solidFill>
              <w14:schemeClr w14:val="tx1"/>
            </w14:solidFill>
          </w14:textFill>
        </w:rPr>
        <w:t>第</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章</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乐视网财务战略存在的问题及建议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_Toc8155201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sectPr>
          <w:headerReference w:type="default" r:id="rId8"/>
          <w:footerReference w:type="default" r:id="rId9"/>
          <w:pgSz w:w="11907" w:h="16840"/>
          <w:pgMar w:top="1418" w:right="1418" w:bottom="1418" w:left="1418" w:header="851" w:footer="992" w:gutter="0"/>
          <w:pgNumType w:fmt="upperRoman" w:start="3"/>
          <w:cols w:num="1" w:space="425"/>
          <w:docGrid w:linePitch="312" w:charSpace="0"/>
        </w:sectPr>
      </w:pPr>
      <w:r>
        <w:rPr>
          <w:color w:val="000000" w:themeColor="text1"/>
          <w14:textFill>
            <w14:solidFill>
              <w14:schemeClr w14:val="tx1"/>
            </w14:solidFill>
          </w14:textFill>
        </w:rPr>
        <w:t xml:space="preserve">4.1 </w:t>
      </w:r>
      <w:r>
        <w:rPr>
          <w:rFonts w:hint="eastAsia"/>
          <w:color w:val="000000" w:themeColor="text1"/>
          <w14:textFill>
            <w14:solidFill>
              <w14:schemeClr w14:val="tx1"/>
            </w14:solidFill>
          </w14:textFill>
        </w:rPr>
        <w:t>乐视网所选财务战略存在的问题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_Toc8155202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4.1.1 </w:t>
      </w:r>
      <w:r>
        <w:rPr>
          <w:rFonts w:hint="eastAsia"/>
          <w:color w:val="000000" w:themeColor="text1"/>
          <w14:textFill>
            <w14:solidFill>
              <w14:schemeClr w14:val="tx1"/>
            </w14:solidFill>
          </w14:textFill>
        </w:rPr>
        <w:t>资本结构不合理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_Toc8155203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4.1.2 </w:t>
      </w:r>
      <w:r>
        <w:rPr>
          <w:rFonts w:hint="eastAsia"/>
          <w:color w:val="000000" w:themeColor="text1"/>
          <w14:textFill>
            <w14:solidFill>
              <w14:schemeClr w14:val="tx1"/>
            </w14:solidFill>
          </w14:textFill>
        </w:rPr>
        <w:t>投资领域过多且无关联，主业不突出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_Toc8155204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4.1.3 </w:t>
      </w:r>
      <w:r>
        <w:rPr>
          <w:rFonts w:hint="eastAsia"/>
          <w:color w:val="000000" w:themeColor="text1"/>
          <w14:textFill>
            <w14:solidFill>
              <w14:schemeClr w14:val="tx1"/>
            </w14:solidFill>
          </w14:textFill>
        </w:rPr>
        <w:t>股利政策选择不合理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_Toc8155205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4.1.4 </w:t>
      </w:r>
      <w:r>
        <w:rPr>
          <w:rFonts w:hint="eastAsia"/>
          <w:color w:val="000000" w:themeColor="text1"/>
          <w14:textFill>
            <w14:solidFill>
              <w14:schemeClr w14:val="tx1"/>
            </w14:solidFill>
          </w14:textFill>
        </w:rPr>
        <w:t>其他问题</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_Toc8155206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4.2 </w:t>
      </w:r>
      <w:r>
        <w:rPr>
          <w:rFonts w:hint="eastAsia"/>
          <w:color w:val="000000" w:themeColor="text1"/>
          <w14:textFill>
            <w14:solidFill>
              <w14:schemeClr w14:val="tx1"/>
            </w14:solidFill>
          </w14:textFill>
        </w:rPr>
        <w:t>基于可持续发展的乐视网财务战略优化建议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_Toc8155207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4.2.1 </w:t>
      </w:r>
      <w:r>
        <w:rPr>
          <w:rFonts w:hint="eastAsia"/>
          <w:color w:val="000000" w:themeColor="text1"/>
          <w14:textFill>
            <w14:solidFill>
              <w14:schemeClr w14:val="tx1"/>
            </w14:solidFill>
          </w14:textFill>
        </w:rPr>
        <w:t>优化筹资战略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_Toc8155208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4.2.2 </w:t>
      </w:r>
      <w:r>
        <w:rPr>
          <w:rFonts w:hint="eastAsia"/>
          <w:color w:val="000000" w:themeColor="text1"/>
          <w14:textFill>
            <w14:solidFill>
              <w14:schemeClr w14:val="tx1"/>
            </w14:solidFill>
          </w14:textFill>
        </w:rPr>
        <w:t>集中投资项目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_Toc8155209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4.2.3 </w:t>
      </w:r>
      <w:r>
        <w:rPr>
          <w:rFonts w:hint="eastAsia"/>
          <w:color w:val="000000" w:themeColor="text1"/>
          <w14:textFill>
            <w14:solidFill>
              <w14:schemeClr w14:val="tx1"/>
            </w14:solidFill>
          </w14:textFill>
        </w:rPr>
        <w:t>调整股利战略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_Toc8155210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4.3 </w:t>
      </w:r>
      <w:r>
        <w:rPr>
          <w:rFonts w:hint="eastAsia"/>
          <w:color w:val="000000" w:themeColor="text1"/>
          <w14:textFill>
            <w14:solidFill>
              <w14:schemeClr w14:val="tx1"/>
            </w14:solidFill>
          </w14:textFill>
        </w:rPr>
        <w:t>基于可持续发展提出的其他建议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_Toc8155211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4.3.1 </w:t>
      </w:r>
      <w:r>
        <w:rPr>
          <w:rFonts w:hint="eastAsia"/>
          <w:color w:val="000000" w:themeColor="text1"/>
          <w14:textFill>
            <w14:solidFill>
              <w14:schemeClr w14:val="tx1"/>
            </w14:solidFill>
          </w14:textFill>
        </w:rPr>
        <w:t>根据所处财务状况及时调整适当的财务战略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_Toc8155212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p>
    <w:p>
      <w:pPr>
        <w:pStyle w:val="TOC3"/>
        <w:rPr>
          <w:rFonts w:ascii="Calibri" w:eastAsia="宋体" w:hAnsi="Calibri" w:cs="宋体"/>
          <w:iC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4.3.2 </w:t>
      </w:r>
      <w:r>
        <w:rPr>
          <w:rFonts w:hint="eastAsia"/>
          <w:color w:val="000000" w:themeColor="text1"/>
          <w14:textFill>
            <w14:solidFill>
              <w14:schemeClr w14:val="tx1"/>
            </w14:solidFill>
          </w14:textFill>
        </w:rPr>
        <w:t>持续完善内控管理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_Toc8155213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p>
    <w:p>
      <w:pPr>
        <w:pStyle w:val="TOC1"/>
        <w:rPr>
          <w:rFonts w:ascii="Calibri" w:eastAsia="宋体" w:hAnsi="Calibri" w:cs="宋体"/>
          <w:color w:val="000000" w:themeColor="text1"/>
          <w:sz w:val="21"/>
          <w:szCs w:val="22"/>
          <w14:textFill>
            <w14:solidFill>
              <w14:schemeClr w14:val="tx1"/>
            </w14:solidFill>
          </w14:textFill>
        </w:rPr>
      </w:pPr>
      <w:r>
        <w:rPr>
          <w:rFonts w:hint="eastAsia"/>
          <w:color w:val="000000" w:themeColor="text1"/>
          <w14:textFill>
            <w14:solidFill>
              <w14:schemeClr w14:val="tx1"/>
            </w14:solidFill>
          </w14:textFill>
        </w:rPr>
        <w:t>第</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章</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结论和不足</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_Toc8155214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5.1 </w:t>
      </w:r>
      <w:r>
        <w:rPr>
          <w:rFonts w:hint="eastAsia"/>
          <w:color w:val="000000" w:themeColor="text1"/>
          <w14:textFill>
            <w14:solidFill>
              <w14:schemeClr w14:val="tx1"/>
            </w14:solidFill>
          </w14:textFill>
        </w:rPr>
        <w:t>结论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_Toc8155215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p>
    <w:p>
      <w:pPr>
        <w:pStyle w:val="TOC2"/>
        <w:rPr>
          <w:rFonts w:ascii="Calibri" w:eastAsia="宋体" w:hAnsi="Calibri" w:cs="宋体"/>
          <w:smallCaps w:val="0"/>
          <w:color w:val="000000" w:themeColor="text1"/>
          <w:sz w:val="21"/>
          <w:szCs w:val="22"/>
          <w14:textFill>
            <w14:solidFill>
              <w14:schemeClr w14:val="tx1"/>
            </w14:solidFill>
          </w14:textFill>
        </w:rPr>
      </w:pPr>
      <w:r>
        <w:rPr>
          <w:color w:val="000000" w:themeColor="text1"/>
          <w14:textFill>
            <w14:solidFill>
              <w14:schemeClr w14:val="tx1"/>
            </w14:solidFill>
          </w14:textFill>
        </w:rPr>
        <w:t xml:space="preserve">5.2 </w:t>
      </w:r>
      <w:r>
        <w:rPr>
          <w:rFonts w:hint="eastAsia"/>
          <w:color w:val="000000" w:themeColor="text1"/>
          <w14:textFill>
            <w14:solidFill>
              <w14:schemeClr w14:val="tx1"/>
            </w14:solidFill>
          </w14:textFill>
        </w:rPr>
        <w:t>不足</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_Toc8155216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p>
    <w:p>
      <w:pPr>
        <w:pStyle w:val="TOC1"/>
        <w:rPr>
          <w:rFonts w:ascii="Calibri" w:eastAsia="宋体" w:hAnsi="Calibri" w:cs="宋体"/>
          <w:color w:val="000000" w:themeColor="text1"/>
          <w:sz w:val="21"/>
          <w:szCs w:val="22"/>
          <w14:textFill>
            <w14:solidFill>
              <w14:schemeClr w14:val="tx1"/>
            </w14:solidFill>
          </w14:textFill>
        </w:rPr>
      </w:pPr>
      <w:r>
        <w:rPr>
          <w:rFonts w:hint="eastAsia"/>
          <w:color w:val="000000" w:themeColor="text1"/>
          <w14:textFill>
            <w14:solidFill>
              <w14:schemeClr w14:val="tx1"/>
            </w14:solidFill>
          </w14:textFill>
        </w:rPr>
        <w:t>参考文献</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_Toc8155218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p>
    <w:p>
      <w:pPr>
        <w:pStyle w:val="TOC1"/>
        <w:rPr>
          <w:rFonts w:ascii="Calibri" w:eastAsia="宋体" w:hAnsi="Calibri" w:cs="宋体"/>
          <w:color w:val="000000" w:themeColor="text1"/>
          <w:sz w:val="21"/>
          <w:szCs w:val="22"/>
          <w14:textFill>
            <w14:solidFill>
              <w14:schemeClr w14:val="tx1"/>
            </w14:solidFill>
          </w14:textFill>
        </w:rPr>
      </w:pPr>
    </w:p>
    <w:p>
      <w:pPr>
        <w:spacing w:line="360" w:lineRule="auto"/>
        <w:jc w:val="center"/>
        <w:rPr>
          <w:color w:val="000000" w:themeColor="text1"/>
          <w14:textFill>
            <w14:solidFill>
              <w14:schemeClr w14:val="tx1"/>
            </w14:solidFill>
          </w14:textFill>
        </w:rPr>
        <w:sectPr>
          <w:headerReference w:type="default" r:id="rId10"/>
          <w:footerReference w:type="default" r:id="rId11"/>
          <w:type w:val="nextPage"/>
          <w:pgSz w:w="11907" w:h="16840"/>
          <w:pgMar w:top="1418" w:right="1418" w:bottom="1418" w:left="1418" w:header="851" w:footer="992" w:gutter="0"/>
          <w:pgNumType w:fmt="upperRoman" w:start="4"/>
          <w:cols w:num="1" w:space="425"/>
          <w:titlePg w:val="0"/>
          <w:docGrid w:linePitch="312" w:charSpace="0"/>
        </w:sectPr>
      </w:pPr>
      <w:r>
        <w:rPr>
          <w:color w:val="000000" w:themeColor="text1"/>
          <w:sz w:val="24"/>
          <w14:textFill>
            <w14:solidFill>
              <w14:schemeClr w14:val="tx1"/>
            </w14:solidFill>
          </w14:textFill>
        </w:rPr>
        <w:fldChar w:fldCharType="end"/>
      </w:r>
    </w:p>
    <w:p>
      <w:pPr>
        <w:pStyle w:val="Heading1"/>
        <w:spacing w:before="240" w:beforeLines="100" w:after="240" w:afterLines="100" w:line="240" w:lineRule="auto"/>
        <w:jc w:val="center"/>
        <w:rPr>
          <w:rFonts w:eastAsia="黑体"/>
          <w:b w:val="0"/>
          <w:color w:val="000000" w:themeColor="text1"/>
          <w:kern w:val="2"/>
          <w:sz w:val="36"/>
          <w14:textFill>
            <w14:solidFill>
              <w14:schemeClr w14:val="tx1"/>
            </w14:solidFill>
          </w14:textFill>
        </w:rPr>
      </w:pPr>
      <w:bookmarkStart w:id="9" w:name="_Toc8155175"/>
      <w:bookmarkStart w:id="10" w:name="_Toc335598645"/>
      <w:r>
        <w:rPr>
          <w:rFonts w:eastAsia="黑体"/>
          <w:b w:val="0"/>
          <w:color w:val="000000" w:themeColor="text1"/>
          <w:sz w:val="36"/>
          <w14:textFill>
            <w14:solidFill>
              <w14:schemeClr w14:val="tx1"/>
            </w14:solidFill>
          </w14:textFill>
        </w:rPr>
        <w:t>第1章</w:t>
      </w:r>
      <w:r>
        <w:rPr>
          <w:rFonts w:eastAsia="黑体" w:hint="eastAsia"/>
          <w:b w:val="0"/>
          <w:color w:val="000000" w:themeColor="text1"/>
          <w:sz w:val="36"/>
          <w14:textFill>
            <w14:solidFill>
              <w14:schemeClr w14:val="tx1"/>
            </w14:solidFill>
          </w14:textFill>
        </w:rPr>
        <w:t xml:space="preserve"> </w:t>
      </w:r>
      <w:r>
        <w:rPr>
          <w:rFonts w:eastAsia="黑体"/>
          <w:b w:val="0"/>
          <w:color w:val="000000" w:themeColor="text1"/>
          <w:sz w:val="36"/>
          <w14:textFill>
            <w14:solidFill>
              <w14:schemeClr w14:val="tx1"/>
            </w14:solidFill>
          </w14:textFill>
        </w:rPr>
        <w:t>绪论</w:t>
      </w:r>
      <w:bookmarkEnd w:id="9"/>
      <w:bookmarkEnd w:id="10"/>
    </w:p>
    <w:p>
      <w:pPr>
        <w:pStyle w:val="Heading2"/>
        <w:rPr>
          <w:rFonts w:ascii="Times New Roman"/>
          <w:color w:val="000000" w:themeColor="text1"/>
          <w14:textFill>
            <w14:solidFill>
              <w14:schemeClr w14:val="tx1"/>
            </w14:solidFill>
          </w14:textFill>
        </w:rPr>
      </w:pPr>
      <w:bookmarkStart w:id="11" w:name="_Toc8155176"/>
      <w:r>
        <w:rPr>
          <w:rFonts w:ascii="Times New Roman"/>
          <w:color w:val="000000" w:themeColor="text1"/>
          <w14:textFill>
            <w14:solidFill>
              <w14:schemeClr w14:val="tx1"/>
            </w14:solidFill>
          </w14:textFill>
        </w:rPr>
        <w:t>1.1</w:t>
      </w:r>
      <w:r>
        <w:rPr>
          <w:rFonts w:ascii="Times New Roman" w:hint="eastAsia"/>
          <w:color w:val="000000" w:themeColor="text1"/>
          <w14:textFill>
            <w14:solidFill>
              <w14:schemeClr w14:val="tx1"/>
            </w14:solidFill>
          </w14:textFill>
        </w:rPr>
        <w:t xml:space="preserve"> 研究背景及意义</w:t>
      </w:r>
      <w:bookmarkEnd w:id="11"/>
    </w:p>
    <w:p>
      <w:pPr>
        <w:pStyle w:val="BodyTextFirstIndent"/>
        <w:spacing w:after="0"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财务战略从企业整体绩效出发，使企业实现长远发展。科学制定财务战略，使企业保持正确的竞争优势，增加价值创造，并顺利成为行业的领头羊。目前，企业财务管理的根本目标在于实现价值最大化，价值创造对于企业发展具有重要意义。国家会将可持续发展确立为国家基本战略，所以，对于企业而言，就有必要实现财务的可持续增长。不管是价值创造，还是可持续增长，都会企业选择财务战略产生影响。</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自2004年以来，各种视频网站不断上线，网络视频企业从几百家被逐渐淘汰，只剩下十余家。</w:t>
      </w:r>
      <w:r>
        <w:rPr>
          <w:rFonts w:hint="eastAsia"/>
          <w:color w:val="000000" w:themeColor="text1"/>
          <w:sz w:val="24"/>
          <w14:textFill>
            <w14:solidFill>
              <w14:schemeClr w14:val="tx1"/>
            </w14:solidFill>
          </w14:textFill>
        </w:rPr>
        <w:t>大量相关企业消失，企业平均寿命不到1</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年，企业可持续发展能力较弱，公司出现诸多问题，所以现在管理者对可持续发展理念的运用越来越深。</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最近几年乐视网</w:t>
      </w:r>
      <w:r>
        <w:rPr>
          <w:rFonts w:hint="eastAsia"/>
          <w:color w:val="000000" w:themeColor="text1"/>
          <w:sz w:val="24"/>
          <w:lang w:val="en-US" w:eastAsia="zh-CN"/>
          <w14:textFill>
            <w14:solidFill>
              <w14:schemeClr w14:val="tx1"/>
            </w14:solidFill>
          </w14:textFill>
        </w:rPr>
        <w:t>不断出现资金问题，会被负面新闻不断缠身，</w:t>
      </w:r>
      <w:r>
        <w:rPr>
          <w:rFonts w:hint="eastAsia"/>
          <w:color w:val="000000" w:themeColor="text1"/>
          <w:sz w:val="24"/>
          <w14:textFill>
            <w14:solidFill>
              <w14:schemeClr w14:val="tx1"/>
            </w14:solidFill>
          </w14:textFill>
        </w:rPr>
        <w:t>作为行业内有共性、有特性的企业，乐视网所选择的财务战略值得探究。</w:t>
      </w:r>
      <w:r>
        <w:rPr>
          <w:rFonts w:hint="eastAsia"/>
          <w:color w:val="000000" w:themeColor="text1"/>
          <w:sz w:val="24"/>
          <w:lang w:val="en-US" w:eastAsia="zh-CN"/>
          <w14:textFill>
            <w14:solidFill>
              <w14:schemeClr w14:val="tx1"/>
            </w14:solidFill>
          </w14:textFill>
        </w:rPr>
        <w:t>从实用角度分析，企业不断提高对财务战略的重视程度，有越来越多的人加强对财务战略的研究，但鲜有人对互联网领域的案例加强研究。因此，文章在对乐视网财务战略进行研究的基础上，分析乐视网的过度投资对于公司发展的不利影响、多元融资方式导致企业面临的风险，在此基础上提出合理的见解，为同行公司提供有效参考。</w:t>
      </w:r>
    </w:p>
    <w:p>
      <w:pPr>
        <w:pStyle w:val="Heading2"/>
        <w:rPr>
          <w:rFonts w:ascii="Times New Roman"/>
          <w:color w:val="000000" w:themeColor="text1"/>
          <w14:textFill>
            <w14:solidFill>
              <w14:schemeClr w14:val="tx1"/>
            </w14:solidFill>
          </w14:textFill>
        </w:rPr>
      </w:pPr>
      <w:bookmarkStart w:id="12" w:name="_Toc8155177"/>
      <w:r>
        <w:rPr>
          <w:rFonts w:ascii="Times New Roman" w:hint="eastAsia"/>
          <w:color w:val="000000" w:themeColor="text1"/>
          <w14:textFill>
            <w14:solidFill>
              <w14:schemeClr w14:val="tx1"/>
            </w14:solidFill>
          </w14:textFill>
        </w:rPr>
        <w:t>1.2 研究内容</w:t>
      </w:r>
      <w:bookmarkEnd w:id="12"/>
      <w:r>
        <w:rPr>
          <w:rFonts w:ascii="Times New Roman" w:hint="eastAsia"/>
          <w:color w:val="000000" w:themeColor="text1"/>
          <w14:textFill>
            <w14:solidFill>
              <w14:schemeClr w14:val="tx1"/>
            </w14:solidFill>
          </w14:textFill>
        </w:rPr>
        <w:t xml:space="preserve"> </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本文共通过五个部分对基于可持续发展的财务战略选择进行探究</w:t>
      </w:r>
      <w:r>
        <w:rPr>
          <w:rFonts w:hint="eastAsia"/>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第一部分写绪论，</w:t>
      </w:r>
      <w:r>
        <w:rPr>
          <w:rFonts w:hint="eastAsia"/>
          <w:color w:val="000000" w:themeColor="text1"/>
          <w:sz w:val="24"/>
          <w:lang w:val="en-US" w:eastAsia="zh-CN"/>
          <w14:textFill>
            <w14:solidFill>
              <w14:schemeClr w14:val="tx1"/>
            </w14:solidFill>
          </w14:textFill>
        </w:rPr>
        <w:t>对文章的研究背景、意义与研究方法进行介绍。</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第二部分主要通过理论探究企业的财务战略以及企业可持续发展问题，并简单概述</w:t>
      </w:r>
      <w:r>
        <w:rPr>
          <w:rFonts w:hint="eastAsia"/>
          <w:color w:val="000000" w:themeColor="text1"/>
          <w:sz w:val="24"/>
          <w:lang w:val="en-US" w:eastAsia="zh-CN"/>
          <w14:textFill>
            <w14:solidFill>
              <w14:schemeClr w14:val="tx1"/>
            </w14:solidFill>
          </w14:textFill>
        </w:rPr>
        <w:t>财务战略与总体战略的相互关系、可持续发展与财务战略的相互关系。</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第三部分对乐视网现状进行分析，包括乐视网的可持续发展能力分析和财务战略分析。财务战略方面主要分析了其筹资战略、投资战略和股利战略。</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第四部分主要是基于可持续发展对乐视网所选的财务战略提出问题以及给出其促进企业可持续发展的建议。</w:t>
      </w:r>
    </w:p>
    <w:p>
      <w:pPr>
        <w:spacing w:line="360" w:lineRule="auto"/>
        <w:ind w:firstLine="480" w:firstLineChars="200"/>
        <w:rPr>
          <w:color w:val="000000" w:themeColor="text1"/>
          <w:sz w:val="24"/>
          <w14:textFill>
            <w14:solidFill>
              <w14:schemeClr w14:val="tx1"/>
            </w14:solidFill>
          </w14:textFill>
        </w:rPr>
        <w:sectPr>
          <w:headerReference w:type="default" r:id="rId12"/>
          <w:footerReference w:type="default" r:id="rId13"/>
          <w:pgSz w:w="11907" w:h="16840"/>
          <w:pgMar w:top="1418" w:right="1418" w:bottom="1418" w:left="1418" w:header="851" w:footer="992" w:gutter="0"/>
          <w:pgNumType w:start="1"/>
          <w:cols w:num="1" w:space="425"/>
          <w:docGrid w:linePitch="312" w:charSpace="0"/>
        </w:sectPr>
      </w:pPr>
      <w:r>
        <w:rPr>
          <w:rFonts w:hint="eastAsia"/>
          <w:color w:val="000000" w:themeColor="text1"/>
          <w:sz w:val="24"/>
          <w14:textFill>
            <w14:solidFill>
              <w14:schemeClr w14:val="tx1"/>
            </w14:solidFill>
          </w14:textFill>
        </w:rPr>
        <w:t>最后一个部分即是对整篇论文的总结，针对乐视网及网络视频行业得出结论，并指出整篇文章的不足。</w:t>
      </w:r>
    </w:p>
    <w:p>
      <w:pPr>
        <w:pStyle w:val="Heading2"/>
        <w:rPr>
          <w:rFonts w:ascii="Times New Roman"/>
          <w:color w:val="000000" w:themeColor="text1"/>
          <w14:textFill>
            <w14:solidFill>
              <w14:schemeClr w14:val="tx1"/>
            </w14:solidFill>
          </w14:textFill>
        </w:rPr>
      </w:pPr>
      <w:bookmarkStart w:id="13" w:name="_Toc8155178"/>
      <w:r>
        <w:rPr>
          <w:rFonts w:ascii="Times New Roman"/>
          <w:color w:val="000000" w:themeColor="text1"/>
          <w14:textFill>
            <w14:solidFill>
              <w14:schemeClr w14:val="tx1"/>
            </w14:solidFill>
          </w14:textFill>
        </w:rPr>
        <w:t>1.</w:t>
      </w:r>
      <w:r>
        <w:rPr>
          <w:rFonts w:ascii="Times New Roman" w:hint="eastAsia"/>
          <w:color w:val="000000" w:themeColor="text1"/>
          <w14:textFill>
            <w14:solidFill>
              <w14:schemeClr w14:val="tx1"/>
            </w14:solidFill>
          </w14:textFill>
        </w:rPr>
        <w:t>3 研究</w:t>
      </w:r>
      <w:r>
        <w:rPr>
          <w:rFonts w:ascii="Times New Roman"/>
          <w:color w:val="000000" w:themeColor="text1"/>
          <w14:textFill>
            <w14:solidFill>
              <w14:schemeClr w14:val="tx1"/>
            </w14:solidFill>
          </w14:textFill>
        </w:rPr>
        <w:t>方法</w:t>
      </w:r>
      <w:bookmarkEnd w:id="13"/>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本文主要通过文献研究法、案例研究法和统计分析法这三种方法来以乐视网为实例进行探究。本文的创新方式是通过理论与实际案例相结合来探讨基于可持续发展的财务战略的选择。具体的研究方法如下：</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（1）文献研究法</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首先要对国内外有关可持续发展理论和财务战略理论的文献进行大量地阅读及整理，才能更加全面地了解到国内外对财务战略问题的研究情况及进展，为进一步研究财务战略打下理论基础。</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（2）案例研究法</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通过选取乐视网为案例进行分析研究，既将理论知识应用到实际案例中，也更加有力地说明适当的财务战略选择对企业可持续发展的重要性。</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（3）统计分析法</w:t>
      </w:r>
    </w:p>
    <w:p>
      <w:pPr>
        <w:spacing w:line="360" w:lineRule="auto"/>
        <w:ind w:firstLine="480" w:firstLineChars="200"/>
        <w:rPr>
          <w:color w:val="000000" w:themeColor="text1"/>
          <w:sz w:val="24"/>
          <w14:textFill>
            <w14:solidFill>
              <w14:schemeClr w14:val="tx1"/>
            </w14:solidFill>
          </w14:textFill>
        </w:rPr>
        <w:sectPr>
          <w:headerReference w:type="default" r:id="rId14"/>
          <w:footerReference w:type="default" r:id="rId15"/>
          <w:type w:val="nextPage"/>
          <w:pgSz w:w="11907" w:h="16840"/>
          <w:pgMar w:top="1418" w:right="1418" w:bottom="1418" w:left="1418" w:header="851" w:footer="992" w:gutter="0"/>
          <w:pgNumType w:start="2"/>
          <w:cols w:num="1" w:space="425"/>
          <w:titlePg w:val="0"/>
          <w:docGrid w:linePitch="312" w:charSpace="0"/>
        </w:sectPr>
      </w:pPr>
      <w:r>
        <w:rPr>
          <w:color w:val="000000" w:themeColor="text1"/>
          <w:sz w:val="24"/>
          <w14:textFill>
            <w14:solidFill>
              <w14:schemeClr w14:val="tx1"/>
            </w14:solidFill>
          </w14:textFill>
        </w:rPr>
        <w:t>根据所搜集到来自乐视网年报中的数据进行统计以及分析</w:t>
      </w:r>
      <w:r>
        <w:rPr>
          <w:rFonts w:hint="eastAsia"/>
          <w:color w:val="000000" w:themeColor="text1"/>
          <w:sz w:val="24"/>
          <w14:textFill>
            <w14:solidFill>
              <w14:schemeClr w14:val="tx1"/>
            </w14:solidFill>
          </w14:textFill>
        </w:rPr>
        <w:t>，发现</w:t>
      </w:r>
      <w:r>
        <w:rPr>
          <w:color w:val="000000" w:themeColor="text1"/>
          <w:sz w:val="24"/>
          <w14:textFill>
            <w14:solidFill>
              <w14:schemeClr w14:val="tx1"/>
            </w14:solidFill>
          </w14:textFill>
        </w:rPr>
        <w:t>乐视网的财务战略选择是不</w:t>
      </w:r>
      <w:r>
        <w:rPr>
          <w:rFonts w:hint="eastAsia"/>
          <w:color w:val="000000" w:themeColor="text1"/>
          <w:sz w:val="24"/>
          <w14:textFill>
            <w14:solidFill>
              <w14:schemeClr w14:val="tx1"/>
            </w14:solidFill>
          </w14:textFill>
        </w:rPr>
        <w:t>可持续</w:t>
      </w:r>
      <w:r>
        <w:rPr>
          <w:color w:val="000000" w:themeColor="text1"/>
          <w:sz w:val="24"/>
          <w14:textFill>
            <w14:solidFill>
              <w14:schemeClr w14:val="tx1"/>
            </w14:solidFill>
          </w14:textFill>
        </w:rPr>
        <w:t>的</w:t>
      </w:r>
      <w:r>
        <w:rPr>
          <w:rFonts w:hint="eastAsia"/>
          <w:color w:val="000000" w:themeColor="text1"/>
          <w:sz w:val="24"/>
          <w14:textFill>
            <w14:solidFill>
              <w14:schemeClr w14:val="tx1"/>
            </w14:solidFill>
          </w14:textFill>
        </w:rPr>
        <w:t>，根据统计分析后的数据为乐视网提出</w:t>
      </w:r>
      <w:r>
        <w:rPr>
          <w:color w:val="000000" w:themeColor="text1"/>
          <w:sz w:val="24"/>
          <w14:textFill>
            <w14:solidFill>
              <w14:schemeClr w14:val="tx1"/>
            </w14:solidFill>
          </w14:textFill>
        </w:rPr>
        <w:t>解决方案</w:t>
      </w:r>
      <w:r>
        <w:rPr>
          <w:rFonts w:hint="eastAsia"/>
          <w:color w:val="000000" w:themeColor="text1"/>
          <w:sz w:val="24"/>
          <w14:textFill>
            <w14:solidFill>
              <w14:schemeClr w14:val="tx1"/>
            </w14:solidFill>
          </w14:textFill>
        </w:rPr>
        <w:t>。</w:t>
      </w:r>
    </w:p>
    <w:p>
      <w:pPr>
        <w:pStyle w:val="Heading1"/>
        <w:spacing w:before="240" w:beforeLines="100" w:after="240" w:afterLines="100" w:line="240" w:lineRule="auto"/>
        <w:jc w:val="center"/>
        <w:rPr>
          <w:rFonts w:eastAsia="黑体"/>
          <w:b w:val="0"/>
          <w:color w:val="000000" w:themeColor="text1"/>
          <w:sz w:val="36"/>
          <w14:textFill>
            <w14:solidFill>
              <w14:schemeClr w14:val="tx1"/>
            </w14:solidFill>
          </w14:textFill>
        </w:rPr>
      </w:pPr>
      <w:bookmarkStart w:id="14" w:name="_Toc335598649"/>
      <w:bookmarkStart w:id="15" w:name="_Toc8155179"/>
      <w:r>
        <w:rPr>
          <w:rFonts w:eastAsia="黑体"/>
          <w:b w:val="0"/>
          <w:color w:val="000000" w:themeColor="text1"/>
          <w:sz w:val="36"/>
          <w14:textFill>
            <w14:solidFill>
              <w14:schemeClr w14:val="tx1"/>
            </w14:solidFill>
          </w14:textFill>
        </w:rPr>
        <w:t>第2章</w:t>
      </w:r>
      <w:bookmarkEnd w:id="14"/>
      <w:r>
        <w:rPr>
          <w:rFonts w:eastAsia="黑体" w:hint="eastAsia"/>
          <w:b w:val="0"/>
          <w:color w:val="000000" w:themeColor="text1"/>
          <w:sz w:val="36"/>
          <w14:textFill>
            <w14:solidFill>
              <w14:schemeClr w14:val="tx1"/>
            </w14:solidFill>
          </w14:textFill>
        </w:rPr>
        <w:t xml:space="preserve"> </w:t>
      </w:r>
      <w:r>
        <w:rPr>
          <w:rFonts w:eastAsia="黑体"/>
          <w:b w:val="0"/>
          <w:color w:val="000000" w:themeColor="text1"/>
          <w:sz w:val="36"/>
          <w14:textFill>
            <w14:solidFill>
              <w14:schemeClr w14:val="tx1"/>
            </w14:solidFill>
          </w14:textFill>
        </w:rPr>
        <w:t>企业可持续发展财务战略</w:t>
      </w:r>
      <w:r>
        <w:rPr>
          <w:rFonts w:eastAsia="黑体" w:hint="eastAsia"/>
          <w:b w:val="0"/>
          <w:color w:val="000000" w:themeColor="text1"/>
          <w:sz w:val="36"/>
          <w14:textFill>
            <w14:solidFill>
              <w14:schemeClr w14:val="tx1"/>
            </w14:solidFill>
          </w14:textFill>
        </w:rPr>
        <w:t>理论基础</w:t>
      </w:r>
      <w:bookmarkEnd w:id="15"/>
    </w:p>
    <w:p>
      <w:pPr>
        <w:pStyle w:val="Heading2"/>
        <w:rPr>
          <w:rFonts w:ascii="Times New Roman"/>
          <w:color w:val="000000" w:themeColor="text1"/>
          <w14:textFill>
            <w14:solidFill>
              <w14:schemeClr w14:val="tx1"/>
            </w14:solidFill>
          </w14:textFill>
        </w:rPr>
      </w:pPr>
      <w:bookmarkStart w:id="16" w:name="_Toc335598650"/>
      <w:bookmarkStart w:id="17" w:name="_Toc8155180"/>
      <w:r>
        <w:rPr>
          <w:rFonts w:ascii="Times New Roman"/>
          <w:color w:val="000000" w:themeColor="text1"/>
          <w14:textFill>
            <w14:solidFill>
              <w14:schemeClr w14:val="tx1"/>
            </w14:solidFill>
          </w14:textFill>
        </w:rPr>
        <w:t>2.1</w:t>
      </w:r>
      <w:bookmarkEnd w:id="16"/>
      <w:r>
        <w:rPr>
          <w:rFonts w:ascii="Times New Roman" w:hint="eastAsia"/>
          <w:color w:val="000000" w:themeColor="text1"/>
          <w14:textFill>
            <w14:solidFill>
              <w14:schemeClr w14:val="tx1"/>
            </w14:solidFill>
          </w14:textFill>
        </w:rPr>
        <w:t xml:space="preserve"> 企业财务战略理论</w:t>
      </w:r>
      <w:bookmarkEnd w:id="17"/>
    </w:p>
    <w:p>
      <w:pPr>
        <w:pStyle w:val="Heading3"/>
        <w:rPr>
          <w:color w:val="000000" w:themeColor="text1"/>
          <w14:textFill>
            <w14:solidFill>
              <w14:schemeClr w14:val="tx1"/>
            </w14:solidFill>
          </w14:textFill>
        </w:rPr>
      </w:pPr>
      <w:bookmarkStart w:id="18" w:name="_Toc335598651"/>
      <w:bookmarkStart w:id="19" w:name="_Toc8155181"/>
      <w:r>
        <w:rPr>
          <w:color w:val="000000" w:themeColor="text1"/>
          <w14:textFill>
            <w14:solidFill>
              <w14:schemeClr w14:val="tx1"/>
            </w14:solidFill>
          </w14:textFill>
        </w:rPr>
        <w:t>2.1.1</w:t>
      </w:r>
      <w:r>
        <w:rPr>
          <w:rFonts w:hint="eastAsia"/>
          <w:color w:val="000000" w:themeColor="text1"/>
          <w14:textFill>
            <w14:solidFill>
              <w14:schemeClr w14:val="tx1"/>
            </w14:solidFill>
          </w14:textFill>
        </w:rPr>
        <w:t xml:space="preserve"> </w:t>
      </w:r>
      <w:bookmarkEnd w:id="18"/>
      <w:r>
        <w:rPr>
          <w:rFonts w:hint="eastAsia"/>
          <w:color w:val="000000" w:themeColor="text1"/>
          <w14:textFill>
            <w14:solidFill>
              <w14:schemeClr w14:val="tx1"/>
            </w14:solidFill>
          </w14:textFill>
        </w:rPr>
        <w:t>企业财务战略</w:t>
      </w:r>
      <w:bookmarkEnd w:id="19"/>
      <w:r>
        <w:rPr>
          <w:rFonts w:hint="eastAsia"/>
          <w:color w:val="000000" w:themeColor="text1"/>
          <w14:textFill>
            <w14:solidFill>
              <w14:schemeClr w14:val="tx1"/>
            </w14:solidFill>
          </w14:textFill>
        </w:rPr>
        <w:t>概述</w:t>
      </w:r>
    </w:p>
    <w:p>
      <w:pPr>
        <w:spacing w:line="360" w:lineRule="auto"/>
        <w:ind w:firstLine="480" w:firstLineChars="200"/>
        <w:rPr>
          <w:rFonts w:hint="default"/>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财务战略主要是通过对资源进行配置与利用、对资金进行有效调度，选择相应的财务资源配置模式，促进企业核心竞争力的提升，保证企业实现价值最大化的目标。实施财务战略的目标就是为了保证资本配置的合理与使用，并确保公司战略的顺利实现。在企业可持续发展战略中，财务战略的筹划占有重要地位，对企业财政状况的变化产生影响。因此，对企业而言，应当合理制定企业财务战略。在财务管理过程中引入战略思想，并使用财务战略使企业的竞争优势得以维持，为企业战略提供有效支撑，使企业实现长期稳定发展。</w:t>
      </w:r>
    </w:p>
    <w:p>
      <w:pPr>
        <w:pStyle w:val="Heading3"/>
        <w:rPr>
          <w:color w:val="000000" w:themeColor="text1"/>
          <w14:textFill>
            <w14:solidFill>
              <w14:schemeClr w14:val="tx1"/>
            </w14:solidFill>
          </w14:textFill>
        </w:rPr>
      </w:pPr>
      <w:r>
        <w:rPr>
          <w:color w:val="000000" w:themeColor="text1"/>
          <w14:textFill>
            <w14:solidFill>
              <w14:schemeClr w14:val="tx1"/>
            </w14:solidFill>
          </w14:textFill>
        </w:rPr>
        <w:t>2.1.1</w:t>
      </w:r>
      <w:r>
        <w:rPr>
          <w:rFonts w:hint="eastAsia"/>
          <w:color w:val="000000" w:themeColor="text1"/>
          <w14:textFill>
            <w14:solidFill>
              <w14:schemeClr w14:val="tx1"/>
            </w14:solidFill>
          </w14:textFill>
        </w:rPr>
        <w:t xml:space="preserve"> 财务战略的类型</w:t>
      </w:r>
    </w:p>
    <w:p>
      <w:pPr>
        <w:spacing w:line="360" w:lineRule="auto"/>
        <w:rPr>
          <w:rFonts w:cs="Arial"/>
          <w:color w:val="000000" w:themeColor="text1"/>
          <w:sz w:val="24"/>
          <w:shd w:val="clear" w:color="auto" w:fill="FFFFFF"/>
          <w14:textFill>
            <w14:solidFill>
              <w14:schemeClr w14:val="tx1"/>
            </w14:solidFill>
          </w14:textFill>
        </w:rPr>
      </w:pPr>
      <w:r>
        <w:rPr>
          <w:rFonts w:cs="Arial" w:hint="eastAsia"/>
          <w:color w:val="000000" w:themeColor="text1"/>
          <w:sz w:val="24"/>
          <w:shd w:val="clear" w:color="auto" w:fill="FFFFFF"/>
          <w14:textFill>
            <w14:solidFill>
              <w14:schemeClr w14:val="tx1"/>
            </w14:solidFill>
          </w14:textFill>
        </w:rPr>
        <w:t>（1）按照职能类型分类</w:t>
      </w:r>
    </w:p>
    <w:p>
      <w:pPr>
        <w:spacing w:line="360" w:lineRule="auto"/>
        <w:ind w:firstLine="480" w:firstLineChars="200"/>
        <w:rPr>
          <w:rFonts w:cs="Arial" w:hint="eastAsia"/>
          <w:color w:val="000000" w:themeColor="text1"/>
          <w:sz w:val="24"/>
          <w:shd w:val="clear" w:color="auto" w:fill="FFFFFF"/>
          <w14:textFill>
            <w14:solidFill>
              <w14:schemeClr w14:val="tx1"/>
            </w14:solidFill>
          </w14:textFill>
        </w:rPr>
      </w:pPr>
      <w:r>
        <w:rPr>
          <w:rFonts w:cs="Arial" w:hint="eastAsia"/>
          <w:color w:val="000000" w:themeColor="text1"/>
          <w:sz w:val="24"/>
          <w:shd w:val="clear" w:color="auto" w:fill="FFFFFF"/>
          <w:lang w:val="en-US" w:eastAsia="zh-CN"/>
          <w14:textFill>
            <w14:solidFill>
              <w14:schemeClr w14:val="tx1"/>
            </w14:solidFill>
          </w14:textFill>
        </w:rPr>
        <w:t>财务战略根据职能类型的不同，可划分为筹资战略、营运战略、投资战略与股利战略。</w:t>
      </w:r>
    </w:p>
    <w:p>
      <w:pPr>
        <w:spacing w:line="360" w:lineRule="auto"/>
        <w:ind w:firstLine="480" w:firstLineChars="200"/>
        <w:rPr>
          <w:rFonts w:cs="Arial" w:hint="default"/>
          <w:color w:val="000000" w:themeColor="text1"/>
          <w:sz w:val="24"/>
          <w:shd w:val="clear" w:color="auto" w:fill="FFFFFF"/>
          <w14:textFill>
            <w14:solidFill>
              <w14:schemeClr w14:val="tx1"/>
            </w14:solidFill>
          </w14:textFill>
        </w:rPr>
      </w:pPr>
      <w:r>
        <w:rPr>
          <w:rFonts w:cs="Arial" w:hint="eastAsia"/>
          <w:color w:val="000000" w:themeColor="text1"/>
          <w:sz w:val="24"/>
          <w:shd w:val="clear" w:color="auto" w:fill="FFFFFF"/>
          <w:lang w:val="en-US" w:eastAsia="zh-CN"/>
          <w14:textFill>
            <w14:solidFill>
              <w14:schemeClr w14:val="tx1"/>
            </w14:solidFill>
          </w14:textFill>
        </w:rPr>
        <w:t>筹资战略问题主要包括企业首次发行以及增资发行的股票、大规模发行债券、并与银行建立长期性合作关系等战略筹划。投资问题主要包括重大投资行业、企业及项目的筹划。营运战略问题主要包括重大营运资本策略、与供应商、客户建立长期商业信用关系等战略筹划。股利战略主要包括重大留用利润方案、股利政策安排等战略筹划。</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（2）按照综合类型分类</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根据综合类型的不同，财务战略主要包括扩张型、防御型、收缩型以及稳增型财务战略。</w:t>
      </w:r>
    </w:p>
    <w:p>
      <w:pPr>
        <w:spacing w:line="360" w:lineRule="auto"/>
        <w:ind w:firstLine="480" w:firstLineChars="200"/>
        <w:rPr>
          <w:color w:val="000000" w:themeColor="text1"/>
          <w:sz w:val="24"/>
          <w14:textFill>
            <w14:solidFill>
              <w14:schemeClr w14:val="tx1"/>
            </w14:solidFill>
          </w14:textFill>
        </w:rPr>
        <w:sectPr>
          <w:headerReference w:type="default" r:id="rId16"/>
          <w:footerReference w:type="default" r:id="rId17"/>
          <w:type w:val="nextPage"/>
          <w:pgSz w:w="11907" w:h="16840"/>
          <w:pgMar w:top="1418" w:right="1418" w:bottom="1418" w:left="1418" w:header="851" w:footer="992" w:gutter="0"/>
          <w:pgNumType w:start="3"/>
          <w:cols w:num="1" w:space="425"/>
          <w:titlePg w:val="0"/>
          <w:docGrid w:linePitch="312" w:charSpace="0"/>
        </w:sectPr>
      </w:pPr>
      <w:r>
        <w:rPr>
          <w:rFonts w:hint="eastAsia"/>
          <w:color w:val="000000" w:themeColor="text1"/>
          <w:sz w:val="24"/>
          <w:lang w:val="en-US" w:eastAsia="zh-CN"/>
          <w14:textFill>
            <w14:solidFill>
              <w14:schemeClr w14:val="tx1"/>
            </w14:solidFill>
          </w14:textFill>
        </w:rPr>
        <w:t>对于扩张型财务战略而言，具有“高负债、高收益、少分配”的特征；如果企业采取稳健型财务战略，其财务特征会表现出“适度负债、中收益、适度分配”的特点。对于防御型财务战略而言，应当保持现有投资规模与收益水平，对资产负债率及资本结构水平加以保持与调整，并维持股利政策不变。至于收缩型财务战略，主要表现为现有投资规模的维持或缩小，对外派发股利，缩小对外筹资规模，有时为了归还投资，甚至会采取偿债与股份回购的方式。</w:t>
      </w:r>
    </w:p>
    <w:p>
      <w:pPr>
        <w:pStyle w:val="Heading3"/>
        <w:rPr>
          <w:color w:val="000000" w:themeColor="text1"/>
          <w14:textFill>
            <w14:solidFill>
              <w14:schemeClr w14:val="tx1"/>
            </w14:solidFill>
          </w14:textFill>
        </w:rPr>
      </w:pPr>
      <w:bookmarkStart w:id="20" w:name="_Toc8155183"/>
      <w:bookmarkStart w:id="21" w:name="_Toc335598652"/>
      <w:r>
        <w:rPr>
          <w:color w:val="000000" w:themeColor="text1"/>
          <w14:textFill>
            <w14:solidFill>
              <w14:schemeClr w14:val="tx1"/>
            </w14:solidFill>
          </w14:textFill>
        </w:rPr>
        <w:t>2.1.</w:t>
      </w:r>
      <w:r>
        <w:rPr>
          <w:rFonts w:hint="eastAsia"/>
          <w:color w:val="000000" w:themeColor="text1"/>
          <w14:textFill>
            <w14:solidFill>
              <w14:schemeClr w14:val="tx1"/>
            </w14:solidFill>
          </w14:textFill>
        </w:rPr>
        <w:t xml:space="preserve">3 </w:t>
      </w:r>
      <w:r>
        <w:rPr>
          <w:color w:val="000000" w:themeColor="text1"/>
          <w14:textFill>
            <w14:solidFill>
              <w14:schemeClr w14:val="tx1"/>
            </w14:solidFill>
          </w14:textFill>
        </w:rPr>
        <w:t>国内外研究现状</w:t>
      </w:r>
      <w:bookmarkEnd w:id="20"/>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1997</w:t>
      </w:r>
      <w:r>
        <w:rPr>
          <w:rFonts w:hint="eastAsia"/>
          <w:color w:val="000000" w:themeColor="text1"/>
          <w:sz w:val="24"/>
          <w14:textFill>
            <w14:solidFill>
              <w14:schemeClr w14:val="tx1"/>
            </w14:solidFill>
          </w14:textFill>
        </w:rPr>
        <w:t>年，David Allen认为，</w:t>
      </w:r>
      <w:r>
        <w:rPr>
          <w:rFonts w:hint="eastAsia"/>
          <w:color w:val="000000" w:themeColor="text1"/>
          <w:sz w:val="24"/>
          <w:lang w:val="en-US" w:eastAsia="zh-CN"/>
          <w14:textFill>
            <w14:solidFill>
              <w14:schemeClr w14:val="tx1"/>
            </w14:solidFill>
          </w14:textFill>
        </w:rPr>
        <w:t>企业制定财务战略，根本目的是为了实现企业价值最大化的目标，并制定出协调一致的经营战略，确定合理的投资水平，并根据预算内容作出综合决策。</w:t>
      </w:r>
    </w:p>
    <w:p>
      <w:pPr>
        <w:spacing w:line="360" w:lineRule="auto"/>
        <w:ind w:firstLine="480" w:firstLineChars="200"/>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2007年，</w:t>
      </w:r>
      <w:r>
        <w:rPr>
          <w:rFonts w:hint="eastAsia"/>
          <w:color w:val="000000" w:themeColor="text1"/>
          <w:sz w:val="24"/>
          <w:lang w:val="en-US" w:eastAsia="zh-CN"/>
          <w14:textFill>
            <w14:solidFill>
              <w14:schemeClr w14:val="tx1"/>
            </w14:solidFill>
          </w14:textFill>
        </w:rPr>
        <w:t>汤谷良在其研究中指出，通过加强财务分析与相关战略的结合，在此基础上制定出财务战略。在财务战略制定过程中，应当站在整体战略角度，加速内部资金流动，实现资源的合理化配置，加强财务规划分析，促进企业公司盈利能力与价值提升。</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2015年，胡云翔认为，</w:t>
      </w:r>
      <w:r>
        <w:rPr>
          <w:rFonts w:hint="eastAsia"/>
          <w:color w:val="000000" w:themeColor="text1"/>
          <w:sz w:val="24"/>
          <w:lang w:val="en-US" w:eastAsia="zh-CN"/>
          <w14:textFill>
            <w14:solidFill>
              <w14:schemeClr w14:val="tx1"/>
            </w14:solidFill>
          </w14:textFill>
        </w:rPr>
        <w:t>财务战略应当具有一定的独立性，在企业整体战略中能够发挥促进作用。在对财务战略进行选择的过程中，应当加强资金运用规划，确保企业资金得到充分利用。</w:t>
      </w:r>
    </w:p>
    <w:bookmarkEnd w:id="21"/>
    <w:p>
      <w:pPr>
        <w:pStyle w:val="Heading2"/>
        <w:rPr>
          <w:rFonts w:ascii="Times New Roman"/>
          <w:color w:val="000000" w:themeColor="text1"/>
          <w14:textFill>
            <w14:solidFill>
              <w14:schemeClr w14:val="tx1"/>
            </w14:solidFill>
          </w14:textFill>
        </w:rPr>
      </w:pPr>
      <w:bookmarkStart w:id="22" w:name="_Toc8155184"/>
      <w:r>
        <w:rPr>
          <w:rFonts w:ascii="Times New Roman" w:hint="eastAsia"/>
          <w:color w:val="000000" w:themeColor="text1"/>
          <w14:textFill>
            <w14:solidFill>
              <w14:schemeClr w14:val="tx1"/>
            </w14:solidFill>
          </w14:textFill>
        </w:rPr>
        <w:t>2.2企业可持续发展理论</w:t>
      </w:r>
      <w:bookmarkEnd w:id="22"/>
    </w:p>
    <w:p>
      <w:pPr>
        <w:pStyle w:val="Heading3"/>
        <w:rPr>
          <w:color w:val="000000" w:themeColor="text1"/>
          <w14:textFill>
            <w14:solidFill>
              <w14:schemeClr w14:val="tx1"/>
            </w14:solidFill>
          </w14:textFill>
        </w:rPr>
      </w:pPr>
      <w:bookmarkStart w:id="23" w:name="_Toc8155185"/>
      <w:r>
        <w:rPr>
          <w:rFonts w:hint="eastAsia"/>
          <w:color w:val="000000" w:themeColor="text1"/>
          <w14:textFill>
            <w14:solidFill>
              <w14:schemeClr w14:val="tx1"/>
            </w14:solidFill>
          </w14:textFill>
        </w:rPr>
        <w:t>2.2.1 可持续发展概述</w:t>
      </w:r>
      <w:bookmarkEnd w:id="23"/>
    </w:p>
    <w:p>
      <w:pPr>
        <w:spacing w:line="360" w:lineRule="auto"/>
        <w:ind w:firstLine="480" w:firstLineChars="200"/>
        <w:rPr>
          <w:rFonts w:ascii="宋体" w:hAnsi="宋体" w:hint="default"/>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对于</w:t>
      </w:r>
      <w:r>
        <w:rPr>
          <w:rFonts w:ascii="宋体" w:eastAsia="宋体" w:hAnsi="宋体" w:hint="eastAsia"/>
          <w:color w:val="000000" w:themeColor="text1"/>
          <w:sz w:val="24"/>
          <w14:textFill>
            <w14:solidFill>
              <w14:schemeClr w14:val="tx1"/>
            </w14:solidFill>
          </w14:textFill>
        </w:rPr>
        <w:t>企业可持续发展</w:t>
      </w:r>
      <w:r>
        <w:rPr>
          <w:rFonts w:ascii="宋体" w:hAnsi="宋体" w:hint="eastAsia"/>
          <w:color w:val="000000" w:themeColor="text1"/>
          <w:sz w:val="24"/>
          <w:lang w:val="en-US" w:eastAsia="zh-CN"/>
          <w14:textFill>
            <w14:solidFill>
              <w14:schemeClr w14:val="tx1"/>
            </w14:solidFill>
          </w14:textFill>
        </w:rPr>
        <w:t>而言，指的是在保持存在的前提下，把握内外部环境，向社会提供所需的产品，以规避风险，合理把握机遇，以实现持续的发展，保证利益相关者的需求得以满足。换言之，就是在可预见的未来，大力发展企业，使其在经济、社会、生态上实现持续性发展，以获得足够的市场份额，保证企业投资者的利益需求得以满足，同时，还要维护好企业相关的社会责任，以实现真正的可持续。所以，在制定、运营及发展战略的过程中，必须考虑资源耗费与环境保护的问题，确保企业投资决策与国家可持续发展政策方向一致。根据可持续发展理论的要求，在经济增长过程中，企业发展应当与社会、生态环境实现协调一致发展，并有效促进经济增长。</w:t>
      </w:r>
    </w:p>
    <w:p>
      <w:pPr>
        <w:pStyle w:val="Heading3"/>
        <w:rPr>
          <w:color w:val="000000" w:themeColor="text1"/>
          <w14:textFill>
            <w14:solidFill>
              <w14:schemeClr w14:val="tx1"/>
            </w14:solidFill>
          </w14:textFill>
        </w:rPr>
      </w:pPr>
      <w:bookmarkStart w:id="24" w:name="_Toc8155186"/>
      <w:r>
        <w:rPr>
          <w:rFonts w:hint="eastAsia"/>
          <w:color w:val="000000" w:themeColor="text1"/>
          <w14:textFill>
            <w14:solidFill>
              <w14:schemeClr w14:val="tx1"/>
            </w14:solidFill>
          </w14:textFill>
        </w:rPr>
        <w:t>2.2.2 国内外研究现状</w:t>
      </w:r>
      <w:bookmarkEnd w:id="24"/>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1987年，Barbier等人</w:t>
      </w:r>
      <w:r>
        <w:rPr>
          <w:rFonts w:hint="eastAsia"/>
          <w:color w:val="000000" w:themeColor="text1"/>
          <w:sz w:val="24"/>
          <w:lang w:val="en-US" w:eastAsia="zh-CN"/>
          <w14:textFill>
            <w14:solidFill>
              <w14:schemeClr w14:val="tx1"/>
            </w14:solidFill>
          </w14:textFill>
        </w:rPr>
        <w:t>在对经济、环境可持续发展进行深入研究后发表了一系列文章，吸引了国际社会关注。就在同一年，在世界环境与发展委员会上，布伦特兰夫人在《我们共同的未来》首次提出可持续发展概念，由此产生了可持续发展理论。</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2003年，肖林海认为，企业的可持续发展</w:t>
      </w:r>
      <w:r>
        <w:rPr>
          <w:rFonts w:hint="eastAsia"/>
          <w:color w:val="000000" w:themeColor="text1"/>
          <w:sz w:val="24"/>
          <w:lang w:val="en-US" w:eastAsia="zh-CN"/>
          <w14:textFill>
            <w14:solidFill>
              <w14:schemeClr w14:val="tx1"/>
            </w14:solidFill>
          </w14:textFill>
        </w:rPr>
        <w:t>概念具有长期性，</w:t>
      </w:r>
      <w:r>
        <w:rPr>
          <w:rFonts w:hint="eastAsia"/>
          <w:color w:val="000000" w:themeColor="text1"/>
          <w:sz w:val="24"/>
          <w14:textFill>
            <w14:solidFill>
              <w14:schemeClr w14:val="tx1"/>
            </w14:solidFill>
          </w14:textFill>
        </w:rPr>
        <w:t>可持续发展强调的是发展的继起性、存续性和长期的机会收益的增长。</w:t>
      </w:r>
    </w:p>
    <w:p>
      <w:pPr>
        <w:spacing w:line="360" w:lineRule="auto"/>
        <w:ind w:firstLine="480" w:firstLineChars="200"/>
        <w:rPr>
          <w:color w:val="000000" w:themeColor="text1"/>
          <w14:textFill>
            <w14:solidFill>
              <w14:schemeClr w14:val="tx1"/>
            </w14:solidFill>
          </w14:textFill>
        </w:rPr>
        <w:sectPr>
          <w:headerReference w:type="default" r:id="rId18"/>
          <w:footerReference w:type="default" r:id="rId19"/>
          <w:type w:val="nextPage"/>
          <w:pgSz w:w="11907" w:h="16840"/>
          <w:pgMar w:top="1418" w:right="1418" w:bottom="1418" w:left="1418" w:header="851" w:footer="992" w:gutter="0"/>
          <w:pgNumType w:start="4"/>
          <w:cols w:num="1" w:space="425"/>
          <w:titlePg w:val="0"/>
          <w:docGrid w:linePitch="312" w:charSpace="0"/>
        </w:sectPr>
      </w:pPr>
      <w:r>
        <w:rPr>
          <w:color w:val="000000" w:themeColor="text1"/>
          <w:sz w:val="24"/>
          <w14:textFill>
            <w14:solidFill>
              <w14:schemeClr w14:val="tx1"/>
            </w14:solidFill>
          </w14:textFill>
        </w:rPr>
        <w:t>2006</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在</w:t>
      </w:r>
      <w:r>
        <w:rPr>
          <w:rFonts w:hint="eastAsia"/>
          <w:color w:val="000000" w:themeColor="text1"/>
          <w:sz w:val="24"/>
          <w14:textFill>
            <w14:solidFill>
              <w14:schemeClr w14:val="tx1"/>
            </w14:solidFill>
          </w14:textFill>
        </w:rPr>
        <w:t>郑石明</w:t>
      </w:r>
    </w:p>
    <w:p>
      <w:pPr>
        <w:spacing w:line="360" w:lineRule="auto"/>
        <w:ind w:firstLine="480" w:firstLineChars="200"/>
        <w:rPr>
          <w:color w:val="000000" w:themeColor="text1"/>
          <w14:textFill>
            <w14:solidFill>
              <w14:schemeClr w14:val="tx1"/>
            </w14:solidFill>
          </w14:textFill>
        </w:rPr>
      </w:pPr>
      <w:r>
        <w:rPr>
          <w:rFonts w:hint="eastAsia"/>
          <w:color w:val="000000" w:themeColor="text1"/>
          <w:sz w:val="24"/>
          <w:lang w:val="en-US" w:eastAsia="zh-CN"/>
          <w14:textFill>
            <w14:solidFill>
              <w14:schemeClr w14:val="tx1"/>
            </w14:solidFill>
          </w14:textFill>
        </w:rPr>
        <w:t>等人看来，企业可持续发展指的是企业为了不断适应复杂多变的环境，不断加强自身创新与变革，进而实现长期生存与发展。对于可持续发展能力而言，指的是企业通过加快自身结构调整，进而适应环境变化的能力。在某种程度上，企业自身因素能够决定企业是否能够实现可持续发展。</w:t>
      </w:r>
    </w:p>
    <w:p>
      <w:pPr>
        <w:pStyle w:val="Heading2"/>
        <w:rPr>
          <w:rFonts w:ascii="Times New Roman"/>
          <w:color w:val="000000" w:themeColor="text1"/>
          <w14:textFill>
            <w14:solidFill>
              <w14:schemeClr w14:val="tx1"/>
            </w14:solidFill>
          </w14:textFill>
        </w:rPr>
      </w:pPr>
      <w:bookmarkStart w:id="25" w:name="_Toc8155187"/>
      <w:r>
        <w:rPr>
          <w:rFonts w:ascii="Times New Roman" w:hint="eastAsia"/>
          <w:color w:val="000000" w:themeColor="text1"/>
          <w14:textFill>
            <w14:solidFill>
              <w14:schemeClr w14:val="tx1"/>
            </w14:solidFill>
          </w14:textFill>
        </w:rPr>
        <w:t>2.3 企业财务战略与可持续发展</w:t>
      </w:r>
      <w:bookmarkEnd w:id="25"/>
    </w:p>
    <w:p>
      <w:pPr>
        <w:pStyle w:val="Heading3"/>
        <w:rPr>
          <w:color w:val="000000" w:themeColor="text1"/>
          <w14:textFill>
            <w14:solidFill>
              <w14:schemeClr w14:val="tx1"/>
            </w14:solidFill>
          </w14:textFill>
        </w:rPr>
      </w:pPr>
      <w:bookmarkStart w:id="26" w:name="_Toc8155188"/>
      <w:r>
        <w:rPr>
          <w:rFonts w:hint="eastAsia"/>
          <w:color w:val="000000" w:themeColor="text1"/>
          <w14:textFill>
            <w14:solidFill>
              <w14:schemeClr w14:val="tx1"/>
            </w14:solidFill>
          </w14:textFill>
        </w:rPr>
        <w:t>2.3.1 企业财务战略与可持续发展的关系</w:t>
      </w:r>
      <w:bookmarkEnd w:id="26"/>
    </w:p>
    <w:p>
      <w:pPr>
        <w:spacing w:line="360" w:lineRule="auto"/>
        <w:ind w:firstLine="480" w:firstLineChars="200"/>
        <w:rPr>
          <w:rFonts w:hint="default"/>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可持续发展在很大程度上通过</w:t>
      </w:r>
      <w:r>
        <w:rPr>
          <w:rFonts w:hint="eastAsia"/>
          <w:color w:val="000000" w:themeColor="text1"/>
          <w:sz w:val="24"/>
          <w14:textFill>
            <w14:solidFill>
              <w14:schemeClr w14:val="tx1"/>
            </w14:solidFill>
          </w14:textFill>
        </w:rPr>
        <w:t>财务战略</w:t>
      </w:r>
      <w:r>
        <w:rPr>
          <w:rFonts w:hint="eastAsia"/>
          <w:color w:val="000000" w:themeColor="text1"/>
          <w:sz w:val="24"/>
          <w:lang w:val="en-US" w:eastAsia="zh-CN"/>
          <w14:textFill>
            <w14:solidFill>
              <w14:schemeClr w14:val="tx1"/>
            </w14:solidFill>
          </w14:textFill>
        </w:rPr>
        <w:t>体现的。对于企业财务战略而言，要想推动企业发展，就必须确保计划实施的足够完美，企业发展渠道和质量都能得到有效提升，进而使企业实现可持续发展。反之，可持续发展战略对企业财务战略往往存在一定的抑制作用。纵观国内多个企业的发展，企业财务战略能够与可持续发展战略相互协调与促进，二者和谐共生。当二者相互协助时，就能为企业的发展提供有效地推动作用。</w:t>
      </w:r>
    </w:p>
    <w:p>
      <w:pPr>
        <w:spacing w:line="360" w:lineRule="auto"/>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总之</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可持续发展能够为财务战略的选择提供有效指导，财务战略目标能够为总体战略提供有效服务，促进企业价值增长。企业在选择财务战略时，必须考虑企业发展阶段，并</w:t>
      </w:r>
      <w:r>
        <w:rPr>
          <w:rFonts w:hint="eastAsia"/>
          <w:color w:val="000000" w:themeColor="text1"/>
          <w:sz w:val="24"/>
          <w14:textFill>
            <w14:solidFill>
              <w14:schemeClr w14:val="tx1"/>
            </w14:solidFill>
          </w14:textFill>
        </w:rPr>
        <w:t>根据自身的财务状况及所处环境等因素选择适当的财务战略来实现自身的可持续发展。</w:t>
      </w:r>
    </w:p>
    <w:p>
      <w:pPr>
        <w:pStyle w:val="Heading3"/>
        <w:rPr>
          <w:color w:val="000000" w:themeColor="text1"/>
          <w14:textFill>
            <w14:solidFill>
              <w14:schemeClr w14:val="tx1"/>
            </w14:solidFill>
          </w14:textFill>
        </w:rPr>
      </w:pPr>
      <w:bookmarkStart w:id="27" w:name="_Toc8155189"/>
      <w:r>
        <w:rPr>
          <w:rFonts w:hint="eastAsia"/>
          <w:color w:val="000000" w:themeColor="text1"/>
          <w14:textFill>
            <w14:solidFill>
              <w14:schemeClr w14:val="tx1"/>
            </w14:solidFill>
          </w14:textFill>
        </w:rPr>
        <w:t>2.3.2 可持续发展能力衡量指标</w:t>
      </w:r>
      <w:bookmarkEnd w:id="27"/>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对企业可持续发展能力进行评价的指标有：</w:t>
      </w:r>
      <w:r>
        <w:rPr>
          <w:rFonts w:hint="eastAsia"/>
          <w:color w:val="000000" w:themeColor="text1"/>
          <w:sz w:val="24"/>
          <w14:textFill>
            <w14:solidFill>
              <w14:schemeClr w14:val="tx1"/>
            </w14:solidFill>
          </w14:textFill>
        </w:rPr>
        <w:t>总资产增长率、净资产回报率、营业收入增长率、</w:t>
      </w:r>
      <w:r>
        <w:rPr>
          <w:rFonts w:hint="eastAsia"/>
          <w:color w:val="000000" w:themeColor="text1"/>
          <w:sz w:val="24"/>
          <w:lang w:val="en-US" w:eastAsia="zh-CN"/>
          <w14:textFill>
            <w14:solidFill>
              <w14:schemeClr w14:val="tx1"/>
            </w14:solidFill>
          </w14:textFill>
        </w:rPr>
        <w:t>资本保值增值率、</w:t>
      </w:r>
      <w:r>
        <w:rPr>
          <w:rFonts w:hint="eastAsia"/>
          <w:color w:val="000000" w:themeColor="text1"/>
          <w:sz w:val="24"/>
          <w14:textFill>
            <w14:solidFill>
              <w14:schemeClr w14:val="tx1"/>
            </w14:solidFill>
          </w14:textFill>
        </w:rPr>
        <w:t>资金利润率</w:t>
      </w:r>
      <w:r>
        <w:rPr>
          <w:rFonts w:hint="eastAsia"/>
          <w:color w:val="000000" w:themeColor="text1"/>
          <w:sz w:val="24"/>
          <w:lang w:val="en-US" w:eastAsia="zh-CN"/>
          <w14:textFill>
            <w14:solidFill>
              <w14:schemeClr w14:val="tx1"/>
            </w14:solidFill>
          </w14:textFill>
        </w:rPr>
        <w:t>以及</w:t>
      </w:r>
      <w:r>
        <w:rPr>
          <w:rFonts w:hint="eastAsia"/>
          <w:color w:val="000000" w:themeColor="text1"/>
          <w:sz w:val="24"/>
          <w14:textFill>
            <w14:solidFill>
              <w14:schemeClr w14:val="tx1"/>
            </w14:solidFill>
          </w14:textFill>
        </w:rPr>
        <w:t>资产负债率等。</w:t>
      </w:r>
      <w:r>
        <w:rPr>
          <w:rFonts w:hint="eastAsia"/>
          <w:color w:val="000000" w:themeColor="text1"/>
          <w:sz w:val="24"/>
          <w:lang w:val="en-US" w:eastAsia="zh-CN"/>
          <w14:textFill>
            <w14:solidFill>
              <w14:schemeClr w14:val="tx1"/>
            </w14:solidFill>
          </w14:textFill>
        </w:rPr>
        <w:t>本文通过如下几项指标分析</w:t>
      </w:r>
      <w:r>
        <w:rPr>
          <w:rFonts w:hint="eastAsia"/>
          <w:color w:val="000000" w:themeColor="text1"/>
          <w:sz w:val="24"/>
          <w14:textFill>
            <w14:solidFill>
              <w14:schemeClr w14:val="tx1"/>
            </w14:solidFill>
          </w14:textFill>
        </w:rPr>
        <w:t>乐视网的可持续发展能力进行分析。但是这类指标往往只能展现出企业短期的一个大概情况，要想从长远角度出发，</w:t>
      </w:r>
      <w:r>
        <w:rPr>
          <w:rFonts w:hint="eastAsia"/>
          <w:color w:val="000000" w:themeColor="text1"/>
          <w:sz w:val="24"/>
          <w:lang w:val="en-US" w:eastAsia="zh-CN"/>
          <w14:textFill>
            <w14:solidFill>
              <w14:schemeClr w14:val="tx1"/>
            </w14:solidFill>
          </w14:textFill>
        </w:rPr>
        <w:t>就要对企业可持续增长率进行深入探究。</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这里采用的是希金斯的可持续增长率模型：</w:t>
      </w:r>
    </w:p>
    <w:p>
      <w:pPr>
        <w:spacing w:line="360" w:lineRule="auto"/>
        <w:rPr>
          <w:color w:val="000000" w:themeColor="text1"/>
          <w:sz w:val="24"/>
          <w14:textFill>
            <w14:solidFill>
              <w14:schemeClr w14:val="tx1"/>
            </w14:solidFill>
          </w14:textFill>
        </w:rPr>
        <w:sectPr>
          <w:headerReference w:type="default" r:id="rId20"/>
          <w:footerReference w:type="default" r:id="rId21"/>
          <w:type w:val="nextPage"/>
          <w:pgSz w:w="11907" w:h="16840"/>
          <w:pgMar w:top="1418" w:right="1418" w:bottom="1418" w:left="1418" w:header="851" w:footer="992" w:gutter="0"/>
          <w:pgNumType w:start="5"/>
          <w:cols w:num="1" w:space="425"/>
          <w:titlePg w:val="0"/>
          <w:docGrid w:linePitch="312" w:charSpace="0"/>
        </w:sectPr>
      </w:pPr>
      <w:r>
        <w:rPr>
          <w:rFonts w:hint="eastAsia"/>
          <w:color w:val="000000" w:themeColor="text1"/>
          <w:sz w:val="24"/>
          <w14:textFill>
            <w14:solidFill>
              <w14:schemeClr w14:val="tx1"/>
            </w14:solidFill>
          </w14:textFill>
        </w:rPr>
        <w:t>希金斯可持续增长率=股东权益增长率=</w:t>
      </w:r>
      <w:r>
        <w:rPr>
          <w:rFonts w:hint="eastAsia"/>
          <w:color w:val="000000" w:themeColor="text1"/>
          <w:position w:val="-8"/>
          <w:sz w:val="24"/>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4pt;height:16pt" o:ole="" coordsize="21600,21600" o:preferrelative="t" filled="f" stroked="f">
            <v:imagedata r:id="rId22" o:title=""/>
            <o:lock v:ext="edit" aspectratio="t"/>
            <w10:anchorlock/>
          </v:shape>
          <o:OLEObject Type="Embed" ProgID="Equation.KSEE3" ShapeID="_x0000_i1025" DrawAspect="Content" ObjectID="_1468075725" r:id="rId23"/>
        </w:object>
      </w:r>
      <w:r>
        <w:rPr>
          <w:rFonts w:hint="eastAsia"/>
          <w:color w:val="000000" w:themeColor="text1"/>
          <w:sz w:val="24"/>
          <w14:textFill>
            <w14:solidFill>
              <w14:schemeClr w14:val="tx1"/>
            </w14:solidFill>
          </w14:textFill>
        </w:rPr>
        <w:t>=（</w:t>
      </w:r>
      <w:r>
        <w:rPr>
          <w:rFonts w:hint="eastAsia"/>
          <w:color w:val="000000" w:themeColor="text1"/>
          <w:position w:val="-8"/>
          <w:sz w:val="24"/>
          <w14:textFill>
            <w14:solidFill>
              <w14:schemeClr w14:val="tx1"/>
            </w14:solidFill>
          </w14:textFill>
        </w:rPr>
        <w:object>
          <v:shape id="_x0000_i1026" type="#_x0000_t75" style="width:94pt;height:16pt" o:ole="" coordsize="21600,21600" o:preferrelative="t" filled="f" stroked="f">
            <v:imagedata r:id="rId24" o:title=""/>
            <o:lock v:ext="edit" aspectratio="t"/>
            <w10:anchorlock/>
          </v:shape>
          <o:OLEObject Type="Embed" ProgID="Equation.KSEE3" ShapeID="_x0000_i1026" DrawAspect="Content" ObjectID="_1468075726" r:id="rId25"/>
        </w:object>
      </w:r>
      <w:r>
        <w:rPr>
          <w:rFonts w:hint="eastAsia"/>
          <w:color w:val="000000" w:themeColor="text1"/>
          <w:sz w:val="24"/>
          <w14:textFill>
            <w14:solidFill>
              <w14:schemeClr w14:val="tx1"/>
            </w14:solidFill>
          </w14:textFill>
        </w:rPr>
        <w:t>）*（</w:t>
      </w:r>
      <w:r>
        <w:rPr>
          <w:rFonts w:hint="eastAsia"/>
          <w:color w:val="000000" w:themeColor="text1"/>
          <w:position w:val="-8"/>
          <w:sz w:val="24"/>
          <w14:textFill>
            <w14:solidFill>
              <w14:schemeClr w14:val="tx1"/>
            </w14:solidFill>
          </w14:textFill>
        </w:rPr>
        <w:object>
          <v:shape id="_x0000_i1027" type="#_x0000_t75" style="width:82pt;height:16pt" o:ole="" coordsize="21600,21600" o:preferrelative="t" filled="f" stroked="f">
            <v:imagedata r:id="rId26" o:title=""/>
            <o:lock v:ext="edit" aspectratio="t"/>
            <w10:anchorlock/>
          </v:shape>
          <o:OLEObject Type="Embed" ProgID="Equation.KSEE3" ShapeID="_x0000_i1027" DrawAspect="Content" ObjectID="_1468075727" r:id="rId27"/>
        </w:object>
      </w:r>
      <w:r>
        <w:rPr>
          <w:rFonts w:hint="eastAsia"/>
          <w:color w:val="000000" w:themeColor="text1"/>
          <w:sz w:val="24"/>
          <w14:textFill>
            <w14:solidFill>
              <w14:schemeClr w14:val="tx1"/>
            </w14:solidFill>
          </w14:textFill>
        </w:rPr>
        <w:t>）*（</w:t>
      </w:r>
      <w:r>
        <w:rPr>
          <w:rFonts w:hint="eastAsia"/>
          <w:color w:val="000000" w:themeColor="text1"/>
          <w:position w:val="-8"/>
          <w:sz w:val="24"/>
          <w14:textFill>
            <w14:solidFill>
              <w14:schemeClr w14:val="tx1"/>
            </w14:solidFill>
          </w14:textFill>
        </w:rPr>
        <w:object>
          <v:shape id="_x0000_i1028" type="#_x0000_t75" style="width:93pt;height:16pt" o:ole="" coordsize="21600,21600" o:preferrelative="t" filled="f" stroked="f">
            <v:imagedata r:id="rId28" o:title=""/>
            <o:lock v:ext="edit" aspectratio="t"/>
            <w10:anchorlock/>
          </v:shape>
          <o:OLEObject Type="Embed" ProgID="Equation.KSEE3" ShapeID="_x0000_i1028" DrawAspect="Content" ObjectID="_1468075728" r:id="rId29"/>
        </w:object>
      </w:r>
      <w:r>
        <w:rPr>
          <w:rFonts w:hint="eastAsia"/>
          <w:color w:val="000000" w:themeColor="text1"/>
          <w:sz w:val="24"/>
          <w14:textFill>
            <w14:solidFill>
              <w14:schemeClr w14:val="tx1"/>
            </w14:solidFill>
          </w14:textFill>
        </w:rPr>
        <w:t>）*（资产/期初股东权益）=</w:t>
      </w:r>
      <w:r>
        <w:rPr>
          <w:rFonts w:hint="eastAsia"/>
          <w:color w:val="000000" w:themeColor="text1"/>
          <w:position w:val="-8"/>
          <w:sz w:val="24"/>
          <w14:textFill>
            <w14:solidFill>
              <w14:schemeClr w14:val="tx1"/>
            </w14:solidFill>
          </w14:textFill>
        </w:rPr>
        <w:object>
          <v:shape id="_x0000_i1029" type="#_x0000_t75" style="width:63pt;height:16pt" o:ole="" coordsize="21600,21600" o:preferrelative="t" filled="f" stroked="f">
            <v:imagedata r:id="rId30" o:title=""/>
            <o:lock v:ext="edit" aspectratio="t"/>
            <w10:anchorlock/>
          </v:shape>
          <o:OLEObject Type="Embed" ProgID="Equation.KSEE3" ShapeID="_x0000_i1029" DrawAspect="Content" ObjectID="_1468075729" r:id="rId31"/>
        </w:object>
      </w:r>
      <w:r>
        <w:rPr>
          <w:rFonts w:hint="eastAsia"/>
          <w:color w:val="000000" w:themeColor="text1"/>
          <w:sz w:val="24"/>
          <w14:textFill>
            <w14:solidFill>
              <w14:schemeClr w14:val="tx1"/>
            </w14:solidFill>
          </w14:textFill>
        </w:rPr>
        <w:t>*</w:t>
      </w:r>
      <w:r>
        <w:rPr>
          <w:rFonts w:hint="eastAsia"/>
          <w:color w:val="000000" w:themeColor="text1"/>
          <w:position w:val="-8"/>
          <w:sz w:val="24"/>
          <w14:textFill>
            <w14:solidFill>
              <w14:schemeClr w14:val="tx1"/>
            </w14:solidFill>
          </w14:textFill>
        </w:rPr>
        <w:object>
          <v:shape id="_x0000_i1030" type="#_x0000_t75" style="width:75pt;height:16pt" o:ole="" coordsize="21600,21600" o:preferrelative="t" filled="f" stroked="f">
            <v:imagedata r:id="rId32" o:title=""/>
            <o:lock v:ext="edit" aspectratio="t"/>
            <w10:anchorlock/>
          </v:shape>
          <o:OLEObject Type="Embed" ProgID="Equation.KSEE3" ShapeID="_x0000_i1030" DrawAspect="Content" ObjectID="_1468075730" r:id="rId33"/>
        </w:object>
      </w:r>
      <w:r>
        <w:rPr>
          <w:rFonts w:hint="eastAsia"/>
          <w:color w:val="000000" w:themeColor="text1"/>
          <w:sz w:val="24"/>
          <w14:textFill>
            <w14:solidFill>
              <w14:schemeClr w14:val="tx1"/>
            </w14:solidFill>
          </w14:textFill>
        </w:rPr>
        <w:t>*</w:t>
      </w:r>
      <w:r>
        <w:rPr>
          <w:rFonts w:hint="eastAsia"/>
          <w:color w:val="000000" w:themeColor="text1"/>
          <w:position w:val="-8"/>
          <w:sz w:val="24"/>
          <w14:textFill>
            <w14:solidFill>
              <w14:schemeClr w14:val="tx1"/>
            </w14:solidFill>
          </w14:textFill>
        </w:rPr>
        <w:object>
          <v:shape id="_x0000_i1031" type="#_x0000_t75" style="width:62pt;height:16pt" o:ole="" coordsize="21600,21600" o:preferrelative="t" filled="f" stroked="f">
            <v:imagedata r:id="rId34" o:title=""/>
            <o:lock v:ext="edit" aspectratio="t"/>
            <w10:anchorlock/>
          </v:shape>
          <o:OLEObject Type="Embed" ProgID="Equation.KSEE3" ShapeID="_x0000_i1031" DrawAspect="Content" ObjectID="_1468075731" r:id="rId35"/>
        </w:object>
      </w:r>
      <w:r>
        <w:rPr>
          <w:rFonts w:hint="eastAsia"/>
          <w:color w:val="000000" w:themeColor="text1"/>
          <w:sz w:val="24"/>
          <w14:textFill>
            <w14:solidFill>
              <w14:schemeClr w14:val="tx1"/>
            </w14:solidFill>
          </w14:textFill>
        </w:rPr>
        <w:t>*</w:t>
      </w:r>
      <w:r>
        <w:rPr>
          <w:rFonts w:hint="eastAsia"/>
          <w:color w:val="000000" w:themeColor="text1"/>
          <w:position w:val="-8"/>
          <w:sz w:val="24"/>
          <w14:textFill>
            <w14:solidFill>
              <w14:schemeClr w14:val="tx1"/>
            </w14:solidFill>
          </w14:textFill>
        </w:rPr>
        <w:object>
          <v:shape id="_x0000_i1032" type="#_x0000_t75" style="width:52pt;height:16pt" o:ole="" coordsize="21600,21600" o:preferrelative="t" filled="f" stroked="f">
            <v:imagedata r:id="rId36" o:title=""/>
            <o:lock v:ext="edit" aspectratio="t"/>
            <w10:anchorlock/>
          </v:shape>
          <o:OLEObject Type="Embed" ProgID="Equation.KSEE3" ShapeID="_x0000_i1032" DrawAspect="Content" ObjectID="_1468075732" r:id="rId37"/>
        </w:object>
      </w:r>
    </w:p>
    <w:p>
      <w:pPr>
        <w:pStyle w:val="Heading1"/>
        <w:spacing w:before="240" w:beforeLines="100" w:after="240" w:afterLines="100" w:line="240" w:lineRule="auto"/>
        <w:jc w:val="center"/>
        <w:rPr>
          <w:rFonts w:eastAsia="黑体"/>
          <w:b w:val="0"/>
          <w:color w:val="000000" w:themeColor="text1"/>
          <w:sz w:val="36"/>
          <w14:textFill>
            <w14:solidFill>
              <w14:schemeClr w14:val="tx1"/>
            </w14:solidFill>
          </w14:textFill>
        </w:rPr>
      </w:pPr>
      <w:bookmarkStart w:id="28" w:name="_Toc335598653"/>
      <w:bookmarkStart w:id="29" w:name="_Toc8155190"/>
      <w:r>
        <w:rPr>
          <w:rFonts w:eastAsia="黑体"/>
          <w:b w:val="0"/>
          <w:color w:val="000000" w:themeColor="text1"/>
          <w:sz w:val="36"/>
          <w14:textFill>
            <w14:solidFill>
              <w14:schemeClr w14:val="tx1"/>
            </w14:solidFill>
          </w14:textFill>
        </w:rPr>
        <w:t>第3章</w:t>
      </w:r>
      <w:bookmarkEnd w:id="28"/>
      <w:r>
        <w:rPr>
          <w:rFonts w:eastAsia="黑体" w:hint="eastAsia"/>
          <w:b w:val="0"/>
          <w:color w:val="000000" w:themeColor="text1"/>
          <w:sz w:val="36"/>
          <w14:textFill>
            <w14:solidFill>
              <w14:schemeClr w14:val="tx1"/>
            </w14:solidFill>
          </w14:textFill>
        </w:rPr>
        <w:t xml:space="preserve"> 乐视网财务战略现状及分析</w:t>
      </w:r>
      <w:bookmarkEnd w:id="29"/>
    </w:p>
    <w:p>
      <w:pPr>
        <w:pStyle w:val="Heading2"/>
        <w:rPr>
          <w:rFonts w:ascii="Times New Roman"/>
          <w:color w:val="000000" w:themeColor="text1"/>
          <w14:textFill>
            <w14:solidFill>
              <w14:schemeClr w14:val="tx1"/>
            </w14:solidFill>
          </w14:textFill>
        </w:rPr>
      </w:pPr>
      <w:bookmarkStart w:id="30" w:name="_Toc335598654"/>
      <w:bookmarkStart w:id="31" w:name="_Toc8155191"/>
      <w:r>
        <w:rPr>
          <w:rFonts w:ascii="Times New Roman"/>
          <w:color w:val="000000" w:themeColor="text1"/>
          <w14:textFill>
            <w14:solidFill>
              <w14:schemeClr w14:val="tx1"/>
            </w14:solidFill>
          </w14:textFill>
        </w:rPr>
        <w:t>3.1</w:t>
      </w:r>
      <w:bookmarkEnd w:id="30"/>
      <w:r>
        <w:rPr>
          <w:rFonts w:ascii="Times New Roman" w:hint="eastAsia"/>
          <w:color w:val="000000" w:themeColor="text1"/>
          <w14:textFill>
            <w14:solidFill>
              <w14:schemeClr w14:val="tx1"/>
            </w14:solidFill>
          </w14:textFill>
        </w:rPr>
        <w:t xml:space="preserve"> 公司简介</w:t>
      </w:r>
      <w:bookmarkEnd w:id="31"/>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乐视网信息技术</w:t>
      </w:r>
      <w:r>
        <w:rPr>
          <w:rFonts w:hint="eastAsia"/>
          <w:color w:val="000000" w:themeColor="text1"/>
          <w:sz w:val="24"/>
          <w14:textFill>
            <w14:solidFill>
              <w14:schemeClr w14:val="tx1"/>
            </w14:solidFill>
          </w14:textFill>
        </w:rPr>
        <w:t>（北京）股份有限公司</w:t>
      </w:r>
      <w:r>
        <w:rPr>
          <w:rFonts w:hint="eastAsia"/>
          <w:color w:val="000000" w:themeColor="text1"/>
          <w:sz w:val="24"/>
          <w:lang w:val="en-US" w:eastAsia="zh-CN"/>
          <w14:textFill>
            <w14:solidFill>
              <w14:schemeClr w14:val="tx1"/>
            </w14:solidFill>
          </w14:textFill>
        </w:rPr>
        <w:t>最早于2004年11月成立，并在2010年顺利上市中国创业板，证券代码为300104,，乐视成为首家在A股上市的视频网站，也是全球首家IPO上市的视频网站。近些年，乐视网正因为创新精神发展成为影响力较大的互联网企业。</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作为国内视频播放器领军企业</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垂直产业链整合业务囊括互联网视频、大屏应用市场、互联网智能电动汽车、影视制作与发行智能终端以及互联网智能电动汽车。</w:t>
      </w:r>
      <w:r>
        <w:rPr>
          <w:rFonts w:hint="eastAsia"/>
          <w:color w:val="000000" w:themeColor="text1"/>
          <w:sz w:val="24"/>
          <w14:textFill>
            <w14:solidFill>
              <w14:schemeClr w14:val="tx1"/>
            </w14:solidFill>
          </w14:textFill>
        </w:rPr>
        <w:t>截至2015年底，乐视总销售收入突破200亿元，互联网视频日均活跃用户超5000万人，总估值超3000亿元。</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shd w:val="clear" w:color="auto" w:fill="FFFFFF"/>
          <w14:textFill>
            <w14:solidFill>
              <w14:schemeClr w14:val="tx1"/>
            </w14:solidFill>
          </w14:textFill>
        </w:rPr>
        <w:t>但是在乐视网最新发布的年报中显示，2018年度，乐视网及其下属子公司累计实现营业收入15.58亿元，较去年同期下滑77.8%。</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据最新报道，2018年经审计</w:t>
      </w:r>
      <w:r>
        <w:rPr>
          <w:rFonts w:hint="eastAsia"/>
          <w:color w:val="000000" w:themeColor="text1"/>
          <w:sz w:val="24"/>
          <w:lang w:val="en-US" w:eastAsia="zh-CN"/>
          <w14:textFill>
            <w14:solidFill>
              <w14:schemeClr w14:val="tx1"/>
            </w14:solidFill>
          </w14:textFill>
        </w:rPr>
        <w:t>后由上市公司股东享有的净资产为负值，在年度报告的披露日期，公司股票就开始停牌，</w:t>
      </w:r>
      <w:r>
        <w:rPr>
          <w:rFonts w:hint="eastAsia"/>
          <w:color w:val="000000" w:themeColor="text1"/>
          <w:sz w:val="24"/>
          <w14:textFill>
            <w14:solidFill>
              <w14:schemeClr w14:val="tx1"/>
            </w14:solidFill>
          </w14:textFill>
        </w:rPr>
        <w:t>也就是</w:t>
      </w:r>
      <w:r>
        <w:rPr>
          <w:rFonts w:ascii="微软雅黑" w:hAnsi="微软雅黑"/>
          <w:color w:val="000000" w:themeColor="text1"/>
          <w:sz w:val="24"/>
          <w:shd w:val="clear" w:color="auto" w:fill="FFFFFF"/>
          <w14:textFill>
            <w14:solidFill>
              <w14:schemeClr w14:val="tx1"/>
            </w14:solidFill>
          </w14:textFill>
        </w:rPr>
        <w:t>2019年4月26日，乐视网停牌，此后</w:t>
      </w:r>
      <w:r>
        <w:rPr>
          <w:rFonts w:ascii="微软雅黑" w:hAnsi="微软雅黑" w:hint="eastAsia"/>
          <w:color w:val="000000" w:themeColor="text1"/>
          <w:sz w:val="24"/>
          <w:shd w:val="clear" w:color="auto" w:fill="FFFFFF"/>
          <w:lang w:val="en-US" w:eastAsia="zh-CN"/>
          <w14:textFill>
            <w14:solidFill>
              <w14:schemeClr w14:val="tx1"/>
            </w14:solidFill>
          </w14:textFill>
        </w:rPr>
        <w:t>深交所在15个交易日内决定是否对其作出暂停上市的决策。</w:t>
      </w:r>
      <w:r>
        <w:rPr>
          <w:rFonts w:ascii="微软雅黑" w:hAnsi="微软雅黑"/>
          <w:color w:val="000000" w:themeColor="text1"/>
          <w:sz w:val="24"/>
          <w:shd w:val="clear" w:color="auto" w:fill="FFFFFF"/>
          <w14:textFill>
            <w14:solidFill>
              <w14:schemeClr w14:val="tx1"/>
            </w14:solidFill>
          </w14:textFill>
        </w:rPr>
        <w:t>2019年4月29日，乐视网公告，因公司及贾跃亭涉嫌信息披露违法违规等行为，证监会决定对公司及贾跃亭立案调查</w:t>
      </w:r>
      <w:r>
        <w:rPr>
          <w:rFonts w:ascii="微软雅黑" w:hAnsi="微软雅黑" w:hint="eastAsia"/>
          <w:color w:val="000000" w:themeColor="text1"/>
          <w:sz w:val="24"/>
          <w:shd w:val="clear" w:color="auto" w:fill="FFFFFF"/>
          <w14:textFill>
            <w14:solidFill>
              <w14:schemeClr w14:val="tx1"/>
            </w14:solidFill>
          </w14:textFill>
        </w:rPr>
        <w:t>。</w:t>
      </w:r>
    </w:p>
    <w:p>
      <w:pPr>
        <w:pStyle w:val="Heading2"/>
        <w:rPr>
          <w:rFonts w:ascii="Times New Roman"/>
          <w:color w:val="000000" w:themeColor="text1"/>
          <w14:textFill>
            <w14:solidFill>
              <w14:schemeClr w14:val="tx1"/>
            </w14:solidFill>
          </w14:textFill>
        </w:rPr>
      </w:pPr>
      <w:bookmarkStart w:id="32" w:name="_Toc8155192"/>
      <w:r>
        <w:rPr>
          <w:rFonts w:ascii="Times New Roman"/>
          <w:color w:val="000000" w:themeColor="text1"/>
          <w14:textFill>
            <w14:solidFill>
              <w14:schemeClr w14:val="tx1"/>
            </w14:solidFill>
          </w14:textFill>
        </w:rPr>
        <w:t>3.2</w:t>
      </w:r>
      <w:r>
        <w:rPr>
          <w:rFonts w:ascii="Times New Roman" w:hint="eastAsia"/>
          <w:color w:val="000000" w:themeColor="text1"/>
          <w14:textFill>
            <w14:solidFill>
              <w14:schemeClr w14:val="tx1"/>
            </w14:solidFill>
          </w14:textFill>
        </w:rPr>
        <w:t xml:space="preserve"> 行业环境分析</w:t>
      </w:r>
      <w:bookmarkEnd w:id="32"/>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近些年来，国家相继推出了“互联网+”、“三网联合推广”以及“一带一路”等扶持政策，极大地促进了互联网电视业务的发展，使得乐视的电视终端业务得到了有效拓展，帮助公司业务取得累累硕果。</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针对2018年互联网视频服务行业发展，</w:t>
      </w:r>
      <w:r>
        <w:rPr>
          <w:rFonts w:hint="eastAsia"/>
          <w:color w:val="000000" w:themeColor="text1"/>
          <w:sz w:val="24"/>
          <w:lang w:val="en-US" w:eastAsia="zh-CN"/>
          <w14:textFill>
            <w14:solidFill>
              <w14:schemeClr w14:val="tx1"/>
            </w14:solidFill>
          </w14:textFill>
        </w:rPr>
        <w:t>国家互联网信息办公室发布的数据表明，</w:t>
      </w:r>
      <w:r>
        <w:rPr>
          <w:rFonts w:hint="eastAsia"/>
          <w:color w:val="000000" w:themeColor="text1"/>
          <w:sz w:val="24"/>
          <w14:textFill>
            <w14:solidFill>
              <w14:schemeClr w14:val="tx1"/>
            </w14:solidFill>
          </w14:textFill>
        </w:rPr>
        <w:t>2018年中国移动互联网流量消费、用户规模猛增，中国进入信息消费提制时代。2019年春节期间，中国移动互联网流量消费</w:t>
      </w:r>
      <w:r>
        <w:rPr>
          <w:rFonts w:hint="eastAsia"/>
          <w:color w:val="000000" w:themeColor="text1"/>
          <w:sz w:val="24"/>
          <w:lang w:val="en-US" w:eastAsia="zh-CN"/>
          <w14:textFill>
            <w14:solidFill>
              <w14:schemeClr w14:val="tx1"/>
            </w14:solidFill>
          </w14:textFill>
        </w:rPr>
        <w:t>剧增，同比去年增长130%，</w:t>
      </w:r>
      <w:r>
        <w:rPr>
          <w:rFonts w:hint="eastAsia"/>
          <w:color w:val="000000" w:themeColor="text1"/>
          <w:sz w:val="24"/>
          <w14:textFill>
            <w14:solidFill>
              <w14:schemeClr w14:val="tx1"/>
            </w14:solidFill>
          </w14:textFill>
        </w:rPr>
        <w:t>较2018年春节超两倍增长。截至2018年6月，</w:t>
      </w:r>
      <w:r>
        <w:rPr>
          <w:rFonts w:hint="eastAsia"/>
          <w:color w:val="000000" w:themeColor="text1"/>
          <w:sz w:val="24"/>
          <w:lang w:val="en-US" w:eastAsia="zh-CN"/>
          <w14:textFill>
            <w14:solidFill>
              <w14:schemeClr w14:val="tx1"/>
            </w14:solidFill>
          </w14:textFill>
        </w:rPr>
        <w:t>手机网民比例占到</w:t>
      </w:r>
      <w:r>
        <w:rPr>
          <w:rFonts w:hint="eastAsia"/>
          <w:color w:val="000000" w:themeColor="text1"/>
          <w:sz w:val="24"/>
          <w14:textFill>
            <w14:solidFill>
              <w14:schemeClr w14:val="tx1"/>
            </w14:solidFill>
          </w14:textFill>
        </w:rPr>
        <w:t>98.3%，较2017年末提升了0.8个百分点。</w:t>
      </w:r>
    </w:p>
    <w:p>
      <w:pPr>
        <w:spacing w:line="360" w:lineRule="auto"/>
        <w:ind w:firstLine="480" w:firstLineChars="200"/>
        <w:rPr>
          <w:color w:val="000000" w:themeColor="text1"/>
          <w:sz w:val="24"/>
          <w14:textFill>
            <w14:solidFill>
              <w14:schemeClr w14:val="tx1"/>
            </w14:solidFill>
          </w14:textFill>
        </w:rPr>
        <w:sectPr>
          <w:headerReference w:type="default" r:id="rId38"/>
          <w:footerReference w:type="default" r:id="rId39"/>
          <w:pgSz w:w="11907" w:h="16840"/>
          <w:pgMar w:top="1418" w:right="1418" w:bottom="1418" w:left="1418" w:header="720" w:footer="720" w:gutter="0"/>
          <w:pgNumType w:start="6"/>
          <w:cols w:num="1" w:space="720"/>
        </w:sectPr>
      </w:pP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但是2017年至2018年，受大股东及其关联方流动性风波影响，乐视网经营规模下滑、业务萎缩，直接导致公司行业地位下降，并对上市体系声誉和信用度造成较大影响。</w:t>
      </w:r>
    </w:p>
    <w:p>
      <w:pPr>
        <w:pStyle w:val="Heading2"/>
        <w:rPr>
          <w:color w:val="000000" w:themeColor="text1"/>
          <w:sz w:val="24"/>
          <w14:textFill>
            <w14:solidFill>
              <w14:schemeClr w14:val="tx1"/>
            </w14:solidFill>
          </w14:textFill>
        </w:rPr>
      </w:pPr>
      <w:bookmarkStart w:id="33" w:name="_Toc8155193"/>
      <w:r>
        <w:rPr>
          <w:rFonts w:ascii="Times New Roman"/>
          <w:color w:val="000000" w:themeColor="text1"/>
          <w14:textFill>
            <w14:solidFill>
              <w14:schemeClr w14:val="tx1"/>
            </w14:solidFill>
          </w14:textFill>
        </w:rPr>
        <w:t>3.</w:t>
      </w:r>
      <w:r>
        <w:rPr>
          <w:rFonts w:ascii="Times New Roman" w:hint="eastAsia"/>
          <w:color w:val="000000" w:themeColor="text1"/>
          <w14:textFill>
            <w14:solidFill>
              <w14:schemeClr w14:val="tx1"/>
            </w14:solidFill>
          </w14:textFill>
        </w:rPr>
        <w:t xml:space="preserve">3 </w:t>
      </w:r>
      <w:r>
        <w:rPr>
          <w:rFonts w:ascii="Times New Roman"/>
          <w:color w:val="000000" w:themeColor="text1"/>
          <w14:textFill>
            <w14:solidFill>
              <w14:schemeClr w14:val="tx1"/>
            </w14:solidFill>
          </w14:textFill>
        </w:rPr>
        <w:t>乐视</w:t>
      </w:r>
      <w:r>
        <w:rPr>
          <w:rFonts w:ascii="Times New Roman" w:hint="eastAsia"/>
          <w:color w:val="000000" w:themeColor="text1"/>
          <w14:textFill>
            <w14:solidFill>
              <w14:schemeClr w14:val="tx1"/>
            </w14:solidFill>
          </w14:textFill>
        </w:rPr>
        <w:t>网</w:t>
      </w:r>
      <w:r>
        <w:rPr>
          <w:rFonts w:ascii="Times New Roman"/>
          <w:color w:val="000000" w:themeColor="text1"/>
          <w14:textFill>
            <w14:solidFill>
              <w14:schemeClr w14:val="tx1"/>
            </w14:solidFill>
          </w14:textFill>
        </w:rPr>
        <w:t>财务战略分析</w:t>
      </w:r>
      <w:bookmarkEnd w:id="33"/>
    </w:p>
    <w:p>
      <w:pPr>
        <w:pStyle w:val="Heading3"/>
        <w:rPr>
          <w:color w:val="000000" w:themeColor="text1"/>
          <w14:textFill>
            <w14:solidFill>
              <w14:schemeClr w14:val="tx1"/>
            </w14:solidFill>
          </w14:textFill>
        </w:rPr>
      </w:pPr>
      <w:bookmarkStart w:id="34" w:name="_Toc8155194"/>
      <w:r>
        <w:rPr>
          <w:rFonts w:hint="eastAsia"/>
          <w:color w:val="000000" w:themeColor="text1"/>
          <w14:textFill>
            <w14:solidFill>
              <w14:schemeClr w14:val="tx1"/>
            </w14:solidFill>
          </w14:textFill>
        </w:rPr>
        <w:t>3.3.1 筹资战略</w:t>
      </w:r>
      <w:bookmarkEnd w:id="34"/>
    </w:p>
    <w:p>
      <w:pPr>
        <w:spacing w:line="360" w:lineRule="auto"/>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（1）资本结构静态分析</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筹资战略与资本架构存在密切关联。因此，为了了解乐视网的筹资战略，就要加强对资本结构的分析。</w:t>
      </w:r>
    </w:p>
    <w:p>
      <w:pPr>
        <w:spacing w:line="360" w:lineRule="auto"/>
        <w:ind w:firstLine="42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t>表</w:t>
      </w:r>
      <w:r>
        <w:rPr>
          <w:rFonts w:hint="eastAsia"/>
          <w:color w:val="000000" w:themeColor="text1"/>
          <w14:textFill>
            <w14:solidFill>
              <w14:schemeClr w14:val="tx1"/>
            </w14:solidFill>
          </w14:textFill>
        </w:rPr>
        <w:t>3.1 乐视网2012年-2018年资本结构指标分析表（单位：百万元）</w:t>
      </w:r>
    </w:p>
    <w:tbl>
      <w:tblPr>
        <w:tblStyle w:val="TableGrid0"/>
        <w:tblW w:w="9286" w:type="dxa"/>
        <w:tblInd w:w="0" w:type="dxa"/>
        <w:tblBorders>
          <w:top w:val="single" w:sz="4" w:space="0" w:color="000000"/>
          <w:left w:val="none" w:sz="0" w:space="0" w:color="auto"/>
          <w:bottom w:val="single" w:sz="4"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1582"/>
        <w:gridCol w:w="996"/>
        <w:gridCol w:w="1112"/>
        <w:gridCol w:w="1112"/>
        <w:gridCol w:w="1136"/>
        <w:gridCol w:w="1116"/>
        <w:gridCol w:w="1116"/>
        <w:gridCol w:w="1116"/>
      </w:tblGrid>
      <w:tr>
        <w:tblPrEx>
          <w:tblW w:w="9286" w:type="dxa"/>
          <w:tblInd w:w="0" w:type="dxa"/>
          <w:tblBorders>
            <w:top w:val="single" w:sz="4" w:space="0" w:color="000000"/>
            <w:left w:val="none" w:sz="0" w:space="0" w:color="auto"/>
            <w:bottom w:val="single" w:sz="4"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val="270"/>
        </w:trPr>
        <w:tc>
          <w:tcPr>
            <w:tcW w:w="158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财务指标</w:t>
            </w:r>
          </w:p>
        </w:tc>
        <w:tc>
          <w:tcPr>
            <w:tcW w:w="99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2012年</w:t>
            </w:r>
          </w:p>
        </w:tc>
        <w:tc>
          <w:tcPr>
            <w:tcW w:w="111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2013年</w:t>
            </w:r>
          </w:p>
        </w:tc>
        <w:tc>
          <w:tcPr>
            <w:tcW w:w="111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2014年</w:t>
            </w:r>
          </w:p>
        </w:tc>
        <w:tc>
          <w:tcPr>
            <w:tcW w:w="113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2015年</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2016年</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2017年</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2018年</w:t>
            </w:r>
          </w:p>
        </w:tc>
      </w:tr>
      <w:tr>
        <w:tblPrEx>
          <w:tblW w:w="9286" w:type="dxa"/>
          <w:tblInd w:w="0" w:type="dxa"/>
          <w:tblLayout w:type="fixed"/>
          <w:tblCellMar>
            <w:top w:w="0" w:type="dxa"/>
            <w:left w:w="108" w:type="dxa"/>
            <w:bottom w:w="0" w:type="dxa"/>
            <w:right w:w="108" w:type="dxa"/>
          </w:tblCellMar>
        </w:tblPrEx>
        <w:trPr>
          <w:trHeight w:val="270"/>
        </w:trPr>
        <w:tc>
          <w:tcPr>
            <w:tcW w:w="158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总资产</w:t>
            </w:r>
          </w:p>
        </w:tc>
        <w:tc>
          <w:tcPr>
            <w:tcW w:w="99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2901.15</w:t>
            </w:r>
          </w:p>
        </w:tc>
        <w:tc>
          <w:tcPr>
            <w:tcW w:w="111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5020.32</w:t>
            </w:r>
          </w:p>
        </w:tc>
        <w:tc>
          <w:tcPr>
            <w:tcW w:w="111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8851.02</w:t>
            </w:r>
          </w:p>
        </w:tc>
        <w:tc>
          <w:tcPr>
            <w:tcW w:w="113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16982.15</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32233.83</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17897.65</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8450.01</w:t>
            </w:r>
          </w:p>
        </w:tc>
      </w:tr>
      <w:tr>
        <w:tblPrEx>
          <w:tblW w:w="9286" w:type="dxa"/>
          <w:tblInd w:w="0" w:type="dxa"/>
          <w:tblLayout w:type="fixed"/>
          <w:tblCellMar>
            <w:top w:w="0" w:type="dxa"/>
            <w:left w:w="108" w:type="dxa"/>
            <w:bottom w:w="0" w:type="dxa"/>
            <w:right w:w="108" w:type="dxa"/>
          </w:tblCellMar>
        </w:tblPrEx>
        <w:trPr>
          <w:trHeight w:val="270"/>
        </w:trPr>
        <w:tc>
          <w:tcPr>
            <w:tcW w:w="158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流动负债</w:t>
            </w:r>
          </w:p>
        </w:tc>
        <w:tc>
          <w:tcPr>
            <w:tcW w:w="99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1113.56</w:t>
            </w:r>
          </w:p>
        </w:tc>
        <w:tc>
          <w:tcPr>
            <w:tcW w:w="111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2506.60</w:t>
            </w:r>
          </w:p>
        </w:tc>
        <w:tc>
          <w:tcPr>
            <w:tcW w:w="111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4403.88</w:t>
            </w:r>
          </w:p>
        </w:tc>
        <w:tc>
          <w:tcPr>
            <w:tcW w:w="113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7452.52</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12483.27</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14494.25</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8132.53</w:t>
            </w:r>
          </w:p>
        </w:tc>
      </w:tr>
      <w:tr>
        <w:tblPrEx>
          <w:tblW w:w="9286" w:type="dxa"/>
          <w:tblInd w:w="0" w:type="dxa"/>
          <w:tblLayout w:type="fixed"/>
          <w:tblCellMar>
            <w:top w:w="0" w:type="dxa"/>
            <w:left w:w="108" w:type="dxa"/>
            <w:bottom w:w="0" w:type="dxa"/>
            <w:right w:w="108" w:type="dxa"/>
          </w:tblCellMar>
        </w:tblPrEx>
        <w:trPr>
          <w:trHeight w:val="270"/>
        </w:trPr>
        <w:tc>
          <w:tcPr>
            <w:tcW w:w="158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长期负债</w:t>
            </w:r>
          </w:p>
        </w:tc>
        <w:tc>
          <w:tcPr>
            <w:tcW w:w="99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514.16</w:t>
            </w:r>
          </w:p>
        </w:tc>
        <w:tc>
          <w:tcPr>
            <w:tcW w:w="111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434.20</w:t>
            </w:r>
          </w:p>
        </w:tc>
        <w:tc>
          <w:tcPr>
            <w:tcW w:w="111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1103.67</w:t>
            </w:r>
          </w:p>
        </w:tc>
        <w:tc>
          <w:tcPr>
            <w:tcW w:w="113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5714.50</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9268.80</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4069.89</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3803.08</w:t>
            </w:r>
          </w:p>
        </w:tc>
      </w:tr>
      <w:tr>
        <w:tblPrEx>
          <w:tblW w:w="9286" w:type="dxa"/>
          <w:tblInd w:w="0" w:type="dxa"/>
          <w:tblLayout w:type="fixed"/>
          <w:tblCellMar>
            <w:top w:w="0" w:type="dxa"/>
            <w:left w:w="108" w:type="dxa"/>
            <w:bottom w:w="0" w:type="dxa"/>
            <w:right w:w="108" w:type="dxa"/>
          </w:tblCellMar>
        </w:tblPrEx>
        <w:trPr>
          <w:trHeight w:val="270"/>
        </w:trPr>
        <w:tc>
          <w:tcPr>
            <w:tcW w:w="158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总负债</w:t>
            </w:r>
          </w:p>
        </w:tc>
        <w:tc>
          <w:tcPr>
            <w:tcW w:w="99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1627.72</w:t>
            </w:r>
          </w:p>
        </w:tc>
        <w:tc>
          <w:tcPr>
            <w:tcW w:w="111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2940.80</w:t>
            </w:r>
          </w:p>
        </w:tc>
        <w:tc>
          <w:tcPr>
            <w:tcW w:w="111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5507.55</w:t>
            </w:r>
          </w:p>
        </w:tc>
        <w:tc>
          <w:tcPr>
            <w:tcW w:w="113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13167.02</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21752.07</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18564.14</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11935.61</w:t>
            </w:r>
          </w:p>
        </w:tc>
      </w:tr>
      <w:tr>
        <w:tblPrEx>
          <w:tblW w:w="9286" w:type="dxa"/>
          <w:tblInd w:w="0" w:type="dxa"/>
          <w:tblLayout w:type="fixed"/>
          <w:tblCellMar>
            <w:top w:w="0" w:type="dxa"/>
            <w:left w:w="108" w:type="dxa"/>
            <w:bottom w:w="0" w:type="dxa"/>
            <w:right w:w="108" w:type="dxa"/>
          </w:tblCellMar>
        </w:tblPrEx>
        <w:trPr>
          <w:trHeight w:val="270"/>
        </w:trPr>
        <w:tc>
          <w:tcPr>
            <w:tcW w:w="158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所有者权益</w:t>
            </w:r>
          </w:p>
        </w:tc>
        <w:tc>
          <w:tcPr>
            <w:tcW w:w="99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1273.43</w:t>
            </w:r>
          </w:p>
        </w:tc>
        <w:tc>
          <w:tcPr>
            <w:tcW w:w="111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2079.53</w:t>
            </w:r>
          </w:p>
        </w:tc>
        <w:tc>
          <w:tcPr>
            <w:tcW w:w="1112"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3343.47</w:t>
            </w:r>
          </w:p>
        </w:tc>
        <w:tc>
          <w:tcPr>
            <w:tcW w:w="113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3815.13</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10481.75</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-666.49</w:t>
            </w:r>
          </w:p>
        </w:tc>
        <w:tc>
          <w:tcPr>
            <w:tcW w:w="1116" w:type="dxa"/>
            <w:noWrap/>
          </w:tcPr>
          <w:p>
            <w:pPr>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-3485.61</w:t>
            </w:r>
          </w:p>
        </w:tc>
      </w:tr>
    </w:tbl>
    <w:p>
      <w:pPr>
        <w:spacing w:line="360" w:lineRule="auto"/>
        <w:ind w:firstLine="480" w:firstLineChars="200"/>
        <w:rPr>
          <w:rFonts w:hint="eastAsia"/>
          <w:color w:val="000000" w:themeColor="text1"/>
          <w:sz w:val="24"/>
          <w14:textFill>
            <w14:solidFill>
              <w14:schemeClr w14:val="tx1"/>
            </w14:solidFill>
          </w14:textFill>
        </w:rPr>
      </w:pPr>
      <w:r>
        <w:rPr>
          <w:color w:val="000000" w:themeColor="text1"/>
          <w:sz w:val="24"/>
          <w14:textFill>
            <w14:solidFill>
              <w14:schemeClr w14:val="tx1"/>
            </w14:solidFill>
          </w14:textFill>
        </w:rPr>
        <w:t>结合</w:t>
      </w:r>
      <w:r>
        <w:rPr>
          <w:rFonts w:hint="eastAsia"/>
          <w:color w:val="000000" w:themeColor="text1"/>
          <w:sz w:val="24"/>
          <w14:textFill>
            <w14:solidFill>
              <w14:schemeClr w14:val="tx1"/>
            </w14:solidFill>
          </w14:textFill>
        </w:rPr>
        <w:t>乐视网年报及其资产负债表中</w:t>
      </w:r>
      <w:r>
        <w:rPr>
          <w:rFonts w:hint="eastAsia"/>
          <w:color w:val="000000" w:themeColor="text1"/>
          <w:sz w:val="24"/>
          <w:lang w:val="en-US" w:eastAsia="zh-CN"/>
          <w14:textFill>
            <w14:solidFill>
              <w14:schemeClr w14:val="tx1"/>
            </w14:solidFill>
          </w14:textFill>
        </w:rPr>
        <w:t>有关数据，可以看到，乐视网在融资渠道上不仅有内源融资，还有债务融资。</w:t>
      </w:r>
      <w:r>
        <w:rPr>
          <w:rFonts w:hint="eastAsia"/>
          <w:color w:val="000000" w:themeColor="text1"/>
          <w:sz w:val="24"/>
          <w14:textFill>
            <w14:solidFill>
              <w14:schemeClr w14:val="tx1"/>
            </w14:solidFill>
          </w14:textFill>
        </w:rPr>
        <w:t>从表3.1，可以看出，一直到2016年，乐视网的总资产规模都是逐年上升，并且2016年的总资产规模已经达到322亿，已经超过2012年的资产规模的11倍，尤其是2014年之后，总资产规模都是成倍增加。</w:t>
      </w:r>
      <w:r>
        <w:rPr>
          <w:rFonts w:hint="eastAsia"/>
          <w:color w:val="000000" w:themeColor="text1"/>
          <w:sz w:val="24"/>
          <w:lang w:val="en-US" w:eastAsia="zh-CN"/>
          <w14:textFill>
            <w14:solidFill>
              <w14:schemeClr w14:val="tx1"/>
            </w14:solidFill>
          </w14:textFill>
        </w:rPr>
        <w:t>同时，资产与负债表现出相似的变化趋势。此外，在将负债与所有者权益进行对比可以发现，</w:t>
      </w:r>
      <w:r>
        <w:rPr>
          <w:rFonts w:hint="eastAsia"/>
          <w:color w:val="000000" w:themeColor="text1"/>
          <w:sz w:val="24"/>
          <w14:textFill>
            <w14:solidFill>
              <w14:schemeClr w14:val="tx1"/>
            </w14:solidFill>
          </w14:textFill>
        </w:rPr>
        <w:t>2012年，乐视网的负债已经达到16亿，远远超过公司的所有者权益，说明乐视网的资本结构是不合理的。</w:t>
      </w:r>
    </w:p>
    <w:p>
      <w:pP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4572000" cy="2743200"/>
            <wp:effectExtent l="0" t="0" r="0" b="0"/>
            <wp:docPr id="1027"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r>
        <w:rPr>
          <w:color w:val="000000" w:themeColor="text1"/>
          <w14:textFill>
            <w14:solidFill>
              <w14:schemeClr w14:val="tx1"/>
            </w14:solidFill>
          </w14:textFill>
        </w:rPr>
        <w:br/>
      </w:r>
      <w:r>
        <w:rPr>
          <w:color w:val="000000" w:themeColor="text1"/>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https://d.book118.com/548061103076006033</w:t>
        </w:r>
      </w:hyperlink>
    </w:p>
    <w:p>
      <w:pPr>
        <w:rPr>
          <w:color w:val="000000" w:themeColor="text1"/>
          <w14:textFill>
            <w14:solidFill>
              <w14:schemeClr w14:val="tx1"/>
            </w14:solidFill>
          </w14:textFill>
        </w:rPr>
      </w:pPr>
    </w:p>
    <w:sectPr>
      <w:headerReference w:type="default" r:id="rId42"/>
      <w:footerReference w:type="default" r:id="rId43"/>
      <w:type w:val="nextPage"/>
      <w:pgSz w:w="11907" w:h="16840"/>
      <w:pgMar w:top="1418" w:right="1418" w:bottom="1418" w:left="1418" w:header="720" w:footer="720" w:gutter="0"/>
      <w:pgNumType w:start="7"/>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II</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III</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IV</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2</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3</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4</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5</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E"/>
    <w:multiLevelType w:val="multilevel"/>
    <w:tmpl w:val="0000000E"/>
    <w:lvl w:ilvl="0">
      <w:start w:val="1"/>
      <w:numFmt w:val="bullet"/>
      <w:pStyle w:val="Char"/>
      <w:lvlText w:val=""/>
      <w:lvlJc w:val="left"/>
      <w:pPr>
        <w:tabs>
          <w:tab w:val="left" w:pos="960"/>
        </w:tabs>
        <w:ind w:left="960" w:firstLine="0"/>
      </w:pPr>
      <w:rPr>
        <w:rFonts w:ascii="Symbol" w:hAnsi="Symbol" w:hint="default"/>
        <w:color w:val="auto"/>
      </w:rPr>
    </w:lvl>
    <w:lvl w:ilvl="1">
      <w:start w:val="1"/>
      <w:numFmt w:val="bullet"/>
      <w:lvlText w:val=""/>
      <w:lvlJc w:val="left"/>
      <w:pPr>
        <w:tabs>
          <w:tab w:val="left" w:pos="1380"/>
        </w:tabs>
        <w:ind w:left="1380" w:hanging="420"/>
      </w:pPr>
      <w:rPr>
        <w:rFonts w:ascii="Wingdings" w:hAnsi="Wingdings" w:hint="default"/>
      </w:rPr>
    </w:lvl>
    <w:lvl w:ilvl="2">
      <w:start w:val="1"/>
      <w:numFmt w:val="bullet"/>
      <w:lvlText w:val=""/>
      <w:lvlJc w:val="left"/>
      <w:pPr>
        <w:tabs>
          <w:tab w:val="left" w:pos="1800"/>
        </w:tabs>
        <w:ind w:left="1800" w:hanging="420"/>
      </w:pPr>
      <w:rPr>
        <w:rFonts w:ascii="Wingdings" w:hAnsi="Wingdings" w:hint="default"/>
      </w:rPr>
    </w:lvl>
    <w:lvl w:ilvl="3">
      <w:start w:val="1"/>
      <w:numFmt w:val="bullet"/>
      <w:lvlText w:val=""/>
      <w:lvlJc w:val="left"/>
      <w:pPr>
        <w:tabs>
          <w:tab w:val="left" w:pos="2220"/>
        </w:tabs>
        <w:ind w:left="2220" w:hanging="420"/>
      </w:pPr>
      <w:rPr>
        <w:rFonts w:ascii="Wingdings" w:hAnsi="Wingdings" w:hint="default"/>
      </w:rPr>
    </w:lvl>
    <w:lvl w:ilvl="4">
      <w:start w:val="1"/>
      <w:numFmt w:val="bullet"/>
      <w:lvlText w:val=""/>
      <w:lvlJc w:val="left"/>
      <w:pPr>
        <w:tabs>
          <w:tab w:val="left" w:pos="2640"/>
        </w:tabs>
        <w:ind w:left="2640" w:hanging="420"/>
      </w:pPr>
      <w:rPr>
        <w:rFonts w:ascii="Wingdings" w:hAnsi="Wingdings" w:hint="default"/>
      </w:rPr>
    </w:lvl>
    <w:lvl w:ilvl="5">
      <w:start w:val="1"/>
      <w:numFmt w:val="bullet"/>
      <w:lvlText w:val=""/>
      <w:lvlJc w:val="left"/>
      <w:pPr>
        <w:tabs>
          <w:tab w:val="left" w:pos="3060"/>
        </w:tabs>
        <w:ind w:left="3060" w:hanging="420"/>
      </w:pPr>
      <w:rPr>
        <w:rFonts w:ascii="Wingdings" w:hAnsi="Wingdings" w:hint="default"/>
      </w:rPr>
    </w:lvl>
    <w:lvl w:ilvl="6">
      <w:start w:val="1"/>
      <w:numFmt w:val="bullet"/>
      <w:lvlText w:val=""/>
      <w:lvlJc w:val="left"/>
      <w:pPr>
        <w:tabs>
          <w:tab w:val="left" w:pos="3480"/>
        </w:tabs>
        <w:ind w:left="3480" w:hanging="420"/>
      </w:pPr>
      <w:rPr>
        <w:rFonts w:ascii="Wingdings" w:hAnsi="Wingdings" w:hint="default"/>
      </w:rPr>
    </w:lvl>
    <w:lvl w:ilvl="7">
      <w:start w:val="1"/>
      <w:numFmt w:val="bullet"/>
      <w:lvlText w:val=""/>
      <w:lvlJc w:val="left"/>
      <w:pPr>
        <w:tabs>
          <w:tab w:val="left" w:pos="3900"/>
        </w:tabs>
        <w:ind w:left="3900" w:hanging="420"/>
      </w:pPr>
      <w:rPr>
        <w:rFonts w:ascii="Wingdings" w:hAnsi="Wingdings" w:hint="default"/>
      </w:rPr>
    </w:lvl>
    <w:lvl w:ilvl="8">
      <w:start w:val="1"/>
      <w:numFmt w:val="bullet"/>
      <w:lvlText w:val=""/>
      <w:lvlJc w:val="left"/>
      <w:pPr>
        <w:tabs>
          <w:tab w:val="left" w:pos="4320"/>
        </w:tabs>
        <w:ind w:left="432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2"/>
  <w:drawingGridVerticalSpacing w:val="2"/>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47A546E"/>
    <w:rsid w:val="134339E1"/>
    <w:rsid w:val="1AB35B5C"/>
    <w:rsid w:val="32E46A43"/>
  </w:rsids>
  <w:docVars>
    <w:docVar w:name="commondata" w:val="eyJoZGlkIjoiYmJkMzFlZDU1MGY3MWIxY2MyMjhkMTlhNGVhMDBjO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nhideWhenUsed="0" w:qFormat="1"/>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keepNext/>
      <w:keepLines/>
      <w:spacing w:before="340" w:after="330" w:line="578" w:lineRule="auto"/>
      <w:outlineLvl w:val="0"/>
    </w:pPr>
    <w:rPr>
      <w:b/>
      <w:bCs/>
      <w:kern w:val="44"/>
      <w:sz w:val="44"/>
      <w:szCs w:val="44"/>
    </w:rPr>
  </w:style>
  <w:style w:type="paragraph" w:styleId="Heading2">
    <w:name w:val="heading 2"/>
    <w:basedOn w:val="Normal"/>
    <w:next w:val="Normal"/>
    <w:qFormat/>
    <w:pPr>
      <w:keepNext/>
      <w:keepLines/>
      <w:adjustRightInd w:val="0"/>
      <w:snapToGrid w:val="0"/>
      <w:spacing w:before="240" w:beforeLines="100" w:after="240" w:afterLines="100"/>
      <w:jc w:val="left"/>
      <w:outlineLvl w:val="1"/>
    </w:pPr>
    <w:rPr>
      <w:rFonts w:ascii="黑体" w:eastAsia="黑体"/>
      <w:bCs/>
      <w:sz w:val="30"/>
      <w:szCs w:val="30"/>
    </w:rPr>
  </w:style>
  <w:style w:type="paragraph" w:styleId="Heading3">
    <w:name w:val="heading 3"/>
    <w:basedOn w:val="Normal"/>
    <w:next w:val="Normal"/>
    <w:autoRedefine/>
    <w:qFormat/>
    <w:pPr>
      <w:keepNext/>
      <w:keepLines/>
      <w:adjustRightInd w:val="0"/>
      <w:snapToGrid w:val="0"/>
      <w:spacing w:before="240" w:beforeLines="100" w:after="240" w:afterLines="100"/>
      <w:jc w:val="left"/>
      <w:outlineLvl w:val="2"/>
    </w:pPr>
    <w:rPr>
      <w:rFonts w:eastAsia="黑体"/>
      <w:bCs/>
      <w:sz w:val="28"/>
      <w:szCs w:val="28"/>
    </w:rPr>
  </w:style>
  <w:style w:type="character" w:default="1" w:styleId="DefaultParagraphFont">
    <w:name w:val="Default Paragraph Font"/>
    <w:autoRedefine/>
    <w:uiPriority w:val="1"/>
    <w:qFormat/>
  </w:style>
  <w:style w:type="table" w:default="1" w:styleId="TableNormal">
    <w:name w:val="Normal Table"/>
    <w:autoRedefine/>
    <w:uiPriority w:val="99"/>
    <w:qFormat/>
    <w:tblPr>
      <w:tblCellMar>
        <w:top w:w="0" w:type="dxa"/>
        <w:left w:w="108" w:type="dxa"/>
        <w:bottom w:w="0" w:type="dxa"/>
        <w:right w:w="108" w:type="dxa"/>
      </w:tblCellMar>
    </w:tblPr>
  </w:style>
  <w:style w:type="paragraph" w:styleId="TOC7">
    <w:name w:val="toc 7"/>
    <w:basedOn w:val="Normal"/>
    <w:next w:val="Normal"/>
    <w:autoRedefine/>
    <w:qFormat/>
    <w:pPr>
      <w:ind w:left="1260"/>
      <w:jc w:val="left"/>
    </w:pPr>
    <w:rPr>
      <w:sz w:val="18"/>
      <w:szCs w:val="18"/>
    </w:rPr>
  </w:style>
  <w:style w:type="paragraph" w:styleId="DocumentMap">
    <w:name w:val="Document Map"/>
    <w:basedOn w:val="Normal"/>
    <w:autoRedefine/>
    <w:qFormat/>
    <w:pPr>
      <w:shd w:val="clear" w:color="auto" w:fill="000080"/>
    </w:pPr>
  </w:style>
  <w:style w:type="paragraph" w:styleId="CommentText">
    <w:name w:val="annotation text"/>
    <w:basedOn w:val="Normal"/>
    <w:autoRedefine/>
    <w:qFormat/>
    <w:pPr>
      <w:jc w:val="left"/>
    </w:pPr>
  </w:style>
  <w:style w:type="paragraph" w:styleId="BodyText">
    <w:name w:val="Body Text"/>
    <w:basedOn w:val="Normal"/>
    <w:autoRedefine/>
    <w:qFormat/>
    <w:pPr>
      <w:spacing w:line="300" w:lineRule="auto"/>
      <w:ind w:firstLine="200" w:firstLineChars="200"/>
      <w:jc w:val="left"/>
    </w:pPr>
    <w:rPr>
      <w:sz w:val="24"/>
    </w:rPr>
  </w:style>
  <w:style w:type="paragraph" w:styleId="TOC5">
    <w:name w:val="toc 5"/>
    <w:basedOn w:val="Normal"/>
    <w:next w:val="Normal"/>
    <w:autoRedefine/>
    <w:qFormat/>
    <w:pPr>
      <w:ind w:left="840"/>
      <w:jc w:val="left"/>
    </w:pPr>
    <w:rPr>
      <w:sz w:val="18"/>
      <w:szCs w:val="18"/>
    </w:rPr>
  </w:style>
  <w:style w:type="paragraph" w:styleId="TOC3">
    <w:name w:val="toc 3"/>
    <w:basedOn w:val="Normal"/>
    <w:next w:val="Normal"/>
    <w:autoRedefine/>
    <w:uiPriority w:val="39"/>
    <w:qFormat/>
    <w:pPr>
      <w:tabs>
        <w:tab w:val="left" w:pos="1260"/>
        <w:tab w:val="right" w:leader="dot" w:pos="9062"/>
      </w:tabs>
      <w:spacing w:line="360" w:lineRule="auto"/>
      <w:ind w:firstLine="480" w:firstLineChars="200"/>
      <w:jc w:val="left"/>
    </w:pPr>
    <w:rPr>
      <w:iCs/>
      <w:sz w:val="24"/>
      <w:szCs w:val="20"/>
    </w:rPr>
  </w:style>
  <w:style w:type="paragraph" w:styleId="TOC8">
    <w:name w:val="toc 8"/>
    <w:basedOn w:val="Normal"/>
    <w:next w:val="Normal"/>
    <w:autoRedefine/>
    <w:qFormat/>
    <w:pPr>
      <w:ind w:left="1470"/>
      <w:jc w:val="left"/>
    </w:pPr>
    <w:rPr>
      <w:sz w:val="18"/>
      <w:szCs w:val="18"/>
    </w:rPr>
  </w:style>
  <w:style w:type="paragraph" w:styleId="Date">
    <w:name w:val="Date"/>
    <w:basedOn w:val="Normal"/>
    <w:next w:val="Normal"/>
    <w:autoRedefine/>
    <w:qFormat/>
    <w:pPr>
      <w:ind w:left="100" w:leftChars="2500"/>
    </w:pPr>
  </w:style>
  <w:style w:type="paragraph" w:styleId="BalloonText">
    <w:name w:val="Balloon Text"/>
    <w:basedOn w:val="Normal"/>
    <w:autoRedefine/>
    <w:qFormat/>
    <w:rPr>
      <w:sz w:val="18"/>
      <w:szCs w:val="18"/>
    </w:rPr>
  </w:style>
  <w:style w:type="paragraph" w:styleId="Footer">
    <w:name w:val="footer"/>
    <w:basedOn w:val="Normal"/>
    <w:link w:val="Char0"/>
    <w:autoRedefine/>
    <w:uiPriority w:val="99"/>
    <w:qFormat/>
    <w:pPr>
      <w:tabs>
        <w:tab w:val="center" w:pos="4153"/>
        <w:tab w:val="right" w:pos="8306"/>
      </w:tabs>
      <w:snapToGrid w:val="0"/>
      <w:jc w:val="left"/>
    </w:pPr>
    <w:rPr>
      <w:sz w:val="18"/>
      <w:szCs w:val="18"/>
    </w:rPr>
  </w:style>
  <w:style w:type="paragraph" w:styleId="Header">
    <w:name w:val="header"/>
    <w:basedOn w:val="Normal"/>
    <w:link w:val="Char1"/>
    <w:autoRedefine/>
    <w:uiPriority w:val="99"/>
    <w:qFormat/>
    <w:pPr>
      <w:pBdr>
        <w:bottom w:val="single" w:sz="6" w:space="1" w:color="auto"/>
      </w:pBdr>
      <w:snapToGrid w:val="0"/>
      <w:jc w:val="center"/>
    </w:pPr>
    <w:rPr>
      <w:rFonts w:ascii="宋体" w:hAnsi="宋体"/>
      <w:color w:val="000000"/>
      <w:szCs w:val="21"/>
    </w:rPr>
  </w:style>
  <w:style w:type="paragraph" w:styleId="TOC1">
    <w:name w:val="toc 1"/>
    <w:basedOn w:val="Normal"/>
    <w:next w:val="Normal"/>
    <w:autoRedefine/>
    <w:uiPriority w:val="39"/>
    <w:qFormat/>
    <w:pPr>
      <w:tabs>
        <w:tab w:val="right" w:leader="dot" w:pos="9062"/>
      </w:tabs>
      <w:spacing w:line="360" w:lineRule="auto"/>
      <w:jc w:val="center"/>
    </w:pPr>
    <w:rPr>
      <w:rFonts w:eastAsia="黑体"/>
      <w:bCs/>
      <w:caps/>
      <w:sz w:val="24"/>
    </w:rPr>
  </w:style>
  <w:style w:type="paragraph" w:styleId="TOC4">
    <w:name w:val="toc 4"/>
    <w:basedOn w:val="Normal"/>
    <w:next w:val="Normal"/>
    <w:autoRedefine/>
    <w:qFormat/>
    <w:pPr>
      <w:ind w:left="630"/>
      <w:jc w:val="left"/>
    </w:pPr>
    <w:rPr>
      <w:sz w:val="18"/>
      <w:szCs w:val="18"/>
    </w:rPr>
  </w:style>
  <w:style w:type="paragraph" w:styleId="TOC6">
    <w:name w:val="toc 6"/>
    <w:basedOn w:val="Normal"/>
    <w:next w:val="Normal"/>
    <w:autoRedefine/>
    <w:qFormat/>
    <w:pPr>
      <w:ind w:left="1050"/>
      <w:jc w:val="left"/>
    </w:pPr>
    <w:rPr>
      <w:sz w:val="18"/>
      <w:szCs w:val="18"/>
    </w:rPr>
  </w:style>
  <w:style w:type="paragraph" w:styleId="TOC2">
    <w:name w:val="toc 2"/>
    <w:basedOn w:val="Normal"/>
    <w:next w:val="Normal"/>
    <w:autoRedefine/>
    <w:uiPriority w:val="39"/>
    <w:qFormat/>
    <w:pPr>
      <w:tabs>
        <w:tab w:val="right" w:leader="dot" w:pos="9061"/>
      </w:tabs>
      <w:spacing w:line="360" w:lineRule="auto"/>
      <w:jc w:val="left"/>
    </w:pPr>
    <w:rPr>
      <w:smallCaps/>
      <w:sz w:val="24"/>
    </w:rPr>
  </w:style>
  <w:style w:type="paragraph" w:styleId="TOC9">
    <w:name w:val="toc 9"/>
    <w:basedOn w:val="Normal"/>
    <w:next w:val="Normal"/>
    <w:autoRedefine/>
    <w:qFormat/>
    <w:pPr>
      <w:ind w:left="1680"/>
      <w:jc w:val="left"/>
    </w:pPr>
    <w:rPr>
      <w:sz w:val="18"/>
      <w:szCs w:val="18"/>
    </w:rPr>
  </w:style>
  <w:style w:type="paragraph" w:styleId="NormalWeb">
    <w:name w:val="Normal (Web)"/>
    <w:basedOn w:val="Normal"/>
    <w:autoRedefine/>
    <w:uiPriority w:val="99"/>
    <w:qFormat/>
    <w:pPr>
      <w:widowControl/>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autoRedefine/>
    <w:qFormat/>
    <w:rPr>
      <w:b/>
      <w:bCs/>
    </w:rPr>
  </w:style>
  <w:style w:type="paragraph" w:styleId="BodyTextFirstIndent">
    <w:name w:val="Body Text First Indent"/>
    <w:basedOn w:val="BodyText"/>
    <w:autoRedefine/>
    <w:qFormat/>
    <w:pPr>
      <w:spacing w:after="120" w:line="240" w:lineRule="auto"/>
      <w:ind w:firstLine="420" w:firstLineChars="100"/>
      <w:jc w:val="both"/>
    </w:pPr>
    <w:rPr>
      <w:sz w:val="21"/>
    </w:rPr>
  </w:style>
  <w:style w:type="table" w:styleId="TableGrid">
    <w:name w:val="Table Grid"/>
    <w:basedOn w:val="TableNormal"/>
    <w:autoRedefine/>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ageNumber">
    <w:name w:val="page number"/>
    <w:basedOn w:val="DefaultParagraphFont"/>
    <w:qFormat/>
    <w:rPr>
      <w:rFonts w:ascii="Tahoma" w:eastAsia="宋体" w:hAnsi="Tahoma"/>
      <w:color w:val="000000"/>
      <w:kern w:val="2"/>
      <w:sz w:val="18"/>
      <w:szCs w:val="18"/>
      <w:lang w:val="en-US" w:eastAsia="zh-CN" w:bidi="ar-SA"/>
    </w:rPr>
  </w:style>
  <w:style w:type="character" w:styleId="FollowedHyperlink">
    <w:name w:val="FollowedHyperlink"/>
    <w:autoRedefine/>
    <w:qFormat/>
    <w:rPr>
      <w:rFonts w:ascii="Tahoma" w:eastAsia="宋体" w:hAnsi="Tahoma"/>
      <w:color w:val="000000"/>
      <w:kern w:val="2"/>
      <w:sz w:val="18"/>
      <w:szCs w:val="18"/>
      <w:u w:val="single"/>
      <w:lang w:val="en-US" w:eastAsia="zh-CN" w:bidi="ar-SA"/>
    </w:rPr>
  </w:style>
  <w:style w:type="character" w:styleId="Hyperlink">
    <w:name w:val="Hyperlink"/>
    <w:qFormat/>
    <w:rPr>
      <w:rFonts w:ascii="Tahoma" w:eastAsia="宋体" w:hAnsi="Tahoma"/>
      <w:color w:val="0000FF"/>
      <w:kern w:val="2"/>
      <w:sz w:val="18"/>
      <w:szCs w:val="18"/>
      <w:u w:val="single"/>
      <w:lang w:val="en-US" w:eastAsia="zh-CN" w:bidi="ar-SA"/>
    </w:rPr>
  </w:style>
  <w:style w:type="character" w:styleId="CommentReference">
    <w:name w:val="annotation reference"/>
    <w:autoRedefine/>
    <w:qFormat/>
    <w:rPr>
      <w:rFonts w:ascii="Tahoma" w:eastAsia="宋体" w:hAnsi="Tahoma"/>
      <w:color w:val="000000"/>
      <w:kern w:val="2"/>
      <w:sz w:val="21"/>
      <w:szCs w:val="21"/>
      <w:lang w:val="en-US" w:eastAsia="zh-CN" w:bidi="ar-SA"/>
    </w:rPr>
  </w:style>
  <w:style w:type="paragraph" w:customStyle="1" w:styleId="2Char">
    <w:name w:val="正文缩进2字符 Char"/>
    <w:basedOn w:val="Normal"/>
    <w:autoRedefine/>
    <w:qFormat/>
    <w:pPr>
      <w:ind w:firstLine="200" w:firstLineChars="200"/>
    </w:pPr>
  </w:style>
  <w:style w:type="character" w:customStyle="1" w:styleId="2CharChar">
    <w:name w:val="正文缩进2字符 Char Char"/>
    <w:qFormat/>
    <w:rPr>
      <w:rFonts w:ascii="Tahoma" w:eastAsia="宋体" w:hAnsi="Tahoma"/>
      <w:color w:val="000000"/>
      <w:kern w:val="2"/>
      <w:sz w:val="21"/>
      <w:szCs w:val="24"/>
      <w:lang w:val="en-US" w:eastAsia="zh-CN" w:bidi="ar-SA"/>
    </w:rPr>
  </w:style>
  <w:style w:type="paragraph" w:customStyle="1" w:styleId="a">
    <w:name w:val="图文字"/>
    <w:basedOn w:val="Normal"/>
    <w:autoRedefine/>
    <w:qFormat/>
    <w:rPr>
      <w:sz w:val="18"/>
    </w:rPr>
  </w:style>
  <w:style w:type="paragraph" w:customStyle="1" w:styleId="Char">
    <w:name w:val="Char"/>
    <w:basedOn w:val="Normal"/>
    <w:autoRedefine/>
    <w:qFormat/>
    <w:pPr>
      <w:numPr>
        <w:ilvl w:val="0"/>
        <w:numId w:val="1"/>
      </w:numPr>
      <w:ind w:left="284"/>
    </w:pPr>
    <w:rPr>
      <w:rFonts w:ascii="Tahoma" w:hAnsi="Tahoma"/>
      <w:color w:val="000000"/>
      <w:sz w:val="18"/>
      <w:szCs w:val="18"/>
    </w:rPr>
  </w:style>
  <w:style w:type="character" w:customStyle="1" w:styleId="Char0">
    <w:name w:val="页脚 Char"/>
    <w:basedOn w:val="DefaultParagraphFont"/>
    <w:link w:val="Footer"/>
    <w:autoRedefine/>
    <w:uiPriority w:val="99"/>
    <w:qFormat/>
    <w:rPr>
      <w:rFonts w:ascii="Tahoma" w:eastAsia="宋体" w:hAnsi="Tahoma"/>
      <w:color w:val="000000"/>
      <w:kern w:val="2"/>
      <w:sz w:val="18"/>
      <w:szCs w:val="18"/>
      <w:lang w:val="en-US" w:eastAsia="zh-CN" w:bidi="ar-SA"/>
    </w:rPr>
  </w:style>
  <w:style w:type="character" w:customStyle="1" w:styleId="Char1">
    <w:name w:val="页眉 Char"/>
    <w:link w:val="Header"/>
    <w:uiPriority w:val="99"/>
    <w:qFormat/>
    <w:rPr>
      <w:rFonts w:ascii="宋体" w:eastAsia="宋体" w:hAnsi="宋体"/>
      <w:color w:val="000000"/>
      <w:kern w:val="2"/>
      <w:sz w:val="21"/>
      <w:szCs w:val="21"/>
      <w:lang w:val="en-US" w:eastAsia="zh-CN" w:bidi="ar-SA"/>
    </w:rPr>
  </w:style>
  <w:style w:type="character" w:customStyle="1" w:styleId="p141">
    <w:name w:val="p141"/>
    <w:qFormat/>
    <w:rPr>
      <w:rFonts w:ascii="Tahoma" w:eastAsia="宋体" w:hAnsi="Tahoma"/>
      <w:color w:val="000000"/>
      <w:kern w:val="2"/>
      <w:sz w:val="21"/>
      <w:szCs w:val="21"/>
      <w:u w:val="none"/>
      <w:vertAlign w:val="baseline"/>
      <w:lang w:val="en-US" w:eastAsia="zh-CN" w:bidi="ar-SA"/>
    </w:rPr>
  </w:style>
  <w:style w:type="paragraph" w:customStyle="1" w:styleId="Revision">
    <w:name w:val="Revision"/>
    <w:uiPriority w:val="99"/>
    <w:qFormat/>
    <w:rPr>
      <w:rFonts w:ascii="Times New Roman" w:eastAsia="宋体" w:hAnsi="Times New Roman" w:cs="Times New Roman"/>
      <w:kern w:val="2"/>
      <w:sz w:val="21"/>
      <w:szCs w:val="24"/>
      <w:lang w:val="en-US" w:eastAsia="zh-CN" w:bidi="ar-SA"/>
    </w:rPr>
  </w:style>
  <w:style w:type="paragraph" w:customStyle="1" w:styleId="32">
    <w:name w:val="样式 目录 3 + 首行缩进:  2 字符"/>
    <w:basedOn w:val="TOC3"/>
    <w:qFormat/>
    <w:rPr>
      <w:rFonts w:cs="宋体"/>
      <w:iCs w:val="0"/>
    </w:rPr>
  </w:style>
  <w:style w:type="paragraph" w:customStyle="1" w:styleId="TOCHeading">
    <w:name w:val="TOC Heading"/>
    <w:basedOn w:val="Heading1"/>
    <w:next w:val="Normal"/>
    <w:uiPriority w:val="39"/>
    <w:qFormat/>
    <w:pPr>
      <w:widowControl/>
      <w:spacing w:before="480" w:after="0" w:line="276" w:lineRule="auto"/>
      <w:jc w:val="left"/>
      <w:outlineLvl w:val="9"/>
    </w:pPr>
    <w:rPr>
      <w:rFonts w:ascii="Cambria" w:eastAsia="宋体" w:hAnsi="Cambria" w:cs="宋体"/>
      <w:color w:val="365F91"/>
      <w:kern w:val="0"/>
      <w:sz w:val="28"/>
      <w:szCs w:val="28"/>
    </w:rPr>
  </w:style>
  <w:style w:type="paragraph" w:styleId="ListParagraph">
    <w:name w:val="List Paragraph"/>
    <w:basedOn w:val="Normal"/>
    <w:uiPriority w:val="34"/>
    <w:qFormat/>
    <w:pPr>
      <w:ind w:firstLine="420" w:firstLineChars="200"/>
    </w:pPr>
  </w:style>
  <w:style w:type="table" w:customStyle="1" w:styleId="TableGrid0">
    <w:name w:val="Table Grid_0"/>
    <w:basedOn w:val="TableNormal"/>
    <w:autoRedefine/>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4.xml" /><Relationship Id="rId12" Type="http://schemas.openxmlformats.org/officeDocument/2006/relationships/header" Target="header4.xml" /><Relationship Id="rId13" Type="http://schemas.openxmlformats.org/officeDocument/2006/relationships/footer" Target="footer5.xml" /><Relationship Id="rId14" Type="http://schemas.openxmlformats.org/officeDocument/2006/relationships/header" Target="header5.xml" /><Relationship Id="rId15" Type="http://schemas.openxmlformats.org/officeDocument/2006/relationships/footer" Target="footer6.xml" /><Relationship Id="rId16" Type="http://schemas.openxmlformats.org/officeDocument/2006/relationships/header" Target="header6.xml" /><Relationship Id="rId17" Type="http://schemas.openxmlformats.org/officeDocument/2006/relationships/footer" Target="footer7.xml" /><Relationship Id="rId18" Type="http://schemas.openxmlformats.org/officeDocument/2006/relationships/header" Target="head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9.xml" /><Relationship Id="rId22" Type="http://schemas.openxmlformats.org/officeDocument/2006/relationships/image" Target="media/image1.wmf" /><Relationship Id="rId23" Type="http://schemas.openxmlformats.org/officeDocument/2006/relationships/oleObject" Target="embeddings/oleObject1.bin" /><Relationship Id="rId24" Type="http://schemas.openxmlformats.org/officeDocument/2006/relationships/image" Target="media/image2.wmf" /><Relationship Id="rId25" Type="http://schemas.openxmlformats.org/officeDocument/2006/relationships/oleObject" Target="embeddings/oleObject2.bin" /><Relationship Id="rId26" Type="http://schemas.openxmlformats.org/officeDocument/2006/relationships/image" Target="media/image3.wmf" /><Relationship Id="rId27" Type="http://schemas.openxmlformats.org/officeDocument/2006/relationships/oleObject" Target="embeddings/oleObject3.bin" /><Relationship Id="rId28" Type="http://schemas.openxmlformats.org/officeDocument/2006/relationships/image" Target="media/image4.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5.wmf" /><Relationship Id="rId31" Type="http://schemas.openxmlformats.org/officeDocument/2006/relationships/oleObject" Target="embeddings/oleObject5.bin" /><Relationship Id="rId32" Type="http://schemas.openxmlformats.org/officeDocument/2006/relationships/image" Target="media/image6.wmf" /><Relationship Id="rId33" Type="http://schemas.openxmlformats.org/officeDocument/2006/relationships/oleObject" Target="embeddings/oleObject6.bin" /><Relationship Id="rId34" Type="http://schemas.openxmlformats.org/officeDocument/2006/relationships/image" Target="media/image7.wmf" /><Relationship Id="rId35" Type="http://schemas.openxmlformats.org/officeDocument/2006/relationships/oleObject" Target="embeddings/oleObject7.bin" /><Relationship Id="rId36" Type="http://schemas.openxmlformats.org/officeDocument/2006/relationships/image" Target="media/image8.wmf" /><Relationship Id="rId37" Type="http://schemas.openxmlformats.org/officeDocument/2006/relationships/oleObject" Target="embeddings/oleObject8.bin" /><Relationship Id="rId38" Type="http://schemas.openxmlformats.org/officeDocument/2006/relationships/header" Target="header9.xml" /><Relationship Id="rId39" Type="http://schemas.openxmlformats.org/officeDocument/2006/relationships/footer" Target="footer10.xml" /><Relationship Id="rId4" Type="http://schemas.openxmlformats.org/officeDocument/2006/relationships/customXml" Target="../customXml/item1.xml" /><Relationship Id="rId40" Type="http://schemas.openxmlformats.org/officeDocument/2006/relationships/chart" Target="charts/chart1.xml" /><Relationship Id="rId41" Type="http://schemas.openxmlformats.org/officeDocument/2006/relationships/hyperlink" Target="https://d.book118.com/548061103076006033" TargetMode="External" /><Relationship Id="rId42" Type="http://schemas.openxmlformats.org/officeDocument/2006/relationships/header" Target="header10.xml" /><Relationship Id="rId43" Type="http://schemas.openxmlformats.org/officeDocument/2006/relationships/footer" Target="footer11.xml" /><Relationship Id="rId44" Type="http://schemas.openxmlformats.org/officeDocument/2006/relationships/theme" Target="theme/theme1.xml" /><Relationship Id="rId45" Type="http://schemas.openxmlformats.org/officeDocument/2006/relationships/numbering" Target="numbering.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footer" Target="footer3.xml" /></Relationships>
</file>

<file path=word/charts/_rels/chart1.xml.rels><?xml version="1.0" encoding="utf-8" standalone="yes"?><Relationships xmlns="http://schemas.openxmlformats.org/package/2006/relationships"><Relationship Id="rId1" Type="http://schemas.openxmlformats.org/officeDocument/2006/relationships/package" Target="../embeddings/Microsoft_Excel_Worksheet1.xlsx" /><Relationship Id="rId2" Type="http://schemas.openxmlformats.org/officeDocument/2006/relationships/themeOverride" Target="../theme/themeOverride1.xml" /></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Sheet2!$N$89</c:f>
              <c:strCache>
                <c:ptCount val="1"/>
                <c:pt idx="0">
                  <c:v>总资产</c:v>
                </c:pt>
              </c:strCache>
            </c:strRef>
          </c:tx>
          <c:spPr>
            <a:ln w="28575">
              <a:solidFill>
                <a:schemeClr val="phClr">
                  <a:shade val="95000"/>
                  <a:satMod val="105000"/>
                </a:schemeClr>
              </a:solidFill>
            </a:ln>
          </c:spPr>
          <c:marker>
            <c:symbol val="none"/>
          </c:marker>
          <c:dLbls>
            <c:delete val="1"/>
            <c:showLegendKey val="0"/>
            <c:showVal val="0"/>
            <c:showCatName val="0"/>
            <c:showSerName val="0"/>
            <c:showPercent val="0"/>
            <c:showBubbleSize val="0"/>
          </c:dLbls>
          <c:cat>
            <c:strRef>
              <c:f>Sheet2!$O$88:$U$88</c:f>
              <c:strCache>
                <c:ptCount val="7"/>
                <c:pt idx="0">
                  <c:v>2012年</c:v>
                </c:pt>
                <c:pt idx="1">
                  <c:v>2013年</c:v>
                </c:pt>
                <c:pt idx="2">
                  <c:v>2014年</c:v>
                </c:pt>
                <c:pt idx="3">
                  <c:v>2015年</c:v>
                </c:pt>
                <c:pt idx="4">
                  <c:v>2016年</c:v>
                </c:pt>
                <c:pt idx="5">
                  <c:v>2017年</c:v>
                </c:pt>
                <c:pt idx="6">
                  <c:v>2018年</c:v>
                </c:pt>
              </c:strCache>
            </c:strRef>
          </c:cat>
          <c:val>
            <c:numRef>
              <c:f>Sheet2!$O$89:$U$89</c:f>
              <c:numCache>
                <c:formatCode>0.00_ </c:formatCode>
                <c:ptCount val="7"/>
                <c:pt idx="0">
                  <c:v>2901.14953204</c:v>
                </c:pt>
                <c:pt idx="1">
                  <c:v>5020.32496622</c:v>
                </c:pt>
                <c:pt idx="2">
                  <c:v>8851.02324713</c:v>
                </c:pt>
                <c:pt idx="3">
                  <c:v>16982.15455891</c:v>
                </c:pt>
                <c:pt idx="4">
                  <c:v>32233.82600907</c:v>
                </c:pt>
                <c:pt idx="5">
                  <c:v>17897.64913708</c:v>
                </c:pt>
                <c:pt idx="6">
                  <c:v>8450.00661706</c:v>
                </c:pt>
              </c:numCache>
            </c:numRef>
          </c:val>
          <c:smooth val="0"/>
        </c:ser>
        <c:ser>
          <c:idx val="1"/>
          <c:order val="1"/>
          <c:tx>
            <c:strRef>
              <c:f>Sheet2!$N$90</c:f>
              <c:strCache>
                <c:ptCount val="1"/>
                <c:pt idx="0">
                  <c:v>流动负债</c:v>
                </c:pt>
              </c:strCache>
            </c:strRef>
          </c:tx>
          <c:spPr>
            <a:ln w="28575">
              <a:solidFill>
                <a:schemeClr val="phClr">
                  <a:shade val="95000"/>
                  <a:satMod val="105000"/>
                </a:schemeClr>
              </a:solidFill>
            </a:ln>
          </c:spPr>
          <c:marker>
            <c:symbol val="none"/>
          </c:marker>
          <c:dLbls>
            <c:delete val="1"/>
            <c:showLegendKey val="0"/>
            <c:showVal val="0"/>
            <c:showCatName val="0"/>
            <c:showSerName val="0"/>
            <c:showPercent val="0"/>
            <c:showBubbleSize val="0"/>
          </c:dLbls>
          <c:cat>
            <c:strRef>
              <c:f>Sheet2!$O$88:$U$88</c:f>
              <c:strCache>
                <c:ptCount val="7"/>
                <c:pt idx="0">
                  <c:v>2012年</c:v>
                </c:pt>
                <c:pt idx="1">
                  <c:v>2013年</c:v>
                </c:pt>
                <c:pt idx="2">
                  <c:v>2014年</c:v>
                </c:pt>
                <c:pt idx="3">
                  <c:v>2015年</c:v>
                </c:pt>
                <c:pt idx="4">
                  <c:v>2016年</c:v>
                </c:pt>
                <c:pt idx="5">
                  <c:v>2017年</c:v>
                </c:pt>
                <c:pt idx="6">
                  <c:v>2018年</c:v>
                </c:pt>
              </c:strCache>
            </c:strRef>
          </c:cat>
          <c:val>
            <c:numRef>
              <c:f>Sheet2!$O$90:$U$90</c:f>
              <c:numCache>
                <c:formatCode>0.00_ </c:formatCode>
                <c:ptCount val="7"/>
                <c:pt idx="0">
                  <c:v>1113.56037448</c:v>
                </c:pt>
                <c:pt idx="1">
                  <c:v>2506.60147783</c:v>
                </c:pt>
                <c:pt idx="2">
                  <c:v>4403.87542666</c:v>
                </c:pt>
                <c:pt idx="3">
                  <c:v>7452.51862395</c:v>
                </c:pt>
                <c:pt idx="4">
                  <c:v>12483.26999728</c:v>
                </c:pt>
                <c:pt idx="5">
                  <c:v>14494.25033585</c:v>
                </c:pt>
                <c:pt idx="6">
                  <c:v>8132.53083686</c:v>
                </c:pt>
              </c:numCache>
            </c:numRef>
          </c:val>
          <c:smooth val="0"/>
        </c:ser>
        <c:ser>
          <c:idx val="2"/>
          <c:order val="2"/>
          <c:tx>
            <c:strRef>
              <c:f>Sheet2!$N$91</c:f>
              <c:strCache>
                <c:ptCount val="1"/>
                <c:pt idx="0">
                  <c:v>长期负债</c:v>
                </c:pt>
              </c:strCache>
            </c:strRef>
          </c:tx>
          <c:spPr>
            <a:ln w="28575">
              <a:solidFill>
                <a:schemeClr val="phClr">
                  <a:shade val="95000"/>
                  <a:satMod val="105000"/>
                </a:schemeClr>
              </a:solidFill>
            </a:ln>
          </c:spPr>
          <c:marker>
            <c:symbol val="none"/>
          </c:marker>
          <c:dLbls>
            <c:delete val="1"/>
            <c:showLegendKey val="0"/>
            <c:showVal val="0"/>
            <c:showCatName val="0"/>
            <c:showSerName val="0"/>
            <c:showPercent val="0"/>
            <c:showBubbleSize val="0"/>
          </c:dLbls>
          <c:cat>
            <c:strRef>
              <c:f>Sheet2!$O$88:$U$88</c:f>
              <c:strCache>
                <c:ptCount val="7"/>
                <c:pt idx="0">
                  <c:v>2012年</c:v>
                </c:pt>
                <c:pt idx="1">
                  <c:v>2013年</c:v>
                </c:pt>
                <c:pt idx="2">
                  <c:v>2014年</c:v>
                </c:pt>
                <c:pt idx="3">
                  <c:v>2015年</c:v>
                </c:pt>
                <c:pt idx="4">
                  <c:v>2016年</c:v>
                </c:pt>
                <c:pt idx="5">
                  <c:v>2017年</c:v>
                </c:pt>
                <c:pt idx="6">
                  <c:v>2018年</c:v>
                </c:pt>
              </c:strCache>
            </c:strRef>
          </c:cat>
          <c:val>
            <c:numRef>
              <c:f>Sheet2!$O$91:$U$91</c:f>
              <c:numCache>
                <c:formatCode>0.00_ </c:formatCode>
                <c:ptCount val="7"/>
                <c:pt idx="0">
                  <c:v>514.16191915</c:v>
                </c:pt>
                <c:pt idx="1">
                  <c:v>434.19773786</c:v>
                </c:pt>
                <c:pt idx="2">
                  <c:v>1103.67442445</c:v>
                </c:pt>
                <c:pt idx="3">
                  <c:v>5714.50165527</c:v>
                </c:pt>
                <c:pt idx="4">
                  <c:v>9268.80327223</c:v>
                </c:pt>
                <c:pt idx="5">
                  <c:v>4069.88721639</c:v>
                </c:pt>
                <c:pt idx="6">
                  <c:v>3803.08352326</c:v>
                </c:pt>
              </c:numCache>
            </c:numRef>
          </c:val>
          <c:smooth val="0"/>
        </c:ser>
        <c:ser>
          <c:idx val="3"/>
          <c:order val="3"/>
          <c:tx>
            <c:strRef>
              <c:f>Sheet2!$N$92</c:f>
              <c:strCache>
                <c:ptCount val="1"/>
                <c:pt idx="0">
                  <c:v>总负债</c:v>
                </c:pt>
              </c:strCache>
            </c:strRef>
          </c:tx>
          <c:spPr>
            <a:ln w="28575">
              <a:solidFill>
                <a:schemeClr val="phClr">
                  <a:shade val="95000"/>
                  <a:satMod val="105000"/>
                </a:schemeClr>
              </a:solidFill>
            </a:ln>
          </c:spPr>
          <c:marker>
            <c:symbol val="none"/>
          </c:marker>
          <c:dLbls>
            <c:delete val="1"/>
            <c:showLegendKey val="0"/>
            <c:showVal val="0"/>
            <c:showCatName val="0"/>
            <c:showSerName val="0"/>
            <c:showPercent val="0"/>
            <c:showBubbleSize val="0"/>
          </c:dLbls>
          <c:cat>
            <c:strRef>
              <c:f>Sheet2!$O$88:$U$88</c:f>
              <c:strCache>
                <c:ptCount val="7"/>
                <c:pt idx="0">
                  <c:v>2012年</c:v>
                </c:pt>
                <c:pt idx="1">
                  <c:v>2013年</c:v>
                </c:pt>
                <c:pt idx="2">
                  <c:v>2014年</c:v>
                </c:pt>
                <c:pt idx="3">
                  <c:v>2015年</c:v>
                </c:pt>
                <c:pt idx="4">
                  <c:v>2016年</c:v>
                </c:pt>
                <c:pt idx="5">
                  <c:v>2017年</c:v>
                </c:pt>
                <c:pt idx="6">
                  <c:v>2018年</c:v>
                </c:pt>
              </c:strCache>
            </c:strRef>
          </c:cat>
          <c:val>
            <c:numRef>
              <c:f>Sheet2!$O$92:$U$92</c:f>
              <c:numCache>
                <c:formatCode>0.00_ </c:formatCode>
                <c:ptCount val="7"/>
                <c:pt idx="0">
                  <c:v>1627.72229363</c:v>
                </c:pt>
                <c:pt idx="1">
                  <c:v>2940.79921569</c:v>
                </c:pt>
                <c:pt idx="2">
                  <c:v>5507.54985111</c:v>
                </c:pt>
                <c:pt idx="3">
                  <c:v>13167.02027922</c:v>
                </c:pt>
                <c:pt idx="4">
                  <c:v>21752.07326951</c:v>
                </c:pt>
                <c:pt idx="5">
                  <c:v>18564.13755224</c:v>
                </c:pt>
                <c:pt idx="6">
                  <c:v>11935.61436012</c:v>
                </c:pt>
              </c:numCache>
            </c:numRef>
          </c:val>
          <c:smooth val="0"/>
        </c:ser>
        <c:ser>
          <c:idx val="4"/>
          <c:order val="4"/>
          <c:tx>
            <c:strRef>
              <c:f>Sheet2!$N$93</c:f>
              <c:strCache>
                <c:ptCount val="1"/>
                <c:pt idx="0">
                  <c:v>所有者权益</c:v>
                </c:pt>
              </c:strCache>
            </c:strRef>
          </c:tx>
          <c:spPr>
            <a:ln w="28575">
              <a:solidFill>
                <a:schemeClr val="phClr">
                  <a:shade val="95000"/>
                  <a:satMod val="105000"/>
                </a:schemeClr>
              </a:solidFill>
            </a:ln>
          </c:spPr>
          <c:marker>
            <c:symbol val="none"/>
          </c:marker>
          <c:dLbls>
            <c:delete val="1"/>
            <c:showLegendKey val="0"/>
            <c:showVal val="0"/>
            <c:showCatName val="0"/>
            <c:showSerName val="0"/>
            <c:showPercent val="0"/>
            <c:showBubbleSize val="0"/>
          </c:dLbls>
          <c:cat>
            <c:strRef>
              <c:f>Sheet2!$O$88:$U$88</c:f>
              <c:strCache>
                <c:ptCount val="7"/>
                <c:pt idx="0">
                  <c:v>2012年</c:v>
                </c:pt>
                <c:pt idx="1">
                  <c:v>2013年</c:v>
                </c:pt>
                <c:pt idx="2">
                  <c:v>2014年</c:v>
                </c:pt>
                <c:pt idx="3">
                  <c:v>2015年</c:v>
                </c:pt>
                <c:pt idx="4">
                  <c:v>2016年</c:v>
                </c:pt>
                <c:pt idx="5">
                  <c:v>2017年</c:v>
                </c:pt>
                <c:pt idx="6">
                  <c:v>2018年</c:v>
                </c:pt>
              </c:strCache>
            </c:strRef>
          </c:cat>
          <c:val>
            <c:numRef>
              <c:f>Sheet2!$O$93:$U$93</c:f>
              <c:numCache>
                <c:formatCode>0.00_ </c:formatCode>
                <c:ptCount val="7"/>
                <c:pt idx="0">
                  <c:v>1273.42723841</c:v>
                </c:pt>
                <c:pt idx="1">
                  <c:v>2079.52575053</c:v>
                </c:pt>
                <c:pt idx="2">
                  <c:v>3343.47339602</c:v>
                </c:pt>
                <c:pt idx="3">
                  <c:v>3815.13427969</c:v>
                </c:pt>
                <c:pt idx="4">
                  <c:v>10481.75273956</c:v>
                </c:pt>
                <c:pt idx="5">
                  <c:v>-666.48841516</c:v>
                </c:pt>
                <c:pt idx="6">
                  <c:v>-3485.60774306</c:v>
                </c:pt>
              </c:numCache>
            </c:numRef>
          </c:val>
          <c:smooth val="0"/>
        </c:ser>
        <c:dLbls>
          <c:showLegendKey val="0"/>
          <c:showVal val="0"/>
          <c:showCatName val="0"/>
          <c:showSerName val="0"/>
          <c:showPercent val="0"/>
          <c:showBubbleSize val="0"/>
        </c:dLbls>
        <c:marker val="0"/>
        <c:smooth val="0"/>
        <c:axId val="327782400"/>
        <c:axId val="244541696"/>
      </c:lineChart>
      <c:catAx>
        <c:axId val="32778240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44541696"/>
        <c:crosses val="autoZero"/>
        <c:auto val="1"/>
        <c:lblAlgn val="ctr"/>
        <c:lblOffset val="100"/>
        <c:noMultiLvlLbl val="0"/>
      </c:catAx>
      <c:valAx>
        <c:axId val="244541696"/>
        <c:scaling>
          <c:orientation val="minMax"/>
        </c:scaling>
        <c:delete val="0"/>
        <c:axPos val="l"/>
        <c:majorGridlines/>
        <c:numFmt formatCode="0.00_ "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778240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xmlns:a="http://schemas.openxmlformats.org/drawingml/2006/main"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E8B415-F74F-4AEF-ADC7-F8F899069C2A}">
  <ds:schemaRefs/>
</ds:datastoreItem>
</file>

<file path=docProps/app.xml><?xml version="1.0" encoding="utf-8"?>
<Properties xmlns="http://schemas.openxmlformats.org/officeDocument/2006/extended-properties" xmlns:vt="http://schemas.openxmlformats.org/officeDocument/2006/docPropsVTypes">
  <Template>Normal</Template>
  <TotalTime>658</TotalTime>
  <Pages>12</Pages>
  <Words>14955</Words>
  <Characters>18696</Characters>
  <Application>Microsoft Office Word</Application>
  <DocSecurity>0</DocSecurity>
  <Lines>0</Lines>
  <Paragraphs>600</Paragraphs>
  <ScaleCrop>false</ScaleCrop>
  <Company>corp</Company>
  <LinksUpToDate>false</LinksUpToDate>
  <CharactersWithSpaces>19269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东北大学</dc:title>
  <dc:creator>corp</dc:creator>
  <cp:lastModifiedBy>浮城</cp:lastModifiedBy>
  <cp:revision>110</cp:revision>
  <cp:lastPrinted>2017-11-13T01:42:00Z</cp:lastPrinted>
  <dcterms:created xsi:type="dcterms:W3CDTF">2019-05-06T14:16:00Z</dcterms:created>
  <dcterms:modified xsi:type="dcterms:W3CDTF">2024-02-03T07:47:05Z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2CF792D6D1934065B16B73A3A22778D4_12</vt:lpwstr>
  </property>
  <property fmtid="{D5CDD505-2E9C-101B-9397-08002B2CF9AE}" pid="3" name="KSOProductBuildVer">
    <vt:lpwstr>2052-12.1.0.16250</vt:lpwstr>
  </property>
</Properties>
</file>