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井下多功能测振仪项目计划设计方案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1595" w:history="1">
        <w:r>
          <w:rPr>
            <w:rFonts w:ascii="仿宋" w:eastAsia="仿宋" w:hAnsi="仿宋" w:cs="仿宋" w:hint="eastAsia"/>
            <w:lang w:eastAsia="zh-CN"/>
          </w:rPr>
          <w:t>概论</w:t>
        </w:r>
        <w:r>
          <w:tab/>
        </w:r>
        <w:r>
          <w:fldChar w:fldCharType="begin"/>
        </w:r>
        <w:r>
          <w:instrText xml:space="preserve"> PAGEREF _Toc21595 \h </w:instrText>
        </w:r>
        <w:r>
          <w:fldChar w:fldCharType="separate"/>
        </w:r>
        <w:r>
          <w:t>3</w:t>
        </w:r>
        <w:r>
          <w:fldChar w:fldCharType="end"/>
        </w:r>
      </w:hyperlink>
    </w:p>
    <w:p>
      <w:pPr>
        <w:pStyle w:val="TOC1"/>
        <w:tabs>
          <w:tab w:val="right" w:leader="dot" w:pos="8306"/>
        </w:tabs>
      </w:pPr>
      <w:hyperlink w:anchor="_Toc12174" w:history="1">
        <w:r>
          <w:rPr>
            <w:rFonts w:ascii="仿宋" w:eastAsia="仿宋" w:hAnsi="仿宋" w:cs="仿宋" w:hint="eastAsia"/>
            <w:lang w:eastAsia="zh-CN"/>
          </w:rPr>
          <w:t>一、市场分析、调研</w:t>
        </w:r>
        <w:r>
          <w:tab/>
        </w:r>
        <w:r>
          <w:fldChar w:fldCharType="begin"/>
        </w:r>
        <w:r>
          <w:instrText xml:space="preserve"> PAGEREF _Toc12174 \h </w:instrText>
        </w:r>
        <w:r>
          <w:fldChar w:fldCharType="separate"/>
        </w:r>
        <w:r>
          <w:t>3</w:t>
        </w:r>
        <w:r>
          <w:fldChar w:fldCharType="end"/>
        </w:r>
      </w:hyperlink>
    </w:p>
    <w:p>
      <w:pPr>
        <w:pStyle w:val="TOC2"/>
        <w:tabs>
          <w:tab w:val="right" w:leader="dot" w:pos="8306"/>
        </w:tabs>
      </w:pPr>
      <w:hyperlink w:anchor="_Toc7893" w:history="1">
        <w:r>
          <w:rPr>
            <w:rFonts w:ascii="仿宋" w:eastAsia="仿宋" w:hAnsi="仿宋" w:cs="仿宋" w:hint="eastAsia"/>
            <w:lang w:eastAsia="zh-CN"/>
          </w:rPr>
          <w:t>(一)、井下多功能测振仪行业分析</w:t>
        </w:r>
        <w:r>
          <w:tab/>
        </w:r>
        <w:r>
          <w:fldChar w:fldCharType="begin"/>
        </w:r>
        <w:r>
          <w:instrText xml:space="preserve"> PAGEREF _Toc7893 \h </w:instrText>
        </w:r>
        <w:r>
          <w:fldChar w:fldCharType="separate"/>
        </w:r>
        <w:r>
          <w:t>3</w:t>
        </w:r>
        <w:r>
          <w:fldChar w:fldCharType="end"/>
        </w:r>
      </w:hyperlink>
    </w:p>
    <w:p>
      <w:pPr>
        <w:pStyle w:val="TOC2"/>
        <w:tabs>
          <w:tab w:val="right" w:leader="dot" w:pos="8306"/>
        </w:tabs>
      </w:pPr>
      <w:hyperlink w:anchor="_Toc10059" w:history="1">
        <w:r>
          <w:rPr>
            <w:rFonts w:ascii="仿宋" w:eastAsia="仿宋" w:hAnsi="仿宋" w:cs="仿宋" w:hint="eastAsia"/>
            <w:lang w:eastAsia="zh-CN"/>
          </w:rPr>
          <w:t>(二)、井下多功能测振仪市场分析预测</w:t>
        </w:r>
        <w:r>
          <w:tab/>
        </w:r>
        <w:r>
          <w:fldChar w:fldCharType="begin"/>
        </w:r>
        <w:r>
          <w:instrText xml:space="preserve"> PAGEREF _Toc10059 \h </w:instrText>
        </w:r>
        <w:r>
          <w:fldChar w:fldCharType="separate"/>
        </w:r>
        <w:r>
          <w:t>4</w:t>
        </w:r>
        <w:r>
          <w:fldChar w:fldCharType="end"/>
        </w:r>
      </w:hyperlink>
    </w:p>
    <w:p>
      <w:pPr>
        <w:pStyle w:val="TOC1"/>
        <w:tabs>
          <w:tab w:val="right" w:leader="dot" w:pos="8306"/>
        </w:tabs>
      </w:pPr>
      <w:hyperlink w:anchor="_Toc16438" w:history="1">
        <w:r>
          <w:rPr>
            <w:rFonts w:ascii="仿宋" w:eastAsia="仿宋" w:hAnsi="仿宋" w:cs="仿宋" w:hint="eastAsia"/>
            <w:lang w:eastAsia="zh-CN"/>
          </w:rPr>
          <w:t>二、井下多功能测振仪项目危机管理</w:t>
        </w:r>
        <w:r>
          <w:tab/>
        </w:r>
        <w:r>
          <w:fldChar w:fldCharType="begin"/>
        </w:r>
        <w:r>
          <w:instrText xml:space="preserve"> PAGEREF _Toc16438 \h </w:instrText>
        </w:r>
        <w:r>
          <w:fldChar w:fldCharType="separate"/>
        </w:r>
        <w:r>
          <w:t>5</w:t>
        </w:r>
        <w:r>
          <w:fldChar w:fldCharType="end"/>
        </w:r>
      </w:hyperlink>
    </w:p>
    <w:p>
      <w:pPr>
        <w:pStyle w:val="TOC2"/>
        <w:tabs>
          <w:tab w:val="right" w:leader="dot" w:pos="8306"/>
        </w:tabs>
      </w:pPr>
      <w:hyperlink w:anchor="_Toc32509" w:history="1">
        <w:r>
          <w:rPr>
            <w:rFonts w:ascii="仿宋" w:eastAsia="仿宋" w:hAnsi="仿宋" w:cs="仿宋" w:hint="eastAsia"/>
            <w:lang w:eastAsia="zh-CN"/>
          </w:rPr>
          <w:t>(一)、危机预警与识别</w:t>
        </w:r>
        <w:r>
          <w:tab/>
        </w:r>
        <w:r>
          <w:fldChar w:fldCharType="begin"/>
        </w:r>
        <w:r>
          <w:instrText xml:space="preserve"> PAGEREF _Toc32509 \h </w:instrText>
        </w:r>
        <w:r>
          <w:fldChar w:fldCharType="separate"/>
        </w:r>
        <w:r>
          <w:t>5</w:t>
        </w:r>
        <w:r>
          <w:fldChar w:fldCharType="end"/>
        </w:r>
      </w:hyperlink>
    </w:p>
    <w:p>
      <w:pPr>
        <w:pStyle w:val="TOC2"/>
        <w:tabs>
          <w:tab w:val="right" w:leader="dot" w:pos="8306"/>
        </w:tabs>
      </w:pPr>
      <w:hyperlink w:anchor="_Toc1217" w:history="1">
        <w:r>
          <w:rPr>
            <w:rFonts w:ascii="仿宋" w:eastAsia="仿宋" w:hAnsi="仿宋" w:cs="仿宋" w:hint="eastAsia"/>
            <w:lang w:eastAsia="zh-CN"/>
          </w:rPr>
          <w:t>(二)、危机应对与恢复</w:t>
        </w:r>
        <w:r>
          <w:tab/>
        </w:r>
        <w:r>
          <w:fldChar w:fldCharType="begin"/>
        </w:r>
        <w:r>
          <w:instrText xml:space="preserve"> PAGEREF _Toc1217 \h </w:instrText>
        </w:r>
        <w:r>
          <w:fldChar w:fldCharType="separate"/>
        </w:r>
        <w:r>
          <w:t>6</w:t>
        </w:r>
        <w:r>
          <w:fldChar w:fldCharType="end"/>
        </w:r>
      </w:hyperlink>
    </w:p>
    <w:p>
      <w:pPr>
        <w:pStyle w:val="TOC1"/>
        <w:tabs>
          <w:tab w:val="right" w:leader="dot" w:pos="8306"/>
        </w:tabs>
      </w:pPr>
      <w:hyperlink w:anchor="_Toc20765" w:history="1">
        <w:r>
          <w:rPr>
            <w:rFonts w:ascii="仿宋" w:eastAsia="仿宋" w:hAnsi="仿宋" w:cs="仿宋" w:hint="eastAsia"/>
            <w:lang w:eastAsia="zh-CN"/>
          </w:rPr>
          <w:t>三、井下多功能测振仪项目可持续发展</w:t>
        </w:r>
        <w:r>
          <w:tab/>
        </w:r>
        <w:r>
          <w:fldChar w:fldCharType="begin"/>
        </w:r>
        <w:r>
          <w:instrText xml:space="preserve"> PAGEREF _Toc20765 \h </w:instrText>
        </w:r>
        <w:r>
          <w:fldChar w:fldCharType="separate"/>
        </w:r>
        <w:r>
          <w:t>7</w:t>
        </w:r>
        <w:r>
          <w:fldChar w:fldCharType="end"/>
        </w:r>
      </w:hyperlink>
    </w:p>
    <w:p>
      <w:pPr>
        <w:pStyle w:val="TOC2"/>
        <w:tabs>
          <w:tab w:val="right" w:leader="dot" w:pos="8306"/>
        </w:tabs>
      </w:pPr>
      <w:hyperlink w:anchor="_Toc10051" w:history="1">
        <w:r>
          <w:rPr>
            <w:rFonts w:ascii="仿宋" w:eastAsia="仿宋" w:hAnsi="仿宋" w:cs="仿宋" w:hint="eastAsia"/>
            <w:lang w:eastAsia="zh-CN"/>
          </w:rPr>
          <w:t>(一)、可持续战略与实践</w:t>
        </w:r>
        <w:r>
          <w:tab/>
        </w:r>
        <w:r>
          <w:fldChar w:fldCharType="begin"/>
        </w:r>
        <w:r>
          <w:instrText xml:space="preserve"> PAGEREF _Toc10051 \h </w:instrText>
        </w:r>
        <w:r>
          <w:fldChar w:fldCharType="separate"/>
        </w:r>
        <w:r>
          <w:t>7</w:t>
        </w:r>
        <w:r>
          <w:fldChar w:fldCharType="end"/>
        </w:r>
      </w:hyperlink>
    </w:p>
    <w:p>
      <w:pPr>
        <w:pStyle w:val="TOC2"/>
        <w:tabs>
          <w:tab w:val="right" w:leader="dot" w:pos="8306"/>
        </w:tabs>
      </w:pPr>
      <w:hyperlink w:anchor="_Toc13970" w:history="1">
        <w:r>
          <w:rPr>
            <w:rFonts w:ascii="仿宋" w:eastAsia="仿宋" w:hAnsi="仿宋" w:cs="仿宋" w:hint="eastAsia"/>
            <w:lang w:eastAsia="zh-CN"/>
          </w:rPr>
          <w:t>(二)、环保与社会责任</w:t>
        </w:r>
        <w:r>
          <w:tab/>
        </w:r>
        <w:r>
          <w:fldChar w:fldCharType="begin"/>
        </w:r>
        <w:r>
          <w:instrText xml:space="preserve"> PAGEREF _Toc13970 \h </w:instrText>
        </w:r>
        <w:r>
          <w:fldChar w:fldCharType="separate"/>
        </w:r>
        <w:r>
          <w:t>8</w:t>
        </w:r>
        <w:r>
          <w:fldChar w:fldCharType="end"/>
        </w:r>
      </w:hyperlink>
    </w:p>
    <w:p>
      <w:pPr>
        <w:pStyle w:val="TOC1"/>
        <w:tabs>
          <w:tab w:val="right" w:leader="dot" w:pos="8306"/>
        </w:tabs>
      </w:pPr>
      <w:hyperlink w:anchor="_Toc18705" w:history="1">
        <w:r>
          <w:rPr>
            <w:rFonts w:ascii="仿宋" w:eastAsia="仿宋" w:hAnsi="仿宋" w:cs="仿宋" w:hint="eastAsia"/>
            <w:lang w:eastAsia="zh-CN"/>
          </w:rPr>
          <w:t>四、井下多功能测振仪项目选址可行性分析</w:t>
        </w:r>
        <w:r>
          <w:tab/>
        </w:r>
        <w:r>
          <w:fldChar w:fldCharType="begin"/>
        </w:r>
        <w:r>
          <w:instrText xml:space="preserve"> PAGEREF _Toc18705 \h </w:instrText>
        </w:r>
        <w:r>
          <w:fldChar w:fldCharType="separate"/>
        </w:r>
        <w:r>
          <w:t>9</w:t>
        </w:r>
        <w:r>
          <w:fldChar w:fldCharType="end"/>
        </w:r>
      </w:hyperlink>
    </w:p>
    <w:p>
      <w:pPr>
        <w:pStyle w:val="TOC2"/>
        <w:tabs>
          <w:tab w:val="right" w:leader="dot" w:pos="8306"/>
        </w:tabs>
      </w:pPr>
      <w:hyperlink w:anchor="_Toc12100" w:history="1">
        <w:r>
          <w:rPr>
            <w:rFonts w:ascii="仿宋" w:eastAsia="仿宋" w:hAnsi="仿宋" w:cs="仿宋" w:hint="eastAsia"/>
            <w:lang w:eastAsia="zh-CN"/>
          </w:rPr>
          <w:t>(一)、井下多功能测振仪项目选址</w:t>
        </w:r>
        <w:r>
          <w:tab/>
        </w:r>
        <w:r>
          <w:fldChar w:fldCharType="begin"/>
        </w:r>
        <w:r>
          <w:instrText xml:space="preserve"> PAGEREF _Toc12100 \h </w:instrText>
        </w:r>
        <w:r>
          <w:fldChar w:fldCharType="separate"/>
        </w:r>
        <w:r>
          <w:t>9</w:t>
        </w:r>
        <w:r>
          <w:fldChar w:fldCharType="end"/>
        </w:r>
      </w:hyperlink>
    </w:p>
    <w:p>
      <w:pPr>
        <w:pStyle w:val="TOC2"/>
        <w:tabs>
          <w:tab w:val="right" w:leader="dot" w:pos="8306"/>
        </w:tabs>
      </w:pPr>
      <w:hyperlink w:anchor="_Toc18125" w:history="1">
        <w:r>
          <w:rPr>
            <w:rFonts w:ascii="仿宋" w:eastAsia="仿宋" w:hAnsi="仿宋" w:cs="仿宋" w:hint="eastAsia"/>
            <w:lang w:eastAsia="zh-CN"/>
          </w:rPr>
          <w:t>(二)、用地控制指标</w:t>
        </w:r>
        <w:r>
          <w:tab/>
        </w:r>
        <w:r>
          <w:fldChar w:fldCharType="begin"/>
        </w:r>
        <w:r>
          <w:instrText xml:space="preserve"> PAGEREF _Toc18125 \h </w:instrText>
        </w:r>
        <w:r>
          <w:fldChar w:fldCharType="separate"/>
        </w:r>
        <w:r>
          <w:t>9</w:t>
        </w:r>
        <w:r>
          <w:fldChar w:fldCharType="end"/>
        </w:r>
      </w:hyperlink>
    </w:p>
    <w:p>
      <w:pPr>
        <w:pStyle w:val="TOC2"/>
        <w:tabs>
          <w:tab w:val="right" w:leader="dot" w:pos="8306"/>
        </w:tabs>
      </w:pPr>
      <w:hyperlink w:anchor="_Toc30776" w:history="1">
        <w:r>
          <w:rPr>
            <w:rFonts w:ascii="仿宋" w:eastAsia="仿宋" w:hAnsi="仿宋" w:cs="仿宋" w:hint="eastAsia"/>
            <w:lang w:eastAsia="zh-CN"/>
          </w:rPr>
          <w:t>(三)、节约用地措施</w:t>
        </w:r>
        <w:r>
          <w:tab/>
        </w:r>
        <w:r>
          <w:fldChar w:fldCharType="begin"/>
        </w:r>
        <w:r>
          <w:instrText xml:space="preserve"> PAGEREF _Toc30776 \h </w:instrText>
        </w:r>
        <w:r>
          <w:fldChar w:fldCharType="separate"/>
        </w:r>
        <w:r>
          <w:t>11</w:t>
        </w:r>
        <w:r>
          <w:fldChar w:fldCharType="end"/>
        </w:r>
      </w:hyperlink>
    </w:p>
    <w:p>
      <w:pPr>
        <w:pStyle w:val="TOC2"/>
        <w:tabs>
          <w:tab w:val="right" w:leader="dot" w:pos="8306"/>
        </w:tabs>
      </w:pPr>
      <w:hyperlink w:anchor="_Toc14482" w:history="1">
        <w:r>
          <w:rPr>
            <w:rFonts w:ascii="仿宋" w:eastAsia="仿宋" w:hAnsi="仿宋" w:cs="仿宋" w:hint="eastAsia"/>
            <w:lang w:eastAsia="zh-CN"/>
          </w:rPr>
          <w:t>(四)、总图布置方案</w:t>
        </w:r>
        <w:r>
          <w:tab/>
        </w:r>
        <w:r>
          <w:fldChar w:fldCharType="begin"/>
        </w:r>
        <w:r>
          <w:instrText xml:space="preserve"> PAGEREF _Toc14482 \h </w:instrText>
        </w:r>
        <w:r>
          <w:fldChar w:fldCharType="separate"/>
        </w:r>
        <w:r>
          <w:t>12</w:t>
        </w:r>
        <w:r>
          <w:fldChar w:fldCharType="end"/>
        </w:r>
      </w:hyperlink>
    </w:p>
    <w:p>
      <w:pPr>
        <w:pStyle w:val="TOC2"/>
        <w:tabs>
          <w:tab w:val="right" w:leader="dot" w:pos="8306"/>
        </w:tabs>
      </w:pPr>
      <w:hyperlink w:anchor="_Toc934" w:history="1">
        <w:r>
          <w:rPr>
            <w:rFonts w:ascii="仿宋" w:eastAsia="仿宋" w:hAnsi="仿宋" w:cs="仿宋" w:hint="eastAsia"/>
            <w:lang w:eastAsia="zh-CN"/>
          </w:rPr>
          <w:t>(五)、选址综合评价</w:t>
        </w:r>
        <w:r>
          <w:tab/>
        </w:r>
        <w:r>
          <w:fldChar w:fldCharType="begin"/>
        </w:r>
        <w:r>
          <w:instrText xml:space="preserve"> PAGEREF _Toc934 \h </w:instrText>
        </w:r>
        <w:r>
          <w:fldChar w:fldCharType="separate"/>
        </w:r>
        <w:r>
          <w:t>13</w:t>
        </w:r>
        <w:r>
          <w:fldChar w:fldCharType="end"/>
        </w:r>
      </w:hyperlink>
    </w:p>
    <w:p>
      <w:pPr>
        <w:pStyle w:val="TOC1"/>
        <w:tabs>
          <w:tab w:val="right" w:leader="dot" w:pos="8306"/>
        </w:tabs>
      </w:pPr>
      <w:hyperlink w:anchor="_Toc8241" w:history="1">
        <w:r>
          <w:rPr>
            <w:rFonts w:ascii="仿宋" w:eastAsia="仿宋" w:hAnsi="仿宋" w:cs="仿宋" w:hint="eastAsia"/>
            <w:lang w:eastAsia="zh-CN"/>
          </w:rPr>
          <w:t>五、产品规划分析</w:t>
        </w:r>
        <w:r>
          <w:tab/>
        </w:r>
        <w:r>
          <w:fldChar w:fldCharType="begin"/>
        </w:r>
        <w:r>
          <w:instrText xml:space="preserve"> PAGEREF _Toc8241 \h </w:instrText>
        </w:r>
        <w:r>
          <w:fldChar w:fldCharType="separate"/>
        </w:r>
        <w:r>
          <w:t>15</w:t>
        </w:r>
        <w:r>
          <w:fldChar w:fldCharType="end"/>
        </w:r>
      </w:hyperlink>
    </w:p>
    <w:p>
      <w:pPr>
        <w:pStyle w:val="TOC2"/>
        <w:tabs>
          <w:tab w:val="right" w:leader="dot" w:pos="8306"/>
        </w:tabs>
      </w:pPr>
      <w:hyperlink w:anchor="_Toc10921" w:history="1">
        <w:r>
          <w:rPr>
            <w:rFonts w:ascii="仿宋" w:eastAsia="仿宋" w:hAnsi="仿宋" w:cs="仿宋" w:hint="eastAsia"/>
            <w:lang w:eastAsia="zh-CN"/>
          </w:rPr>
          <w:t>(一)、产品规划</w:t>
        </w:r>
        <w:r>
          <w:tab/>
        </w:r>
        <w:r>
          <w:fldChar w:fldCharType="begin"/>
        </w:r>
        <w:r>
          <w:instrText xml:space="preserve"> PAGEREF _Toc10921 \h </w:instrText>
        </w:r>
        <w:r>
          <w:fldChar w:fldCharType="separate"/>
        </w:r>
        <w:r>
          <w:t>15</w:t>
        </w:r>
        <w:r>
          <w:fldChar w:fldCharType="end"/>
        </w:r>
      </w:hyperlink>
    </w:p>
    <w:p>
      <w:pPr>
        <w:pStyle w:val="TOC2"/>
        <w:tabs>
          <w:tab w:val="right" w:leader="dot" w:pos="8306"/>
        </w:tabs>
      </w:pPr>
      <w:hyperlink w:anchor="_Toc7845" w:history="1">
        <w:r>
          <w:rPr>
            <w:rFonts w:ascii="仿宋" w:eastAsia="仿宋" w:hAnsi="仿宋" w:cs="仿宋" w:hint="eastAsia"/>
            <w:lang w:eastAsia="zh-CN"/>
          </w:rPr>
          <w:t>(二)、建设规模</w:t>
        </w:r>
        <w:r>
          <w:tab/>
        </w:r>
        <w:r>
          <w:fldChar w:fldCharType="begin"/>
        </w:r>
        <w:r>
          <w:instrText xml:space="preserve"> PAGEREF _Toc7845 \h </w:instrText>
        </w:r>
        <w:r>
          <w:fldChar w:fldCharType="separate"/>
        </w:r>
        <w:r>
          <w:t>15</w:t>
        </w:r>
        <w:r>
          <w:fldChar w:fldCharType="end"/>
        </w:r>
      </w:hyperlink>
    </w:p>
    <w:p>
      <w:pPr>
        <w:pStyle w:val="TOC1"/>
        <w:tabs>
          <w:tab w:val="right" w:leader="dot" w:pos="8306"/>
        </w:tabs>
      </w:pPr>
      <w:hyperlink w:anchor="_Toc11636" w:history="1">
        <w:r>
          <w:rPr>
            <w:rFonts w:ascii="仿宋" w:eastAsia="仿宋" w:hAnsi="仿宋" w:cs="仿宋" w:hint="eastAsia"/>
            <w:lang w:eastAsia="zh-CN"/>
          </w:rPr>
          <w:t>六、井下多功能测振仪项目概论</w:t>
        </w:r>
        <w:r>
          <w:tab/>
        </w:r>
        <w:r>
          <w:fldChar w:fldCharType="begin"/>
        </w:r>
        <w:r>
          <w:instrText xml:space="preserve"> PAGEREF _Toc11636 \h </w:instrText>
        </w:r>
        <w:r>
          <w:fldChar w:fldCharType="separate"/>
        </w:r>
        <w:r>
          <w:t>17</w:t>
        </w:r>
        <w:r>
          <w:fldChar w:fldCharType="end"/>
        </w:r>
      </w:hyperlink>
    </w:p>
    <w:p>
      <w:pPr>
        <w:pStyle w:val="TOC2"/>
        <w:tabs>
          <w:tab w:val="right" w:leader="dot" w:pos="8306"/>
        </w:tabs>
      </w:pPr>
      <w:hyperlink w:anchor="_Toc4591" w:history="1">
        <w:r>
          <w:rPr>
            <w:rFonts w:ascii="仿宋" w:eastAsia="仿宋" w:hAnsi="仿宋" w:cs="仿宋" w:hint="eastAsia"/>
            <w:lang w:eastAsia="zh-CN"/>
          </w:rPr>
          <w:t>(一)、井下多功能测振仪项目概况</w:t>
        </w:r>
        <w:r>
          <w:tab/>
        </w:r>
        <w:r>
          <w:fldChar w:fldCharType="begin"/>
        </w:r>
        <w:r>
          <w:instrText xml:space="preserve"> PAGEREF _Toc4591 \h </w:instrText>
        </w:r>
        <w:r>
          <w:fldChar w:fldCharType="separate"/>
        </w:r>
        <w:r>
          <w:t>17</w:t>
        </w:r>
        <w:r>
          <w:fldChar w:fldCharType="end"/>
        </w:r>
      </w:hyperlink>
    </w:p>
    <w:p>
      <w:pPr>
        <w:pStyle w:val="TOC2"/>
        <w:tabs>
          <w:tab w:val="right" w:leader="dot" w:pos="8306"/>
        </w:tabs>
      </w:pPr>
      <w:hyperlink w:anchor="_Toc32309" w:history="1">
        <w:r>
          <w:rPr>
            <w:rFonts w:ascii="仿宋" w:eastAsia="仿宋" w:hAnsi="仿宋" w:cs="仿宋" w:hint="eastAsia"/>
            <w:lang w:eastAsia="zh-CN"/>
          </w:rPr>
          <w:t>(二)、井下多功能测振仪项目目标</w:t>
        </w:r>
        <w:r>
          <w:tab/>
        </w:r>
        <w:r>
          <w:fldChar w:fldCharType="begin"/>
        </w:r>
        <w:r>
          <w:instrText xml:space="preserve"> PAGEREF _Toc32309 \h </w:instrText>
        </w:r>
        <w:r>
          <w:fldChar w:fldCharType="separate"/>
        </w:r>
        <w:r>
          <w:t>19</w:t>
        </w:r>
        <w:r>
          <w:fldChar w:fldCharType="end"/>
        </w:r>
      </w:hyperlink>
    </w:p>
    <w:p>
      <w:pPr>
        <w:pStyle w:val="TOC2"/>
        <w:tabs>
          <w:tab w:val="right" w:leader="dot" w:pos="8306"/>
        </w:tabs>
      </w:pPr>
      <w:hyperlink w:anchor="_Toc18161" w:history="1">
        <w:r>
          <w:rPr>
            <w:rFonts w:ascii="仿宋" w:eastAsia="仿宋" w:hAnsi="仿宋" w:cs="仿宋" w:hint="eastAsia"/>
            <w:lang w:eastAsia="zh-CN"/>
          </w:rPr>
          <w:t>(三)、井下多功能测振仪项目提出的理由</w:t>
        </w:r>
        <w:r>
          <w:tab/>
        </w:r>
        <w:r>
          <w:fldChar w:fldCharType="begin"/>
        </w:r>
        <w:r>
          <w:instrText xml:space="preserve"> PAGEREF _Toc18161 \h </w:instrText>
        </w:r>
        <w:r>
          <w:fldChar w:fldCharType="separate"/>
        </w:r>
        <w:r>
          <w:t>20</w:t>
        </w:r>
        <w:r>
          <w:fldChar w:fldCharType="end"/>
        </w:r>
      </w:hyperlink>
    </w:p>
    <w:p>
      <w:pPr>
        <w:pStyle w:val="TOC2"/>
        <w:tabs>
          <w:tab w:val="right" w:leader="dot" w:pos="8306"/>
        </w:tabs>
      </w:pPr>
      <w:hyperlink w:anchor="_Toc29707" w:history="1">
        <w:r>
          <w:rPr>
            <w:rFonts w:ascii="仿宋" w:eastAsia="仿宋" w:hAnsi="仿宋" w:cs="仿宋" w:hint="eastAsia"/>
            <w:lang w:eastAsia="zh-CN"/>
          </w:rPr>
          <w:t>(四)、井下多功能测振仪项目意义</w:t>
        </w:r>
        <w:r>
          <w:tab/>
        </w:r>
        <w:r>
          <w:fldChar w:fldCharType="begin"/>
        </w:r>
        <w:r>
          <w:instrText xml:space="preserve"> PAGEREF _Toc29707 \h </w:instrText>
        </w:r>
        <w:r>
          <w:fldChar w:fldCharType="separate"/>
        </w:r>
        <w:r>
          <w:t>22</w:t>
        </w:r>
        <w:r>
          <w:fldChar w:fldCharType="end"/>
        </w:r>
      </w:hyperlink>
    </w:p>
    <w:p>
      <w:pPr>
        <w:pStyle w:val="TOC2"/>
        <w:tabs>
          <w:tab w:val="right" w:leader="dot" w:pos="8306"/>
        </w:tabs>
      </w:pPr>
      <w:hyperlink w:anchor="_Toc1793" w:history="1">
        <w:r>
          <w:rPr>
            <w:rFonts w:ascii="仿宋" w:eastAsia="仿宋" w:hAnsi="仿宋" w:cs="仿宋" w:hint="eastAsia"/>
            <w:lang w:eastAsia="zh-CN"/>
          </w:rPr>
          <w:t>(五)、井下多功能测振仪项目背景</w:t>
        </w:r>
        <w:r>
          <w:tab/>
        </w:r>
        <w:r>
          <w:fldChar w:fldCharType="begin"/>
        </w:r>
        <w:r>
          <w:instrText xml:space="preserve"> PAGEREF _Toc1793 \h </w:instrText>
        </w:r>
        <w:r>
          <w:fldChar w:fldCharType="separate"/>
        </w:r>
        <w:r>
          <w:t>23</w:t>
        </w:r>
        <w:r>
          <w:fldChar w:fldCharType="end"/>
        </w:r>
      </w:hyperlink>
    </w:p>
    <w:p>
      <w:pPr>
        <w:pStyle w:val="TOC1"/>
        <w:tabs>
          <w:tab w:val="right" w:leader="dot" w:pos="8306"/>
        </w:tabs>
      </w:pPr>
      <w:hyperlink w:anchor="_Toc11967" w:history="1">
        <w:r>
          <w:rPr>
            <w:rFonts w:ascii="仿宋" w:eastAsia="仿宋" w:hAnsi="仿宋" w:cs="仿宋" w:hint="eastAsia"/>
            <w:lang w:eastAsia="zh-CN"/>
          </w:rPr>
          <w:t>七、生产安全保护</w:t>
        </w:r>
        <w:r>
          <w:tab/>
        </w:r>
        <w:r>
          <w:fldChar w:fldCharType="begin"/>
        </w:r>
        <w:r>
          <w:instrText xml:space="preserve"> PAGEREF _Toc11967 \h </w:instrText>
        </w:r>
        <w:r>
          <w:fldChar w:fldCharType="separate"/>
        </w:r>
        <w:r>
          <w:t>24</w:t>
        </w:r>
        <w:r>
          <w:fldChar w:fldCharType="end"/>
        </w:r>
      </w:hyperlink>
    </w:p>
    <w:p>
      <w:pPr>
        <w:pStyle w:val="TOC2"/>
        <w:tabs>
          <w:tab w:val="right" w:leader="dot" w:pos="8306"/>
        </w:tabs>
      </w:pPr>
      <w:hyperlink w:anchor="_Toc18261" w:history="1">
        <w:r>
          <w:rPr>
            <w:rFonts w:ascii="仿宋" w:eastAsia="仿宋" w:hAnsi="仿宋" w:cs="仿宋" w:hint="eastAsia"/>
            <w:lang w:eastAsia="zh-CN"/>
          </w:rPr>
          <w:t>(一)、消防安全</w:t>
        </w:r>
        <w:r>
          <w:tab/>
        </w:r>
        <w:r>
          <w:fldChar w:fldCharType="begin"/>
        </w:r>
        <w:r>
          <w:instrText xml:space="preserve"> PAGEREF _Toc18261 \h </w:instrText>
        </w:r>
        <w:r>
          <w:fldChar w:fldCharType="separate"/>
        </w:r>
        <w:r>
          <w:t>24</w:t>
        </w:r>
        <w:r>
          <w:fldChar w:fldCharType="end"/>
        </w:r>
      </w:hyperlink>
    </w:p>
    <w:p>
      <w:pPr>
        <w:pStyle w:val="TOC2"/>
        <w:tabs>
          <w:tab w:val="right" w:leader="dot" w:pos="8306"/>
        </w:tabs>
      </w:pPr>
      <w:hyperlink w:anchor="_Toc31000" w:history="1">
        <w:r>
          <w:rPr>
            <w:rFonts w:ascii="仿宋" w:eastAsia="仿宋" w:hAnsi="仿宋" w:cs="仿宋" w:hint="eastAsia"/>
            <w:lang w:eastAsia="zh-CN"/>
          </w:rPr>
          <w:t>(二)、防火防爆总图布置措施</w:t>
        </w:r>
        <w:r>
          <w:tab/>
        </w:r>
        <w:r>
          <w:fldChar w:fldCharType="begin"/>
        </w:r>
        <w:r>
          <w:instrText xml:space="preserve"> PAGEREF _Toc31000 \h </w:instrText>
        </w:r>
        <w:r>
          <w:fldChar w:fldCharType="separate"/>
        </w:r>
        <w:r>
          <w:t>25</w:t>
        </w:r>
        <w:r>
          <w:fldChar w:fldCharType="end"/>
        </w:r>
      </w:hyperlink>
    </w:p>
    <w:p>
      <w:pPr>
        <w:pStyle w:val="TOC2"/>
        <w:tabs>
          <w:tab w:val="right" w:leader="dot" w:pos="8306"/>
        </w:tabs>
      </w:pPr>
      <w:hyperlink w:anchor="_Toc12396" w:history="1">
        <w:r>
          <w:rPr>
            <w:rFonts w:ascii="仿宋" w:eastAsia="仿宋" w:hAnsi="仿宋" w:cs="仿宋" w:hint="eastAsia"/>
            <w:lang w:eastAsia="zh-CN"/>
          </w:rPr>
          <w:t>(三)、自然灾害防范措施</w:t>
        </w:r>
        <w:r>
          <w:tab/>
        </w:r>
        <w:r>
          <w:fldChar w:fldCharType="begin"/>
        </w:r>
        <w:r>
          <w:instrText xml:space="preserve"> PAGEREF _Toc12396 \h </w:instrText>
        </w:r>
        <w:r>
          <w:fldChar w:fldCharType="separate"/>
        </w:r>
        <w:r>
          <w:t>26</w:t>
        </w:r>
        <w:r>
          <w:fldChar w:fldCharType="end"/>
        </w:r>
      </w:hyperlink>
    </w:p>
    <w:p>
      <w:pPr>
        <w:pStyle w:val="TOC2"/>
        <w:tabs>
          <w:tab w:val="right" w:leader="dot" w:pos="8306"/>
        </w:tabs>
      </w:pPr>
      <w:hyperlink w:anchor="_Toc9992" w:history="1">
        <w:r>
          <w:rPr>
            <w:rFonts w:ascii="仿宋" w:eastAsia="仿宋" w:hAnsi="仿宋" w:cs="仿宋" w:hint="eastAsia"/>
            <w:lang w:eastAsia="zh-CN"/>
          </w:rPr>
          <w:t>(四)、安全色及安全标志使用要求</w:t>
        </w:r>
        <w:r>
          <w:tab/>
        </w:r>
        <w:r>
          <w:fldChar w:fldCharType="begin"/>
        </w:r>
        <w:r>
          <w:instrText xml:space="preserve"> PAGEREF _Toc9992 \h </w:instrText>
        </w:r>
        <w:r>
          <w:fldChar w:fldCharType="separate"/>
        </w:r>
        <w:r>
          <w:t>27</w:t>
        </w:r>
        <w:r>
          <w:fldChar w:fldCharType="end"/>
        </w:r>
      </w:hyperlink>
    </w:p>
    <w:p>
      <w:pPr>
        <w:pStyle w:val="TOC2"/>
        <w:tabs>
          <w:tab w:val="right" w:leader="dot" w:pos="8306"/>
        </w:tabs>
      </w:pPr>
      <w:hyperlink w:anchor="_Toc9760" w:history="1">
        <w:r>
          <w:rPr>
            <w:rFonts w:ascii="仿宋" w:eastAsia="仿宋" w:hAnsi="仿宋" w:cs="仿宋" w:hint="eastAsia"/>
            <w:lang w:eastAsia="zh-CN"/>
          </w:rPr>
          <w:t>(五)、防尘防毒措施</w:t>
        </w:r>
        <w:r>
          <w:tab/>
        </w:r>
        <w:r>
          <w:fldChar w:fldCharType="begin"/>
        </w:r>
        <w:r>
          <w:instrText xml:space="preserve"> PAGEREF _Toc9760 \h </w:instrText>
        </w:r>
        <w:r>
          <w:fldChar w:fldCharType="separate"/>
        </w:r>
        <w:r>
          <w:t>28</w:t>
        </w:r>
        <w:r>
          <w:fldChar w:fldCharType="end"/>
        </w:r>
      </w:hyperlink>
    </w:p>
    <w:p>
      <w:pPr>
        <w:pStyle w:val="TOC2"/>
        <w:tabs>
          <w:tab w:val="right" w:leader="dot" w:pos="8306"/>
        </w:tabs>
      </w:pPr>
      <w:hyperlink w:anchor="_Toc5632" w:history="1">
        <w:r>
          <w:rPr>
            <w:rFonts w:ascii="仿宋" w:eastAsia="仿宋" w:hAnsi="仿宋" w:cs="仿宋" w:hint="eastAsia"/>
            <w:lang w:eastAsia="zh-CN"/>
          </w:rPr>
          <w:t>(六)、防静电、触电防护及防雷措施</w:t>
        </w:r>
        <w:r>
          <w:tab/>
        </w:r>
        <w:r>
          <w:fldChar w:fldCharType="begin"/>
        </w:r>
        <w:r>
          <w:instrText xml:space="preserve"> PAGEREF _Toc5632 \h </w:instrText>
        </w:r>
        <w:r>
          <w:fldChar w:fldCharType="separate"/>
        </w:r>
        <w:r>
          <w:t>29</w:t>
        </w:r>
        <w:r>
          <w:fldChar w:fldCharType="end"/>
        </w:r>
      </w:hyperlink>
    </w:p>
    <w:p>
      <w:pPr>
        <w:pStyle w:val="TOC2"/>
        <w:tabs>
          <w:tab w:val="right" w:leader="dot" w:pos="8306"/>
        </w:tabs>
      </w:pPr>
      <w:hyperlink w:anchor="_Toc32020" w:history="1">
        <w:r>
          <w:rPr>
            <w:rFonts w:ascii="仿宋" w:eastAsia="仿宋" w:hAnsi="仿宋" w:cs="仿宋" w:hint="eastAsia"/>
            <w:lang w:eastAsia="zh-CN"/>
          </w:rPr>
          <w:t>(七)、机械设备安全保障措施</w:t>
        </w:r>
        <w:r>
          <w:tab/>
        </w:r>
        <w:r>
          <w:fldChar w:fldCharType="begin"/>
        </w:r>
        <w:r>
          <w:instrText xml:space="preserve"> PAGEREF _Toc32020 \h </w:instrText>
        </w:r>
        <w:r>
          <w:fldChar w:fldCharType="separate"/>
        </w:r>
        <w:r>
          <w:t>31</w:t>
        </w:r>
        <w:r>
          <w:fldChar w:fldCharType="end"/>
        </w:r>
      </w:hyperlink>
    </w:p>
    <w:p>
      <w:pPr>
        <w:pStyle w:val="TOC1"/>
        <w:tabs>
          <w:tab w:val="right" w:leader="dot" w:pos="8306"/>
        </w:tabs>
      </w:pPr>
      <w:hyperlink w:anchor="_Toc26928" w:history="1">
        <w:r>
          <w:rPr>
            <w:rFonts w:ascii="仿宋" w:eastAsia="仿宋" w:hAnsi="仿宋" w:cs="仿宋" w:hint="eastAsia"/>
            <w:lang w:eastAsia="zh-CN"/>
          </w:rPr>
          <w:t>八、井下多功能测振仪项目创新与研发</w:t>
        </w:r>
        <w:r>
          <w:tab/>
        </w:r>
        <w:r>
          <w:fldChar w:fldCharType="begin"/>
        </w:r>
        <w:r>
          <w:instrText xml:space="preserve"> PAGEREF _Toc26928 \h </w:instrText>
        </w:r>
        <w:r>
          <w:fldChar w:fldCharType="separate"/>
        </w:r>
        <w:r>
          <w:t>32</w:t>
        </w:r>
        <w:r>
          <w:fldChar w:fldCharType="end"/>
        </w:r>
      </w:hyperlink>
    </w:p>
    <w:p>
      <w:pPr>
        <w:pStyle w:val="TOC2"/>
        <w:tabs>
          <w:tab w:val="right" w:leader="dot" w:pos="8306"/>
        </w:tabs>
      </w:pPr>
      <w:hyperlink w:anchor="_Toc12421" w:history="1">
        <w:r>
          <w:rPr>
            <w:rFonts w:ascii="仿宋" w:eastAsia="仿宋" w:hAnsi="仿宋" w:cs="仿宋" w:hint="eastAsia"/>
            <w:lang w:eastAsia="zh-CN"/>
          </w:rPr>
          <w:t>(一)、创新策略与方向</w:t>
        </w:r>
        <w:r>
          <w:tab/>
        </w:r>
        <w:r>
          <w:fldChar w:fldCharType="begin"/>
        </w:r>
        <w:r>
          <w:instrText xml:space="preserve"> PAGEREF _Toc12421 \h </w:instrText>
        </w:r>
        <w:r>
          <w:fldChar w:fldCharType="separate"/>
        </w:r>
        <w:r>
          <w:t>32</w:t>
        </w:r>
        <w:r>
          <w:fldChar w:fldCharType="end"/>
        </w:r>
      </w:hyperlink>
    </w:p>
    <w:p>
      <w:pPr>
        <w:pStyle w:val="TOC2"/>
        <w:tabs>
          <w:tab w:val="right" w:leader="dot" w:pos="8306"/>
        </w:tabs>
      </w:pPr>
      <w:hyperlink w:anchor="_Toc10367" w:history="1">
        <w:r>
          <w:rPr>
            <w:rFonts w:ascii="仿宋" w:eastAsia="仿宋" w:hAnsi="仿宋" w:cs="仿宋" w:hint="eastAsia"/>
            <w:lang w:eastAsia="zh-CN"/>
          </w:rPr>
          <w:t>(二)、研发规划与投入</w:t>
        </w:r>
        <w:r>
          <w:tab/>
        </w:r>
        <w:r>
          <w:fldChar w:fldCharType="begin"/>
        </w:r>
        <w:r>
          <w:instrText xml:space="preserve"> PAGEREF _Toc10367 \h </w:instrText>
        </w:r>
        <w:r>
          <w:fldChar w:fldCharType="separate"/>
        </w:r>
        <w:r>
          <w:t>33</w:t>
        </w:r>
        <w:r>
          <w:fldChar w:fldCharType="end"/>
        </w:r>
      </w:hyperlink>
    </w:p>
    <w:p>
      <w:pPr>
        <w:pStyle w:val="TOC1"/>
        <w:tabs>
          <w:tab w:val="right" w:leader="dot" w:pos="8306"/>
        </w:tabs>
      </w:pPr>
      <w:hyperlink w:anchor="_Toc17364" w:history="1">
        <w:r>
          <w:rPr>
            <w:rFonts w:ascii="仿宋" w:eastAsia="仿宋" w:hAnsi="仿宋" w:cs="仿宋" w:hint="eastAsia"/>
            <w:lang w:eastAsia="zh-CN"/>
          </w:rPr>
          <w:t>九、井下多功能测振仪项目计划安排</w:t>
        </w:r>
        <w:r>
          <w:tab/>
        </w:r>
        <w:r>
          <w:fldChar w:fldCharType="begin"/>
        </w:r>
        <w:r>
          <w:instrText xml:space="preserve"> PAGEREF _Toc17364 \h </w:instrText>
        </w:r>
        <w:r>
          <w:fldChar w:fldCharType="separate"/>
        </w:r>
        <w:r>
          <w:t>35</w:t>
        </w:r>
        <w:r>
          <w:fldChar w:fldCharType="end"/>
        </w:r>
      </w:hyperlink>
    </w:p>
    <w:p>
      <w:pPr>
        <w:pStyle w:val="TOC2"/>
        <w:tabs>
          <w:tab w:val="right" w:leader="dot" w:pos="8306"/>
        </w:tabs>
      </w:pPr>
      <w:hyperlink w:anchor="_Toc24697" w:history="1">
        <w:r>
          <w:rPr>
            <w:rFonts w:ascii="仿宋" w:eastAsia="仿宋" w:hAnsi="仿宋" w:cs="仿宋" w:hint="eastAsia"/>
            <w:lang w:eastAsia="zh-CN"/>
          </w:rPr>
          <w:t>(一)、建设周期</w:t>
        </w:r>
        <w:r>
          <w:tab/>
        </w:r>
        <w:r>
          <w:fldChar w:fldCharType="begin"/>
        </w:r>
        <w:r>
          <w:instrText xml:space="preserve"> PAGEREF _Toc24697 \h </w:instrText>
        </w:r>
        <w:r>
          <w:fldChar w:fldCharType="separate"/>
        </w:r>
        <w:r>
          <w:t>35</w:t>
        </w:r>
        <w:r>
          <w:fldChar w:fldCharType="end"/>
        </w:r>
      </w:hyperlink>
    </w:p>
    <w:p>
      <w:pPr>
        <w:pStyle w:val="TOC2"/>
        <w:tabs>
          <w:tab w:val="right" w:leader="dot" w:pos="8306"/>
        </w:tabs>
      </w:pPr>
      <w:hyperlink w:anchor="_Toc5449" w:history="1">
        <w:r>
          <w:rPr>
            <w:rFonts w:ascii="仿宋" w:eastAsia="仿宋" w:hAnsi="仿宋" w:cs="仿宋" w:hint="eastAsia"/>
            <w:lang w:eastAsia="zh-CN"/>
          </w:rPr>
          <w:t>(二)、建设进度</w:t>
        </w:r>
        <w:r>
          <w:tab/>
        </w:r>
        <w:r>
          <w:fldChar w:fldCharType="begin"/>
        </w:r>
        <w:r>
          <w:instrText xml:space="preserve"> PAGEREF _Toc5449 \h </w:instrText>
        </w:r>
        <w:r>
          <w:fldChar w:fldCharType="separate"/>
        </w:r>
        <w:r>
          <w:t>36</w:t>
        </w:r>
        <w:r>
          <w:fldChar w:fldCharType="end"/>
        </w:r>
      </w:hyperlink>
    </w:p>
    <w:p>
      <w:pPr>
        <w:pStyle w:val="TOC2"/>
        <w:tabs>
          <w:tab w:val="right" w:leader="dot" w:pos="8306"/>
        </w:tabs>
      </w:pPr>
      <w:hyperlink w:anchor="_Toc4751" w:history="1">
        <w:r>
          <w:rPr>
            <w:rFonts w:ascii="仿宋" w:eastAsia="仿宋" w:hAnsi="仿宋" w:cs="仿宋" w:hint="eastAsia"/>
            <w:lang w:eastAsia="zh-CN"/>
          </w:rPr>
          <w:t>(三)、进度安排注意事项</w:t>
        </w:r>
        <w:r>
          <w:tab/>
        </w:r>
        <w:r>
          <w:fldChar w:fldCharType="begin"/>
        </w:r>
        <w:r>
          <w:instrText xml:space="preserve"> PAGEREF _Toc4751 \h </w:instrText>
        </w:r>
        <w:r>
          <w:fldChar w:fldCharType="separate"/>
        </w:r>
        <w:r>
          <w:t>37</w:t>
        </w:r>
        <w:r>
          <w:fldChar w:fldCharType="end"/>
        </w:r>
      </w:hyperlink>
    </w:p>
    <w:p>
      <w:pPr>
        <w:pStyle w:val="TOC2"/>
        <w:tabs>
          <w:tab w:val="right" w:leader="dot" w:pos="8306"/>
        </w:tabs>
      </w:pPr>
      <w:hyperlink w:anchor="_Toc21454" w:history="1">
        <w:r>
          <w:rPr>
            <w:rFonts w:ascii="仿宋" w:eastAsia="仿宋" w:hAnsi="仿宋" w:cs="仿宋" w:hint="eastAsia"/>
            <w:lang w:eastAsia="zh-CN"/>
          </w:rPr>
          <w:t>(四)、人力资源配置</w:t>
        </w:r>
        <w:r>
          <w:tab/>
        </w:r>
        <w:r>
          <w:fldChar w:fldCharType="begin"/>
        </w:r>
        <w:r>
          <w:instrText xml:space="preserve"> PAGEREF _Toc21454 \h </w:instrText>
        </w:r>
        <w:r>
          <w:fldChar w:fldCharType="separate"/>
        </w:r>
        <w:r>
          <w:t>39</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79" w:history="1">
        <w:r>
          <w:rPr>
            <w:rFonts w:ascii="仿宋" w:eastAsia="仿宋" w:hAnsi="仿宋" w:cs="仿宋" w:hint="eastAsia"/>
            <w:lang w:eastAsia="zh-CN"/>
          </w:rPr>
          <w:t>十、井下多功能测振仪项目人力资源管理</w:t>
        </w:r>
        <w:r>
          <w:tab/>
        </w:r>
        <w:r>
          <w:fldChar w:fldCharType="begin"/>
        </w:r>
        <w:r>
          <w:instrText xml:space="preserve"> PAGEREF _Toc79 \h </w:instrText>
        </w:r>
        <w:r>
          <w:fldChar w:fldCharType="separate"/>
        </w:r>
        <w:r>
          <w:t>39</w:t>
        </w:r>
        <w:r>
          <w:fldChar w:fldCharType="end"/>
        </w:r>
      </w:hyperlink>
    </w:p>
    <w:p>
      <w:pPr>
        <w:pStyle w:val="TOC2"/>
        <w:tabs>
          <w:tab w:val="right" w:leader="dot" w:pos="8306"/>
        </w:tabs>
      </w:pPr>
      <w:hyperlink w:anchor="_Toc6079" w:history="1">
        <w:r>
          <w:rPr>
            <w:rFonts w:ascii="仿宋" w:eastAsia="仿宋" w:hAnsi="仿宋" w:cs="仿宋" w:hint="eastAsia"/>
            <w:lang w:eastAsia="zh-CN"/>
          </w:rPr>
          <w:t>(一)、建立健全的预算管理制度</w:t>
        </w:r>
        <w:r>
          <w:tab/>
        </w:r>
        <w:r>
          <w:fldChar w:fldCharType="begin"/>
        </w:r>
        <w:r>
          <w:instrText xml:space="preserve"> PAGEREF _Toc6079 \h </w:instrText>
        </w:r>
        <w:r>
          <w:fldChar w:fldCharType="separate"/>
        </w:r>
        <w:r>
          <w:t>39</w:t>
        </w:r>
        <w:r>
          <w:fldChar w:fldCharType="end"/>
        </w:r>
      </w:hyperlink>
    </w:p>
    <w:p>
      <w:pPr>
        <w:pStyle w:val="TOC2"/>
        <w:tabs>
          <w:tab w:val="right" w:leader="dot" w:pos="8306"/>
        </w:tabs>
      </w:pPr>
      <w:hyperlink w:anchor="_Toc29067" w:history="1">
        <w:r>
          <w:rPr>
            <w:rFonts w:ascii="仿宋" w:eastAsia="仿宋" w:hAnsi="仿宋" w:cs="仿宋" w:hint="eastAsia"/>
            <w:lang w:eastAsia="zh-CN"/>
          </w:rPr>
          <w:t>(二)、加强资金流动监控</w:t>
        </w:r>
        <w:r>
          <w:tab/>
        </w:r>
        <w:r>
          <w:fldChar w:fldCharType="begin"/>
        </w:r>
        <w:r>
          <w:instrText xml:space="preserve"> PAGEREF _Toc29067 \h </w:instrText>
        </w:r>
        <w:r>
          <w:fldChar w:fldCharType="separate"/>
        </w:r>
        <w:r>
          <w:t>41</w:t>
        </w:r>
        <w:r>
          <w:fldChar w:fldCharType="end"/>
        </w:r>
      </w:hyperlink>
    </w:p>
    <w:p>
      <w:pPr>
        <w:pStyle w:val="TOC2"/>
        <w:tabs>
          <w:tab w:val="right" w:leader="dot" w:pos="8306"/>
        </w:tabs>
      </w:pPr>
      <w:hyperlink w:anchor="_Toc24320" w:history="1">
        <w:r>
          <w:rPr>
            <w:rFonts w:ascii="仿宋" w:eastAsia="仿宋" w:hAnsi="仿宋" w:cs="仿宋" w:hint="eastAsia"/>
            <w:lang w:eastAsia="zh-CN"/>
          </w:rPr>
          <w:t>(三)、制定完善的风险控制机制</w:t>
        </w:r>
        <w:r>
          <w:tab/>
        </w:r>
        <w:r>
          <w:fldChar w:fldCharType="begin"/>
        </w:r>
        <w:r>
          <w:instrText xml:space="preserve"> PAGEREF _Toc24320 \h </w:instrText>
        </w:r>
        <w:r>
          <w:fldChar w:fldCharType="separate"/>
        </w:r>
        <w:r>
          <w:t>42</w:t>
        </w:r>
        <w:r>
          <w:fldChar w:fldCharType="end"/>
        </w:r>
      </w:hyperlink>
    </w:p>
    <w:p>
      <w:pPr>
        <w:pStyle w:val="TOC2"/>
        <w:tabs>
          <w:tab w:val="right" w:leader="dot" w:pos="8306"/>
        </w:tabs>
      </w:pPr>
      <w:hyperlink w:anchor="_Toc21637" w:history="1">
        <w:r>
          <w:rPr>
            <w:rFonts w:ascii="仿宋" w:eastAsia="仿宋" w:hAnsi="仿宋" w:cs="仿宋" w:hint="eastAsia"/>
            <w:lang w:eastAsia="zh-CN"/>
          </w:rPr>
          <w:t>(四)、优化成本管理</w:t>
        </w:r>
        <w:r>
          <w:tab/>
        </w:r>
        <w:r>
          <w:fldChar w:fldCharType="begin"/>
        </w:r>
        <w:r>
          <w:instrText xml:space="preserve"> PAGEREF _Toc21637 \h </w:instrText>
        </w:r>
        <w:r>
          <w:fldChar w:fldCharType="separate"/>
        </w:r>
        <w:r>
          <w:t>44</w:t>
        </w:r>
        <w:r>
          <w:fldChar w:fldCharType="end"/>
        </w:r>
      </w:hyperlink>
    </w:p>
    <w:p>
      <w:pPr>
        <w:pStyle w:val="TOC1"/>
        <w:tabs>
          <w:tab w:val="right" w:leader="dot" w:pos="8306"/>
        </w:tabs>
      </w:pPr>
      <w:hyperlink w:anchor="_Toc28406" w:history="1">
        <w:r>
          <w:rPr>
            <w:rFonts w:ascii="仿宋" w:eastAsia="仿宋" w:hAnsi="仿宋" w:cs="仿宋" w:hint="eastAsia"/>
            <w:lang w:eastAsia="zh-CN"/>
          </w:rPr>
          <w:t>十一、井下多功能测振仪项目经营效益</w:t>
        </w:r>
        <w:r>
          <w:tab/>
        </w:r>
        <w:r>
          <w:fldChar w:fldCharType="begin"/>
        </w:r>
        <w:r>
          <w:instrText xml:space="preserve"> PAGEREF _Toc28406 \h </w:instrText>
        </w:r>
        <w:r>
          <w:fldChar w:fldCharType="separate"/>
        </w:r>
        <w:r>
          <w:t>45</w:t>
        </w:r>
        <w:r>
          <w:fldChar w:fldCharType="end"/>
        </w:r>
      </w:hyperlink>
    </w:p>
    <w:p>
      <w:pPr>
        <w:pStyle w:val="TOC2"/>
        <w:tabs>
          <w:tab w:val="right" w:leader="dot" w:pos="8306"/>
        </w:tabs>
      </w:pPr>
      <w:hyperlink w:anchor="_Toc20628" w:history="1">
        <w:r>
          <w:rPr>
            <w:rFonts w:ascii="仿宋" w:eastAsia="仿宋" w:hAnsi="仿宋" w:cs="仿宋" w:hint="eastAsia"/>
            <w:lang w:eastAsia="zh-CN"/>
          </w:rPr>
          <w:t>(一)、经济评价财务测算</w:t>
        </w:r>
        <w:r>
          <w:tab/>
        </w:r>
        <w:r>
          <w:fldChar w:fldCharType="begin"/>
        </w:r>
        <w:r>
          <w:instrText xml:space="preserve"> PAGEREF _Toc20628 \h </w:instrText>
        </w:r>
        <w:r>
          <w:fldChar w:fldCharType="separate"/>
        </w:r>
        <w:r>
          <w:t>45</w:t>
        </w:r>
        <w:r>
          <w:fldChar w:fldCharType="end"/>
        </w:r>
      </w:hyperlink>
    </w:p>
    <w:p>
      <w:pPr>
        <w:pStyle w:val="TOC2"/>
        <w:tabs>
          <w:tab w:val="right" w:leader="dot" w:pos="8306"/>
        </w:tabs>
      </w:pPr>
      <w:hyperlink w:anchor="_Toc29465" w:history="1">
        <w:r>
          <w:rPr>
            <w:rFonts w:ascii="仿宋" w:eastAsia="仿宋" w:hAnsi="仿宋" w:cs="仿宋" w:hint="eastAsia"/>
            <w:lang w:eastAsia="zh-CN"/>
          </w:rPr>
          <w:t>(二)、井下多功能测振仪项目盈利能力分析</w:t>
        </w:r>
        <w:r>
          <w:tab/>
        </w:r>
        <w:r>
          <w:fldChar w:fldCharType="begin"/>
        </w:r>
        <w:r>
          <w:instrText xml:space="preserve"> PAGEREF _Toc29465 \h </w:instrText>
        </w:r>
        <w:r>
          <w:fldChar w:fldCharType="separate"/>
        </w:r>
        <w:r>
          <w:t>47</w:t>
        </w:r>
        <w:r>
          <w:fldChar w:fldCharType="end"/>
        </w:r>
      </w:hyperlink>
    </w:p>
    <w:p>
      <w:pPr>
        <w:pStyle w:val="TOC1"/>
        <w:tabs>
          <w:tab w:val="right" w:leader="dot" w:pos="8306"/>
        </w:tabs>
      </w:pPr>
      <w:hyperlink w:anchor="_Toc26338" w:history="1">
        <w:r>
          <w:rPr>
            <w:rFonts w:ascii="仿宋" w:eastAsia="仿宋" w:hAnsi="仿宋" w:cs="仿宋" w:hint="eastAsia"/>
            <w:lang w:eastAsia="zh-CN"/>
          </w:rPr>
          <w:t>十二、井下多功能测振仪项目社会影响</w:t>
        </w:r>
        <w:r>
          <w:tab/>
        </w:r>
        <w:r>
          <w:fldChar w:fldCharType="begin"/>
        </w:r>
        <w:r>
          <w:instrText xml:space="preserve"> PAGEREF _Toc26338 \h </w:instrText>
        </w:r>
        <w:r>
          <w:fldChar w:fldCharType="separate"/>
        </w:r>
        <w:r>
          <w:t>47</w:t>
        </w:r>
        <w:r>
          <w:fldChar w:fldCharType="end"/>
        </w:r>
      </w:hyperlink>
    </w:p>
    <w:p>
      <w:pPr>
        <w:pStyle w:val="TOC2"/>
        <w:tabs>
          <w:tab w:val="right" w:leader="dot" w:pos="8306"/>
        </w:tabs>
      </w:pPr>
      <w:hyperlink w:anchor="_Toc9521" w:history="1">
        <w:r>
          <w:rPr>
            <w:rFonts w:ascii="仿宋" w:eastAsia="仿宋" w:hAnsi="仿宋" w:cs="仿宋" w:hint="eastAsia"/>
            <w:lang w:eastAsia="zh-CN"/>
          </w:rPr>
          <w:t>(一)、社会责任与义务</w:t>
        </w:r>
        <w:r>
          <w:tab/>
        </w:r>
        <w:r>
          <w:fldChar w:fldCharType="begin"/>
        </w:r>
        <w:r>
          <w:instrText xml:space="preserve"> PAGEREF _Toc9521 \h </w:instrText>
        </w:r>
        <w:r>
          <w:fldChar w:fldCharType="separate"/>
        </w:r>
        <w:r>
          <w:t>47</w:t>
        </w:r>
        <w:r>
          <w:fldChar w:fldCharType="end"/>
        </w:r>
      </w:hyperlink>
    </w:p>
    <w:p>
      <w:pPr>
        <w:pStyle w:val="TOC2"/>
        <w:tabs>
          <w:tab w:val="right" w:leader="dot" w:pos="8306"/>
        </w:tabs>
      </w:pPr>
      <w:hyperlink w:anchor="_Toc23092" w:history="1">
        <w:r>
          <w:rPr>
            <w:rFonts w:ascii="仿宋" w:eastAsia="仿宋" w:hAnsi="仿宋" w:cs="仿宋" w:hint="eastAsia"/>
            <w:lang w:eastAsia="zh-CN"/>
          </w:rPr>
          <w:t>(二)、社会参与与沟通</w:t>
        </w:r>
        <w:r>
          <w:tab/>
        </w:r>
        <w:r>
          <w:fldChar w:fldCharType="begin"/>
        </w:r>
        <w:r>
          <w:instrText xml:space="preserve"> PAGEREF _Toc23092 \h </w:instrText>
        </w:r>
        <w:r>
          <w:fldChar w:fldCharType="separate"/>
        </w:r>
        <w:r>
          <w:t>48</w:t>
        </w:r>
        <w:r>
          <w:fldChar w:fldCharType="end"/>
        </w:r>
      </w:hyperlink>
    </w:p>
    <w:p>
      <w:pPr>
        <w:pStyle w:val="TOC1"/>
        <w:tabs>
          <w:tab w:val="right" w:leader="dot" w:pos="8306"/>
        </w:tabs>
      </w:pPr>
      <w:hyperlink w:anchor="_Toc29834" w:history="1">
        <w:r>
          <w:rPr>
            <w:rFonts w:ascii="仿宋" w:eastAsia="仿宋" w:hAnsi="仿宋" w:cs="仿宋" w:hint="eastAsia"/>
            <w:lang w:eastAsia="zh-CN"/>
          </w:rPr>
          <w:t>十三、井下多功能测振仪项目工程方案分析</w:t>
        </w:r>
        <w:r>
          <w:tab/>
        </w:r>
        <w:r>
          <w:fldChar w:fldCharType="begin"/>
        </w:r>
        <w:r>
          <w:instrText xml:space="preserve"> PAGEREF _Toc29834 \h </w:instrText>
        </w:r>
        <w:r>
          <w:fldChar w:fldCharType="separate"/>
        </w:r>
        <w:r>
          <w:t>49</w:t>
        </w:r>
        <w:r>
          <w:fldChar w:fldCharType="end"/>
        </w:r>
      </w:hyperlink>
    </w:p>
    <w:p>
      <w:pPr>
        <w:pStyle w:val="TOC2"/>
        <w:tabs>
          <w:tab w:val="right" w:leader="dot" w:pos="8306"/>
        </w:tabs>
      </w:pPr>
      <w:hyperlink w:anchor="_Toc7644" w:history="1">
        <w:r>
          <w:rPr>
            <w:rFonts w:ascii="仿宋" w:eastAsia="仿宋" w:hAnsi="仿宋" w:cs="仿宋" w:hint="eastAsia"/>
            <w:lang w:eastAsia="zh-CN"/>
          </w:rPr>
          <w:t>(一)、建筑工程设计原则</w:t>
        </w:r>
        <w:r>
          <w:tab/>
        </w:r>
        <w:r>
          <w:fldChar w:fldCharType="begin"/>
        </w:r>
        <w:r>
          <w:instrText xml:space="preserve"> PAGEREF _Toc7644 \h </w:instrText>
        </w:r>
        <w:r>
          <w:fldChar w:fldCharType="separate"/>
        </w:r>
        <w:r>
          <w:t>49</w:t>
        </w:r>
        <w:r>
          <w:fldChar w:fldCharType="end"/>
        </w:r>
      </w:hyperlink>
    </w:p>
    <w:p>
      <w:pPr>
        <w:pStyle w:val="TOC2"/>
        <w:tabs>
          <w:tab w:val="right" w:leader="dot" w:pos="8306"/>
        </w:tabs>
      </w:pPr>
      <w:hyperlink w:anchor="_Toc2967" w:history="1">
        <w:r>
          <w:rPr>
            <w:rFonts w:ascii="仿宋" w:eastAsia="仿宋" w:hAnsi="仿宋" w:cs="仿宋" w:hint="eastAsia"/>
            <w:lang w:eastAsia="zh-CN"/>
          </w:rPr>
          <w:t>(二)、土建工程建设指标</w:t>
        </w:r>
        <w:r>
          <w:tab/>
        </w:r>
        <w:r>
          <w:fldChar w:fldCharType="begin"/>
        </w:r>
        <w:r>
          <w:instrText xml:space="preserve"> PAGEREF _Toc2967 \h </w:instrText>
        </w:r>
        <w:r>
          <w:fldChar w:fldCharType="separate"/>
        </w:r>
        <w:r>
          <w:t>52</w:t>
        </w:r>
        <w:r>
          <w:fldChar w:fldCharType="end"/>
        </w:r>
      </w:hyperlink>
    </w:p>
    <w:p>
      <w:pPr>
        <w:pStyle w:val="TOC1"/>
        <w:tabs>
          <w:tab w:val="right" w:leader="dot" w:pos="8306"/>
        </w:tabs>
      </w:pPr>
      <w:hyperlink w:anchor="_Toc19777" w:history="1">
        <w:r>
          <w:rPr>
            <w:rFonts w:ascii="仿宋" w:eastAsia="仿宋" w:hAnsi="仿宋" w:cs="仿宋" w:hint="eastAsia"/>
            <w:lang w:eastAsia="zh-CN"/>
          </w:rPr>
          <w:t>十四、风险识别与分类</w:t>
        </w:r>
        <w:r>
          <w:tab/>
        </w:r>
        <w:r>
          <w:fldChar w:fldCharType="begin"/>
        </w:r>
        <w:r>
          <w:instrText xml:space="preserve"> PAGEREF _Toc19777 \h </w:instrText>
        </w:r>
        <w:r>
          <w:fldChar w:fldCharType="separate"/>
        </w:r>
        <w:r>
          <w:t>54</w:t>
        </w:r>
        <w:r>
          <w:fldChar w:fldCharType="end"/>
        </w:r>
      </w:hyperlink>
    </w:p>
    <w:p>
      <w:pPr>
        <w:pStyle w:val="TOC2"/>
        <w:tabs>
          <w:tab w:val="right" w:leader="dot" w:pos="8306"/>
        </w:tabs>
      </w:pPr>
      <w:hyperlink w:anchor="_Toc20447" w:history="1">
        <w:r>
          <w:rPr>
            <w:rFonts w:ascii="仿宋" w:eastAsia="仿宋" w:hAnsi="仿宋" w:cs="仿宋" w:hint="eastAsia"/>
            <w:lang w:eastAsia="zh-CN"/>
          </w:rPr>
          <w:t>(一)、风险识别</w:t>
        </w:r>
        <w:r>
          <w:tab/>
        </w:r>
        <w:r>
          <w:fldChar w:fldCharType="begin"/>
        </w:r>
        <w:r>
          <w:instrText xml:space="preserve"> PAGEREF _Toc20447 \h </w:instrText>
        </w:r>
        <w:r>
          <w:fldChar w:fldCharType="separate"/>
        </w:r>
        <w:r>
          <w:t>54</w:t>
        </w:r>
        <w:r>
          <w:fldChar w:fldCharType="end"/>
        </w:r>
      </w:hyperlink>
    </w:p>
    <w:p>
      <w:pPr>
        <w:pStyle w:val="TOC2"/>
        <w:tabs>
          <w:tab w:val="right" w:leader="dot" w:pos="8306"/>
        </w:tabs>
      </w:pPr>
      <w:hyperlink w:anchor="_Toc30883" w:history="1">
        <w:r>
          <w:rPr>
            <w:rFonts w:ascii="仿宋" w:eastAsia="仿宋" w:hAnsi="仿宋" w:cs="仿宋" w:hint="eastAsia"/>
            <w:lang w:eastAsia="zh-CN"/>
          </w:rPr>
          <w:t>(二)、风险分类</w:t>
        </w:r>
        <w:r>
          <w:tab/>
        </w:r>
        <w:r>
          <w:fldChar w:fldCharType="begin"/>
        </w:r>
        <w:r>
          <w:instrText xml:space="preserve"> PAGEREF _Toc30883 \h </w:instrText>
        </w:r>
        <w:r>
          <w:fldChar w:fldCharType="separate"/>
        </w:r>
        <w:r>
          <w:t>55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1595"/>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2174"/>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7893"/>
      <w:r>
        <w:rPr>
          <w:rFonts w:ascii="仿宋" w:eastAsia="仿宋" w:hAnsi="仿宋" w:cs="仿宋" w:hint="eastAsia"/>
          <w:lang w:eastAsia="zh-CN"/>
        </w:rPr>
        <w:t>(一)、井下多功能测振仪行业分析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井下多功能测振仪行业一直以来都是市场的关注焦点。行业内的发展趋势、竞争态势以及潜在机会都对井下多功能测振仪项目的推进产生深远的影响。通过深入研究行业的整体概貌，我们将更好地理解行业的核心特征，为井下多功能测振仪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井下多功能测振仪行业，技术一直是推动创新和发展的关键因素。我们将对当前技术趋势进行详尽分析，包括但不限于人工智能、大数据应用、先进制造技术等。这有助于井下多功能测振仪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井下多功能测振仪项目成功的基础。我们将对主要竞争对手进行深入研究，包括其市场份额、产品特点、市场定位等。通过全面了解竞争对手的优势和劣势，井下多功能测振仪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10059"/>
      <w:r>
        <w:rPr>
          <w:rFonts w:ascii="仿宋" w:eastAsia="仿宋" w:hAnsi="仿宋" w:cs="仿宋" w:hint="eastAsia"/>
          <w:sz w:val="28"/>
          <w:lang w:eastAsia="zh-CN"/>
        </w:rPr>
        <w:t>(二)、井下多功能测振仪市场分析预测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井下多功能测振仪市场未来的增长趋势。这包括市场的整体规模、各细分领域的发展趋势等。井下多功能测振仪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井下多功能测振仪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市场风险是井下多功能测振仪项目实施过程中需要充分考虑的因素。我们将对市场风险进行全面评估，包括但不限于政策法规风险、市场竞争风险、技术变革风险等。通过对潜在风险的深入分析，井下多功能测振仪项目可以制定相应的风险缓解策略，降低不确定性对井下多功能测振仪项目的影响。</w:t>
      </w:r>
    </w:p>
    <w:p>
      <w:pPr>
        <w:pStyle w:val="Heading1"/>
        <w:ind w:firstLine="560" w:firstLineChars="200"/>
        <w:rPr>
          <w:rFonts w:ascii="仿宋" w:eastAsia="仿宋" w:hAnsi="仿宋" w:cs="仿宋" w:hint="eastAsia"/>
          <w:sz w:val="28"/>
          <w:lang w:eastAsia="zh-CN"/>
        </w:rPr>
      </w:pPr>
      <w:bookmarkStart w:id="5" w:name="_Toc16438"/>
      <w:r>
        <w:rPr>
          <w:rFonts w:ascii="仿宋" w:eastAsia="仿宋" w:hAnsi="仿宋" w:cs="仿宋" w:hint="eastAsia"/>
          <w:sz w:val="28"/>
          <w:lang w:eastAsia="zh-CN"/>
        </w:rPr>
        <w:t>二、井下多功能测振仪项目危机管理</w:t>
      </w:r>
      <w:bookmarkEnd w:id="5"/>
    </w:p>
    <w:p>
      <w:pPr>
        <w:pStyle w:val="Heading2"/>
        <w:rPr>
          <w:rFonts w:ascii="仿宋" w:eastAsia="仿宋" w:hAnsi="仿宋" w:cs="仿宋" w:hint="eastAsia"/>
          <w:lang w:eastAsia="zh-CN"/>
        </w:rPr>
      </w:pPr>
      <w:bookmarkStart w:id="6" w:name="_Toc32509"/>
      <w:r>
        <w:rPr>
          <w:rFonts w:ascii="仿宋" w:eastAsia="仿宋" w:hAnsi="仿宋" w:cs="仿宋" w:hint="eastAsia"/>
          <w:lang w:eastAsia="zh-CN"/>
        </w:rPr>
        <w:t>(一)、危机预警与识别</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井下多功能测振仪项目危机管理中，危机预警与识别是确保井下多功能测振仪项目稳健运行的核心步骤。通过建立全面的监测机制，井下多功能测振仪项目团队旨在及时发现和理解潜在的风险和危机因素，以便采取及时的预防和应对措施，确保井下多功能测振仪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井下多功能测振仪项目团队全面分析了整个井下多功能测振仪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井下多功能测振仪项目团队着重于明确定义井下多功能测振仪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井下多功能测振仪项目进展的持续监控，团队能够及时发现潜在问题并作出迅速反应。井下多功能测振仪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在这一阶段，团队的专业素养和反应速度将发挥至关重要的作用，以确保潜在危机能够在初期得到有效的处理，最大程度地减轻负面影响。通过危机预警与识别，井下多功能测振仪项目得以更有序、可控地推进。</w:t>
      </w:r>
    </w:p>
    <w:p>
      <w:pPr>
        <w:pStyle w:val="Heading2"/>
        <w:ind w:firstLine="560" w:firstLineChars="200"/>
        <w:rPr>
          <w:rFonts w:ascii="仿宋" w:eastAsia="仿宋" w:hAnsi="仿宋" w:cs="仿宋" w:hint="eastAsia"/>
          <w:sz w:val="28"/>
          <w:lang w:eastAsia="zh-CN"/>
        </w:rPr>
      </w:pPr>
      <w:bookmarkStart w:id="7" w:name="_Toc1217"/>
      <w:r>
        <w:rPr>
          <w:rFonts w:ascii="仿宋" w:eastAsia="仿宋" w:hAnsi="仿宋" w:cs="仿宋" w:hint="eastAsia"/>
          <w:sz w:val="28"/>
          <w:lang w:eastAsia="zh-CN"/>
        </w:rPr>
        <w:t>(二)、危机应对与恢复</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在危机发生时，井下多功能测振仪项目团队立即行动，成立了应急小组。该小组的任务是迅速制定并实施紧急应对措施，以最小化潜在损失。以下是采取的主要措施：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暂停井下多功能测振仪项目进度：为遏制危机蔓延，井下多功能测振仪项目暂时停止进行，以便全面评估当前状况。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资源重新分配：重新评估井下多功能测振仪项目资源的分配，确保最大限度地减小损失。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实时沟通：与关键利益相关者建立实时沟通机制，向他们传递井下多功能测振仪项目危机的实际状况，保障井下多功能测振仪项目核心利益。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在紧急应对的同时，井下多功能测振仪项目团队强调了团队协作和有效沟通的重要性。以下是团队协作的关键举措：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信息共享机制：建立了信息共享平台，确保团队成员能够及时获取井下多功能测振仪项目危机的实时信息。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领导者沟通：井下多功能测振仪项目领导者通过定期会议和即时沟通工具，指导团队应对危机，保持团队稳定运行。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随着危机得到初步控制，井下多功能测振仪项目团队转向制定恢复计划，以确保井下多功能测振仪项目能够从中迅速恢复。主要恢复计划包括：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修复受损的进度计划：重新评估井下多功能测振仪项目进度，制定修复计划，确保井下多功能测振仪项目尽快回归正常进程。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重新调整资源分配：优化资源分配，确保井下多功能测振仪项目在有限资源下高效运转。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风险管理机制加强：对井下多功能测振仪项目风险进行全面评估，制定更强化的风险管理策略，以预防未来可能的危机。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8" w:name="_Toc20765"/>
      <w:r>
        <w:rPr>
          <w:rFonts w:ascii="仿宋" w:eastAsia="仿宋" w:hAnsi="仿宋" w:cs="仿宋" w:hint="eastAsia"/>
          <w:sz w:val="28"/>
          <w:lang w:eastAsia="zh-CN"/>
        </w:rPr>
        <w:t>三、井下多功能测振仪项目可持续发展</w:t>
      </w:r>
      <w:bookmarkEnd w:id="8"/>
    </w:p>
    <w:p>
      <w:pPr>
        <w:pStyle w:val="Heading2"/>
        <w:rPr>
          <w:rFonts w:ascii="仿宋" w:eastAsia="仿宋" w:hAnsi="仿宋" w:cs="仿宋" w:hint="eastAsia"/>
          <w:lang w:eastAsia="zh-CN"/>
        </w:rPr>
      </w:pPr>
      <w:bookmarkStart w:id="9" w:name="_Toc10051"/>
      <w:r>
        <w:rPr>
          <w:rFonts w:ascii="仿宋" w:eastAsia="仿宋" w:hAnsi="仿宋" w:cs="仿宋" w:hint="eastAsia"/>
          <w:lang w:eastAsia="zh-CN"/>
        </w:rPr>
        <w:t>(一)、可持续战略与实践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井下多功能测振仪项目中，井下多功能测振仪项目团队着眼于未来，明确了可持续发展的战略方向。制定的具体可持续发展目标包括降低资源使用、采用环保技术、最大化社会效益等。这一步骤不仅有助于井下多功能测振仪项目在环保和社会责任方面达到最高标准，也为未来提供了明确的指引，确保井下多功能测振仪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可持续实践的融入井下多功能测振仪项目管理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井下多功能测振仪项目管理周期。从井下多功能测振仪项目规划开始，井下多功能测振仪项目团队就考虑了环境和社会的因素。在执行阶段，井下多功能测振仪项目团队积极推动绿色技术的应用，优化资源利用。此外，关注员工的社会责任，通过培训和沟通活动提高员工对可持续发展的认知，使他们能够在日常工作中践行可持续实践。这些举措不仅为井下多功能测振仪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0" w:name="_Toc13970"/>
      <w:r>
        <w:rPr>
          <w:rFonts w:ascii="仿宋" w:eastAsia="仿宋" w:hAnsi="仿宋" w:cs="仿宋" w:hint="eastAsia"/>
          <w:sz w:val="28"/>
          <w:lang w:eastAsia="zh-CN"/>
        </w:rPr>
        <w:t>(二)、环保与社会责任</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扎根于井下多功能测振仪项目的可持续发展理念，我们深信环保与社会责任是井下多功能测振仪项目成功的关键支柱。在井下多功能测振仪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井下多功能测振仪项目团队通过引入先进的环保技术、建立高效的废物处理系统以及推动能源节约措施，积极履行环保责任。定期的环保监测和评估确保井下多功能测振仪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井下多功能测振仪项目不仅致力于自身可持续发展，还注重对社会的回馈。通过支持社区井下多功能测振仪项目、参与慈善事业、提供培训机会等方式，井下多功能测振仪项目积极履行社会责任。与当地社区建立积极互动，关注员工的工作与生活平衡，以及员工的身心健康，是井下多功能测振仪项目在社会责任层面的关键举措。这样的实践不仅增强了井下多功能测振仪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1" w:name="_Toc18705"/>
      <w:r>
        <w:rPr>
          <w:rFonts w:ascii="仿宋" w:eastAsia="仿宋" w:hAnsi="仿宋" w:cs="仿宋" w:hint="eastAsia"/>
          <w:sz w:val="28"/>
          <w:lang w:eastAsia="zh-CN"/>
        </w:rPr>
        <w:t>四、井下多功能测振仪项目选址可行性分析</w:t>
      </w:r>
      <w:bookmarkEnd w:id="11"/>
    </w:p>
    <w:p>
      <w:pPr>
        <w:pStyle w:val="Heading2"/>
        <w:rPr>
          <w:rFonts w:ascii="仿宋" w:eastAsia="仿宋" w:hAnsi="仿宋" w:cs="仿宋" w:hint="eastAsia"/>
          <w:lang w:eastAsia="zh-CN"/>
        </w:rPr>
      </w:pPr>
      <w:bookmarkStart w:id="12" w:name="_Toc12100"/>
      <w:r>
        <w:rPr>
          <w:rFonts w:ascii="仿宋" w:eastAsia="仿宋" w:hAnsi="仿宋" w:cs="仿宋" w:hint="eastAsia"/>
          <w:lang w:eastAsia="zh-CN"/>
        </w:rPr>
        <w:t>(一)、井下多功能测振仪项目选址</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该井下多功能测振仪项目选址位于XX省XX市XX区XXX街道</w:t>
      </w:r>
    </w:p>
    <w:p>
      <w:pPr>
        <w:pStyle w:val="Heading2"/>
        <w:ind w:firstLine="560" w:firstLineChars="200"/>
        <w:rPr>
          <w:rFonts w:ascii="仿宋" w:eastAsia="仿宋" w:hAnsi="仿宋" w:cs="仿宋" w:hint="eastAsia"/>
          <w:sz w:val="28"/>
          <w:lang w:eastAsia="zh-CN"/>
        </w:rPr>
      </w:pPr>
      <w:bookmarkStart w:id="13" w:name="_Toc18125"/>
      <w:r>
        <w:rPr>
          <w:rFonts w:ascii="仿宋" w:eastAsia="仿宋" w:hAnsi="仿宋" w:cs="仿宋" w:hint="eastAsia"/>
          <w:sz w:val="28"/>
          <w:lang w:eastAsia="zh-CN"/>
        </w:rPr>
        <w:t>(二)、用地控制指标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井下多功能测振仪项目的征地面积将根据井下多功能测振仪项目的实际规模和需求进行精确规划。具体面积XXX平方米，旨在确保井下多功能测振仪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净用地面积是在征地面积基础上去除不可利用面积后的实际可开发用地。具体面积XXX平方米，考虑到环保、交通、安全等多方面因素，以确保井下多功能测振仪项目在整体利用效率上达到最优。</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井下多功能测振仪项目计划建设的建筑总规模具体面积XXX平方米。这一规模的确定综合考虑了井下多功能测振仪项目的性质、规模，以及城市规划的相关要求，确保建筑布局与周边环境协调一致。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绿地率是井下多功能测振仪项目用地中被规划为绿地的比例。具体面积XXX平方米，旨在通过合理规划绿地，改善井下多功能测振仪项目周边环境，提升居民生活质量，并符合城市整体绿化规划。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容积率是用地上可以建设的建筑总体积与用地面积之比。具体面积XXX，通过合理的容积率规划，确保井下多功能测振仪项目建筑规模与周边环境和谐共生。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井下多功能测振仪项目选址与当地城市规划相一致，具体面积XXX平方米。通过与城市规划部门深入沟通，确保井下多功能测振仪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井下多功能测振仪项目选址符合当地产业政策，具体面积XXX平方米。这包括井下多功能测振仪项目对当地经济的促进作用，以及对相关产业的带动效应，确保井下多功能测振仪项目与地方政府的产业政策保持一致，促进共赢合作。</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用地总体要求必须符合环保和可持续发展的原则，具体面积XXX平方米。通过采用绿色建筑设计、节能减排等措施，确保井下多功能测振仪项目在建设和运营过程中对环境的影响最小化，达到可持续发展的要求。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确保井下多功能测振仪项目选址具备必要的公共设施配套，具体面积XXX平方米。这包括交通便利性、教育、医疗等基础设施，以提高居民生活品质，使得井下多功能测振仪项目选址更具吸引力。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考虑用地总体要求对当地社会稳定性的影响，具体面积XXX平方米。通过深入了解当地社区反馈，确保井下多功能测振仪项目的选址和建设过程对当地社会和谐稳定产生积极作用。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井下多功能测振仪项目选址不仅符合法规和规划，还在实际操作中具有可行性。这一全面规划将为井下多功能测振仪项目的成功实施提供坚实的基础，确保井下多功能测振仪项目选址阶段就能够奠定良好的发展基础。</w:t>
      </w:r>
    </w:p>
    <w:p>
      <w:pPr>
        <w:pStyle w:val="Heading2"/>
        <w:ind w:firstLine="560" w:firstLineChars="200"/>
        <w:rPr>
          <w:rFonts w:ascii="仿宋" w:eastAsia="仿宋" w:hAnsi="仿宋" w:cs="仿宋" w:hint="eastAsia"/>
          <w:sz w:val="28"/>
          <w:lang w:eastAsia="zh-CN"/>
        </w:rPr>
      </w:pPr>
      <w:bookmarkStart w:id="14" w:name="_Toc30776"/>
      <w:r>
        <w:rPr>
          <w:rFonts w:ascii="仿宋" w:eastAsia="仿宋" w:hAnsi="仿宋" w:cs="仿宋" w:hint="eastAsia"/>
          <w:sz w:val="28"/>
          <w:lang w:eastAsia="zh-CN"/>
        </w:rPr>
        <w:t>(三)、节约用地措施</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井下多功能测振仪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井下多功能测振仪项目的设备规划和空间设计中，我们将采取灵活设备布局的措施。设备布局将根据实际需求进行灵活设计，避免不必要的浪费。通过合理规划设备摆放位置，我们将提高设备的利用率，减少设备间距，以确保井下多功能测振仪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井下多功能测振仪项目内部引入共享设施的概念，例如共享会议室、办公区等。通过这种方式，我们可以减少对资源的重复建设，提高资源共享效率，从而减小井下多功能测振仪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5" w:name="_Toc14482"/>
      <w:r>
        <w:rPr>
          <w:rFonts w:ascii="仿宋" w:eastAsia="仿宋" w:hAnsi="仿宋" w:cs="仿宋" w:hint="eastAsia"/>
          <w:sz w:val="28"/>
          <w:lang w:eastAsia="zh-CN"/>
        </w:rPr>
        <w:t>(四)、总图布置方案</w:t>
      </w:r>
      <w:bookmarkEnd w:id="15"/>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功能分区规划： 在井下多功能测振仪项目的总图布置中，我们将不同功能区域进行明确的规划，以最大程度满足井下多功能测振仪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6" w:name="_Toc934"/>
      <w:r>
        <w:rPr>
          <w:rFonts w:ascii="仿宋" w:eastAsia="仿宋" w:hAnsi="仿宋" w:cs="仿宋" w:hint="eastAsia"/>
          <w:sz w:val="28"/>
          <w:lang w:eastAsia="zh-CN"/>
        </w:rPr>
        <w:t>(五)、选址综合评价</w:t>
      </w:r>
      <w:bookmarkEnd w:id="16"/>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井下多功能测振仪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井下多功能测振仪项目对环境的影响是综合评价的重要因素之一。我们将详细考虑选址周边的自然环境、生态保护区、水源地等情况，确保井下多功能测振仪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对选址的评价还需充分考虑当地政府的产业政策和法规。我们将详细了解井下多功能测振仪项目所在地的相关政策，确保井下多功能测振仪项目的规划和运营与当地法规相符，降低不必要的法律风险。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考虑到社会稳定性对企业运营的重要性，我们将评估选址地区的社会安全情况、劳工关系、社区反馈等方面，以确保井下多功能测振仪项目的建设和运营不会受到社会稳定性的负面影响。</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最后，我们将综合考虑用地成本，包括土地购置费用、土地开发成本等。通过对用地成本的详细评估，我们能够做出更为精确的经济效益分析，为井下多功能测振仪项目的投资决策提供有力支持。</w:t>
      </w:r>
    </w:p>
    <w:p>
      <w:pPr>
        <w:pStyle w:val="Heading1"/>
        <w:ind w:firstLine="560" w:firstLineChars="200"/>
        <w:rPr>
          <w:rFonts w:ascii="仿宋" w:eastAsia="仿宋" w:hAnsi="仿宋" w:cs="仿宋" w:hint="eastAsia"/>
          <w:sz w:val="28"/>
          <w:lang w:eastAsia="zh-CN"/>
        </w:rPr>
      </w:pPr>
      <w:bookmarkStart w:id="17" w:name="_Toc8241"/>
      <w:r>
        <w:rPr>
          <w:rFonts w:ascii="仿宋" w:eastAsia="仿宋" w:hAnsi="仿宋" w:cs="仿宋" w:hint="eastAsia"/>
          <w:sz w:val="28"/>
          <w:lang w:eastAsia="zh-CN"/>
        </w:rPr>
        <w:t>五、产品规划分析</w:t>
      </w:r>
      <w:bookmarkEnd w:id="17"/>
    </w:p>
    <w:p>
      <w:pPr>
        <w:pStyle w:val="Heading2"/>
        <w:rPr>
          <w:rFonts w:ascii="仿宋" w:eastAsia="仿宋" w:hAnsi="仿宋" w:cs="仿宋" w:hint="eastAsia"/>
          <w:lang w:eastAsia="zh-CN"/>
        </w:rPr>
      </w:pPr>
      <w:bookmarkStart w:id="18" w:name="_Toc10921"/>
      <w:r>
        <w:rPr>
          <w:rFonts w:ascii="仿宋" w:eastAsia="仿宋" w:hAnsi="仿宋" w:cs="仿宋" w:hint="eastAsia"/>
          <w:lang w:eastAsia="zh-CN"/>
        </w:rPr>
        <w:t>(一)、产品规划</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井下多功能测振仪项目的主要产品是XXXX，预计年产值为XXX万元。这一产品在市场中占据着重要的地位，其广泛的应用范围使得该井下多功能测振仪项目的市场前景非常广阔。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井下多功能测振仪项目的xxx产品作为重要的原材料之一，将在多个领域发挥关键作用。其在建筑、交通、能源等方面的广泛应用将为整个产业链提供强大的支持，形成产业协同效应。井下多功能测振仪项目的年产值XXX万XXX万XXX万万元不仅反映了其在市场上的巨大潜力，更预示着它对国民经济的积极贡献。这种关联度高、涉及面广的产业关系，使得该井下多功能测振仪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9" w:name="_Toc7845"/>
      <w:r>
        <w:rPr>
          <w:rFonts w:ascii="仿宋" w:eastAsia="仿宋" w:hAnsi="仿宋" w:cs="仿宋" w:hint="eastAsia"/>
          <w:sz w:val="28"/>
          <w:lang w:eastAsia="zh-CN"/>
        </w:rPr>
        <w:t>(二)、建设规模</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井下多功能测振仪项目总征地面积为XXXX平方米，相当于约XX.XX亩，其中净用地面积为XXXX平方米，红线范围内相当于约XX.XX亩。这一用地规模充分考虑了井下多功能测振仪项目的建设需求，保障了井下多功能测振仪项目在合适的空间内得以充分发展。井下多功能测振仪项目规划的总建筑面积为XXXX平方米，其中主体工程建设占XXXX平方米，计容建筑面积达XXXX平方米。预计建筑工程的投资将达到XXXX万元，为井下多功能测振仪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井下多功能测振仪项目计划购置的设备共计XXXX台（套），设备购置费用为XXXX万元。这一设备购置计划充分考虑到井下多功能测振仪项目的生产需求和技术要求，确保了井下多功能测振仪项目在生产运营中具备先进的技术装备和高效的生产能力。设备的合理配置将为井下多功能测振仪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井下多功能测振仪项目计划总投资为XXXX万元，预计年实现营业收入为XXXX万元。这一产能规模的设定旨在确保井下多功能测振仪项目能够在投资与回报之间取得平衡，实现长期可持续的发展。井下多功能测振仪项目的总投资充分考虑到各个方面的需求，包括用地建设、设备购置等多个环节，以确保井下多功能测振仪项目在未来能够具备强大的产能规模，为市场创造更大的经济效益。</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https://d.book118.com/548110142065006022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井下多功能测振仪项目计划设计方案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井下多功能测振仪项目计划设计方案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井下多功能测振仪项目计划设计方案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井下多功能测振仪项目计划设计方案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井下多功能测振仪项目计划设计方案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井下多功能测振仪项目计划设计方案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井下多功能测振仪项目计划设计方案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井下多功能测振仪项目计划设计方案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井下多功能测振仪项目计划设计方案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井下多功能测振仪项目计划设计方案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井下多功能测振仪项目计划设计方案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井下多功能测振仪项目计划设计方案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井下多功能测振仪项目计划设计方案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井下多功能测振仪项目计划设计方案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井下多功能测振仪项目计划设计方案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井下多功能测振仪项目计划设计方案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井下多功能测振仪项目计划设计方案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D8C0C17"/>
    <w:rsid w:val="5D8C0C1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4811014206500602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2023-12-29T00:49:00Z</dcterms:created>
  <dcterms:modified xsi:type="dcterms:W3CDTF">2023-12-29T00:49:25Z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943AB8D9EE7C4DA5B9DA01D4F29AB001_11</vt:lpwstr>
  </property>
  <property fmtid="{D5CDD505-2E9C-101B-9397-08002B2CF9AE}" pid="3" name="KSOProductBuildVer">
    <vt:lpwstr>2052-12.1.0.16120</vt:lpwstr>
  </property>
</Properties>
</file>