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6"/>
        <w:ind w:left="0"/>
        <w:rPr>
          <w:rFonts w:ascii="Times New Roman"/>
          <w:sz w:val="16"/>
        </w:rPr>
      </w:pPr>
    </w:p>
    <w:p>
      <w:pPr>
        <w:pStyle w:val="Heading1"/>
        <w:ind w:left="2104" w:right="2360"/>
      </w:pPr>
      <w:r>
        <w:rPr>
          <w:spacing w:val="-2"/>
        </w:rPr>
        <w:t>地铁 土建施工监理</w:t>
      </w:r>
    </w:p>
    <w:p>
      <w:pPr>
        <w:pStyle w:val="BodyText"/>
        <w:ind w:left="0"/>
        <w:rPr>
          <w:sz w:val="36"/>
        </w:rPr>
      </w:pPr>
    </w:p>
    <w:p>
      <w:pPr>
        <w:pStyle w:val="BodyText"/>
        <w:spacing w:before="8"/>
        <w:ind w:left="0"/>
        <w:rPr>
          <w:sz w:val="40"/>
        </w:rPr>
      </w:pPr>
    </w:p>
    <w:p>
      <w:pPr>
        <w:spacing w:before="0"/>
        <w:ind w:left="838" w:right="0" w:firstLine="0"/>
        <w:jc w:val="left"/>
        <w:rPr>
          <w:rFonts w:ascii="Microsoft JhengHei" w:eastAsia="Microsoft JhengHei"/>
          <w:b/>
          <w:sz w:val="52"/>
        </w:rPr>
      </w:pPr>
      <w:r>
        <w:rPr>
          <w:rFonts w:ascii="Microsoft JhengHei" w:eastAsia="Microsoft JhengHei"/>
          <w:b/>
          <w:spacing w:val="-1"/>
          <w:sz w:val="52"/>
        </w:rPr>
        <w:t>盾构穿越建构筑物、既有线及管线</w:t>
      </w:r>
    </w:p>
    <w:p>
      <w:pPr>
        <w:pStyle w:val="BodyText"/>
        <w:spacing w:before="18"/>
        <w:ind w:left="0"/>
        <w:rPr>
          <w:rFonts w:ascii="Microsoft JhengHei"/>
          <w:b/>
          <w:sz w:val="75"/>
        </w:rPr>
      </w:pPr>
    </w:p>
    <w:p>
      <w:pPr>
        <w:pStyle w:val="Title"/>
      </w:pPr>
      <w:r>
        <w:rPr>
          <w:spacing w:val="-2"/>
        </w:rPr>
        <w:t>监理实施细则</w:t>
      </w:r>
    </w:p>
    <w:p>
      <w:pPr>
        <w:pStyle w:val="BodyText"/>
        <w:ind w:left="0"/>
        <w:rPr>
          <w:rFonts w:ascii="Microsoft JhengHei"/>
          <w:b/>
          <w:sz w:val="72"/>
        </w:rPr>
      </w:pPr>
    </w:p>
    <w:p>
      <w:pPr>
        <w:pStyle w:val="BodyText"/>
        <w:ind w:left="0"/>
        <w:rPr>
          <w:rFonts w:ascii="Microsoft JhengHei"/>
          <w:b/>
          <w:sz w:val="72"/>
        </w:rPr>
      </w:pPr>
    </w:p>
    <w:p>
      <w:pPr>
        <w:pStyle w:val="BodyText"/>
        <w:spacing w:before="8"/>
        <w:ind w:left="0"/>
        <w:rPr>
          <w:rFonts w:ascii="Microsoft JhengHei"/>
          <w:b/>
          <w:sz w:val="67"/>
        </w:rPr>
      </w:pPr>
    </w:p>
    <w:p>
      <w:pPr>
        <w:spacing w:before="0"/>
        <w:ind w:left="2104" w:right="2380" w:firstLine="0"/>
        <w:jc w:val="center"/>
        <w:rPr>
          <w:rFonts w:ascii="Microsoft JhengHei" w:eastAsia="Microsoft JhengHei"/>
          <w:b/>
          <w:sz w:val="32"/>
        </w:rPr>
      </w:pPr>
      <w:r>
        <w:rPr>
          <w:rFonts w:ascii="Microsoft JhengHei" w:eastAsia="Microsoft JhengHei"/>
          <w:b/>
          <w:spacing w:val="-2"/>
          <w:sz w:val="32"/>
        </w:rPr>
        <w:t>工程咨询有限公司</w:t>
      </w:r>
    </w:p>
    <w:p>
      <w:pPr>
        <w:spacing w:before="34" w:line="254" w:lineRule="auto"/>
        <w:ind w:left="2426" w:right="2702" w:firstLine="0"/>
        <w:jc w:val="center"/>
        <w:rPr>
          <w:rFonts w:ascii="Microsoft JhengHei" w:eastAsia="Microsoft JhengHei"/>
          <w:b/>
          <w:sz w:val="32"/>
        </w:rPr>
      </w:pPr>
      <w:r>
        <w:rPr>
          <w:rFonts w:ascii="Microsoft JhengHei" w:eastAsia="Microsoft JhengHei"/>
          <w:b/>
          <w:spacing w:val="1"/>
          <w:sz w:val="32"/>
        </w:rPr>
        <w:t>地铁 土建施工监理项目监理部</w:t>
      </w:r>
      <w:r>
        <w:rPr>
          <w:rFonts w:ascii="Microsoft JhengHei" w:eastAsia="Microsoft JhengHei"/>
          <w:b/>
          <w:spacing w:val="-2"/>
          <w:sz w:val="32"/>
        </w:rPr>
        <w:t>二〇一九年六月</w:t>
      </w:r>
    </w:p>
    <w:p>
      <w:pPr>
        <w:spacing w:after="0" w:line="254" w:lineRule="auto"/>
        <w:jc w:val="center"/>
        <w:rPr>
          <w:rFonts w:ascii="Microsoft JhengHei" w:eastAsia="Microsoft JhengHei"/>
          <w:sz w:val="32"/>
        </w:rPr>
        <w:sectPr>
          <w:headerReference w:type="default" r:id="rId4"/>
          <w:type w:val="continuous"/>
          <w:pgSz w:w="11910" w:h="16840"/>
          <w:pgMar w:top="1000" w:right="860" w:bottom="280" w:left="1580" w:header="819" w:footer="0"/>
          <w:pgNumType w:start="1"/>
          <w:cols w:space="708"/>
        </w:sect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6"/>
        <w:ind w:left="0"/>
        <w:rPr>
          <w:rFonts w:ascii="Microsoft JhengHei"/>
          <w:b/>
          <w:sz w:val="12"/>
        </w:rPr>
      </w:pPr>
    </w:p>
    <w:p>
      <w:pPr>
        <w:pStyle w:val="Heading1"/>
        <w:ind w:left="1201"/>
        <w:jc w:val="left"/>
      </w:pPr>
      <w:r>
        <w:rPr>
          <w:spacing w:val="-2"/>
        </w:rPr>
        <w:t>地铁 土建施工监理</w:t>
      </w:r>
    </w:p>
    <w:p>
      <w:pPr>
        <w:pStyle w:val="BodyText"/>
        <w:ind w:left="0"/>
        <w:rPr>
          <w:sz w:val="36"/>
        </w:rPr>
      </w:pPr>
    </w:p>
    <w:p>
      <w:pPr>
        <w:pStyle w:val="BodyText"/>
        <w:spacing w:before="8"/>
        <w:ind w:left="0"/>
        <w:rPr>
          <w:sz w:val="44"/>
        </w:rPr>
      </w:pPr>
    </w:p>
    <w:p>
      <w:pPr>
        <w:spacing w:before="0"/>
        <w:ind w:left="838" w:right="0" w:firstLine="0"/>
        <w:jc w:val="left"/>
        <w:rPr>
          <w:rFonts w:ascii="Microsoft JhengHei" w:eastAsia="Microsoft JhengHei"/>
          <w:b/>
          <w:sz w:val="52"/>
        </w:rPr>
      </w:pPr>
      <w:r>
        <w:rPr>
          <w:rFonts w:ascii="Microsoft JhengHei" w:eastAsia="Microsoft JhengHei"/>
          <w:b/>
          <w:spacing w:val="-1"/>
          <w:sz w:val="52"/>
        </w:rPr>
        <w:t>盾构穿越建构筑物、既有线及管线</w:t>
      </w:r>
    </w:p>
    <w:p>
      <w:pPr>
        <w:pStyle w:val="BodyText"/>
        <w:ind w:left="0"/>
        <w:rPr>
          <w:rFonts w:ascii="Microsoft JhengHei"/>
          <w:b/>
          <w:sz w:val="42"/>
        </w:rPr>
      </w:pPr>
    </w:p>
    <w:p>
      <w:pPr>
        <w:pStyle w:val="Title"/>
      </w:pPr>
      <w:r>
        <w:rPr>
          <w:spacing w:val="-2"/>
        </w:rPr>
        <w:t>监理实施细则</w:t>
      </w:r>
    </w:p>
    <w:p>
      <w:pPr>
        <w:pStyle w:val="BodyText"/>
        <w:ind w:left="0"/>
        <w:rPr>
          <w:rFonts w:ascii="Microsoft JhengHei"/>
          <w:b/>
          <w:sz w:val="20"/>
        </w:rPr>
      </w:pPr>
    </w:p>
    <w:p>
      <w:pPr>
        <w:pStyle w:val="BodyText"/>
        <w:spacing w:before="4"/>
        <w:ind w:left="0"/>
        <w:rPr>
          <w:rFonts w:ascii="Microsoft JhengHei"/>
          <w:b/>
          <w:sz w:val="27"/>
        </w:rPr>
      </w:pPr>
    </w:p>
    <w:tbl>
      <w:tblPr>
        <w:tblStyle w:val="TableNormal0"/>
        <w:tblW w:w="0" w:type="auto"/>
        <w:jc w:val="left"/>
        <w:tblInd w:w="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8"/>
        <w:gridCol w:w="2880"/>
        <w:gridCol w:w="1440"/>
        <w:gridCol w:w="1800"/>
      </w:tblGrid>
      <w:tr>
        <w:tblPrEx>
          <w:tblW w:w="0" w:type="auto"/>
          <w:jc w:val="left"/>
          <w:tblInd w:w="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75"/>
          <w:jc w:val="left"/>
        </w:trPr>
        <w:tc>
          <w:tcPr>
            <w:tcW w:w="1728" w:type="dxa"/>
          </w:tcPr>
          <w:p>
            <w:pPr>
              <w:pStyle w:val="TableParagraph"/>
              <w:rPr>
                <w:rFonts w:ascii="Times New Roman"/>
                <w:sz w:val="40"/>
              </w:rPr>
            </w:pPr>
          </w:p>
        </w:tc>
        <w:tc>
          <w:tcPr>
            <w:tcW w:w="2880" w:type="dxa"/>
          </w:tcPr>
          <w:p>
            <w:pPr>
              <w:pStyle w:val="TableParagraph"/>
              <w:tabs>
                <w:tab w:val="left" w:pos="729"/>
              </w:tabs>
              <w:spacing w:before="141"/>
              <w:ind w:left="8"/>
              <w:jc w:val="center"/>
              <w:rPr>
                <w:rFonts w:ascii="Microsoft JhengHei" w:eastAsia="Microsoft JhengHei"/>
                <w:b/>
                <w:sz w:val="36"/>
              </w:rPr>
            </w:pPr>
            <w:r>
              <w:rPr>
                <w:rFonts w:ascii="Microsoft JhengHei" w:eastAsia="Microsoft JhengHei"/>
                <w:b/>
                <w:spacing w:val="-10"/>
                <w:sz w:val="36"/>
              </w:rPr>
              <w:t>职</w:t>
            </w:r>
            <w:r>
              <w:rPr>
                <w:rFonts w:ascii="Microsoft JhengHei" w:eastAsia="Microsoft JhengHei"/>
                <w:b/>
                <w:sz w:val="36"/>
              </w:rPr>
              <w:tab/>
            </w:r>
            <w:r>
              <w:rPr>
                <w:rFonts w:ascii="Microsoft JhengHei" w:eastAsia="Microsoft JhengHei"/>
                <w:b/>
                <w:spacing w:val="-10"/>
                <w:sz w:val="36"/>
              </w:rPr>
              <w:t>务</w:t>
            </w:r>
          </w:p>
        </w:tc>
        <w:tc>
          <w:tcPr>
            <w:tcW w:w="1440" w:type="dxa"/>
          </w:tcPr>
          <w:p>
            <w:pPr>
              <w:pStyle w:val="TableParagraph"/>
              <w:spacing w:before="141"/>
              <w:ind w:left="268"/>
              <w:rPr>
                <w:rFonts w:ascii="Microsoft JhengHei" w:eastAsia="Microsoft JhengHei"/>
                <w:b/>
                <w:sz w:val="36"/>
              </w:rPr>
            </w:pPr>
            <w:r>
              <w:rPr>
                <w:rFonts w:ascii="Microsoft JhengHei" w:eastAsia="Microsoft JhengHei"/>
                <w:b/>
                <w:sz w:val="36"/>
              </w:rPr>
              <w:t>姓</w:t>
            </w:r>
            <w:r>
              <w:rPr>
                <w:rFonts w:ascii="Microsoft JhengHei" w:eastAsia="Microsoft JhengHei"/>
                <w:b/>
                <w:spacing w:val="46"/>
                <w:w w:val="150"/>
                <w:sz w:val="36"/>
              </w:rPr>
              <w:t xml:space="preserve"> </w:t>
            </w:r>
            <w:r>
              <w:rPr>
                <w:rFonts w:ascii="Microsoft JhengHei" w:eastAsia="Microsoft JhengHei"/>
                <w:b/>
                <w:spacing w:val="-10"/>
                <w:sz w:val="36"/>
              </w:rPr>
              <w:t>名</w:t>
            </w:r>
          </w:p>
        </w:tc>
        <w:tc>
          <w:tcPr>
            <w:tcW w:w="1800" w:type="dxa"/>
          </w:tcPr>
          <w:p>
            <w:pPr>
              <w:pStyle w:val="TableParagraph"/>
              <w:spacing w:before="141"/>
              <w:ind w:left="448"/>
              <w:rPr>
                <w:rFonts w:ascii="Microsoft JhengHei" w:eastAsia="Microsoft JhengHei"/>
                <w:b/>
                <w:sz w:val="36"/>
              </w:rPr>
            </w:pPr>
            <w:r>
              <w:rPr>
                <w:rFonts w:ascii="Microsoft JhengHei" w:eastAsia="Microsoft JhengHei"/>
                <w:b/>
                <w:sz w:val="36"/>
              </w:rPr>
              <w:t>签</w:t>
            </w:r>
            <w:r>
              <w:rPr>
                <w:rFonts w:ascii="Microsoft JhengHei" w:eastAsia="Microsoft JhengHei"/>
                <w:b/>
                <w:spacing w:val="46"/>
                <w:w w:val="150"/>
                <w:sz w:val="36"/>
              </w:rPr>
              <w:t xml:space="preserve"> </w:t>
            </w:r>
            <w:r>
              <w:rPr>
                <w:rFonts w:ascii="Microsoft JhengHei" w:eastAsia="Microsoft JhengHei"/>
                <w:b/>
                <w:spacing w:val="-10"/>
                <w:sz w:val="36"/>
              </w:rPr>
              <w:t>字</w:t>
            </w:r>
          </w:p>
        </w:tc>
      </w:tr>
      <w:tr>
        <w:tblPrEx>
          <w:tblW w:w="0" w:type="auto"/>
          <w:jc w:val="left"/>
          <w:tblInd w:w="595" w:type="dxa"/>
          <w:tblLayout w:type="fixed"/>
          <w:tblCellMar>
            <w:top w:w="0" w:type="dxa"/>
            <w:left w:w="0" w:type="dxa"/>
            <w:bottom w:w="0" w:type="dxa"/>
            <w:right w:w="0" w:type="dxa"/>
          </w:tblCellMar>
          <w:tblLook w:val="01E0"/>
        </w:tblPrEx>
        <w:trPr>
          <w:trHeight w:val="975"/>
          <w:jc w:val="left"/>
        </w:trPr>
        <w:tc>
          <w:tcPr>
            <w:tcW w:w="1728" w:type="dxa"/>
          </w:tcPr>
          <w:p>
            <w:pPr>
              <w:pStyle w:val="TableParagraph"/>
              <w:spacing w:before="141"/>
              <w:ind w:left="127" w:right="119"/>
              <w:jc w:val="center"/>
              <w:rPr>
                <w:rFonts w:ascii="Microsoft JhengHei" w:eastAsia="Microsoft JhengHei"/>
                <w:b/>
                <w:sz w:val="36"/>
              </w:rPr>
            </w:pPr>
            <w:r>
              <w:rPr>
                <w:rFonts w:ascii="Microsoft JhengHei" w:eastAsia="Microsoft JhengHei"/>
                <w:b/>
                <w:sz w:val="36"/>
              </w:rPr>
              <w:t>编</w:t>
            </w:r>
            <w:r>
              <w:rPr>
                <w:rFonts w:ascii="Microsoft JhengHei" w:eastAsia="Microsoft JhengHei"/>
                <w:b/>
                <w:spacing w:val="46"/>
                <w:w w:val="150"/>
                <w:sz w:val="36"/>
              </w:rPr>
              <w:t xml:space="preserve"> </w:t>
            </w:r>
            <w:r>
              <w:rPr>
                <w:rFonts w:ascii="Microsoft JhengHei" w:eastAsia="Microsoft JhengHei"/>
                <w:b/>
                <w:sz w:val="36"/>
              </w:rPr>
              <w:t>制</w:t>
            </w:r>
            <w:r>
              <w:rPr>
                <w:rFonts w:ascii="Microsoft JhengHei" w:eastAsia="Microsoft JhengHei"/>
                <w:b/>
                <w:spacing w:val="46"/>
                <w:w w:val="150"/>
                <w:sz w:val="36"/>
              </w:rPr>
              <w:t xml:space="preserve"> </w:t>
            </w:r>
            <w:r>
              <w:rPr>
                <w:rFonts w:ascii="Microsoft JhengHei" w:eastAsia="Microsoft JhengHei"/>
                <w:b/>
                <w:spacing w:val="-10"/>
                <w:sz w:val="36"/>
              </w:rPr>
              <w:t>人</w:t>
            </w:r>
          </w:p>
        </w:tc>
        <w:tc>
          <w:tcPr>
            <w:tcW w:w="2880" w:type="dxa"/>
          </w:tcPr>
          <w:p>
            <w:pPr>
              <w:pStyle w:val="TableParagraph"/>
              <w:spacing w:before="141"/>
              <w:ind w:left="8"/>
              <w:jc w:val="center"/>
              <w:rPr>
                <w:rFonts w:ascii="Microsoft JhengHei" w:eastAsia="Microsoft JhengHei"/>
                <w:b/>
                <w:sz w:val="36"/>
              </w:rPr>
            </w:pPr>
            <w:r>
              <w:rPr>
                <w:rFonts w:ascii="Microsoft JhengHei" w:eastAsia="Microsoft JhengHei"/>
                <w:b/>
                <w:spacing w:val="-2"/>
                <w:sz w:val="36"/>
              </w:rPr>
              <w:t>专业监理工程师</w:t>
            </w:r>
          </w:p>
        </w:tc>
        <w:tc>
          <w:tcPr>
            <w:tcW w:w="1440" w:type="dxa"/>
          </w:tcPr>
          <w:p>
            <w:pPr>
              <w:pStyle w:val="TableParagraph"/>
              <w:rPr>
                <w:rFonts w:ascii="Times New Roman"/>
                <w:sz w:val="40"/>
              </w:rPr>
            </w:pPr>
          </w:p>
        </w:tc>
        <w:tc>
          <w:tcPr>
            <w:tcW w:w="1800" w:type="dxa"/>
          </w:tcPr>
          <w:p>
            <w:pPr>
              <w:pStyle w:val="TableParagraph"/>
              <w:rPr>
                <w:rFonts w:ascii="Times New Roman"/>
                <w:sz w:val="40"/>
              </w:rPr>
            </w:pPr>
          </w:p>
        </w:tc>
      </w:tr>
      <w:tr>
        <w:tblPrEx>
          <w:tblW w:w="0" w:type="auto"/>
          <w:jc w:val="left"/>
          <w:tblInd w:w="595" w:type="dxa"/>
          <w:tblLayout w:type="fixed"/>
          <w:tblCellMar>
            <w:top w:w="0" w:type="dxa"/>
            <w:left w:w="0" w:type="dxa"/>
            <w:bottom w:w="0" w:type="dxa"/>
            <w:right w:w="0" w:type="dxa"/>
          </w:tblCellMar>
          <w:tblLook w:val="01E0"/>
        </w:tblPrEx>
        <w:trPr>
          <w:trHeight w:val="975"/>
          <w:jc w:val="left"/>
        </w:trPr>
        <w:tc>
          <w:tcPr>
            <w:tcW w:w="1728" w:type="dxa"/>
          </w:tcPr>
          <w:p>
            <w:pPr>
              <w:pStyle w:val="TableParagraph"/>
              <w:spacing w:before="141"/>
              <w:ind w:left="127" w:right="119"/>
              <w:jc w:val="center"/>
              <w:rPr>
                <w:rFonts w:ascii="Microsoft JhengHei" w:eastAsia="Microsoft JhengHei"/>
                <w:b/>
                <w:sz w:val="36"/>
              </w:rPr>
            </w:pPr>
            <w:r>
              <w:rPr>
                <w:rFonts w:ascii="Microsoft JhengHei" w:eastAsia="Microsoft JhengHei"/>
                <w:b/>
                <w:sz w:val="36"/>
              </w:rPr>
              <w:t>审</w:t>
            </w:r>
            <w:r>
              <w:rPr>
                <w:rFonts w:ascii="Microsoft JhengHei" w:eastAsia="Microsoft JhengHei"/>
                <w:b/>
                <w:spacing w:val="46"/>
                <w:w w:val="150"/>
                <w:sz w:val="36"/>
              </w:rPr>
              <w:t xml:space="preserve"> </w:t>
            </w:r>
            <w:r>
              <w:rPr>
                <w:rFonts w:ascii="Microsoft JhengHei" w:eastAsia="Microsoft JhengHei"/>
                <w:b/>
                <w:sz w:val="36"/>
              </w:rPr>
              <w:t>核</w:t>
            </w:r>
            <w:r>
              <w:rPr>
                <w:rFonts w:ascii="Microsoft JhengHei" w:eastAsia="Microsoft JhengHei"/>
                <w:b/>
                <w:spacing w:val="46"/>
                <w:w w:val="150"/>
                <w:sz w:val="36"/>
              </w:rPr>
              <w:t xml:space="preserve"> </w:t>
            </w:r>
            <w:r>
              <w:rPr>
                <w:rFonts w:ascii="Microsoft JhengHei" w:eastAsia="Microsoft JhengHei"/>
                <w:b/>
                <w:spacing w:val="-10"/>
                <w:sz w:val="36"/>
              </w:rPr>
              <w:t>人</w:t>
            </w:r>
          </w:p>
        </w:tc>
        <w:tc>
          <w:tcPr>
            <w:tcW w:w="2880" w:type="dxa"/>
          </w:tcPr>
          <w:p>
            <w:pPr>
              <w:pStyle w:val="TableParagraph"/>
              <w:spacing w:before="141"/>
              <w:ind w:left="8"/>
              <w:jc w:val="center"/>
              <w:rPr>
                <w:rFonts w:ascii="Microsoft JhengHei" w:eastAsia="Microsoft JhengHei"/>
                <w:b/>
                <w:sz w:val="36"/>
              </w:rPr>
            </w:pPr>
            <w:r>
              <w:rPr>
                <w:rFonts w:ascii="Microsoft JhengHei" w:eastAsia="Microsoft JhengHei"/>
                <w:b/>
                <w:spacing w:val="-2"/>
                <w:sz w:val="36"/>
              </w:rPr>
              <w:t>总监理工程师</w:t>
            </w:r>
          </w:p>
        </w:tc>
        <w:tc>
          <w:tcPr>
            <w:tcW w:w="1440" w:type="dxa"/>
          </w:tcPr>
          <w:p>
            <w:pPr>
              <w:pStyle w:val="TableParagraph"/>
              <w:rPr>
                <w:rFonts w:ascii="Times New Roman"/>
                <w:sz w:val="40"/>
              </w:rPr>
            </w:pPr>
          </w:p>
        </w:tc>
        <w:tc>
          <w:tcPr>
            <w:tcW w:w="1800" w:type="dxa"/>
          </w:tcPr>
          <w:p>
            <w:pPr>
              <w:pStyle w:val="TableParagraph"/>
              <w:rPr>
                <w:rFonts w:ascii="Times New Roman"/>
                <w:sz w:val="40"/>
              </w:rPr>
            </w:pPr>
          </w:p>
        </w:tc>
      </w:tr>
    </w:tbl>
    <w:p>
      <w:pPr>
        <w:pStyle w:val="BodyText"/>
        <w:spacing w:before="1"/>
        <w:ind w:left="0"/>
        <w:rPr>
          <w:rFonts w:ascii="Microsoft JhengHei"/>
          <w:b/>
          <w:sz w:val="96"/>
        </w:rPr>
      </w:pPr>
    </w:p>
    <w:p>
      <w:pPr>
        <w:spacing w:before="0"/>
        <w:ind w:left="2104" w:right="2380" w:firstLine="0"/>
        <w:jc w:val="center"/>
        <w:rPr>
          <w:rFonts w:ascii="Microsoft JhengHei" w:eastAsia="Microsoft JhengHei"/>
          <w:b/>
          <w:sz w:val="32"/>
        </w:rPr>
      </w:pPr>
      <w:r>
        <w:rPr>
          <w:rFonts w:ascii="Microsoft JhengHei" w:eastAsia="Microsoft JhengHei"/>
          <w:b/>
          <w:spacing w:val="-2"/>
          <w:sz w:val="32"/>
        </w:rPr>
        <w:t>工程咨询有限公司</w:t>
      </w:r>
    </w:p>
    <w:p>
      <w:pPr>
        <w:spacing w:before="34" w:line="254" w:lineRule="auto"/>
        <w:ind w:left="2104" w:right="2381" w:firstLine="0"/>
        <w:jc w:val="center"/>
        <w:rPr>
          <w:rFonts w:ascii="Microsoft JhengHei" w:eastAsia="Microsoft JhengHei"/>
          <w:b/>
          <w:sz w:val="32"/>
        </w:rPr>
      </w:pPr>
      <w:r>
        <w:rPr>
          <w:rFonts w:ascii="Microsoft JhengHei" w:eastAsia="Microsoft JhengHei"/>
          <w:b/>
          <w:spacing w:val="2"/>
          <w:sz w:val="32"/>
        </w:rPr>
        <w:t xml:space="preserve">地铁 土建施工监理 </w:t>
      </w:r>
      <w:r>
        <w:rPr>
          <w:rFonts w:ascii="Microsoft JhengHei" w:eastAsia="Microsoft JhengHei"/>
          <w:b/>
          <w:sz w:val="32"/>
        </w:rPr>
        <w:t>1</w:t>
      </w:r>
      <w:r>
        <w:rPr>
          <w:rFonts w:ascii="Microsoft JhengHei" w:eastAsia="Microsoft JhengHei"/>
          <w:b/>
          <w:spacing w:val="-3"/>
          <w:sz w:val="32"/>
        </w:rPr>
        <w:t xml:space="preserve"> 标项目监理部</w:t>
      </w:r>
      <w:r>
        <w:rPr>
          <w:rFonts w:ascii="Microsoft JhengHei" w:eastAsia="Microsoft JhengHei"/>
          <w:b/>
          <w:spacing w:val="-2"/>
          <w:sz w:val="32"/>
        </w:rPr>
        <w:t>二〇一九年六月</w:t>
      </w:r>
    </w:p>
    <w:p>
      <w:pPr>
        <w:spacing w:after="0" w:line="254" w:lineRule="auto"/>
        <w:jc w:val="center"/>
        <w:rPr>
          <w:rFonts w:ascii="Microsoft JhengHei" w:eastAsia="Microsoft JhengHei"/>
          <w:sz w:val="32"/>
        </w:rPr>
        <w:sectPr>
          <w:headerReference w:type="default" r:id="rId5"/>
          <w:pgSz w:w="11910" w:h="16840"/>
          <w:pgMar w:top="1000" w:right="860" w:bottom="280" w:left="1580" w:header="819" w:footer="0"/>
          <w:pgNumType w:start="2"/>
          <w:cols w:space="708"/>
        </w:sectPr>
      </w:pPr>
    </w:p>
    <w:p>
      <w:pPr>
        <w:pStyle w:val="BodyText"/>
        <w:ind w:left="0"/>
        <w:rPr>
          <w:rFonts w:ascii="Microsoft JhengHei"/>
          <w:b/>
          <w:sz w:val="20"/>
        </w:rPr>
      </w:pPr>
    </w:p>
    <w:p>
      <w:pPr>
        <w:pStyle w:val="BodyText"/>
        <w:spacing w:before="17"/>
        <w:ind w:left="0"/>
        <w:rPr>
          <w:rFonts w:ascii="Microsoft JhengHei"/>
          <w:b/>
          <w:sz w:val="10"/>
        </w:rPr>
      </w:pPr>
    </w:p>
    <w:p>
      <w:pPr>
        <w:tabs>
          <w:tab w:val="left" w:pos="1081"/>
        </w:tabs>
        <w:spacing w:before="0" w:line="758" w:lineRule="exact"/>
        <w:ind w:left="0" w:right="476" w:firstLine="0"/>
        <w:jc w:val="center"/>
        <w:rPr>
          <w:rFonts w:ascii="Microsoft JhengHei" w:eastAsia="Microsoft JhengHei"/>
          <w:b/>
          <w:sz w:val="48"/>
        </w:rPr>
      </w:pPr>
      <w:r>
        <w:rPr>
          <w:rFonts w:ascii="Microsoft JhengHei" w:eastAsia="Microsoft JhengHei"/>
          <w:b/>
          <w:spacing w:val="-10"/>
          <w:sz w:val="48"/>
        </w:rPr>
        <w:t>目</w:t>
      </w:r>
      <w:r>
        <w:rPr>
          <w:rFonts w:ascii="Microsoft JhengHei" w:eastAsia="Microsoft JhengHei"/>
          <w:b/>
          <w:sz w:val="48"/>
        </w:rPr>
        <w:tab/>
      </w:r>
      <w:r>
        <w:rPr>
          <w:rFonts w:ascii="Microsoft JhengHei" w:eastAsia="Microsoft JhengHei"/>
          <w:b/>
          <w:spacing w:val="-10"/>
          <w:sz w:val="48"/>
        </w:rPr>
        <w:t>录</w:t>
      </w:r>
    </w:p>
    <w:sdt>
      <w:sdtPr>
        <w:id w:val="706452923"/>
        <w:docPartObj>
          <w:docPartGallery w:val="Table of Contents"/>
          <w:docPartUnique/>
        </w:docPartObj>
      </w:sdtPr>
      <w:sdtContent>
        <w:p>
          <w:pPr>
            <w:pStyle w:val="TOC1"/>
            <w:numPr>
              <w:ilvl w:val="0"/>
              <w:numId w:val="28"/>
            </w:numPr>
            <w:tabs>
              <w:tab w:val="left" w:pos="542"/>
              <w:tab w:val="left" w:pos="543"/>
              <w:tab w:val="right" w:leader="dot" w:pos="9180"/>
            </w:tabs>
            <w:spacing w:before="678" w:after="0" w:line="240" w:lineRule="auto"/>
            <w:ind w:left="542" w:right="0" w:hanging="422"/>
            <w:jc w:val="left"/>
          </w:pPr>
          <w:hyperlink w:anchor="_TOC_250005" w:history="1">
            <w:r>
              <w:t>编制依</w:t>
            </w:r>
            <w:r>
              <w:rPr>
                <w:spacing w:val="-10"/>
              </w:rPr>
              <w:t>据</w:t>
            </w:r>
            <w:r>
              <w:rPr>
                <w:rFonts w:ascii="Times New Roman" w:eastAsia="Times New Roman"/>
                <w:b w:val="0"/>
              </w:rPr>
              <w:tab/>
            </w:r>
            <w:r>
              <w:rPr>
                <w:spacing w:val="-10"/>
              </w:rPr>
              <w:t>1</w:t>
            </w:r>
          </w:hyperlink>
        </w:p>
        <w:p>
          <w:pPr>
            <w:pStyle w:val="TOC1"/>
            <w:numPr>
              <w:ilvl w:val="0"/>
              <w:numId w:val="28"/>
            </w:numPr>
            <w:tabs>
              <w:tab w:val="left" w:pos="542"/>
              <w:tab w:val="left" w:pos="543"/>
              <w:tab w:val="right" w:leader="dot" w:pos="9180"/>
            </w:tabs>
            <w:spacing w:before="349" w:after="0" w:line="240" w:lineRule="auto"/>
            <w:ind w:left="542" w:right="0" w:hanging="422"/>
            <w:jc w:val="left"/>
          </w:pPr>
          <w:hyperlink w:anchor="_TOC_250004" w:history="1">
            <w:r>
              <w:t>工程概</w:t>
            </w:r>
            <w:r>
              <w:rPr>
                <w:spacing w:val="-10"/>
              </w:rPr>
              <w:t>况</w:t>
            </w:r>
            <w:r>
              <w:rPr>
                <w:rFonts w:ascii="Times New Roman" w:eastAsia="Times New Roman"/>
                <w:b w:val="0"/>
              </w:rPr>
              <w:tab/>
            </w:r>
            <w:r>
              <w:rPr>
                <w:spacing w:val="-10"/>
              </w:rPr>
              <w:t>2</w:t>
            </w:r>
          </w:hyperlink>
        </w:p>
        <w:p>
          <w:pPr>
            <w:pStyle w:val="TOC1"/>
            <w:numPr>
              <w:ilvl w:val="0"/>
              <w:numId w:val="28"/>
            </w:numPr>
            <w:tabs>
              <w:tab w:val="left" w:pos="542"/>
              <w:tab w:val="left" w:pos="543"/>
              <w:tab w:val="right" w:leader="dot" w:pos="9180"/>
            </w:tabs>
            <w:spacing w:before="349" w:after="0" w:line="240" w:lineRule="auto"/>
            <w:ind w:left="542" w:right="0" w:hanging="422"/>
            <w:jc w:val="left"/>
          </w:pPr>
          <w:r>
            <w:t>东寺停车场出入线与区间隧道关</w:t>
          </w:r>
          <w:r>
            <w:rPr>
              <w:spacing w:val="-10"/>
            </w:rPr>
            <w:t>系</w:t>
          </w:r>
          <w:r>
            <w:rPr>
              <w:rFonts w:ascii="Times New Roman" w:eastAsia="Times New Roman"/>
              <w:b w:val="0"/>
            </w:rPr>
            <w:tab/>
          </w:r>
          <w:r>
            <w:rPr>
              <w:spacing w:val="-10"/>
            </w:rPr>
            <w:t>4</w:t>
          </w:r>
        </w:p>
        <w:p>
          <w:pPr>
            <w:pStyle w:val="TOC1"/>
            <w:numPr>
              <w:ilvl w:val="0"/>
              <w:numId w:val="28"/>
            </w:numPr>
            <w:tabs>
              <w:tab w:val="left" w:pos="542"/>
              <w:tab w:val="left" w:pos="543"/>
              <w:tab w:val="right" w:leader="dot" w:pos="9180"/>
            </w:tabs>
            <w:spacing w:before="349" w:after="0" w:line="240" w:lineRule="auto"/>
            <w:ind w:left="542" w:right="0" w:hanging="422"/>
            <w:jc w:val="left"/>
          </w:pPr>
          <w:r>
            <w:t>盾构机下东寺停车场出入线控制措</w:t>
          </w:r>
          <w:r>
            <w:rPr>
              <w:spacing w:val="-10"/>
            </w:rPr>
            <w:t>施</w:t>
          </w:r>
          <w:r>
            <w:rPr>
              <w:rFonts w:ascii="Times New Roman" w:eastAsia="Times New Roman"/>
              <w:b w:val="0"/>
            </w:rPr>
            <w:tab/>
          </w:r>
          <w:r>
            <w:rPr>
              <w:spacing w:val="-10"/>
            </w:rPr>
            <w:t>7</w:t>
          </w:r>
        </w:p>
        <w:p>
          <w:pPr>
            <w:pStyle w:val="TOC1"/>
            <w:numPr>
              <w:ilvl w:val="0"/>
              <w:numId w:val="28"/>
            </w:numPr>
            <w:tabs>
              <w:tab w:val="left" w:pos="542"/>
              <w:tab w:val="left" w:pos="543"/>
              <w:tab w:val="right" w:leader="dot" w:pos="9180"/>
            </w:tabs>
            <w:spacing w:before="349" w:after="0" w:line="240" w:lineRule="auto"/>
            <w:ind w:left="542" w:right="0" w:hanging="422"/>
            <w:jc w:val="left"/>
          </w:pPr>
          <w:r>
            <w:t>地面监测及保护监理要</w:t>
          </w:r>
          <w:r>
            <w:rPr>
              <w:spacing w:val="-10"/>
            </w:rPr>
            <w:t>点</w:t>
          </w:r>
          <w:r>
            <w:rPr>
              <w:rFonts w:ascii="Times New Roman" w:eastAsia="Times New Roman"/>
              <w:b w:val="0"/>
            </w:rPr>
            <w:tab/>
          </w:r>
          <w:r>
            <w:rPr>
              <w:spacing w:val="-5"/>
            </w:rPr>
            <w:t>11</w:t>
          </w:r>
        </w:p>
        <w:p>
          <w:pPr>
            <w:pStyle w:val="TOC1"/>
            <w:numPr>
              <w:ilvl w:val="0"/>
              <w:numId w:val="28"/>
            </w:numPr>
            <w:tabs>
              <w:tab w:val="left" w:pos="542"/>
              <w:tab w:val="left" w:pos="543"/>
              <w:tab w:val="right" w:leader="dot" w:pos="9180"/>
            </w:tabs>
            <w:spacing w:before="349" w:after="0" w:line="240" w:lineRule="auto"/>
            <w:ind w:left="542" w:right="0" w:hanging="422"/>
            <w:jc w:val="left"/>
          </w:pPr>
          <w:hyperlink w:anchor="_TOC_250003" w:history="1">
            <w:r>
              <w:t>地下管线的监测及保护监理要</w:t>
            </w:r>
            <w:r>
              <w:rPr>
                <w:spacing w:val="-10"/>
              </w:rPr>
              <w:t>点</w:t>
            </w:r>
            <w:r>
              <w:rPr>
                <w:rFonts w:ascii="Times New Roman" w:eastAsia="Times New Roman"/>
                <w:b w:val="0"/>
              </w:rPr>
              <w:tab/>
            </w:r>
            <w:r>
              <w:rPr>
                <w:spacing w:val="-5"/>
              </w:rPr>
              <w:t>12</w:t>
            </w:r>
          </w:hyperlink>
        </w:p>
        <w:p>
          <w:pPr>
            <w:pStyle w:val="TOC1"/>
            <w:numPr>
              <w:ilvl w:val="0"/>
              <w:numId w:val="28"/>
            </w:numPr>
            <w:tabs>
              <w:tab w:val="left" w:pos="542"/>
              <w:tab w:val="left" w:pos="543"/>
              <w:tab w:val="right" w:leader="dot" w:pos="9180"/>
            </w:tabs>
            <w:spacing w:before="350" w:after="0" w:line="240" w:lineRule="auto"/>
            <w:ind w:left="542" w:right="0" w:hanging="422"/>
            <w:jc w:val="left"/>
          </w:pPr>
          <w:hyperlink w:anchor="_TOC_250002" w:history="1">
            <w:r>
              <w:t>危险地段盾构施工现场应急准备检查</w:t>
            </w:r>
            <w:r>
              <w:rPr>
                <w:spacing w:val="-10"/>
              </w:rPr>
              <w:t>表</w:t>
            </w:r>
            <w:r>
              <w:rPr>
                <w:rFonts w:ascii="Times New Roman" w:eastAsia="Times New Roman"/>
                <w:b w:val="0"/>
              </w:rPr>
              <w:tab/>
            </w:r>
            <w:r>
              <w:rPr>
                <w:spacing w:val="-5"/>
              </w:rPr>
              <w:t>13</w:t>
            </w:r>
          </w:hyperlink>
        </w:p>
        <w:p>
          <w:pPr>
            <w:pStyle w:val="TOC1"/>
            <w:numPr>
              <w:ilvl w:val="0"/>
              <w:numId w:val="28"/>
            </w:numPr>
            <w:tabs>
              <w:tab w:val="left" w:pos="542"/>
              <w:tab w:val="left" w:pos="543"/>
              <w:tab w:val="right" w:leader="dot" w:pos="9180"/>
            </w:tabs>
            <w:spacing w:before="349" w:after="0" w:line="240" w:lineRule="auto"/>
            <w:ind w:left="542" w:right="0" w:hanging="422"/>
            <w:jc w:val="left"/>
          </w:pPr>
          <w:hyperlink w:anchor="_TOC_250001" w:history="1">
            <w:r>
              <w:t>盾构施工工序的安全监理控制措</w:t>
            </w:r>
            <w:r>
              <w:rPr>
                <w:spacing w:val="-10"/>
              </w:rPr>
              <w:t>施</w:t>
            </w:r>
            <w:r>
              <w:rPr>
                <w:rFonts w:ascii="Times New Roman" w:eastAsia="Times New Roman"/>
                <w:b w:val="0"/>
              </w:rPr>
              <w:tab/>
            </w:r>
            <w:r>
              <w:rPr>
                <w:spacing w:val="-5"/>
              </w:rPr>
              <w:t>15</w:t>
            </w:r>
          </w:hyperlink>
        </w:p>
        <w:p>
          <w:pPr>
            <w:pStyle w:val="TOC1"/>
            <w:numPr>
              <w:ilvl w:val="0"/>
              <w:numId w:val="28"/>
            </w:numPr>
            <w:tabs>
              <w:tab w:val="left" w:pos="542"/>
              <w:tab w:val="left" w:pos="543"/>
              <w:tab w:val="right" w:leader="dot" w:pos="9180"/>
            </w:tabs>
            <w:spacing w:before="349" w:after="0" w:line="240" w:lineRule="auto"/>
            <w:ind w:left="542" w:right="0" w:hanging="422"/>
            <w:jc w:val="left"/>
          </w:pPr>
          <w:hyperlink w:anchor="_TOC_250000" w:history="1">
            <w:r>
              <w:t>安全文明施</w:t>
            </w:r>
            <w:r>
              <w:rPr>
                <w:spacing w:val="-10"/>
              </w:rPr>
              <w:t>工</w:t>
            </w:r>
            <w:r>
              <w:rPr>
                <w:rFonts w:ascii="Times New Roman" w:eastAsia="Times New Roman"/>
                <w:b w:val="0"/>
              </w:rPr>
              <w:tab/>
            </w:r>
            <w:r>
              <w:rPr>
                <w:spacing w:val="-5"/>
              </w:rPr>
              <w:t>24</w:t>
            </w:r>
          </w:hyperlink>
        </w:p>
      </w:sdtContent>
    </w:sdt>
    <w:p>
      <w:pPr>
        <w:spacing w:after="0" w:line="240" w:lineRule="auto"/>
        <w:jc w:val="left"/>
        <w:sectPr>
          <w:headerReference w:type="default" r:id="rId6"/>
          <w:pgSz w:w="11910" w:h="16840"/>
          <w:pgMar w:top="1000" w:right="860" w:bottom="280" w:left="1580" w:header="819" w:footer="0"/>
          <w:pgNumType w:start="3"/>
          <w:cols w:space="708"/>
        </w:sectPr>
      </w:pPr>
    </w:p>
    <w:p>
      <w:pPr>
        <w:pStyle w:val="BodyText"/>
        <w:spacing w:before="4"/>
        <w:ind w:left="0"/>
        <w:rPr>
          <w:rFonts w:ascii="Microsoft JhengHei"/>
          <w:b/>
          <w:sz w:val="31"/>
        </w:rPr>
      </w:pPr>
    </w:p>
    <w:p>
      <w:pPr>
        <w:pStyle w:val="Heading1"/>
        <w:spacing w:before="0"/>
        <w:ind w:right="256"/>
      </w:pPr>
      <w:r>
        <w:rPr>
          <w:spacing w:val="-7"/>
        </w:rPr>
        <w:t xml:space="preserve">地铁 首期工程土建施工监理 </w:t>
      </w:r>
      <w:r>
        <w:t>1</w:t>
      </w:r>
      <w:r>
        <w:rPr>
          <w:spacing w:val="-50"/>
        </w:rPr>
        <w:t xml:space="preserve"> 标</w:t>
      </w:r>
    </w:p>
    <w:p>
      <w:pPr>
        <w:spacing w:before="199" w:line="604" w:lineRule="exact"/>
        <w:ind w:left="0" w:right="256" w:firstLine="0"/>
        <w:jc w:val="center"/>
        <w:rPr>
          <w:rFonts w:ascii="Microsoft JhengHei" w:eastAsia="Microsoft JhengHei"/>
          <w:b/>
          <w:sz w:val="36"/>
        </w:rPr>
      </w:pPr>
      <w:r>
        <w:rPr>
          <w:rFonts w:ascii="Microsoft JhengHei" w:eastAsia="Microsoft JhengHei"/>
          <w:b/>
          <w:spacing w:val="-1"/>
          <w:sz w:val="36"/>
        </w:rPr>
        <w:t>构穿越建构筑物、既有线及管线</w:t>
      </w:r>
    </w:p>
    <w:p>
      <w:pPr>
        <w:spacing w:before="0" w:line="752" w:lineRule="exact"/>
        <w:ind w:left="2104" w:right="2580" w:firstLine="0"/>
        <w:jc w:val="center"/>
        <w:rPr>
          <w:rFonts w:ascii="Microsoft JhengHei" w:eastAsia="Microsoft JhengHei"/>
          <w:b/>
          <w:sz w:val="44"/>
        </w:rPr>
      </w:pPr>
      <w:r>
        <w:rPr>
          <w:rFonts w:ascii="Microsoft JhengHei" w:eastAsia="Microsoft JhengHei"/>
          <w:b/>
          <w:spacing w:val="32"/>
          <w:sz w:val="44"/>
        </w:rPr>
        <w:t>监理实施细则</w:t>
      </w:r>
    </w:p>
    <w:p>
      <w:pPr>
        <w:pStyle w:val="BodyText"/>
        <w:ind w:left="0"/>
        <w:rPr>
          <w:rFonts w:ascii="Microsoft JhengHei"/>
          <w:b/>
          <w:sz w:val="20"/>
        </w:rPr>
      </w:pPr>
    </w:p>
    <w:p>
      <w:pPr>
        <w:pStyle w:val="BodyText"/>
        <w:spacing w:before="18"/>
        <w:ind w:left="0"/>
        <w:rPr>
          <w:rFonts w:ascii="Microsoft JhengHei"/>
          <w:b/>
          <w:sz w:val="13"/>
        </w:rPr>
      </w:pPr>
    </w:p>
    <w:p>
      <w:pPr>
        <w:pStyle w:val="Heading2"/>
        <w:spacing w:line="483" w:lineRule="exact"/>
      </w:pPr>
      <w:bookmarkStart w:id="0" w:name="_TOC_250005"/>
      <w:r>
        <w:rPr>
          <w:spacing w:val="-6"/>
        </w:rPr>
        <w:t>1</w:t>
      </w:r>
      <w:bookmarkEnd w:id="0"/>
      <w:r>
        <w:rPr>
          <w:spacing w:val="-7"/>
        </w:rPr>
        <w:t>、编制依据</w:t>
      </w:r>
    </w:p>
    <w:p>
      <w:pPr>
        <w:pStyle w:val="ListParagraph"/>
        <w:numPr>
          <w:ilvl w:val="0"/>
          <w:numId w:val="29"/>
        </w:numPr>
        <w:tabs>
          <w:tab w:val="left" w:pos="1074"/>
        </w:tabs>
        <w:spacing w:before="149" w:after="0" w:line="240" w:lineRule="auto"/>
        <w:ind w:left="1073" w:right="0" w:hanging="713"/>
        <w:jc w:val="left"/>
        <w:rPr>
          <w:sz w:val="24"/>
        </w:rPr>
      </w:pPr>
      <w:r>
        <w:rPr>
          <w:spacing w:val="-12"/>
          <w:sz w:val="24"/>
        </w:rPr>
        <w:t xml:space="preserve">地铁 首期工程土建施工监理 </w:t>
      </w:r>
      <w:r>
        <w:rPr>
          <w:spacing w:val="-4"/>
          <w:sz w:val="24"/>
        </w:rPr>
        <w:t>1</w:t>
      </w:r>
      <w:r>
        <w:rPr>
          <w:spacing w:val="-12"/>
          <w:sz w:val="24"/>
        </w:rPr>
        <w:t xml:space="preserve"> 标项目监理服务合同及监理规划。</w:t>
      </w:r>
    </w:p>
    <w:p>
      <w:pPr>
        <w:pStyle w:val="ListParagraph"/>
        <w:numPr>
          <w:ilvl w:val="0"/>
          <w:numId w:val="29"/>
        </w:numPr>
        <w:tabs>
          <w:tab w:val="left" w:pos="1074"/>
        </w:tabs>
        <w:spacing w:before="160" w:after="0" w:line="240" w:lineRule="auto"/>
        <w:ind w:left="1073" w:right="0" w:hanging="713"/>
        <w:jc w:val="left"/>
        <w:rPr>
          <w:sz w:val="24"/>
        </w:rPr>
      </w:pPr>
      <w:r>
        <w:rPr>
          <w:spacing w:val="-12"/>
          <w:sz w:val="24"/>
        </w:rPr>
        <w:t xml:space="preserve">地铁 首期工程土建施工监理 </w:t>
      </w:r>
      <w:r>
        <w:rPr>
          <w:spacing w:val="-4"/>
          <w:sz w:val="24"/>
        </w:rPr>
        <w:t>1</w:t>
      </w:r>
      <w:r>
        <w:rPr>
          <w:spacing w:val="-12"/>
          <w:sz w:val="24"/>
        </w:rPr>
        <w:t xml:space="preserve"> 标承包合同及施工组织设计。</w:t>
      </w:r>
    </w:p>
    <w:p>
      <w:pPr>
        <w:pStyle w:val="ListParagraph"/>
        <w:numPr>
          <w:ilvl w:val="0"/>
          <w:numId w:val="29"/>
        </w:numPr>
        <w:tabs>
          <w:tab w:val="left" w:pos="1001"/>
        </w:tabs>
        <w:spacing w:before="161" w:after="0" w:line="240" w:lineRule="auto"/>
        <w:ind w:left="1000" w:right="0" w:hanging="640"/>
        <w:jc w:val="left"/>
        <w:rPr>
          <w:sz w:val="24"/>
        </w:rPr>
      </w:pPr>
      <w:r>
        <w:rPr>
          <w:spacing w:val="-3"/>
          <w:sz w:val="24"/>
        </w:rPr>
        <w:t>地铁首期工程土建施工监理1</w:t>
      </w:r>
      <w:r>
        <w:rPr>
          <w:spacing w:val="-10"/>
          <w:sz w:val="24"/>
        </w:rPr>
        <w:t xml:space="preserve"> 标经批准并通过设计图会审的设计图纸及文件。</w:t>
      </w:r>
    </w:p>
    <w:p>
      <w:pPr>
        <w:pStyle w:val="ListParagraph"/>
        <w:numPr>
          <w:ilvl w:val="0"/>
          <w:numId w:val="29"/>
        </w:numPr>
        <w:tabs>
          <w:tab w:val="left" w:pos="962"/>
        </w:tabs>
        <w:spacing w:before="160" w:after="0" w:line="240" w:lineRule="auto"/>
        <w:ind w:left="962" w:right="0" w:hanging="601"/>
        <w:jc w:val="left"/>
        <w:rPr>
          <w:sz w:val="24"/>
        </w:rPr>
      </w:pPr>
      <w:r>
        <w:rPr>
          <w:sz w:val="24"/>
        </w:rPr>
        <w:t>《建设工程监理规范》 (GB50319—2013)</w:t>
      </w:r>
      <w:r>
        <w:rPr>
          <w:spacing w:val="-10"/>
          <w:sz w:val="24"/>
        </w:rPr>
        <w:t>。</w:t>
      </w:r>
    </w:p>
    <w:p>
      <w:pPr>
        <w:pStyle w:val="ListParagraph"/>
        <w:numPr>
          <w:ilvl w:val="0"/>
          <w:numId w:val="29"/>
        </w:numPr>
        <w:tabs>
          <w:tab w:val="left" w:pos="962"/>
        </w:tabs>
        <w:spacing w:before="161" w:after="0" w:line="240" w:lineRule="auto"/>
        <w:ind w:left="962" w:right="0" w:hanging="601"/>
        <w:jc w:val="left"/>
        <w:rPr>
          <w:sz w:val="24"/>
        </w:rPr>
      </w:pPr>
      <w:r>
        <w:rPr>
          <w:spacing w:val="-12"/>
          <w:sz w:val="24"/>
        </w:rPr>
        <w:t>《地下铁道工程施工及验收规范》</w:t>
      </w:r>
      <w:r>
        <w:rPr>
          <w:spacing w:val="-4"/>
          <w:sz w:val="24"/>
        </w:rPr>
        <w:t>（GB50299-</w:t>
      </w:r>
      <w:r>
        <w:rPr>
          <w:spacing w:val="8"/>
          <w:sz w:val="24"/>
        </w:rPr>
        <w:t>1999</w:t>
      </w:r>
      <w:r>
        <w:rPr>
          <w:spacing w:val="-112"/>
          <w:sz w:val="24"/>
        </w:rPr>
        <w:t>）</w:t>
      </w:r>
      <w:r>
        <w:rPr>
          <w:spacing w:val="8"/>
          <w:sz w:val="24"/>
        </w:rPr>
        <w:t>（2003</w:t>
      </w:r>
      <w:r>
        <w:rPr>
          <w:spacing w:val="-24"/>
          <w:sz w:val="24"/>
        </w:rPr>
        <w:t xml:space="preserve"> 版</w:t>
      </w:r>
      <w:r>
        <w:rPr>
          <w:spacing w:val="-120"/>
          <w:sz w:val="24"/>
        </w:rPr>
        <w:t>）</w:t>
      </w:r>
      <w:r>
        <w:rPr>
          <w:spacing w:val="-10"/>
          <w:sz w:val="24"/>
        </w:rPr>
        <w:t>。</w:t>
      </w:r>
    </w:p>
    <w:p>
      <w:pPr>
        <w:pStyle w:val="ListParagraph"/>
        <w:numPr>
          <w:ilvl w:val="0"/>
          <w:numId w:val="29"/>
        </w:numPr>
        <w:tabs>
          <w:tab w:val="left" w:pos="962"/>
        </w:tabs>
        <w:spacing w:before="160" w:after="0" w:line="240" w:lineRule="auto"/>
        <w:ind w:left="962" w:right="0" w:hanging="601"/>
        <w:jc w:val="left"/>
        <w:rPr>
          <w:sz w:val="24"/>
        </w:rPr>
      </w:pPr>
      <w:r>
        <w:rPr>
          <w:sz w:val="24"/>
        </w:rPr>
        <w:t>《盾构法隧道施工与验收规范》GB50446-2008</w:t>
      </w:r>
      <w:r>
        <w:rPr>
          <w:spacing w:val="-10"/>
          <w:sz w:val="24"/>
        </w:rPr>
        <w:t>。</w:t>
      </w:r>
    </w:p>
    <w:p>
      <w:pPr>
        <w:pStyle w:val="ListParagraph"/>
        <w:numPr>
          <w:ilvl w:val="0"/>
          <w:numId w:val="29"/>
        </w:numPr>
        <w:tabs>
          <w:tab w:val="left" w:pos="962"/>
        </w:tabs>
        <w:spacing w:before="161" w:after="0" w:line="240" w:lineRule="auto"/>
        <w:ind w:left="962" w:right="0" w:hanging="601"/>
        <w:jc w:val="left"/>
        <w:rPr>
          <w:sz w:val="24"/>
        </w:rPr>
      </w:pPr>
      <w:r>
        <w:rPr>
          <w:color w:val="FF0000"/>
          <w:sz w:val="24"/>
        </w:rPr>
        <w:t>《建筑工程施工质量验收统一标准》 (GB50300-2013)</w:t>
      </w:r>
      <w:r>
        <w:rPr>
          <w:spacing w:val="-10"/>
          <w:sz w:val="24"/>
        </w:rPr>
        <w:t>。</w:t>
      </w:r>
    </w:p>
    <w:p>
      <w:pPr>
        <w:pStyle w:val="ListParagraph"/>
        <w:numPr>
          <w:ilvl w:val="0"/>
          <w:numId w:val="29"/>
        </w:numPr>
        <w:tabs>
          <w:tab w:val="left" w:pos="962"/>
        </w:tabs>
        <w:spacing w:before="160" w:after="0" w:line="240" w:lineRule="auto"/>
        <w:ind w:left="962" w:right="0" w:hanging="601"/>
        <w:jc w:val="left"/>
        <w:rPr>
          <w:sz w:val="24"/>
        </w:rPr>
      </w:pPr>
      <w:r>
        <w:rPr>
          <w:sz w:val="24"/>
        </w:rPr>
        <w:t>建设工程安全生产管理条例（2004</w:t>
      </w:r>
      <w:r>
        <w:rPr>
          <w:spacing w:val="-40"/>
          <w:sz w:val="24"/>
        </w:rPr>
        <w:t xml:space="preserve"> 年 </w:t>
      </w:r>
      <w:r>
        <w:rPr>
          <w:sz w:val="24"/>
        </w:rPr>
        <w:t>2</w:t>
      </w:r>
      <w:r>
        <w:rPr>
          <w:spacing w:val="-40"/>
          <w:sz w:val="24"/>
        </w:rPr>
        <w:t xml:space="preserve"> 月 </w:t>
      </w:r>
      <w:r>
        <w:rPr>
          <w:sz w:val="24"/>
        </w:rPr>
        <w:t>1</w:t>
      </w:r>
      <w:r>
        <w:rPr>
          <w:spacing w:val="-30"/>
          <w:sz w:val="24"/>
        </w:rPr>
        <w:t xml:space="preserve"> 日</w:t>
      </w:r>
      <w:r>
        <w:rPr>
          <w:spacing w:val="-125"/>
          <w:sz w:val="24"/>
        </w:rPr>
        <w:t>）</w:t>
      </w:r>
      <w:r>
        <w:rPr>
          <w:spacing w:val="-5"/>
          <w:sz w:val="24"/>
        </w:rPr>
        <w:t>；</w:t>
      </w:r>
    </w:p>
    <w:p>
      <w:pPr>
        <w:pStyle w:val="ListParagraph"/>
        <w:numPr>
          <w:ilvl w:val="0"/>
          <w:numId w:val="29"/>
        </w:numPr>
        <w:tabs>
          <w:tab w:val="left" w:pos="962"/>
        </w:tabs>
        <w:spacing w:before="161" w:after="0" w:line="240" w:lineRule="auto"/>
        <w:ind w:left="962" w:right="0" w:hanging="601"/>
        <w:jc w:val="left"/>
        <w:rPr>
          <w:sz w:val="24"/>
        </w:rPr>
      </w:pPr>
      <w:r>
        <w:rPr>
          <w:spacing w:val="-16"/>
          <w:sz w:val="24"/>
        </w:rPr>
        <w:t>《建筑施工安全检查标准》</w:t>
      </w:r>
      <w:r>
        <w:rPr>
          <w:spacing w:val="-6"/>
          <w:sz w:val="24"/>
        </w:rPr>
        <w:t>（JGJ59-</w:t>
      </w:r>
      <w:r>
        <w:rPr>
          <w:spacing w:val="18"/>
          <w:sz w:val="24"/>
        </w:rPr>
        <w:t>2011</w:t>
      </w:r>
      <w:r>
        <w:rPr>
          <w:spacing w:val="-102"/>
          <w:sz w:val="24"/>
        </w:rPr>
        <w:t>）</w:t>
      </w:r>
      <w:r>
        <w:rPr>
          <w:spacing w:val="-10"/>
          <w:sz w:val="24"/>
        </w:rPr>
        <w:t>。</w:t>
      </w:r>
    </w:p>
    <w:p>
      <w:pPr>
        <w:pStyle w:val="ListParagraph"/>
        <w:numPr>
          <w:ilvl w:val="0"/>
          <w:numId w:val="29"/>
        </w:numPr>
        <w:tabs>
          <w:tab w:val="left" w:pos="1082"/>
        </w:tabs>
        <w:spacing w:before="160" w:after="0" w:line="240" w:lineRule="auto"/>
        <w:ind w:left="1082" w:right="0" w:hanging="721"/>
        <w:jc w:val="left"/>
        <w:rPr>
          <w:sz w:val="24"/>
        </w:rPr>
      </w:pPr>
      <w:r>
        <w:rPr>
          <w:spacing w:val="-15"/>
          <w:sz w:val="24"/>
        </w:rPr>
        <w:t>《建筑机械使用安全技术规程》</w:t>
      </w:r>
      <w:r>
        <w:rPr>
          <w:spacing w:val="-6"/>
          <w:sz w:val="24"/>
        </w:rPr>
        <w:t>（JGJ33-</w:t>
      </w:r>
      <w:r>
        <w:rPr>
          <w:spacing w:val="18"/>
          <w:sz w:val="24"/>
        </w:rPr>
        <w:t>2012</w:t>
      </w:r>
      <w:r>
        <w:rPr>
          <w:spacing w:val="-102"/>
          <w:sz w:val="24"/>
        </w:rPr>
        <w:t>）</w:t>
      </w:r>
      <w:r>
        <w:rPr>
          <w:spacing w:val="-10"/>
          <w:sz w:val="24"/>
        </w:rPr>
        <w:t>。</w:t>
      </w:r>
    </w:p>
    <w:p>
      <w:pPr>
        <w:pStyle w:val="ListParagraph"/>
        <w:numPr>
          <w:ilvl w:val="0"/>
          <w:numId w:val="29"/>
        </w:numPr>
        <w:tabs>
          <w:tab w:val="left" w:pos="1082"/>
        </w:tabs>
        <w:spacing w:before="161" w:after="0" w:line="240" w:lineRule="auto"/>
        <w:ind w:left="1082" w:right="0" w:hanging="721"/>
        <w:jc w:val="left"/>
        <w:rPr>
          <w:sz w:val="24"/>
        </w:rPr>
      </w:pPr>
      <w:r>
        <w:rPr>
          <w:spacing w:val="-14"/>
          <w:sz w:val="24"/>
        </w:rPr>
        <w:t>《施工现场临时用电安全技术规程》</w:t>
      </w:r>
      <w:r>
        <w:rPr>
          <w:spacing w:val="-6"/>
          <w:sz w:val="24"/>
        </w:rPr>
        <w:t>（JGJ46-</w:t>
      </w:r>
      <w:r>
        <w:rPr>
          <w:spacing w:val="18"/>
          <w:sz w:val="24"/>
        </w:rPr>
        <w:t>2005</w:t>
      </w:r>
      <w:r>
        <w:rPr>
          <w:spacing w:val="-102"/>
          <w:sz w:val="24"/>
        </w:rPr>
        <w:t>）</w:t>
      </w:r>
      <w:r>
        <w:rPr>
          <w:spacing w:val="-10"/>
          <w:sz w:val="24"/>
        </w:rPr>
        <w:t>。</w:t>
      </w:r>
    </w:p>
    <w:p>
      <w:pPr>
        <w:pStyle w:val="ListParagraph"/>
        <w:numPr>
          <w:ilvl w:val="0"/>
          <w:numId w:val="29"/>
        </w:numPr>
        <w:tabs>
          <w:tab w:val="left" w:pos="1082"/>
        </w:tabs>
        <w:spacing w:before="160" w:after="0" w:line="240" w:lineRule="auto"/>
        <w:ind w:left="1082" w:right="0" w:hanging="721"/>
        <w:jc w:val="left"/>
        <w:rPr>
          <w:sz w:val="24"/>
        </w:rPr>
      </w:pPr>
      <w:r>
        <w:rPr>
          <w:color w:val="FF0000"/>
          <w:spacing w:val="-8"/>
          <w:sz w:val="24"/>
        </w:rPr>
        <w:t>《建设工程施工现场供用电安全规范》</w:t>
      </w:r>
      <w:r>
        <w:rPr>
          <w:color w:val="FF0000"/>
          <w:sz w:val="24"/>
        </w:rPr>
        <w:t>（GB50194-2014)</w:t>
      </w:r>
      <w:r>
        <w:rPr>
          <w:color w:val="FF0000"/>
          <w:spacing w:val="-10"/>
          <w:sz w:val="24"/>
        </w:rPr>
        <w:t>。</w:t>
      </w:r>
    </w:p>
    <w:p>
      <w:pPr>
        <w:pStyle w:val="ListParagraph"/>
        <w:numPr>
          <w:ilvl w:val="0"/>
          <w:numId w:val="29"/>
        </w:numPr>
        <w:tabs>
          <w:tab w:val="left" w:pos="1082"/>
        </w:tabs>
        <w:spacing w:before="161" w:after="0" w:line="240" w:lineRule="auto"/>
        <w:ind w:left="1082" w:right="0" w:hanging="721"/>
        <w:jc w:val="left"/>
        <w:rPr>
          <w:sz w:val="24"/>
        </w:rPr>
      </w:pPr>
      <w:r>
        <w:rPr>
          <w:spacing w:val="-11"/>
          <w:sz w:val="24"/>
        </w:rPr>
        <w:t>《地下铁道、轻轨交通工程测量规范》</w:t>
      </w:r>
      <w:r>
        <w:rPr>
          <w:spacing w:val="-4"/>
          <w:sz w:val="24"/>
        </w:rPr>
        <w:t>（GB50308-</w:t>
      </w:r>
      <w:r>
        <w:rPr>
          <w:spacing w:val="20"/>
          <w:sz w:val="24"/>
        </w:rPr>
        <w:t>1999</w:t>
      </w:r>
      <w:r>
        <w:rPr>
          <w:spacing w:val="-100"/>
          <w:sz w:val="24"/>
        </w:rPr>
        <w:t>）</w:t>
      </w:r>
      <w:r>
        <w:rPr>
          <w:spacing w:val="-10"/>
          <w:sz w:val="24"/>
        </w:rPr>
        <w:t>。</w:t>
      </w:r>
    </w:p>
    <w:p>
      <w:pPr>
        <w:pStyle w:val="ListParagraph"/>
        <w:numPr>
          <w:ilvl w:val="0"/>
          <w:numId w:val="29"/>
        </w:numPr>
        <w:tabs>
          <w:tab w:val="left" w:pos="1082"/>
        </w:tabs>
        <w:spacing w:before="160" w:after="0" w:line="240" w:lineRule="auto"/>
        <w:ind w:left="1082" w:right="0" w:hanging="721"/>
        <w:jc w:val="left"/>
        <w:rPr>
          <w:sz w:val="24"/>
        </w:rPr>
      </w:pPr>
      <w:r>
        <w:rPr>
          <w:spacing w:val="-18"/>
          <w:sz w:val="24"/>
        </w:rPr>
        <w:t>《建筑变形测量规程》</w:t>
      </w:r>
      <w:r>
        <w:rPr>
          <w:spacing w:val="-6"/>
          <w:sz w:val="24"/>
        </w:rPr>
        <w:t>（JGJ8-</w:t>
      </w:r>
      <w:r>
        <w:rPr>
          <w:spacing w:val="18"/>
          <w:sz w:val="24"/>
        </w:rPr>
        <w:t>2007</w:t>
      </w:r>
      <w:r>
        <w:rPr>
          <w:spacing w:val="-102"/>
          <w:sz w:val="24"/>
        </w:rPr>
        <w:t>）</w:t>
      </w:r>
      <w:r>
        <w:rPr>
          <w:spacing w:val="-10"/>
          <w:sz w:val="24"/>
        </w:rPr>
        <w:t>。</w:t>
      </w:r>
    </w:p>
    <w:p>
      <w:pPr>
        <w:pStyle w:val="ListParagraph"/>
        <w:numPr>
          <w:ilvl w:val="0"/>
          <w:numId w:val="29"/>
        </w:numPr>
        <w:tabs>
          <w:tab w:val="left" w:pos="1082"/>
        </w:tabs>
        <w:spacing w:before="161" w:after="0" w:line="240" w:lineRule="auto"/>
        <w:ind w:left="1082" w:right="0" w:hanging="721"/>
        <w:jc w:val="left"/>
        <w:rPr>
          <w:sz w:val="24"/>
        </w:rPr>
      </w:pPr>
      <w:r>
        <w:rPr>
          <w:sz w:val="24"/>
        </w:rPr>
        <w:t>《预制混凝土构件质量检验评定标准》 (GBJ321-90)</w:t>
      </w:r>
      <w:r>
        <w:rPr>
          <w:spacing w:val="-10"/>
          <w:sz w:val="24"/>
        </w:rPr>
        <w:t>。</w:t>
      </w:r>
    </w:p>
    <w:p>
      <w:pPr>
        <w:pStyle w:val="ListParagraph"/>
        <w:numPr>
          <w:ilvl w:val="0"/>
          <w:numId w:val="29"/>
        </w:numPr>
        <w:tabs>
          <w:tab w:val="left" w:pos="1082"/>
        </w:tabs>
        <w:spacing w:before="160" w:after="0" w:line="240" w:lineRule="auto"/>
        <w:ind w:left="1082" w:right="0" w:hanging="721"/>
        <w:jc w:val="left"/>
        <w:rPr>
          <w:sz w:val="24"/>
        </w:rPr>
      </w:pPr>
      <w:r>
        <w:rPr>
          <w:sz w:val="24"/>
        </w:rPr>
        <w:t>《混凝土质量控制标准》 (GB50164-2011)</w:t>
      </w:r>
      <w:r>
        <w:rPr>
          <w:spacing w:val="-10"/>
          <w:sz w:val="24"/>
        </w:rPr>
        <w:t>。</w:t>
      </w:r>
    </w:p>
    <w:p>
      <w:pPr>
        <w:pStyle w:val="ListParagraph"/>
        <w:numPr>
          <w:ilvl w:val="0"/>
          <w:numId w:val="29"/>
        </w:numPr>
        <w:tabs>
          <w:tab w:val="left" w:pos="1082"/>
        </w:tabs>
        <w:spacing w:before="161" w:after="0" w:line="240" w:lineRule="auto"/>
        <w:ind w:left="1082" w:right="0" w:hanging="721"/>
        <w:jc w:val="left"/>
        <w:rPr>
          <w:sz w:val="24"/>
        </w:rPr>
      </w:pPr>
      <w:r>
        <w:rPr>
          <w:sz w:val="24"/>
        </w:rPr>
        <w:t>《硅酸盐水泥、普通硅酸盐水泥》 (GB175-2007)</w:t>
      </w:r>
      <w:r>
        <w:rPr>
          <w:spacing w:val="-10"/>
          <w:sz w:val="24"/>
        </w:rPr>
        <w:t>。</w:t>
      </w:r>
    </w:p>
    <w:p>
      <w:pPr>
        <w:pStyle w:val="ListParagraph"/>
        <w:numPr>
          <w:ilvl w:val="0"/>
          <w:numId w:val="29"/>
        </w:numPr>
        <w:tabs>
          <w:tab w:val="left" w:pos="1082"/>
        </w:tabs>
        <w:spacing w:before="160" w:after="0" w:line="240" w:lineRule="auto"/>
        <w:ind w:left="1082" w:right="0" w:hanging="721"/>
        <w:jc w:val="left"/>
        <w:rPr>
          <w:sz w:val="24"/>
        </w:rPr>
      </w:pPr>
      <w:r>
        <w:rPr>
          <w:sz w:val="24"/>
        </w:rPr>
        <w:t>《混凝土外加剂》 (GB8076-2009)</w:t>
      </w:r>
      <w:r>
        <w:rPr>
          <w:spacing w:val="-10"/>
          <w:sz w:val="24"/>
        </w:rPr>
        <w:t>。</w:t>
      </w:r>
    </w:p>
    <w:p>
      <w:pPr>
        <w:pStyle w:val="ListParagraph"/>
        <w:numPr>
          <w:ilvl w:val="0"/>
          <w:numId w:val="29"/>
        </w:numPr>
        <w:tabs>
          <w:tab w:val="left" w:pos="1082"/>
        </w:tabs>
        <w:spacing w:before="161" w:after="0" w:line="240" w:lineRule="auto"/>
        <w:ind w:left="1082" w:right="0" w:hanging="721"/>
        <w:jc w:val="left"/>
        <w:rPr>
          <w:sz w:val="24"/>
        </w:rPr>
      </w:pPr>
      <w:r>
        <w:rPr>
          <w:color w:val="0070C0"/>
          <w:sz w:val="24"/>
        </w:rPr>
        <w:t>《混凝土强度检验评定标准》 (GB/T50107-2010)</w:t>
      </w:r>
      <w:r>
        <w:rPr>
          <w:color w:val="0070C0"/>
          <w:spacing w:val="-10"/>
          <w:sz w:val="24"/>
        </w:rPr>
        <w:t>。</w:t>
      </w:r>
    </w:p>
    <w:p>
      <w:pPr>
        <w:pStyle w:val="ListParagraph"/>
        <w:numPr>
          <w:ilvl w:val="0"/>
          <w:numId w:val="29"/>
        </w:numPr>
        <w:tabs>
          <w:tab w:val="left" w:pos="1082"/>
        </w:tabs>
        <w:spacing w:before="160" w:after="0" w:line="240" w:lineRule="auto"/>
        <w:ind w:left="1082" w:right="0" w:hanging="721"/>
        <w:jc w:val="left"/>
        <w:rPr>
          <w:sz w:val="24"/>
        </w:rPr>
      </w:pPr>
      <w:r>
        <w:rPr>
          <w:spacing w:val="-16"/>
          <w:sz w:val="24"/>
        </w:rPr>
        <w:t>《地下工程防水技术规范》</w:t>
      </w:r>
      <w:r>
        <w:rPr>
          <w:spacing w:val="-6"/>
          <w:sz w:val="24"/>
        </w:rPr>
        <w:t>（JB50108-</w:t>
      </w:r>
      <w:r>
        <w:rPr>
          <w:spacing w:val="18"/>
          <w:sz w:val="24"/>
        </w:rPr>
        <w:t>2008</w:t>
      </w:r>
      <w:r>
        <w:rPr>
          <w:spacing w:val="-102"/>
          <w:sz w:val="24"/>
        </w:rPr>
        <w:t>）</w:t>
      </w:r>
      <w:r>
        <w:rPr>
          <w:spacing w:val="-10"/>
          <w:sz w:val="24"/>
        </w:rPr>
        <w:t>。</w:t>
      </w:r>
    </w:p>
    <w:p>
      <w:pPr>
        <w:pStyle w:val="ListParagraph"/>
        <w:numPr>
          <w:ilvl w:val="0"/>
          <w:numId w:val="29"/>
        </w:numPr>
        <w:tabs>
          <w:tab w:val="left" w:pos="1082"/>
        </w:tabs>
        <w:spacing w:before="161" w:after="0" w:line="240" w:lineRule="auto"/>
        <w:ind w:left="1082" w:right="0" w:hanging="721"/>
        <w:jc w:val="left"/>
        <w:rPr>
          <w:sz w:val="24"/>
        </w:rPr>
      </w:pPr>
      <w:r>
        <w:rPr>
          <w:sz w:val="24"/>
        </w:rPr>
        <w:t>《地下防水工程质量验收规范》 (GB50208-2011)</w:t>
      </w:r>
      <w:r>
        <w:rPr>
          <w:spacing w:val="-10"/>
          <w:sz w:val="24"/>
        </w:rPr>
        <w:t>。</w:t>
      </w:r>
    </w:p>
    <w:p>
      <w:pPr>
        <w:pStyle w:val="ListParagraph"/>
        <w:numPr>
          <w:ilvl w:val="0"/>
          <w:numId w:val="29"/>
        </w:numPr>
        <w:tabs>
          <w:tab w:val="left" w:pos="1082"/>
        </w:tabs>
        <w:spacing w:before="160" w:after="0" w:line="240" w:lineRule="auto"/>
        <w:ind w:left="1082" w:right="0" w:hanging="721"/>
        <w:jc w:val="left"/>
        <w:rPr>
          <w:sz w:val="24"/>
        </w:rPr>
      </w:pPr>
      <w:r>
        <w:rPr>
          <w:spacing w:val="-15"/>
          <w:sz w:val="24"/>
        </w:rPr>
        <w:t>《建筑工程文件归档整理规范》</w:t>
      </w:r>
      <w:r>
        <w:rPr>
          <w:spacing w:val="-6"/>
          <w:sz w:val="24"/>
        </w:rPr>
        <w:t>（GB/T50328-</w:t>
      </w:r>
      <w:r>
        <w:rPr>
          <w:spacing w:val="18"/>
          <w:sz w:val="24"/>
        </w:rPr>
        <w:t>2001</w:t>
      </w:r>
      <w:r>
        <w:rPr>
          <w:spacing w:val="-102"/>
          <w:sz w:val="24"/>
        </w:rPr>
        <w:t>）</w:t>
      </w:r>
      <w:r>
        <w:rPr>
          <w:spacing w:val="-10"/>
          <w:sz w:val="24"/>
        </w:rPr>
        <w:t>。</w:t>
      </w:r>
    </w:p>
    <w:p>
      <w:pPr>
        <w:spacing w:after="0" w:line="240" w:lineRule="auto"/>
        <w:jc w:val="left"/>
        <w:rPr>
          <w:sz w:val="24"/>
        </w:rPr>
        <w:sectPr>
          <w:headerReference w:type="default" r:id="rId7"/>
          <w:footerReference w:type="default" r:id="rId8"/>
          <w:pgSz w:w="11910" w:h="16840"/>
          <w:pgMar w:top="1000" w:right="860" w:bottom="1400" w:left="1580" w:header="819" w:footer="1212"/>
          <w:pgNumType w:start="1"/>
          <w:cols w:space="708"/>
        </w:sectPr>
      </w:pPr>
    </w:p>
    <w:p>
      <w:pPr>
        <w:pStyle w:val="BodyText"/>
        <w:ind w:left="0"/>
        <w:rPr>
          <w:sz w:val="20"/>
        </w:rPr>
      </w:pPr>
    </w:p>
    <w:p>
      <w:pPr>
        <w:pStyle w:val="BodyText"/>
        <w:spacing w:before="8"/>
        <w:ind w:left="0"/>
        <w:rPr>
          <w:sz w:val="25"/>
        </w:rPr>
      </w:pPr>
    </w:p>
    <w:p>
      <w:pPr>
        <w:pStyle w:val="ListParagraph"/>
        <w:numPr>
          <w:ilvl w:val="0"/>
          <w:numId w:val="27"/>
        </w:numPr>
        <w:tabs>
          <w:tab w:val="left" w:pos="1201"/>
        </w:tabs>
        <w:spacing w:before="66" w:after="0" w:line="240" w:lineRule="auto"/>
        <w:ind w:left="1201" w:right="0" w:hanging="840"/>
        <w:jc w:val="left"/>
        <w:rPr>
          <w:sz w:val="24"/>
        </w:rPr>
      </w:pPr>
      <w:r>
        <w:rPr>
          <w:spacing w:val="-6"/>
          <w:sz w:val="24"/>
        </w:rPr>
        <w:t>市及市轨道交通有限公司制定的有关工程质量验收、安全评定标准及规定。</w:t>
      </w:r>
    </w:p>
    <w:p>
      <w:pPr>
        <w:pStyle w:val="ListParagraph"/>
        <w:numPr>
          <w:ilvl w:val="0"/>
          <w:numId w:val="27"/>
        </w:numPr>
        <w:tabs>
          <w:tab w:val="left" w:pos="1082"/>
        </w:tabs>
        <w:spacing w:before="161" w:after="0" w:line="240" w:lineRule="auto"/>
        <w:ind w:left="1082" w:right="0" w:hanging="721"/>
        <w:jc w:val="left"/>
        <w:rPr>
          <w:sz w:val="24"/>
        </w:rPr>
      </w:pPr>
      <w:r>
        <w:rPr>
          <w:sz w:val="24"/>
        </w:rPr>
        <w:t xml:space="preserve">专家评审过的《 </w:t>
      </w:r>
      <w:r>
        <w:rPr>
          <w:color w:val="FF0000"/>
          <w:sz w:val="24"/>
        </w:rPr>
        <w:t>1</w:t>
      </w:r>
      <w:r>
        <w:rPr>
          <w:color w:val="FF0000"/>
          <w:spacing w:val="-9"/>
          <w:sz w:val="24"/>
        </w:rPr>
        <w:t xml:space="preserve"> 标盾构区间危险源安全专项施工方案》</w:t>
      </w:r>
    </w:p>
    <w:p>
      <w:pPr>
        <w:pStyle w:val="Heading2"/>
        <w:spacing w:before="121"/>
      </w:pPr>
      <w:bookmarkStart w:id="1" w:name="_TOC_250004"/>
      <w:r>
        <w:rPr>
          <w:spacing w:val="-6"/>
        </w:rPr>
        <w:t>2</w:t>
      </w:r>
      <w:bookmarkEnd w:id="1"/>
      <w:r>
        <w:rPr>
          <w:spacing w:val="-7"/>
        </w:rPr>
        <w:t>、工程概况</w:t>
      </w:r>
    </w:p>
    <w:p>
      <w:pPr>
        <w:pStyle w:val="ListParagraph"/>
        <w:numPr>
          <w:ilvl w:val="0"/>
          <w:numId w:val="26"/>
        </w:numPr>
        <w:tabs>
          <w:tab w:val="left" w:pos="710"/>
        </w:tabs>
        <w:spacing w:before="194" w:after="0" w:line="240" w:lineRule="auto"/>
        <w:ind w:left="710" w:right="0" w:hanging="589"/>
        <w:jc w:val="left"/>
        <w:rPr>
          <w:sz w:val="24"/>
        </w:rPr>
      </w:pPr>
      <w:r>
        <w:rPr>
          <w:spacing w:val="-10"/>
          <w:sz w:val="24"/>
        </w:rPr>
        <w:t>、工程概述</w:t>
      </w:r>
    </w:p>
    <w:p>
      <w:pPr>
        <w:pStyle w:val="BodyText"/>
        <w:tabs>
          <w:tab w:val="left" w:pos="3309"/>
        </w:tabs>
        <w:spacing w:before="107" w:line="364" w:lineRule="auto"/>
        <w:ind w:right="556" w:firstLine="660"/>
      </w:pPr>
      <w:r>
        <w:t>地铁</w:t>
      </w:r>
      <w:r>
        <w:rPr>
          <w:spacing w:val="-11"/>
        </w:rPr>
        <w:t xml:space="preserve"> </w:t>
      </w:r>
      <w:r>
        <w:rPr>
          <w:rFonts w:ascii="Times New Roman" w:eastAsia="Times New Roman"/>
        </w:rPr>
        <w:t xml:space="preserve">1 </w:t>
      </w:r>
      <w:r>
        <w:t>号线</w:t>
      </w:r>
      <w:r>
        <w:rPr>
          <w:spacing w:val="-11"/>
        </w:rPr>
        <w:t xml:space="preserve"> </w:t>
      </w:r>
      <w:r>
        <w:rPr>
          <w:rFonts w:ascii="Times New Roman" w:eastAsia="Times New Roman"/>
        </w:rPr>
        <w:t xml:space="preserve">3 </w:t>
      </w:r>
      <w:r>
        <w:t>期位于</w:t>
        <w:tab/>
        <w:t>，本标段区间工程包含：</w:t>
      </w:r>
      <w:r>
        <w:rPr>
          <w:spacing w:val="-9"/>
        </w:rPr>
        <w:t xml:space="preserve"> </w:t>
      </w:r>
      <w:r>
        <w:t>共计</w:t>
      </w:r>
      <w:r>
        <w:rPr>
          <w:spacing w:val="-60"/>
        </w:rPr>
        <w:t xml:space="preserve"> </w:t>
      </w:r>
      <w:r>
        <w:rPr>
          <w:rFonts w:ascii="Times New Roman" w:eastAsia="Times New Roman"/>
        </w:rPr>
        <w:t>3</w:t>
      </w:r>
      <w:r>
        <w:rPr>
          <w:rFonts w:ascii="Times New Roman" w:eastAsia="Times New Roman"/>
          <w:spacing w:val="-4"/>
        </w:rPr>
        <w:t xml:space="preserve"> </w:t>
      </w:r>
      <w:r>
        <w:t>个盾构区间，</w:t>
      </w:r>
      <w:r>
        <w:rPr>
          <w:rFonts w:ascii="Times New Roman" w:eastAsia="Times New Roman"/>
        </w:rPr>
        <w:t>5</w:t>
      </w:r>
      <w:r>
        <w:rPr>
          <w:rFonts w:ascii="Times New Roman" w:eastAsia="Times New Roman"/>
          <w:spacing w:val="-4"/>
        </w:rPr>
        <w:t xml:space="preserve"> </w:t>
      </w:r>
      <w:r>
        <w:t>个联络通道（其中</w:t>
      </w:r>
      <w:r>
        <w:rPr>
          <w:spacing w:val="-21"/>
        </w:rPr>
        <w:t xml:space="preserve"> </w:t>
      </w:r>
      <w:r>
        <w:rPr>
          <w:rFonts w:ascii="Times New Roman" w:eastAsia="Times New Roman"/>
        </w:rPr>
        <w:t xml:space="preserve">3 </w:t>
      </w:r>
      <w:r>
        <w:t>个联络通道设置废水泵房）和</w:t>
      </w:r>
      <w:r>
        <w:rPr>
          <w:spacing w:val="-21"/>
        </w:rPr>
        <w:t xml:space="preserve"> </w:t>
      </w:r>
      <w:r>
        <w:rPr>
          <w:rFonts w:ascii="Times New Roman" w:eastAsia="Times New Roman"/>
        </w:rPr>
        <w:t xml:space="preserve">12 </w:t>
      </w:r>
      <w:r>
        <w:t>个洞门。</w:t>
      </w:r>
    </w:p>
    <w:p>
      <w:pPr>
        <w:pStyle w:val="BodyText"/>
        <w:ind w:left="0"/>
        <w:rPr>
          <w:sz w:val="26"/>
        </w:rPr>
      </w:pPr>
    </w:p>
    <w:p>
      <w:pPr>
        <w:pStyle w:val="BodyText"/>
        <w:ind w:left="0"/>
        <w:rPr>
          <w:sz w:val="26"/>
        </w:rPr>
      </w:pPr>
    </w:p>
    <w:p>
      <w:pPr>
        <w:pStyle w:val="BodyText"/>
        <w:ind w:left="0"/>
        <w:rPr>
          <w:sz w:val="26"/>
        </w:rPr>
      </w:pPr>
    </w:p>
    <w:p>
      <w:pPr>
        <w:pStyle w:val="BodyText"/>
        <w:spacing w:before="3"/>
        <w:ind w:left="0"/>
        <w:rPr>
          <w:sz w:val="25"/>
        </w:rPr>
      </w:pPr>
    </w:p>
    <w:p>
      <w:pPr>
        <w:pStyle w:val="ListParagraph"/>
        <w:numPr>
          <w:ilvl w:val="0"/>
          <w:numId w:val="26"/>
        </w:numPr>
        <w:tabs>
          <w:tab w:val="left" w:pos="710"/>
        </w:tabs>
        <w:spacing w:before="1" w:after="0" w:line="240" w:lineRule="auto"/>
        <w:ind w:left="710" w:right="0" w:hanging="589"/>
        <w:jc w:val="left"/>
        <w:rPr>
          <w:sz w:val="24"/>
        </w:rPr>
      </w:pPr>
      <w:r>
        <w:rPr>
          <w:spacing w:val="-10"/>
          <w:sz w:val="24"/>
        </w:rPr>
        <w:t>、工程地质</w:t>
      </w:r>
    </w:p>
    <w:p>
      <w:pPr>
        <w:pStyle w:val="BodyText"/>
        <w:spacing w:before="7"/>
        <w:ind w:left="0"/>
        <w:rPr>
          <w:sz w:val="18"/>
        </w:rPr>
      </w:pPr>
    </w:p>
    <w:p>
      <w:pPr>
        <w:pStyle w:val="BodyText"/>
        <w:spacing w:line="364" w:lineRule="auto"/>
        <w:ind w:right="555" w:firstLine="480"/>
        <w:jc w:val="both"/>
      </w:pPr>
      <w:r>
        <w:rPr>
          <w:spacing w:val="-8"/>
        </w:rPr>
        <w:t xml:space="preserve">根据详勘报告与补勘资料，区间隧道拱顶埋深为 </w:t>
      </w:r>
      <w:r>
        <w:rPr>
          <w:rFonts w:ascii="Times New Roman" w:eastAsia="Times New Roman" w:hAnsi="Times New Roman"/>
          <w:spacing w:val="-2"/>
        </w:rPr>
        <w:t>11.56~16.97m</w:t>
      </w:r>
      <w:r>
        <w:rPr>
          <w:spacing w:val="-10"/>
        </w:rPr>
        <w:t>。覆土从上至下依</w:t>
      </w:r>
      <w:r>
        <w:rPr>
          <w:spacing w:val="-2"/>
        </w:rPr>
        <w:t>次为</w:t>
      </w:r>
      <w:r>
        <w:rPr>
          <w:rFonts w:ascii="Cambria Math" w:eastAsia="Cambria Math" w:hAnsi="Cambria Math"/>
          <w:spacing w:val="-2"/>
        </w:rPr>
        <w:t>①</w:t>
      </w:r>
      <w:r>
        <w:rPr>
          <w:rFonts w:ascii="Times New Roman" w:eastAsia="Times New Roman" w:hAnsi="Times New Roman"/>
          <w:spacing w:val="-2"/>
        </w:rPr>
        <w:t>1</w:t>
      </w:r>
      <w:r>
        <w:rPr>
          <w:rFonts w:ascii="Times New Roman" w:eastAsia="Times New Roman" w:hAnsi="Times New Roman"/>
          <w:spacing w:val="-8"/>
        </w:rPr>
        <w:t xml:space="preserve"> </w:t>
      </w:r>
      <w:r>
        <w:rPr>
          <w:spacing w:val="-2"/>
        </w:rPr>
        <w:t>杂填土，</w:t>
      </w:r>
      <w:r>
        <w:rPr>
          <w:rFonts w:ascii="Cambria Math" w:eastAsia="Cambria Math" w:hAnsi="Cambria Math"/>
          <w:spacing w:val="-2"/>
        </w:rPr>
        <w:t>③</w:t>
      </w:r>
      <w:r>
        <w:rPr>
          <w:rFonts w:ascii="Times New Roman" w:eastAsia="Times New Roman" w:hAnsi="Times New Roman"/>
          <w:spacing w:val="-2"/>
        </w:rPr>
        <w:t>23</w:t>
      </w:r>
      <w:r>
        <w:rPr>
          <w:rFonts w:ascii="Times New Roman" w:eastAsia="Times New Roman" w:hAnsi="Times New Roman"/>
          <w:spacing w:val="-8"/>
        </w:rPr>
        <w:t xml:space="preserve"> </w:t>
      </w:r>
      <w:r>
        <w:rPr>
          <w:spacing w:val="-2"/>
        </w:rPr>
        <w:t>粉质粘土，</w:t>
      </w:r>
      <w:r>
        <w:rPr>
          <w:rFonts w:ascii="Cambria Math" w:eastAsia="Cambria Math" w:hAnsi="Cambria Math"/>
          <w:spacing w:val="-2"/>
        </w:rPr>
        <w:t>③</w:t>
      </w:r>
      <w:r>
        <w:rPr>
          <w:rFonts w:ascii="Times New Roman" w:eastAsia="Times New Roman" w:hAnsi="Times New Roman"/>
          <w:spacing w:val="-2"/>
        </w:rPr>
        <w:t>31</w:t>
      </w:r>
      <w:r>
        <w:rPr>
          <w:rFonts w:ascii="Times New Roman" w:eastAsia="Times New Roman" w:hAnsi="Times New Roman"/>
          <w:spacing w:val="-8"/>
        </w:rPr>
        <w:t xml:space="preserve"> </w:t>
      </w:r>
      <w:r>
        <w:rPr>
          <w:spacing w:val="-2"/>
        </w:rPr>
        <w:t>粉土，</w:t>
      </w:r>
      <w:r>
        <w:rPr>
          <w:rFonts w:ascii="Cambria Math" w:eastAsia="Cambria Math" w:hAnsi="Cambria Math"/>
          <w:spacing w:val="-2"/>
        </w:rPr>
        <w:t>③</w:t>
      </w:r>
      <w:r>
        <w:rPr>
          <w:rFonts w:ascii="Times New Roman" w:eastAsia="Times New Roman" w:hAnsi="Times New Roman"/>
          <w:spacing w:val="-2"/>
        </w:rPr>
        <w:t>51</w:t>
      </w:r>
      <w:r>
        <w:rPr>
          <w:rFonts w:ascii="Times New Roman" w:eastAsia="Times New Roman" w:hAnsi="Times New Roman"/>
          <w:spacing w:val="-8"/>
        </w:rPr>
        <w:t xml:space="preserve"> </w:t>
      </w:r>
      <w:r>
        <w:rPr>
          <w:spacing w:val="-2"/>
        </w:rPr>
        <w:t>细砂，</w:t>
      </w:r>
      <w:r>
        <w:rPr>
          <w:rFonts w:ascii="Cambria Math" w:eastAsia="Cambria Math" w:hAnsi="Cambria Math"/>
          <w:spacing w:val="-2"/>
        </w:rPr>
        <w:t>③</w:t>
      </w:r>
      <w:r>
        <w:rPr>
          <w:rFonts w:ascii="Times New Roman" w:eastAsia="Times New Roman" w:hAnsi="Times New Roman"/>
          <w:spacing w:val="-2"/>
        </w:rPr>
        <w:t>82</w:t>
      </w:r>
      <w:r>
        <w:rPr>
          <w:rFonts w:ascii="Times New Roman" w:eastAsia="Times New Roman" w:hAnsi="Times New Roman"/>
          <w:spacing w:val="-8"/>
        </w:rPr>
        <w:t xml:space="preserve"> </w:t>
      </w:r>
      <w:r>
        <w:rPr>
          <w:spacing w:val="-2"/>
        </w:rPr>
        <w:t>中密卵石土，</w:t>
      </w:r>
      <w:r>
        <w:rPr>
          <w:rFonts w:ascii="Cambria Math" w:eastAsia="Cambria Math" w:hAnsi="Cambria Math"/>
          <w:spacing w:val="-2"/>
        </w:rPr>
        <w:t>⑤</w:t>
      </w:r>
      <w:r>
        <w:rPr>
          <w:rFonts w:ascii="Times New Roman" w:eastAsia="Times New Roman" w:hAnsi="Times New Roman"/>
          <w:spacing w:val="-2"/>
        </w:rPr>
        <w:t>1</w:t>
      </w:r>
      <w:r>
        <w:rPr>
          <w:rFonts w:ascii="Times New Roman" w:eastAsia="Times New Roman" w:hAnsi="Times New Roman"/>
          <w:spacing w:val="-2"/>
        </w:rPr>
        <w:t>2</w:t>
      </w:r>
      <w:r>
        <w:t>强风化泥岩，</w:t>
      </w:r>
      <w:r>
        <w:rPr>
          <w:rFonts w:ascii="Cambria Math" w:eastAsia="Cambria Math" w:hAnsi="Cambria Math"/>
        </w:rPr>
        <w:t>⑤</w:t>
      </w:r>
      <w:r>
        <w:rPr>
          <w:rFonts w:ascii="Times New Roman" w:eastAsia="Times New Roman" w:hAnsi="Times New Roman"/>
        </w:rPr>
        <w:t xml:space="preserve">13 </w:t>
      </w:r>
      <w:r>
        <w:t>中等风化泥岩。</w:t>
      </w:r>
    </w:p>
    <w:p>
      <w:pPr>
        <w:pStyle w:val="BodyText"/>
        <w:spacing w:before="2" w:line="364" w:lineRule="auto"/>
        <w:ind w:right="556" w:firstLine="480"/>
      </w:pPr>
      <w:r>
        <w:t>右线侧穿段盾构隧道穿越地层为</w:t>
      </w:r>
      <w:r>
        <w:rPr>
          <w:rFonts w:ascii="Cambria Math" w:eastAsia="Cambria Math" w:hAnsi="Cambria Math"/>
        </w:rPr>
        <w:t>③</w:t>
      </w:r>
      <w:r>
        <w:rPr>
          <w:rFonts w:ascii="Times New Roman" w:eastAsia="Times New Roman" w:hAnsi="Times New Roman"/>
        </w:rPr>
        <w:t xml:space="preserve">82 </w:t>
      </w:r>
      <w:r>
        <w:t>中密卵石土，</w:t>
      </w:r>
      <w:r>
        <w:rPr>
          <w:rFonts w:ascii="Cambria Math" w:eastAsia="Cambria Math" w:hAnsi="Cambria Math"/>
        </w:rPr>
        <w:t>⑤</w:t>
      </w:r>
      <w:r>
        <w:rPr>
          <w:rFonts w:ascii="Times New Roman" w:eastAsia="Times New Roman" w:hAnsi="Times New Roman"/>
        </w:rPr>
        <w:t xml:space="preserve">12 </w:t>
      </w:r>
      <w:r>
        <w:t>强风化泥岩，</w:t>
      </w:r>
      <w:r>
        <w:rPr>
          <w:rFonts w:ascii="Cambria Math" w:eastAsia="Cambria Math" w:hAnsi="Cambria Math"/>
        </w:rPr>
        <w:t>⑤</w:t>
      </w:r>
      <w:r>
        <w:rPr>
          <w:rFonts w:ascii="Times New Roman" w:eastAsia="Times New Roman" w:hAnsi="Times New Roman"/>
        </w:rPr>
        <w:t xml:space="preserve">13 </w:t>
      </w:r>
      <w:r>
        <w:t>中等风化泥岩，主要以穿越</w:t>
      </w:r>
      <w:r>
        <w:rPr>
          <w:rFonts w:ascii="Cambria Math" w:eastAsia="Cambria Math" w:hAnsi="Cambria Math"/>
        </w:rPr>
        <w:t>⑤</w:t>
      </w:r>
      <w:r>
        <w:rPr>
          <w:rFonts w:ascii="Times New Roman" w:eastAsia="Times New Roman" w:hAnsi="Times New Roman"/>
        </w:rPr>
        <w:t xml:space="preserve">13 </w:t>
      </w:r>
      <w:r>
        <w:t>中等风化泥岩为主。</w:t>
      </w:r>
    </w:p>
    <w:p>
      <w:pPr>
        <w:pStyle w:val="BodyText"/>
        <w:spacing w:before="6"/>
        <w:ind w:left="0"/>
        <w:rPr>
          <w:sz w:val="30"/>
        </w:rPr>
      </w:pPr>
    </w:p>
    <w:p>
      <w:pPr>
        <w:pStyle w:val="ListParagraph"/>
        <w:numPr>
          <w:ilvl w:val="0"/>
          <w:numId w:val="26"/>
        </w:numPr>
        <w:tabs>
          <w:tab w:val="left" w:pos="710"/>
        </w:tabs>
        <w:spacing w:before="0" w:after="0" w:line="240" w:lineRule="auto"/>
        <w:ind w:left="710" w:right="0" w:hanging="589"/>
        <w:jc w:val="left"/>
        <w:rPr>
          <w:sz w:val="24"/>
        </w:rPr>
      </w:pPr>
      <w:r>
        <w:rPr>
          <w:spacing w:val="-10"/>
          <w:sz w:val="24"/>
        </w:rPr>
        <w:t>、水文情况</w:t>
      </w:r>
    </w:p>
    <w:p>
      <w:pPr>
        <w:pStyle w:val="BodyText"/>
        <w:spacing w:before="7"/>
        <w:ind w:left="0"/>
        <w:rPr>
          <w:sz w:val="18"/>
        </w:rPr>
      </w:pPr>
    </w:p>
    <w:p>
      <w:pPr>
        <w:pStyle w:val="ListParagraph"/>
        <w:numPr>
          <w:ilvl w:val="1"/>
          <w:numId w:val="26"/>
        </w:numPr>
        <w:tabs>
          <w:tab w:val="left" w:pos="962"/>
        </w:tabs>
        <w:spacing w:before="0" w:after="0" w:line="240" w:lineRule="auto"/>
        <w:ind w:left="962" w:right="0" w:hanging="361"/>
        <w:jc w:val="left"/>
        <w:rPr>
          <w:sz w:val="24"/>
        </w:rPr>
      </w:pPr>
      <w:r>
        <w:rPr>
          <w:spacing w:val="-2"/>
          <w:sz w:val="24"/>
        </w:rPr>
        <w:t>地下水的类型</w:t>
      </w:r>
    </w:p>
    <w:p>
      <w:pPr>
        <w:pStyle w:val="BodyText"/>
        <w:spacing w:before="161" w:line="364" w:lineRule="auto"/>
        <w:ind w:right="555" w:firstLine="480"/>
      </w:pPr>
      <w:r>
        <w:rPr>
          <w:spacing w:val="-4"/>
        </w:rPr>
        <w:t>本穿越东寺停车场出入线区间段地下水类型主要有两种：一是赋存第四系砂卵石</w:t>
      </w:r>
      <w:r>
        <w:rPr>
          <w:spacing w:val="-2"/>
        </w:rPr>
        <w:t>地层中的孔隙型潜水，二是基岩裂隙水。</w:t>
      </w:r>
    </w:p>
    <w:p>
      <w:pPr>
        <w:pStyle w:val="BodyText"/>
        <w:spacing w:before="1" w:line="364" w:lineRule="auto"/>
        <w:ind w:right="555" w:firstLine="480"/>
      </w:pPr>
      <w:r>
        <w:rPr>
          <w:spacing w:val="-4"/>
        </w:rPr>
        <w:t>第四系孔隙水主要赋存于砂、卵石土中，具微承压性，砂卵石土层比较松散，含</w:t>
      </w:r>
      <w:r>
        <w:rPr>
          <w:spacing w:val="-5"/>
        </w:rPr>
        <w:t xml:space="preserve">水丰富，含水层厚度 </w:t>
      </w:r>
      <w:r>
        <w:rPr>
          <w:rFonts w:ascii="Times New Roman" w:eastAsia="Times New Roman"/>
        </w:rPr>
        <w:t>7.6~13.1m</w:t>
      </w:r>
      <w:r>
        <w:t>。</w:t>
      </w:r>
    </w:p>
    <w:p>
      <w:pPr>
        <w:pStyle w:val="BodyText"/>
        <w:spacing w:before="1" w:line="364" w:lineRule="auto"/>
        <w:ind w:right="555" w:firstLine="480"/>
      </w:pPr>
      <w:r>
        <w:rPr>
          <w:spacing w:val="-4"/>
        </w:rPr>
        <w:t>本区间基岩为砂岩和泥岩，地下水赋存于基岩风化带裂隙中，含水层透水性及富</w:t>
      </w:r>
      <w:r>
        <w:rPr>
          <w:spacing w:val="-2"/>
        </w:rPr>
        <w:t>水性差，水量贫乏，属于弱透水层。</w:t>
      </w:r>
    </w:p>
    <w:p>
      <w:pPr>
        <w:pStyle w:val="ListParagraph"/>
        <w:numPr>
          <w:ilvl w:val="1"/>
          <w:numId w:val="26"/>
        </w:numPr>
        <w:tabs>
          <w:tab w:val="left" w:pos="962"/>
        </w:tabs>
        <w:spacing w:before="1" w:after="0" w:line="240" w:lineRule="auto"/>
        <w:ind w:left="962" w:right="0" w:hanging="361"/>
        <w:jc w:val="left"/>
        <w:rPr>
          <w:sz w:val="24"/>
        </w:rPr>
      </w:pPr>
      <w:r>
        <w:rPr>
          <w:spacing w:val="-1"/>
          <w:sz w:val="24"/>
        </w:rPr>
        <w:t>土层的透水性和富水性</w:t>
      </w:r>
    </w:p>
    <w:p>
      <w:pPr>
        <w:pStyle w:val="BodyText"/>
        <w:spacing w:before="161"/>
        <w:ind w:left="601"/>
      </w:pPr>
      <w:r>
        <w:t>杂填土①</w:t>
      </w:r>
      <w:r>
        <w:rPr>
          <w:rFonts w:ascii="Times New Roman" w:eastAsia="Times New Roman" w:hAnsi="Times New Roman"/>
        </w:rPr>
        <w:t>1</w:t>
      </w:r>
      <w:r>
        <w:rPr>
          <w:spacing w:val="-1"/>
        </w:rPr>
        <w:t>：分布于地表，渗透系数差异较大。</w:t>
      </w:r>
    </w:p>
    <w:p>
      <w:pPr>
        <w:pStyle w:val="BodyText"/>
        <w:spacing w:before="160" w:line="364" w:lineRule="auto"/>
        <w:ind w:right="556" w:firstLine="480"/>
      </w:pPr>
      <w:r>
        <w:t>粉质粘土③</w:t>
      </w:r>
      <w:r>
        <w:rPr>
          <w:rFonts w:ascii="Times New Roman" w:eastAsia="Times New Roman" w:hAnsi="Times New Roman"/>
        </w:rPr>
        <w:t>22</w:t>
      </w:r>
      <w:r>
        <w:t>、③</w:t>
      </w:r>
      <w:r>
        <w:rPr>
          <w:rFonts w:ascii="Times New Roman" w:eastAsia="Times New Roman" w:hAnsi="Times New Roman"/>
        </w:rPr>
        <w:t>23</w:t>
      </w:r>
      <w:r>
        <w:rPr>
          <w:spacing w:val="-1"/>
        </w:rPr>
        <w:t>：为弱透水层，富水性较差，位于地下水位以上，根据 地</w:t>
      </w:r>
      <w:r>
        <w:rPr>
          <w:spacing w:val="-4"/>
        </w:rPr>
        <w:t xml:space="preserve">区经验系数，渗透系数 </w:t>
      </w:r>
      <w:r>
        <w:rPr>
          <w:rFonts w:ascii="Times New Roman" w:eastAsia="Times New Roman" w:hAnsi="Times New Roman"/>
        </w:rPr>
        <w:t>k=0.5×10</w:t>
      </w:r>
      <w:r>
        <w:rPr>
          <w:rFonts w:ascii="Times New Roman" w:eastAsia="Times New Roman" w:hAnsi="Times New Roman"/>
          <w:position w:val="7"/>
          <w:sz w:val="16"/>
        </w:rPr>
        <w:t>-4</w:t>
      </w:r>
      <w:r>
        <w:rPr>
          <w:rFonts w:ascii="Times New Roman" w:eastAsia="Times New Roman" w:hAnsi="Times New Roman"/>
        </w:rPr>
        <w:t>m/d</w:t>
      </w:r>
      <w:r>
        <w:t>。</w:t>
      </w:r>
    </w:p>
    <w:p>
      <w:pPr>
        <w:pStyle w:val="BodyText"/>
        <w:spacing w:before="1"/>
        <w:ind w:left="601"/>
      </w:pPr>
      <w:r>
        <w:rPr>
          <w:spacing w:val="31"/>
        </w:rPr>
        <w:t>细砂层</w:t>
      </w:r>
      <w:r>
        <w:t>（</w:t>
      </w:r>
      <w:r>
        <w:rPr>
          <w:spacing w:val="-59"/>
        </w:rPr>
        <w:t xml:space="preserve"> ③ </w:t>
      </w:r>
      <w:r>
        <w:rPr>
          <w:rFonts w:ascii="Times New Roman" w:eastAsia="Times New Roman" w:hAnsi="Times New Roman"/>
        </w:rPr>
        <w:t>51</w:t>
      </w:r>
      <w:r>
        <w:t>）</w:t>
      </w:r>
      <w:r>
        <w:rPr>
          <w:spacing w:val="4"/>
        </w:rPr>
        <w:t xml:space="preserve"> ： 呈透镜状分布， 根据 地区工程经验系数， 渗透系数</w:t>
      </w:r>
    </w:p>
    <w:p>
      <w:pPr>
        <w:spacing w:after="0"/>
        <w:sectPr>
          <w:headerReference w:type="default" r:id="rId9"/>
          <w:footerReference w:type="default" r:id="rId10"/>
          <w:pgSz w:w="11910" w:h="16840"/>
          <w:pgMar w:top="1000" w:right="860" w:bottom="1400" w:left="1580" w:header="819" w:footer="1212"/>
          <w:pgNumType w:start="2"/>
          <w:cols w:space="708"/>
        </w:sectPr>
      </w:pPr>
    </w:p>
    <w:p>
      <w:pPr>
        <w:pStyle w:val="BodyText"/>
        <w:ind w:left="0"/>
        <w:rPr>
          <w:sz w:val="20"/>
        </w:rPr>
      </w:pPr>
    </w:p>
    <w:p>
      <w:pPr>
        <w:pStyle w:val="BodyText"/>
        <w:ind w:left="0"/>
        <w:rPr>
          <w:sz w:val="25"/>
        </w:rPr>
      </w:pPr>
    </w:p>
    <w:p>
      <w:pPr>
        <w:pStyle w:val="BodyText"/>
        <w:spacing w:before="74"/>
      </w:pPr>
      <w:r>
        <w:rPr>
          <w:rFonts w:ascii="Times New Roman" w:eastAsia="Times New Roman"/>
        </w:rPr>
        <w:t>k=8.0m/d</w:t>
      </w:r>
      <w:r>
        <w:rPr>
          <w:spacing w:val="-1"/>
        </w:rPr>
        <w:t>，为中等透水层，富水性较好。</w:t>
      </w:r>
    </w:p>
    <w:p>
      <w:pPr>
        <w:pStyle w:val="BodyText"/>
        <w:spacing w:before="161" w:line="364" w:lineRule="auto"/>
        <w:ind w:right="556" w:firstLine="480"/>
      </w:pPr>
      <w:r>
        <w:t>卵石土层（③</w:t>
      </w:r>
      <w:r>
        <w:rPr>
          <w:rFonts w:ascii="Times New Roman" w:eastAsia="Times New Roman" w:hAnsi="Times New Roman"/>
        </w:rPr>
        <w:t>81</w:t>
      </w:r>
      <w:r>
        <w:t>、③</w:t>
      </w:r>
      <w:r>
        <w:rPr>
          <w:rFonts w:ascii="Times New Roman" w:eastAsia="Times New Roman" w:hAnsi="Times New Roman"/>
        </w:rPr>
        <w:t>82</w:t>
      </w:r>
      <w:r>
        <w:t>）：</w:t>
      </w:r>
      <w:r>
        <w:rPr>
          <w:spacing w:val="-1"/>
        </w:rPr>
        <w:t>广泛分布，根据抽水试验和 地区的降水经验，渗透</w:t>
      </w:r>
      <w:r>
        <w:rPr>
          <w:spacing w:val="-14"/>
        </w:rPr>
        <w:t xml:space="preserve">系数 </w:t>
      </w:r>
      <w:r>
        <w:rPr>
          <w:rFonts w:ascii="Times New Roman" w:eastAsia="Times New Roman" w:hAnsi="Times New Roman"/>
        </w:rPr>
        <w:t>k=20.0m/d</w:t>
      </w:r>
      <w:r>
        <w:t>，为强透水层，富水性好。</w:t>
      </w:r>
    </w:p>
    <w:p>
      <w:pPr>
        <w:pStyle w:val="BodyText"/>
        <w:spacing w:before="1" w:line="364" w:lineRule="auto"/>
        <w:ind w:right="556" w:firstLine="480"/>
      </w:pPr>
      <w:r>
        <w:rPr>
          <w:spacing w:val="-4"/>
        </w:rPr>
        <w:t>强风化、中等风化泥岩（⑤</w:t>
      </w:r>
      <w:r>
        <w:rPr>
          <w:rFonts w:ascii="Times New Roman" w:eastAsia="Times New Roman" w:hAnsi="Times New Roman"/>
          <w:spacing w:val="-4"/>
        </w:rPr>
        <w:t>12</w:t>
      </w:r>
      <w:r>
        <w:rPr>
          <w:spacing w:val="-4"/>
        </w:rPr>
        <w:t>、⑤</w:t>
      </w:r>
      <w:r>
        <w:rPr>
          <w:rFonts w:ascii="Times New Roman" w:eastAsia="Times New Roman" w:hAnsi="Times New Roman"/>
          <w:spacing w:val="-4"/>
        </w:rPr>
        <w:t>13</w:t>
      </w:r>
      <w:r>
        <w:rPr>
          <w:spacing w:val="-4"/>
        </w:rPr>
        <w:t>）：广泛分布，为弱透水层，富水性差，根</w:t>
      </w:r>
      <w:r>
        <w:rPr>
          <w:spacing w:val="-3"/>
        </w:rPr>
        <w:t xml:space="preserve">据 地区经验系数，渗透系数 </w:t>
      </w:r>
      <w:r>
        <w:rPr>
          <w:rFonts w:ascii="Times New Roman" w:eastAsia="Times New Roman" w:hAnsi="Times New Roman"/>
        </w:rPr>
        <w:t xml:space="preserve">k </w:t>
      </w:r>
      <w:r>
        <w:rPr>
          <w:spacing w:val="-6"/>
        </w:rPr>
        <w:t xml:space="preserve">综合取值为 </w:t>
      </w:r>
      <w:r>
        <w:rPr>
          <w:rFonts w:ascii="Times New Roman" w:eastAsia="Times New Roman" w:hAnsi="Times New Roman"/>
        </w:rPr>
        <w:t>0. 50m/d</w:t>
      </w:r>
      <w:r>
        <w:t>。</w:t>
      </w:r>
    </w:p>
    <w:p>
      <w:pPr>
        <w:pStyle w:val="BodyText"/>
        <w:spacing w:before="1" w:line="364" w:lineRule="auto"/>
        <w:ind w:right="556" w:firstLine="480"/>
      </w:pPr>
      <w:r>
        <w:t>中等风化砂岩（⑤</w:t>
      </w:r>
      <w:r>
        <w:rPr>
          <w:rFonts w:ascii="Times New Roman" w:eastAsia="Times New Roman" w:hAnsi="Times New Roman"/>
        </w:rPr>
        <w:t>23</w:t>
      </w:r>
      <w:r>
        <w:t>）：</w:t>
      </w:r>
      <w:r>
        <w:rPr>
          <w:spacing w:val="-1"/>
        </w:rPr>
        <w:t>广泛分布，为弱透水层，富水性差，根据 地区经验系</w:t>
      </w:r>
      <w:r>
        <w:rPr>
          <w:spacing w:val="-3"/>
        </w:rPr>
        <w:t xml:space="preserve">数，渗透系数 </w:t>
      </w:r>
      <w:r>
        <w:rPr>
          <w:rFonts w:ascii="Times New Roman" w:eastAsia="Times New Roman" w:hAnsi="Times New Roman"/>
        </w:rPr>
        <w:t xml:space="preserve">k </w:t>
      </w:r>
      <w:r>
        <w:rPr>
          <w:spacing w:val="-4"/>
        </w:rPr>
        <w:t xml:space="preserve">综合取值为 </w:t>
      </w:r>
      <w:r>
        <w:rPr>
          <w:rFonts w:ascii="Times New Roman" w:eastAsia="Times New Roman" w:hAnsi="Times New Roman"/>
        </w:rPr>
        <w:t>0. 50m/d</w:t>
      </w:r>
      <w:r>
        <w:t>。</w:t>
      </w:r>
    </w:p>
    <w:p>
      <w:pPr>
        <w:pStyle w:val="ListParagraph"/>
        <w:numPr>
          <w:ilvl w:val="1"/>
          <w:numId w:val="26"/>
        </w:numPr>
        <w:tabs>
          <w:tab w:val="left" w:pos="962"/>
        </w:tabs>
        <w:spacing w:before="1" w:after="0" w:line="240" w:lineRule="auto"/>
        <w:ind w:left="962" w:right="0" w:hanging="361"/>
        <w:jc w:val="left"/>
        <w:rPr>
          <w:sz w:val="24"/>
        </w:rPr>
      </w:pPr>
      <w:r>
        <w:rPr>
          <w:spacing w:val="-2"/>
          <w:sz w:val="24"/>
        </w:rPr>
        <w:t>地下水腐蚀性评价</w:t>
      </w:r>
    </w:p>
    <w:p>
      <w:pPr>
        <w:pStyle w:val="BodyText"/>
        <w:spacing w:before="161" w:line="364" w:lineRule="auto"/>
        <w:ind w:right="556" w:firstLine="480"/>
      </w:pPr>
      <w:r>
        <w:rPr>
          <w:spacing w:val="-2"/>
        </w:rPr>
        <w:t>本穿越东寺停车场出入线区间段的地下水和土均对混凝土结构以及钢筋混凝土</w:t>
      </w:r>
      <w:r>
        <w:rPr>
          <w:spacing w:val="-2"/>
        </w:rPr>
        <w:t>结构中钢筋具微腐蚀性。</w:t>
      </w:r>
    </w:p>
    <w:p>
      <w:pPr>
        <w:pStyle w:val="Heading2"/>
        <w:spacing w:line="430" w:lineRule="exact"/>
      </w:pPr>
      <w:r>
        <w:rPr>
          <w:spacing w:val="-2"/>
        </w:rPr>
        <w:t>3</w:t>
      </w:r>
      <w:r>
        <w:rPr>
          <w:spacing w:val="-3"/>
        </w:rPr>
        <w:t>、盾构穿越的建构筑物、既有线及管线</w:t>
      </w:r>
    </w:p>
    <w:p>
      <w:pPr>
        <w:spacing w:after="0" w:line="430" w:lineRule="exact"/>
        <w:sectPr>
          <w:headerReference w:type="default" r:id="rId11"/>
          <w:footerReference w:type="default" r:id="rId12"/>
          <w:pgSz w:w="11910" w:h="16840"/>
          <w:pgMar w:top="1000" w:right="860" w:bottom="1400" w:left="1580" w:header="819" w:footer="1212"/>
          <w:pgNumType w:start="3"/>
          <w:cols w:space="708"/>
        </w:sectPr>
      </w:pPr>
    </w:p>
    <w:p>
      <w:pPr>
        <w:pStyle w:val="BodyText"/>
        <w:ind w:left="0"/>
        <w:rPr>
          <w:rFonts w:ascii="Microsoft JhengHei"/>
          <w:b/>
          <w:sz w:val="20"/>
        </w:rPr>
      </w:pPr>
    </w:p>
    <w:p>
      <w:pPr>
        <w:pStyle w:val="BodyText"/>
        <w:spacing w:before="2"/>
        <w:ind w:left="0"/>
        <w:rPr>
          <w:rFonts w:ascii="Microsoft JhengHei"/>
          <w:b/>
          <w:sz w:val="21"/>
        </w:rPr>
      </w:pPr>
    </w:p>
    <w:p>
      <w:pPr>
        <w:spacing w:before="0" w:line="483" w:lineRule="exact"/>
        <w:ind w:left="121" w:right="0" w:firstLine="0"/>
        <w:jc w:val="left"/>
        <w:rPr>
          <w:rFonts w:ascii="Microsoft JhengHei" w:eastAsia="Microsoft JhengHei"/>
          <w:b/>
          <w:sz w:val="28"/>
        </w:rPr>
      </w:pPr>
      <w:r>
        <w:rPr>
          <w:rFonts w:ascii="Microsoft JhengHei" w:eastAsia="Microsoft JhengHei"/>
          <w:b/>
          <w:w w:val="72"/>
          <w:sz w:val="28"/>
        </w:rPr>
        <w:t>3</w:t>
      </w:r>
      <w:r>
        <w:rPr>
          <w:rFonts w:ascii="Microsoft JhengHei" w:eastAsia="Microsoft JhengHei"/>
          <w:b/>
          <w:spacing w:val="-1"/>
          <w:w w:val="185"/>
          <w:sz w:val="28"/>
        </w:rPr>
        <w:t>.</w:t>
      </w:r>
      <w:r>
        <w:rPr>
          <w:rFonts w:ascii="Microsoft JhengHei" w:eastAsia="Microsoft JhengHei"/>
          <w:b/>
          <w:w w:val="72"/>
          <w:sz w:val="28"/>
        </w:rPr>
        <w:t>2</w:t>
      </w:r>
      <w:r>
        <w:rPr>
          <w:rFonts w:ascii="Microsoft JhengHei" w:eastAsia="Microsoft JhengHei"/>
          <w:b/>
          <w:spacing w:val="-10"/>
          <w:w w:val="110"/>
          <w:sz w:val="28"/>
        </w:rPr>
        <w:t>、</w:t>
      </w:r>
    </w:p>
    <w:p>
      <w:pPr>
        <w:pStyle w:val="BodyText"/>
        <w:spacing w:before="194" w:line="360" w:lineRule="auto"/>
        <w:ind w:right="427" w:firstLine="480"/>
      </w:pPr>
      <w:r>
        <w:rPr>
          <w:spacing w:val="-15"/>
        </w:rPr>
        <w:t xml:space="preserve">对区间、建筑进行隔离。该建筑物为框架结构，地上 </w:t>
      </w:r>
      <w:r>
        <w:rPr>
          <w:spacing w:val="-12"/>
        </w:rPr>
        <w:t>6</w:t>
      </w:r>
      <w:r>
        <w:rPr>
          <w:spacing w:val="-32"/>
        </w:rPr>
        <w:t xml:space="preserve"> 层，地下 </w:t>
      </w:r>
      <w:r>
        <w:rPr>
          <w:spacing w:val="-12"/>
        </w:rPr>
        <w:t>1</w:t>
      </w:r>
      <w:r>
        <w:rPr>
          <w:spacing w:val="-20"/>
        </w:rPr>
        <w:t xml:space="preserve"> 层，预制桩基础，</w:t>
      </w:r>
      <w:r>
        <w:rPr>
          <w:spacing w:val="-9"/>
        </w:rPr>
        <w:t xml:space="preserve">右线管片外边缘与大楼基础底部间距约为 </w:t>
      </w:r>
      <w:r>
        <w:rPr>
          <w:spacing w:val="-6"/>
        </w:rPr>
        <w:t>2.04m</w:t>
      </w:r>
      <w:r>
        <w:rPr>
          <w:spacing w:val="-21"/>
        </w:rPr>
        <w:t xml:space="preserve"> ，桩底距离隧道顶垂直距离 </w:t>
      </w:r>
      <w:r>
        <w:rPr>
          <w:spacing w:val="-6"/>
        </w:rPr>
        <w:t>0.3m，该段</w:t>
      </w:r>
      <w:r>
        <w:rPr>
          <w:spacing w:val="-2"/>
        </w:rPr>
        <w:t>隧道穿越地层为中风化泥岩层。</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
        <w:ind w:left="0"/>
      </w:pPr>
    </w:p>
    <w:p>
      <w:pPr>
        <w:pStyle w:val="BodyText"/>
        <w:spacing w:before="1"/>
        <w:ind w:left="2104" w:right="2053"/>
        <w:jc w:val="center"/>
      </w:pPr>
      <w:r>
        <w:rPr>
          <w:spacing w:val="-10"/>
        </w:rPr>
        <w:t>现场情况</w:t>
      </w:r>
    </w:p>
    <w:p>
      <w:pPr>
        <w:pStyle w:val="Heading2"/>
        <w:spacing w:before="20"/>
      </w:pPr>
      <w:r>
        <w:rPr>
          <w:spacing w:val="-4"/>
          <w:w w:val="62"/>
        </w:rPr>
        <w:t>3</w:t>
      </w:r>
      <w:r>
        <w:rPr>
          <w:spacing w:val="-5"/>
          <w:w w:val="175"/>
        </w:rPr>
        <w:t>.</w:t>
      </w:r>
      <w:r>
        <w:rPr>
          <w:spacing w:val="-4"/>
          <w:w w:val="62"/>
        </w:rPr>
        <w:t>3</w:t>
      </w:r>
      <w:r>
        <w:rPr>
          <w:spacing w:val="-4"/>
        </w:rPr>
        <w:t>、盾构上跨 1</w:t>
      </w:r>
      <w:r>
        <w:rPr>
          <w:spacing w:val="-5"/>
        </w:rPr>
        <w:t xml:space="preserve"> 号线南延线既有线，同时下穿污水管</w:t>
      </w:r>
    </w:p>
    <w:p>
      <w:pPr>
        <w:pStyle w:val="BodyText"/>
        <w:spacing w:before="77" w:line="360" w:lineRule="auto"/>
        <w:ind w:right="427" w:firstLine="480"/>
      </w:pPr>
      <w:r>
        <w:rPr>
          <w:spacing w:val="-4"/>
        </w:rPr>
        <w:t>1</w:t>
      </w:r>
      <w:r>
        <w:rPr>
          <w:spacing w:val="-15"/>
        </w:rPr>
        <w:t xml:space="preserve"> 号线南延线左右线区间，与左线最小距离 </w:t>
      </w:r>
      <w:r>
        <w:rPr>
          <w:spacing w:val="-4"/>
        </w:rPr>
        <w:t>2.95m</w:t>
      </w:r>
      <w:r>
        <w:rPr>
          <w:spacing w:val="-11"/>
        </w:rPr>
        <w:t xml:space="preserve">,与右线最小距离 </w:t>
      </w:r>
      <w:r>
        <w:rPr>
          <w:spacing w:val="-4"/>
        </w:rPr>
        <w:t>3.24m。上跨部</w:t>
      </w:r>
      <w:r>
        <w:rPr>
          <w:spacing w:val="-13"/>
        </w:rPr>
        <w:t xml:space="preserve">分隧道覆土深度最浅约 </w:t>
      </w:r>
      <w:r>
        <w:rPr>
          <w:spacing w:val="-7"/>
        </w:rPr>
        <w:t>4.35</w:t>
      </w:r>
      <w:r>
        <w:rPr>
          <w:spacing w:val="-15"/>
        </w:rPr>
        <w:t xml:space="preserve"> 米，且平行下穿</w:t>
      </w:r>
      <w:r>
        <w:rPr>
          <w:spacing w:val="-7"/>
        </w:rPr>
        <w:t>DN500</w:t>
      </w:r>
      <w:r>
        <w:rPr>
          <w:spacing w:val="-15"/>
        </w:rPr>
        <w:t xml:space="preserve"> 污水管，穿越地层为砂卵石、细砂、</w:t>
      </w:r>
      <w:r>
        <w:rPr>
          <w:spacing w:val="-7"/>
        </w:rPr>
        <w:t xml:space="preserve">粉土、粉砂层。污水管为砼预制管，埋深 </w:t>
      </w:r>
      <w:r>
        <w:rPr>
          <w:spacing w:val="-4"/>
        </w:rPr>
        <w:t>2.8-3.1m</w:t>
      </w:r>
      <w:r>
        <w:rPr>
          <w:spacing w:val="-8"/>
        </w:rPr>
        <w:t xml:space="preserve">，与隧道结构最近距离 </w:t>
      </w:r>
      <w:r>
        <w:rPr>
          <w:spacing w:val="-4"/>
        </w:rPr>
        <w:t>1.09m。</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3"/>
        <w:ind w:left="0"/>
        <w:rPr>
          <w:sz w:val="18"/>
        </w:rPr>
      </w:pPr>
    </w:p>
    <w:p>
      <w:pPr>
        <w:pStyle w:val="Heading2"/>
        <w:spacing w:line="511" w:lineRule="exact"/>
      </w:pPr>
      <w:r>
        <w:rPr>
          <w:spacing w:val="-2"/>
        </w:rPr>
        <w:t>4</w:t>
      </w:r>
      <w:r>
        <w:rPr>
          <w:spacing w:val="-3"/>
        </w:rPr>
        <w:t>、盾构穿越建构筑物、既有线和管线的控制措施</w:t>
      </w:r>
    </w:p>
    <w:p>
      <w:pPr>
        <w:pStyle w:val="Heading4"/>
        <w:numPr>
          <w:ilvl w:val="1"/>
          <w:numId w:val="30"/>
        </w:numPr>
        <w:tabs>
          <w:tab w:val="left" w:pos="1015"/>
        </w:tabs>
        <w:spacing w:before="0" w:after="0" w:line="437" w:lineRule="exact"/>
        <w:ind w:left="1014" w:right="0" w:hanging="424"/>
        <w:jc w:val="left"/>
      </w:pPr>
      <w:r>
        <w:rPr>
          <w:spacing w:val="-3"/>
        </w:rPr>
        <w:t>管理措施</w:t>
      </w:r>
    </w:p>
    <w:p>
      <w:pPr>
        <w:spacing w:after="0" w:line="437" w:lineRule="exact"/>
        <w:jc w:val="left"/>
        <w:sectPr>
          <w:headerReference w:type="default" r:id="rId13"/>
          <w:footerReference w:type="default" r:id="rId14"/>
          <w:pgSz w:w="11910" w:h="16840"/>
          <w:pgMar w:top="1000" w:right="860" w:bottom="1400" w:left="1580" w:header="819" w:footer="1212"/>
          <w:pgNumType w:start="4"/>
          <w:cols w:space="708"/>
        </w:sectPr>
      </w:pPr>
    </w:p>
    <w:p>
      <w:pPr>
        <w:pStyle w:val="BodyText"/>
        <w:ind w:left="0"/>
        <w:rPr>
          <w:rFonts w:ascii="Microsoft JhengHei"/>
          <w:b/>
          <w:sz w:val="20"/>
        </w:rPr>
      </w:pPr>
    </w:p>
    <w:p>
      <w:pPr>
        <w:pStyle w:val="BodyText"/>
        <w:spacing w:before="12"/>
        <w:ind w:left="0"/>
        <w:rPr>
          <w:rFonts w:ascii="Microsoft JhengHei"/>
          <w:b/>
          <w:sz w:val="13"/>
        </w:rPr>
      </w:pPr>
    </w:p>
    <w:p>
      <w:pPr>
        <w:pStyle w:val="ListParagraph"/>
        <w:numPr>
          <w:ilvl w:val="2"/>
          <w:numId w:val="25"/>
        </w:numPr>
        <w:tabs>
          <w:tab w:val="left" w:pos="1193"/>
        </w:tabs>
        <w:spacing w:before="67" w:after="0" w:line="364" w:lineRule="auto"/>
        <w:ind w:left="121" w:right="555" w:firstLine="470"/>
        <w:jc w:val="both"/>
        <w:rPr>
          <w:sz w:val="22"/>
        </w:rPr>
      </w:pPr>
      <w:r>
        <w:rPr>
          <w:spacing w:val="-2"/>
          <w:sz w:val="24"/>
        </w:rPr>
        <w:t>、穿越前，要求承包商做好充分的准备工作，满足穿越条件后，监理组织</w:t>
      </w:r>
      <w:r>
        <w:rPr>
          <w:spacing w:val="-4"/>
          <w:sz w:val="24"/>
        </w:rPr>
        <w:t>穿越条件预验收，通过后书面申请报地铁公司进行正式条件验收，验收通过后方可进</w:t>
      </w:r>
      <w:r>
        <w:rPr>
          <w:spacing w:val="-2"/>
          <w:sz w:val="24"/>
        </w:rPr>
        <w:t>行穿越施工。</w:t>
      </w:r>
    </w:p>
    <w:p>
      <w:pPr>
        <w:pStyle w:val="ListParagraph"/>
        <w:numPr>
          <w:ilvl w:val="2"/>
          <w:numId w:val="25"/>
        </w:numPr>
        <w:tabs>
          <w:tab w:val="left" w:pos="1202"/>
        </w:tabs>
        <w:spacing w:before="0" w:after="0" w:line="364" w:lineRule="auto"/>
        <w:ind w:left="121" w:right="556" w:firstLine="480"/>
        <w:jc w:val="both"/>
        <w:rPr>
          <w:sz w:val="22"/>
        </w:rPr>
      </w:pPr>
      <w:r>
        <w:rPr>
          <w:spacing w:val="-2"/>
          <w:sz w:val="24"/>
        </w:rPr>
        <w:t>、督促承包商全面进行设备检查及维护：在盾构机穿越危险源前，对盾构</w:t>
      </w:r>
      <w:r>
        <w:rPr>
          <w:spacing w:val="-3"/>
          <w:sz w:val="24"/>
        </w:rPr>
        <w:t xml:space="preserve">机进行专门的检查和维护保养，目的是保证盾构机无故障地进行 </w:t>
      </w:r>
      <w:r>
        <w:rPr>
          <w:spacing w:val="-2"/>
          <w:sz w:val="24"/>
        </w:rPr>
        <w:t>24</w:t>
      </w:r>
      <w:r>
        <w:rPr>
          <w:spacing w:val="-7"/>
          <w:sz w:val="24"/>
        </w:rPr>
        <w:t xml:space="preserve"> 小时连续掘进，</w:t>
      </w:r>
      <w:r>
        <w:rPr>
          <w:spacing w:val="-2"/>
          <w:sz w:val="24"/>
        </w:rPr>
        <w:t>快速通过危险源，</w:t>
      </w:r>
    </w:p>
    <w:p>
      <w:pPr>
        <w:pStyle w:val="ListParagraph"/>
        <w:numPr>
          <w:ilvl w:val="2"/>
          <w:numId w:val="25"/>
        </w:numPr>
        <w:tabs>
          <w:tab w:val="left" w:pos="1202"/>
        </w:tabs>
        <w:spacing w:before="0" w:after="0" w:line="306" w:lineRule="exact"/>
        <w:ind w:left="1202" w:right="0" w:hanging="601"/>
        <w:jc w:val="left"/>
        <w:rPr>
          <w:sz w:val="22"/>
        </w:rPr>
      </w:pPr>
      <w:r>
        <w:rPr>
          <w:spacing w:val="-1"/>
          <w:sz w:val="24"/>
        </w:rPr>
        <w:t>、要求承包商对人、机、物等得到保障</w:t>
      </w:r>
    </w:p>
    <w:p>
      <w:pPr>
        <w:pStyle w:val="BodyText"/>
        <w:spacing w:before="157" w:line="364" w:lineRule="auto"/>
        <w:ind w:right="555" w:firstLine="480"/>
        <w:jc w:val="both"/>
      </w:pPr>
      <w:r>
        <w:rPr>
          <w:spacing w:val="-4"/>
        </w:rPr>
        <w:t xml:space="preserve">承包商人员准备充分，保证 </w:t>
      </w:r>
      <w:r>
        <w:rPr>
          <w:spacing w:val="-2"/>
        </w:rPr>
        <w:t>24</w:t>
      </w:r>
      <w:r>
        <w:rPr>
          <w:spacing w:val="-7"/>
        </w:rPr>
        <w:t xml:space="preserve"> 小时连续推进盾构掘进实行两班作业运转。即白</w:t>
      </w:r>
      <w:r>
        <w:rPr>
          <w:spacing w:val="-11"/>
        </w:rPr>
        <w:t xml:space="preserve">班、夜班，每班每天作业 </w:t>
      </w:r>
      <w:r>
        <w:rPr>
          <w:spacing w:val="-10"/>
        </w:rPr>
        <w:t>12</w:t>
      </w:r>
      <w:r>
        <w:rPr>
          <w:spacing w:val="-14"/>
        </w:rPr>
        <w:t xml:space="preserve"> 小时，工作 </w:t>
      </w:r>
      <w:r>
        <w:rPr>
          <w:spacing w:val="-10"/>
        </w:rPr>
        <w:t>1</w:t>
      </w:r>
      <w:r>
        <w:rPr>
          <w:spacing w:val="-14"/>
        </w:rPr>
        <w:t xml:space="preserve"> 天。作业人员运转正常，保证盾构机 </w:t>
      </w:r>
      <w:r>
        <w:rPr>
          <w:spacing w:val="-10"/>
        </w:rPr>
        <w:t>24</w:t>
      </w:r>
      <w:r>
        <w:rPr>
          <w:spacing w:val="-14"/>
        </w:rPr>
        <w:t xml:space="preserve"> 小</w:t>
      </w:r>
      <w:r>
        <w:rPr>
          <w:spacing w:val="-2"/>
        </w:rPr>
        <w:t>时连续掘进。</w:t>
      </w:r>
    </w:p>
    <w:p>
      <w:pPr>
        <w:pStyle w:val="BodyText"/>
        <w:spacing w:before="77" w:line="364" w:lineRule="auto"/>
        <w:ind w:right="435" w:firstLine="480"/>
        <w:jc w:val="both"/>
      </w:pPr>
      <w:r>
        <w:rPr>
          <w:spacing w:val="-15"/>
        </w:rPr>
        <w:t>在盾构机进入危险源前，项目部应组织人员，对盾构及相应辅助设备、施工人员、</w:t>
      </w:r>
      <w:r>
        <w:rPr>
          <w:spacing w:val="-1"/>
        </w:rPr>
        <w:t xml:space="preserve">及物资储备等进行充分检查。以确保在穿越过程中，盾构机能 </w:t>
      </w:r>
      <w:r>
        <w:t>24</w:t>
      </w:r>
      <w:r>
        <w:rPr>
          <w:spacing w:val="-5"/>
        </w:rPr>
        <w:t xml:space="preserve"> 小时连续推进。</w:t>
      </w:r>
    </w:p>
    <w:p>
      <w:pPr>
        <w:pStyle w:val="Heading4"/>
        <w:numPr>
          <w:ilvl w:val="1"/>
          <w:numId w:val="25"/>
        </w:numPr>
        <w:tabs>
          <w:tab w:val="left" w:pos="1015"/>
        </w:tabs>
        <w:spacing w:before="0" w:after="0" w:line="285" w:lineRule="exact"/>
        <w:ind w:left="1014" w:right="0" w:hanging="424"/>
        <w:jc w:val="left"/>
      </w:pPr>
      <w:r>
        <w:rPr>
          <w:spacing w:val="-1"/>
        </w:rPr>
        <w:t>洞内注浆措施及其它加固措施</w:t>
      </w:r>
    </w:p>
    <w:p>
      <w:pPr>
        <w:pStyle w:val="ListParagraph"/>
        <w:numPr>
          <w:ilvl w:val="2"/>
          <w:numId w:val="25"/>
        </w:numPr>
        <w:tabs>
          <w:tab w:val="left" w:pos="1141"/>
        </w:tabs>
        <w:spacing w:before="105" w:after="0" w:line="240" w:lineRule="auto"/>
        <w:ind w:left="1141" w:right="0" w:hanging="540"/>
        <w:jc w:val="left"/>
        <w:rPr>
          <w:rFonts w:ascii="Times New Roman" w:eastAsia="Times New Roman"/>
          <w:sz w:val="24"/>
        </w:rPr>
      </w:pPr>
      <w:r>
        <w:rPr>
          <w:spacing w:val="-1"/>
          <w:sz w:val="24"/>
        </w:rPr>
        <w:t>下穿东寺停车场出入线：</w:t>
      </w:r>
    </w:p>
    <w:p>
      <w:pPr>
        <w:pStyle w:val="BodyText"/>
        <w:spacing w:before="159" w:line="364" w:lineRule="auto"/>
        <w:ind w:right="436" w:firstLine="480"/>
      </w:pPr>
      <w:r>
        <w:t>根据设计要求，严格要求承包商在盾构隧道左线下穿段（</w:t>
      </w:r>
      <w:r>
        <w:rPr>
          <w:rFonts w:ascii="Times New Roman" w:eastAsia="Times New Roman" w:hAnsi="Times New Roman"/>
        </w:rPr>
        <w:t>630</w:t>
      </w:r>
      <w:r>
        <w:rPr>
          <w:rFonts w:ascii="Times New Roman" w:eastAsia="Times New Roman" w:hAnsi="Times New Roman"/>
          <w:spacing w:val="-9"/>
        </w:rPr>
        <w:t xml:space="preserve"> </w:t>
      </w:r>
      <w:r>
        <w:t>环</w:t>
      </w:r>
      <w:r>
        <w:rPr>
          <w:rFonts w:ascii="Times New Roman" w:eastAsia="Times New Roman" w:hAnsi="Times New Roman"/>
        </w:rPr>
        <w:t>~680</w:t>
      </w:r>
      <w:r>
        <w:rPr>
          <w:rFonts w:ascii="Times New Roman" w:eastAsia="Times New Roman" w:hAnsi="Times New Roman"/>
          <w:spacing w:val="-9"/>
        </w:rPr>
        <w:t xml:space="preserve"> </w:t>
      </w:r>
      <w:r>
        <w:t xml:space="preserve">环），里程 </w:t>
      </w:r>
      <w:r>
        <w:rPr>
          <w:rFonts w:ascii="Times New Roman" w:eastAsia="Times New Roman" w:hAnsi="Times New Roman"/>
        </w:rPr>
        <w:t>GZDK26+140~GZDK26+200</w:t>
      </w:r>
      <w:r>
        <w:rPr>
          <w:rFonts w:ascii="Times New Roman" w:eastAsia="Times New Roman" w:hAnsi="Times New Roman"/>
          <w:spacing w:val="-15"/>
        </w:rPr>
        <w:t xml:space="preserve"> </w:t>
      </w:r>
      <w:r>
        <w:rPr>
          <w:spacing w:val="-21"/>
        </w:rPr>
        <w:t xml:space="preserve">范围内，采用 </w:t>
      </w:r>
      <w:r>
        <w:rPr>
          <w:rFonts w:ascii="Times New Roman" w:eastAsia="Times New Roman" w:hAnsi="Times New Roman"/>
        </w:rPr>
        <w:t>1.2mA</w:t>
      </w:r>
      <w:r>
        <w:rPr>
          <w:rFonts w:ascii="Times New Roman" w:eastAsia="Times New Roman" w:hAnsi="Times New Roman"/>
          <w:spacing w:val="-15"/>
        </w:rPr>
        <w:t xml:space="preserve"> </w:t>
      </w:r>
      <w:r>
        <w:rPr>
          <w:spacing w:val="-9"/>
        </w:rPr>
        <w:t>型多孔管片，在管片上增设注浆孔。</w:t>
      </w:r>
      <w:r>
        <w:rPr>
          <w:spacing w:val="-3"/>
        </w:rPr>
        <w:t xml:space="preserve">在盾构通过后，根据地质及监测情况，对隧道顶部 </w:t>
      </w:r>
      <w:r>
        <w:rPr>
          <w:rFonts w:ascii="Times New Roman" w:eastAsia="Times New Roman" w:hAnsi="Times New Roman"/>
        </w:rPr>
        <w:t>180</w:t>
      </w:r>
      <w:r>
        <w:t>°，</w:t>
      </w:r>
      <w:r>
        <w:rPr>
          <w:rFonts w:ascii="Times New Roman" w:eastAsia="Times New Roman" w:hAnsi="Times New Roman"/>
        </w:rPr>
        <w:t>1.2m</w:t>
      </w:r>
      <w:r>
        <w:rPr>
          <w:rFonts w:ascii="Times New Roman" w:eastAsia="Times New Roman" w:hAnsi="Times New Roman"/>
          <w:spacing w:val="-14"/>
        </w:rPr>
        <w:t xml:space="preserve"> </w:t>
      </w:r>
      <w:r>
        <w:t>范围内的地层进行洞</w:t>
      </w:r>
      <w:r>
        <w:rPr>
          <w:spacing w:val="-2"/>
        </w:rPr>
        <w:t>内注浆加固。</w:t>
      </w:r>
    </w:p>
    <w:p>
      <w:pPr>
        <w:pStyle w:val="BodyText"/>
        <w:spacing w:line="364" w:lineRule="auto"/>
        <w:ind w:right="556" w:firstLine="480"/>
        <w:jc w:val="both"/>
      </w:pPr>
      <w:r>
        <w:rPr>
          <w:spacing w:val="-11"/>
        </w:rPr>
        <w:t xml:space="preserve">洞内注浆加固通过注浆孔进行，利用注浆孔打设注浆管。注浆管采用 </w:t>
      </w:r>
      <w:r>
        <w:rPr>
          <w:rFonts w:ascii="Times New Roman" w:eastAsia="Times New Roman" w:hAnsi="Times New Roman"/>
          <w:spacing w:val="-2"/>
        </w:rPr>
        <w:t>φ42*3.5mm</w:t>
      </w:r>
      <w:r>
        <w:rPr>
          <w:spacing w:val="-5"/>
        </w:rPr>
        <w:t xml:space="preserve">的钢花管，其长度为 </w:t>
      </w:r>
      <w:r>
        <w:rPr>
          <w:rFonts w:ascii="Times New Roman" w:eastAsia="Times New Roman" w:hAnsi="Times New Roman"/>
          <w:spacing w:val="-2"/>
        </w:rPr>
        <w:t>1.2m</w:t>
      </w:r>
      <w:r>
        <w:rPr>
          <w:spacing w:val="-4"/>
        </w:rPr>
        <w:t xml:space="preserve">。注浆浆液采用水泥浆，浆液配合比为 </w:t>
      </w:r>
      <w:r>
        <w:rPr>
          <w:rFonts w:ascii="Times New Roman" w:eastAsia="Times New Roman" w:hAnsi="Times New Roman"/>
          <w:spacing w:val="-2"/>
        </w:rPr>
        <w:t>1</w:t>
      </w:r>
      <w:r>
        <w:rPr>
          <w:spacing w:val="-2"/>
        </w:rPr>
        <w:t>：</w:t>
      </w:r>
      <w:r>
        <w:rPr>
          <w:rFonts w:ascii="Times New Roman" w:eastAsia="Times New Roman" w:hAnsi="Times New Roman"/>
          <w:spacing w:val="-2"/>
        </w:rPr>
        <w:t>1</w:t>
      </w:r>
      <w:r>
        <w:rPr>
          <w:spacing w:val="-2"/>
        </w:rPr>
        <w:t>，注浆压力需</w:t>
      </w:r>
      <w:r>
        <w:rPr>
          <w:spacing w:val="-14"/>
        </w:rPr>
        <w:t xml:space="preserve">达到 </w:t>
      </w:r>
      <w:r>
        <w:rPr>
          <w:rFonts w:ascii="Times New Roman" w:eastAsia="Times New Roman" w:hAnsi="Times New Roman"/>
        </w:rPr>
        <w:t>0.3~0.5Mpa</w:t>
      </w:r>
      <w:r>
        <w:t>。</w:t>
      </w:r>
    </w:p>
    <w:p>
      <w:pPr>
        <w:pStyle w:val="BodyText"/>
        <w:spacing w:line="364" w:lineRule="auto"/>
        <w:ind w:right="464" w:firstLine="480"/>
      </w:pPr>
      <w:r>
        <w:rPr>
          <w:spacing w:val="-2"/>
        </w:rPr>
        <w:t xml:space="preserve">由于穿越东寺停车场出入线位于 </w:t>
      </w:r>
      <w:r>
        <w:t>R=350m</w:t>
      </w:r>
      <w:r>
        <w:rPr>
          <w:spacing w:val="-5"/>
        </w:rPr>
        <w:t xml:space="preserve"> 左转弯曲线上，在曲线段掘进时除为保</w:t>
      </w:r>
      <w:r>
        <w:rPr>
          <w:spacing w:val="-2"/>
        </w:rPr>
        <w:t>证管片上浮、补充同步注浆收缩产生的施工间隙；并使同步浆液快速凝固，提供管片</w:t>
      </w:r>
      <w:r>
        <w:rPr>
          <w:spacing w:val="-2"/>
        </w:rPr>
        <w:t>受推进千斤顶向曲线外侧的分力的反作用力，防止管片向曲线外侧移动使管片错台。</w:t>
      </w:r>
      <w:r>
        <w:rPr>
          <w:spacing w:val="-6"/>
        </w:rPr>
        <w:t xml:space="preserve">因此管片脱出盾尾第 </w:t>
      </w:r>
      <w:r>
        <w:t>1</w:t>
      </w:r>
      <w:r>
        <w:rPr>
          <w:spacing w:val="-12"/>
        </w:rPr>
        <w:t xml:space="preserve"> 环，每环进行二次注浆，在 </w:t>
      </w:r>
      <w:r>
        <w:t>1</w:t>
      </w:r>
      <w:r>
        <w:rPr>
          <w:spacing w:val="-20"/>
        </w:rPr>
        <w:t xml:space="preserve"> 点、</w:t>
      </w:r>
      <w:r>
        <w:t>2</w:t>
      </w:r>
      <w:r>
        <w:rPr>
          <w:spacing w:val="-20"/>
        </w:rPr>
        <w:t xml:space="preserve"> 点、</w:t>
      </w:r>
      <w:r>
        <w:t>3</w:t>
      </w:r>
      <w:r>
        <w:rPr>
          <w:spacing w:val="-20"/>
        </w:rPr>
        <w:t xml:space="preserve"> 点、</w:t>
      </w:r>
      <w:r>
        <w:t>11</w:t>
      </w:r>
      <w:r>
        <w:rPr>
          <w:spacing w:val="-10"/>
        </w:rPr>
        <w:t xml:space="preserve"> 点位置开孔</w:t>
      </w:r>
      <w:r>
        <w:rPr>
          <w:spacing w:val="-2"/>
        </w:rPr>
        <w:t>注浆，进行二次注浆。</w:t>
      </w:r>
    </w:p>
    <w:p>
      <w:pPr>
        <w:pStyle w:val="ListParagraph"/>
        <w:numPr>
          <w:ilvl w:val="2"/>
          <w:numId w:val="25"/>
        </w:numPr>
        <w:tabs>
          <w:tab w:val="left" w:pos="1141"/>
        </w:tabs>
        <w:spacing w:before="0" w:after="0" w:line="305" w:lineRule="exact"/>
        <w:ind w:left="1141" w:right="0" w:hanging="540"/>
        <w:jc w:val="left"/>
        <w:rPr>
          <w:rFonts w:ascii="Times New Roman" w:eastAsia="Times New Roman"/>
          <w:sz w:val="24"/>
        </w:rPr>
      </w:pPr>
      <w:r>
        <w:rPr>
          <w:spacing w:val="-20"/>
          <w:sz w:val="24"/>
        </w:rPr>
        <w:t xml:space="preserve">上跨 </w:t>
      </w:r>
      <w:r>
        <w:rPr>
          <w:rFonts w:ascii="Times New Roman" w:eastAsia="Times New Roman"/>
          <w:sz w:val="24"/>
        </w:rPr>
        <w:t>1</w:t>
      </w:r>
      <w:r>
        <w:rPr>
          <w:rFonts w:ascii="Times New Roman" w:eastAsia="Times New Roman"/>
          <w:spacing w:val="-4"/>
          <w:sz w:val="24"/>
        </w:rPr>
        <w:t xml:space="preserve"> </w:t>
      </w:r>
      <w:r>
        <w:rPr>
          <w:spacing w:val="-7"/>
          <w:sz w:val="24"/>
        </w:rPr>
        <w:t xml:space="preserve">号线南延线，下穿 </w:t>
      </w:r>
      <w:r>
        <w:rPr>
          <w:rFonts w:ascii="Times New Roman" w:eastAsia="Times New Roman"/>
          <w:sz w:val="24"/>
        </w:rPr>
        <w:t>DN500</w:t>
      </w:r>
      <w:r>
        <w:rPr>
          <w:rFonts w:ascii="Times New Roman" w:eastAsia="Times New Roman"/>
          <w:spacing w:val="-1"/>
          <w:sz w:val="24"/>
        </w:rPr>
        <w:t xml:space="preserve"> </w:t>
      </w:r>
      <w:r>
        <w:rPr>
          <w:spacing w:val="-4"/>
          <w:sz w:val="24"/>
        </w:rPr>
        <w:t>污水管</w:t>
      </w:r>
    </w:p>
    <w:p>
      <w:pPr>
        <w:pStyle w:val="BodyText"/>
        <w:spacing w:before="156" w:line="364" w:lineRule="auto"/>
        <w:ind w:right="435" w:firstLine="480"/>
      </w:pPr>
      <w:r>
        <w:rPr>
          <w:spacing w:val="-10"/>
        </w:rPr>
        <w:t xml:space="preserve">在里程 </w:t>
      </w:r>
      <w:r>
        <w:rPr>
          <w:spacing w:val="-2"/>
        </w:rPr>
        <w:t>ZDK25+020~ZDK25+090</w:t>
      </w:r>
      <w:r>
        <w:rPr>
          <w:spacing w:val="-19"/>
        </w:rPr>
        <w:t xml:space="preserve"> 范围内，管片上增设注浆孔，根据地质及掘进情况，</w:t>
      </w:r>
      <w:r>
        <w:rPr>
          <w:spacing w:val="-12"/>
        </w:rPr>
        <w:t xml:space="preserve">对隧道底 </w:t>
      </w:r>
      <w:r>
        <w:t>120°，2m</w:t>
      </w:r>
      <w:r>
        <w:rPr>
          <w:spacing w:val="-8"/>
        </w:rPr>
        <w:t xml:space="preserve"> 范围内的地质进行注浆加固。根据掘进情况和监测数据选择合适</w:t>
      </w:r>
    </w:p>
    <w:p>
      <w:pPr>
        <w:spacing w:after="0" w:line="364" w:lineRule="auto"/>
        <w:sectPr>
          <w:headerReference w:type="default" r:id="rId15"/>
          <w:footerReference w:type="default" r:id="rId16"/>
          <w:pgSz w:w="11910" w:h="16840"/>
          <w:pgMar w:top="1000" w:right="860" w:bottom="1400" w:left="1580" w:header="819" w:footer="1212"/>
          <w:pgNumType w:start="5"/>
          <w:cols w:space="708"/>
        </w:sectPr>
      </w:pPr>
    </w:p>
    <w:p>
      <w:pPr>
        <w:pStyle w:val="BodyText"/>
        <w:ind w:left="0"/>
        <w:rPr>
          <w:sz w:val="20"/>
        </w:rPr>
      </w:pPr>
    </w:p>
    <w:p>
      <w:pPr>
        <w:pStyle w:val="BodyText"/>
        <w:spacing w:before="4"/>
        <w:ind w:left="0"/>
        <w:rPr>
          <w:sz w:val="28"/>
        </w:rPr>
      </w:pPr>
    </w:p>
    <w:p>
      <w:pPr>
        <w:pStyle w:val="BodyText"/>
        <w:spacing w:before="66"/>
      </w:pPr>
      <w:r>
        <w:rPr>
          <w:spacing w:val="-1"/>
        </w:rPr>
        <w:t>的时机进行注浆加固作业。</w:t>
      </w:r>
    </w:p>
    <w:p>
      <w:pPr>
        <w:pStyle w:val="BodyText"/>
        <w:spacing w:before="160" w:line="364" w:lineRule="auto"/>
        <w:ind w:right="555" w:firstLine="480"/>
      </w:pPr>
      <w:r>
        <w:rPr>
          <w:spacing w:val="-12"/>
        </w:rPr>
        <w:t xml:space="preserve">在地面对 </w:t>
      </w:r>
      <w:r>
        <w:t>ZDK25+020.000~ZDK25+090.000</w:t>
      </w:r>
      <w:r>
        <w:rPr>
          <w:spacing w:val="-17"/>
        </w:rPr>
        <w:t xml:space="preserve"> 范围内 </w:t>
      </w:r>
      <w:r>
        <w:t>DN500</w:t>
      </w:r>
      <w:r>
        <w:rPr>
          <w:spacing w:val="-11"/>
        </w:rPr>
        <w:t xml:space="preserve"> 污水管进行注浆加固,在</w:t>
      </w:r>
      <w:r>
        <w:rPr>
          <w:spacing w:val="-3"/>
        </w:rPr>
        <w:t xml:space="preserve">污水管两侧分别布置两排袖阀管，间距 </w:t>
      </w:r>
      <w:r>
        <w:t>1m，梅花型布置，注浆需与区间结构保证至</w:t>
      </w:r>
      <w:r>
        <w:rPr>
          <w:spacing w:val="-30"/>
        </w:rPr>
        <w:t xml:space="preserve">少 </w:t>
      </w:r>
      <w:r>
        <w:t>0.5m</w:t>
      </w:r>
      <w:r>
        <w:rPr>
          <w:spacing w:val="-11"/>
        </w:rPr>
        <w:t xml:space="preserve"> 的净距。袖阀管采用 </w:t>
      </w:r>
      <w:r>
        <w:t>φ80</w:t>
      </w:r>
      <w:r>
        <w:rPr>
          <w:spacing w:val="-28"/>
        </w:rPr>
        <w:t xml:space="preserve"> 的 </w:t>
      </w:r>
      <w:r>
        <w:t>PVC</w:t>
      </w:r>
      <w:r>
        <w:rPr>
          <w:spacing w:val="-4"/>
        </w:rPr>
        <w:t xml:space="preserve"> 管，其中在土体加固范围内的管为带橡胶</w:t>
      </w:r>
      <w:r>
        <w:rPr>
          <w:spacing w:val="-4"/>
        </w:rPr>
        <w:t>皮套的花管。加固土体有良好的均匀性、自立性、密封性，加固后的土体无侧限抗压</w:t>
      </w:r>
      <w:r>
        <w:rPr>
          <w:spacing w:val="-7"/>
        </w:rPr>
        <w:t xml:space="preserve">强度不小于 </w:t>
      </w:r>
      <w:r>
        <w:t>1MPa。</w:t>
      </w:r>
    </w:p>
    <w:p>
      <w:pPr>
        <w:pStyle w:val="BodyText"/>
        <w:spacing w:before="7"/>
        <w:ind w:left="0"/>
        <w:rPr>
          <w:sz w:val="6"/>
        </w:rPr>
      </w:pPr>
      <w:r>
        <w:drawing>
          <wp:anchor distT="0" distB="0" distL="0" distR="0" simplePos="0" relativeHeight="251658240" behindDoc="0" locked="0" layoutInCell="1" allowOverlap="1">
            <wp:simplePos x="0" y="0"/>
            <wp:positionH relativeFrom="page">
              <wp:posOffset>1450505</wp:posOffset>
            </wp:positionH>
            <wp:positionV relativeFrom="paragraph">
              <wp:posOffset>68834</wp:posOffset>
            </wp:positionV>
            <wp:extent cx="4726341" cy="26003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17" cstate="print"/>
                    <a:stretch>
                      <a:fillRect/>
                    </a:stretch>
                  </pic:blipFill>
                  <pic:spPr>
                    <a:xfrm>
                      <a:off x="0" y="0"/>
                      <a:ext cx="4726341" cy="2600325"/>
                    </a:xfrm>
                    <a:prstGeom prst="rect">
                      <a:avLst/>
                    </a:prstGeom>
                  </pic:spPr>
                </pic:pic>
              </a:graphicData>
            </a:graphic>
          </wp:anchor>
        </w:drawing>
      </w:r>
    </w:p>
    <w:p>
      <w:pPr>
        <w:pStyle w:val="BodyText"/>
        <w:ind w:left="0"/>
      </w:pPr>
    </w:p>
    <w:p>
      <w:pPr>
        <w:pStyle w:val="BodyText"/>
        <w:spacing w:before="1"/>
        <w:ind w:left="0"/>
        <w:rPr>
          <w:sz w:val="25"/>
        </w:rPr>
      </w:pPr>
    </w:p>
    <w:p>
      <w:pPr>
        <w:pStyle w:val="ListParagraph"/>
        <w:numPr>
          <w:ilvl w:val="2"/>
          <w:numId w:val="31"/>
        </w:numPr>
        <w:tabs>
          <w:tab w:val="left" w:pos="1202"/>
        </w:tabs>
        <w:spacing w:before="0" w:after="0" w:line="240" w:lineRule="auto"/>
        <w:ind w:left="1202" w:right="0" w:hanging="601"/>
        <w:jc w:val="left"/>
        <w:rPr>
          <w:sz w:val="22"/>
        </w:rPr>
      </w:pPr>
    </w:p>
    <w:p>
      <w:pPr>
        <w:pStyle w:val="BodyText"/>
        <w:spacing w:before="5"/>
        <w:ind w:left="0"/>
        <w:rPr>
          <w:sz w:val="23"/>
        </w:rPr>
      </w:pPr>
    </w:p>
    <w:p>
      <w:pPr>
        <w:pStyle w:val="BodyText"/>
        <w:spacing w:line="374" w:lineRule="auto"/>
        <w:ind w:right="555" w:firstLine="480"/>
        <w:jc w:val="both"/>
      </w:pPr>
      <w:r>
        <w:rPr>
          <w:spacing w:val="-4"/>
        </w:rPr>
        <w:t>YDK25+930~YDK25+980</w:t>
      </w:r>
      <w:r>
        <w:rPr>
          <w:spacing w:val="-10"/>
        </w:rPr>
        <w:t xml:space="preserve"> 里程范围内，在 预制桩与右线盾构区间之间斜向 </w:t>
      </w:r>
      <w:r>
        <w:rPr>
          <w:spacing w:val="-4"/>
        </w:rPr>
        <w:t>15</w:t>
      </w:r>
      <w:r>
        <w:rPr>
          <w:spacing w:val="-8"/>
        </w:rPr>
        <w:t xml:space="preserve"> 度角</w:t>
      </w:r>
      <w:r>
        <w:rPr>
          <w:spacing w:val="-12"/>
        </w:rPr>
        <w:t xml:space="preserve">打入 </w:t>
      </w:r>
      <w:r>
        <w:rPr>
          <w:spacing w:val="-4"/>
        </w:rPr>
        <w:t>Φ</w:t>
      </w:r>
      <w:r>
        <w:rPr>
          <w:spacing w:val="-26"/>
        </w:rPr>
        <w:t xml:space="preserve"> </w:t>
      </w:r>
      <w:r>
        <w:rPr>
          <w:spacing w:val="-4"/>
        </w:rPr>
        <w:t>150@300</w:t>
      </w:r>
      <w:r>
        <w:rPr>
          <w:spacing w:val="-11"/>
        </w:rPr>
        <w:t xml:space="preserve"> 树根桩，桩长深入区间底板下 </w:t>
      </w:r>
      <w:r>
        <w:rPr>
          <w:spacing w:val="-4"/>
        </w:rPr>
        <w:t>1m，</w:t>
      </w:r>
      <w:r>
        <w:rPr>
          <w:spacing w:val="-10"/>
        </w:rPr>
        <w:t xml:space="preserve">总长约 </w:t>
      </w:r>
      <w:r>
        <w:rPr>
          <w:spacing w:val="-4"/>
        </w:rPr>
        <w:t>18m</w:t>
      </w:r>
      <w:r>
        <w:rPr>
          <w:spacing w:val="-8"/>
        </w:rPr>
        <w:t xml:space="preserve">。桩砼采用 </w:t>
      </w:r>
      <w:r>
        <w:rPr>
          <w:spacing w:val="-4"/>
        </w:rPr>
        <w:t>C30</w:t>
      </w:r>
      <w:r>
        <w:rPr>
          <w:spacing w:val="-12"/>
        </w:rPr>
        <w:t xml:space="preserve"> 混凝</w:t>
      </w:r>
      <w:r>
        <w:rPr>
          <w:spacing w:val="-2"/>
        </w:rPr>
        <w:t xml:space="preserve">土，纵向采用 </w:t>
      </w:r>
      <w:r>
        <w:t>3C25 钢筋，采用钢筋接驳器连接。</w:t>
      </w:r>
    </w:p>
    <w:p>
      <w:pPr>
        <w:spacing w:after="0" w:line="374" w:lineRule="auto"/>
        <w:jc w:val="both"/>
        <w:sectPr>
          <w:headerReference w:type="default" r:id="rId18"/>
          <w:footerReference w:type="default" r:id="rId19"/>
          <w:pgSz w:w="11910" w:h="16840"/>
          <w:pgMar w:top="1000" w:right="860" w:bottom="1400" w:left="1580" w:header="819" w:footer="1212"/>
          <w:pgNumType w:start="6"/>
          <w:cols w:space="708"/>
        </w:sectPr>
      </w:pPr>
    </w:p>
    <w:p>
      <w:pPr>
        <w:pStyle w:val="BodyText"/>
        <w:ind w:left="0"/>
        <w:rPr>
          <w:sz w:val="20"/>
        </w:rPr>
      </w:pPr>
    </w:p>
    <w:p>
      <w:pPr>
        <w:pStyle w:val="BodyText"/>
        <w:ind w:left="0"/>
        <w:rPr>
          <w:sz w:val="20"/>
        </w:rPr>
      </w:pPr>
    </w:p>
    <w:p>
      <w:pPr>
        <w:pStyle w:val="BodyText"/>
        <w:spacing w:before="9"/>
        <w:ind w:left="0"/>
        <w:rPr>
          <w:sz w:val="23"/>
        </w:rPr>
      </w:pPr>
    </w:p>
    <w:p>
      <w:pPr>
        <w:pStyle w:val="BodyText"/>
        <w:ind w:left="241"/>
        <w:rPr>
          <w:sz w:val="20"/>
        </w:rPr>
      </w:pPr>
      <w:r>
        <w:rPr>
          <w:sz w:val="20"/>
        </w:rPr>
        <w:drawing>
          <wp:inline distT="0" distB="0" distL="0" distR="0">
            <wp:extent cx="4952120" cy="280035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20" cstate="print"/>
                    <a:stretch>
                      <a:fillRect/>
                    </a:stretch>
                  </pic:blipFill>
                  <pic:spPr>
                    <a:xfrm>
                      <a:off x="0" y="0"/>
                      <a:ext cx="4952120" cy="2800350"/>
                    </a:xfrm>
                    <a:prstGeom prst="rect">
                      <a:avLst/>
                    </a:prstGeom>
                  </pic:spPr>
                </pic:pic>
              </a:graphicData>
            </a:graphic>
          </wp:inline>
        </w:drawing>
      </w:r>
    </w:p>
    <w:p>
      <w:pPr>
        <w:pStyle w:val="BodyText"/>
        <w:spacing w:before="8"/>
        <w:ind w:left="0"/>
        <w:rPr>
          <w:sz w:val="16"/>
        </w:rPr>
      </w:pPr>
    </w:p>
    <w:p>
      <w:pPr>
        <w:pStyle w:val="BodyText"/>
        <w:spacing w:before="66" w:line="374" w:lineRule="auto"/>
        <w:ind w:right="464" w:firstLine="480"/>
      </w:pPr>
      <w:r>
        <w:t>采用注浆机对钻孔进行三次注浆。 第一次注浆，采用常压注浆全孔长，注浆压力0.4～0.6MPa，水泥浆水灰比0.5：1；</w:t>
      </w:r>
      <w:r>
        <w:rPr>
          <w:spacing w:val="-5"/>
        </w:rPr>
        <w:t xml:space="preserve"> 第二次注浆，第一次注浆完成后</w:t>
      </w:r>
      <w:r>
        <w:t>10～15h</w:t>
      </w:r>
      <w:r>
        <w:rPr>
          <w:spacing w:val="-9"/>
        </w:rPr>
        <w:t xml:space="preserve"> 进</w:t>
      </w:r>
      <w:r>
        <w:t>行，采用中高压注浆，注浆压力1.0～</w:t>
      </w:r>
      <w:r>
        <w:rPr>
          <w:spacing w:val="-18"/>
        </w:rPr>
        <w:t xml:space="preserve"> </w:t>
      </w:r>
      <w:r>
        <w:t>1.5MPa，水泥浆水灰比0.75：1；</w:t>
      </w:r>
      <w:r>
        <w:rPr>
          <w:spacing w:val="-5"/>
        </w:rPr>
        <w:t xml:space="preserve"> 第三次注浆</w:t>
      </w:r>
      <w:r>
        <w:t xml:space="preserve">在第二次注浆完成后5～10h 进行，采用普硅525 水泥+0.04%微膨胀剂，注浆压力 </w:t>
      </w:r>
      <w:r>
        <w:rPr>
          <w:spacing w:val="-2"/>
        </w:rPr>
        <w:t>1.5～2MPa，水泥浆水灰比0.75：1。监理对树根桩的钻孔深度、间距、钢筋笼安装、</w:t>
      </w:r>
      <w:r>
        <w:rPr>
          <w:spacing w:val="-2"/>
        </w:rPr>
        <w:t>砼回填、注浆过程进行检查验收。</w:t>
      </w:r>
    </w:p>
    <w:p>
      <w:pPr>
        <w:pStyle w:val="Heading4"/>
        <w:numPr>
          <w:ilvl w:val="1"/>
          <w:numId w:val="25"/>
        </w:numPr>
        <w:tabs>
          <w:tab w:val="left" w:pos="1024"/>
        </w:tabs>
        <w:spacing w:before="196" w:after="0" w:line="240" w:lineRule="auto"/>
        <w:ind w:left="1023" w:right="0" w:hanging="423"/>
        <w:jc w:val="left"/>
      </w:pPr>
      <w:r>
        <w:rPr>
          <w:spacing w:val="-2"/>
        </w:rPr>
        <w:t>掘进参数控制</w:t>
      </w:r>
    </w:p>
    <w:p>
      <w:pPr>
        <w:pStyle w:val="ListParagraph"/>
        <w:numPr>
          <w:ilvl w:val="2"/>
          <w:numId w:val="25"/>
        </w:numPr>
        <w:tabs>
          <w:tab w:val="left" w:pos="1202"/>
        </w:tabs>
        <w:spacing w:before="183" w:after="0" w:line="240" w:lineRule="auto"/>
        <w:ind w:left="1202" w:right="0" w:hanging="601"/>
        <w:jc w:val="left"/>
        <w:rPr>
          <w:sz w:val="22"/>
        </w:rPr>
      </w:pPr>
      <w:r>
        <w:rPr>
          <w:spacing w:val="-1"/>
          <w:sz w:val="24"/>
        </w:rPr>
        <w:t>、严格控制出土量，禁止发生超挖、欠挖等现象。</w:t>
      </w:r>
    </w:p>
    <w:p>
      <w:pPr>
        <w:pStyle w:val="BodyText"/>
        <w:spacing w:before="161" w:line="364" w:lineRule="auto"/>
        <w:ind w:right="464" w:firstLine="480"/>
      </w:pPr>
      <w:r>
        <w:rPr>
          <w:spacing w:val="-2"/>
        </w:rPr>
        <w:t>对出渣量采取双控制管理措施，第一、通过油缸行程管理对渣土的体积统计；第</w:t>
      </w:r>
      <w:r>
        <w:rPr>
          <w:spacing w:val="-2"/>
        </w:rPr>
        <w:t>二、通过对出渣的重量称重，统计每环出渣量的总重量，并及时与体积记录相复核，</w:t>
      </w:r>
      <w:r>
        <w:rPr>
          <w:spacing w:val="-2"/>
        </w:rPr>
        <w:t>根据每环的行程量及出渣情况统计分析，得出出渣情况超欠挖分析报告。</w:t>
      </w:r>
    </w:p>
    <w:p>
      <w:pPr>
        <w:pStyle w:val="ListParagraph"/>
        <w:numPr>
          <w:ilvl w:val="2"/>
          <w:numId w:val="25"/>
        </w:numPr>
        <w:tabs>
          <w:tab w:val="left" w:pos="1202"/>
        </w:tabs>
        <w:spacing w:before="2" w:after="0" w:line="240" w:lineRule="auto"/>
        <w:ind w:left="1202" w:right="0" w:hanging="601"/>
        <w:jc w:val="left"/>
        <w:rPr>
          <w:sz w:val="22"/>
        </w:rPr>
      </w:pPr>
      <w:r>
        <w:rPr>
          <w:spacing w:val="-1"/>
          <w:sz w:val="24"/>
        </w:rPr>
        <w:t>、严格控制同步注浆量和浆液质量，并及时进行二次注浆。</w:t>
      </w:r>
    </w:p>
    <w:p>
      <w:pPr>
        <w:pStyle w:val="BodyText"/>
        <w:spacing w:before="160" w:line="364" w:lineRule="auto"/>
        <w:ind w:right="464" w:firstLine="480"/>
      </w:pPr>
      <w:r>
        <w:rPr>
          <w:spacing w:val="-2"/>
        </w:rPr>
        <w:t>在管片上增设注浆孔、预埋注浆管，根据地质及掘进情况，选择合适的时机对隧</w:t>
      </w:r>
      <w:r>
        <w:rPr>
          <w:spacing w:val="-2"/>
        </w:rPr>
        <w:t>道周边一定范围内的地层进行注浆加固。同步注浆采用注浆压力与注浆量双控标准，</w:t>
      </w:r>
      <w:r>
        <w:rPr>
          <w:spacing w:val="-8"/>
        </w:rPr>
        <w:t xml:space="preserve">注浆压力控制在 </w:t>
      </w:r>
      <w:r>
        <w:t>0.1～0.15MPa</w:t>
      </w:r>
      <w:r>
        <w:rPr>
          <w:spacing w:val="-5"/>
        </w:rPr>
        <w:t xml:space="preserve"> 之间， 注浆量控制在 </w:t>
      </w:r>
      <w:r>
        <w:t>6m</w:t>
      </w:r>
      <w:r>
        <w:rPr>
          <w:rFonts w:ascii="Times New Roman" w:eastAsia="Times New Roman" w:hAnsi="Times New Roman"/>
        </w:rPr>
        <w:t>³</w:t>
      </w:r>
      <w:r>
        <w:t>以上（根据盾构掘进行程、</w:t>
      </w:r>
      <w:r>
        <w:rPr>
          <w:spacing w:val="-2"/>
        </w:rPr>
        <w:t>出土方量综合确定</w:t>
      </w:r>
      <w:r>
        <w:rPr>
          <w:spacing w:val="-120"/>
        </w:rPr>
        <w:t>）</w:t>
      </w:r>
      <w:r>
        <w:rPr>
          <w:spacing w:val="-2"/>
        </w:rPr>
        <w:t>，以确保同步注浆的饱满度。</w:t>
      </w:r>
    </w:p>
    <w:p>
      <w:pPr>
        <w:pStyle w:val="ListParagraph"/>
        <w:numPr>
          <w:ilvl w:val="2"/>
          <w:numId w:val="25"/>
        </w:numPr>
        <w:tabs>
          <w:tab w:val="left" w:pos="1164"/>
        </w:tabs>
        <w:spacing w:before="3" w:after="0" w:line="240" w:lineRule="auto"/>
        <w:ind w:left="1163" w:right="0" w:hanging="563"/>
        <w:jc w:val="left"/>
        <w:rPr>
          <w:rFonts w:ascii="Times New Roman" w:eastAsia="Times New Roman"/>
          <w:sz w:val="24"/>
        </w:rPr>
      </w:pPr>
      <w:r>
        <w:rPr>
          <w:sz w:val="24"/>
        </w:rPr>
        <w:t>适当提高掘进土仓压力（</w:t>
      </w:r>
      <w:r>
        <w:rPr>
          <w:spacing w:val="2"/>
          <w:sz w:val="24"/>
        </w:rPr>
        <w:t xml:space="preserve">土仓压力设定为理论值的 </w:t>
      </w:r>
      <w:r>
        <w:rPr>
          <w:rFonts w:ascii="Times New Roman" w:eastAsia="Times New Roman"/>
          <w:sz w:val="24"/>
        </w:rPr>
        <w:t>1.0</w:t>
      </w:r>
      <w:r>
        <w:rPr>
          <w:sz w:val="24"/>
        </w:rPr>
        <w:t>～</w:t>
      </w:r>
      <w:r>
        <w:rPr>
          <w:rFonts w:ascii="Times New Roman" w:eastAsia="Times New Roman"/>
          <w:sz w:val="24"/>
        </w:rPr>
        <w:t>1.1</w:t>
      </w:r>
      <w:r>
        <w:rPr>
          <w:rFonts w:ascii="Times New Roman" w:eastAsia="Times New Roman"/>
          <w:spacing w:val="57"/>
          <w:w w:val="150"/>
          <w:sz w:val="24"/>
        </w:rPr>
        <w:t xml:space="preserve"> </w:t>
      </w:r>
      <w:r>
        <w:rPr>
          <w:sz w:val="24"/>
        </w:rPr>
        <w:t>倍</w:t>
      </w:r>
      <w:r>
        <w:rPr>
          <w:spacing w:val="-72"/>
          <w:sz w:val="24"/>
        </w:rPr>
        <w:t>）</w:t>
      </w:r>
      <w:r>
        <w:rPr>
          <w:spacing w:val="-21"/>
          <w:sz w:val="24"/>
        </w:rPr>
        <w:t>，并在掘</w:t>
      </w:r>
    </w:p>
    <w:p>
      <w:pPr>
        <w:spacing w:after="0" w:line="240" w:lineRule="auto"/>
        <w:jc w:val="left"/>
        <w:rPr>
          <w:rFonts w:ascii="Times New Roman" w:eastAsia="Times New Roman"/>
          <w:sz w:val="24"/>
        </w:rPr>
        <w:sectPr>
          <w:headerReference w:type="default" r:id="rId21"/>
          <w:footerReference w:type="default" r:id="rId22"/>
          <w:pgSz w:w="11910" w:h="16840"/>
          <w:pgMar w:top="1000" w:right="860" w:bottom="1400" w:left="1580" w:header="819" w:footer="1212"/>
          <w:pgNumType w:start="7"/>
          <w:cols w:space="708"/>
        </w:sectPr>
      </w:pPr>
    </w:p>
    <w:p>
      <w:pPr>
        <w:pStyle w:val="BodyText"/>
        <w:ind w:left="0"/>
        <w:rPr>
          <w:sz w:val="20"/>
        </w:rPr>
      </w:pPr>
    </w:p>
    <w:p>
      <w:pPr>
        <w:pStyle w:val="BodyText"/>
        <w:ind w:left="0"/>
        <w:rPr>
          <w:sz w:val="20"/>
        </w:rPr>
      </w:pPr>
    </w:p>
    <w:p>
      <w:pPr>
        <w:pStyle w:val="BodyText"/>
        <w:spacing w:before="6"/>
        <w:ind w:left="0"/>
        <w:rPr>
          <w:sz w:val="14"/>
        </w:rPr>
      </w:pPr>
    </w:p>
    <w:p>
      <w:pPr>
        <w:pStyle w:val="BodyText"/>
        <w:spacing w:before="66" w:line="364" w:lineRule="auto"/>
        <w:ind w:right="444"/>
      </w:pPr>
      <w:r>
        <w:rPr>
          <w:spacing w:val="3"/>
        </w:rPr>
        <w:t>进中不断调整优化。土仓压力通过采取设定掘进速度、调整排土量或设定排土量、</w:t>
      </w:r>
      <w:r>
        <w:rPr>
          <w:spacing w:val="10"/>
        </w:rPr>
        <w:t>调整掘进速度两种方法建立，并应维持切削土量与排土量的平衡，以使土仓内的</w:t>
      </w:r>
      <w:r>
        <w:rPr>
          <w:spacing w:val="6"/>
        </w:rPr>
        <w:t>压力稳定平衡。</w:t>
      </w:r>
    </w:p>
    <w:p>
      <w:pPr>
        <w:pStyle w:val="ListParagraph"/>
        <w:numPr>
          <w:ilvl w:val="2"/>
          <w:numId w:val="32"/>
        </w:numPr>
        <w:tabs>
          <w:tab w:val="left" w:pos="1164"/>
        </w:tabs>
        <w:spacing w:before="2" w:after="0" w:line="364" w:lineRule="auto"/>
        <w:ind w:left="121" w:right="564" w:firstLine="480"/>
        <w:jc w:val="both"/>
        <w:rPr>
          <w:rFonts w:ascii="Times New Roman" w:eastAsia="Times New Roman"/>
          <w:sz w:val="24"/>
        </w:rPr>
      </w:pPr>
      <w:r>
        <w:rPr>
          <w:sz w:val="24"/>
        </w:rPr>
        <w:t>盾构机的掘进速度主要通过调整盾构推进力、转速（</w:t>
      </w:r>
      <w:r>
        <w:rPr>
          <w:spacing w:val="4"/>
          <w:sz w:val="24"/>
        </w:rPr>
        <w:t>扭矩</w:t>
      </w:r>
      <w:r>
        <w:rPr>
          <w:sz w:val="24"/>
        </w:rPr>
        <w:t>）来控制，排</w:t>
      </w:r>
      <w:r>
        <w:rPr>
          <w:spacing w:val="8"/>
          <w:sz w:val="24"/>
        </w:rPr>
        <w:t>土量则主要通过调整螺旋输送机的转速来调节。在实际掘进施工中，应根据地质</w:t>
      </w:r>
      <w:r>
        <w:rPr>
          <w:spacing w:val="-2"/>
          <w:sz w:val="24"/>
        </w:rPr>
        <w:t>条件、排出的碴土状态，以及盾构机的各项工作状态参数等动态地调整优化。</w:t>
      </w:r>
    </w:p>
    <w:p>
      <w:pPr>
        <w:pStyle w:val="ListParagraph"/>
        <w:numPr>
          <w:ilvl w:val="2"/>
          <w:numId w:val="32"/>
        </w:numPr>
        <w:tabs>
          <w:tab w:val="left" w:pos="1074"/>
        </w:tabs>
        <w:spacing w:before="2" w:after="0" w:line="364" w:lineRule="auto"/>
        <w:ind w:left="121" w:right="564" w:firstLine="480"/>
        <w:jc w:val="left"/>
        <w:rPr>
          <w:rFonts w:ascii="Times New Roman" w:eastAsia="Times New Roman"/>
          <w:sz w:val="21"/>
        </w:rPr>
      </w:pPr>
      <w:r>
        <w:rPr>
          <w:sz w:val="24"/>
        </w:rPr>
        <w:t>掘进时应采取碴土改良措施增加碴土的流动性和止水性，密切观察螺旋输</w:t>
      </w:r>
      <w:r>
        <w:rPr>
          <w:spacing w:val="-2"/>
          <w:sz w:val="24"/>
        </w:rPr>
        <w:t>送器的土塞和出土情况以调整添加剂的掺量。</w:t>
      </w:r>
    </w:p>
    <w:p>
      <w:pPr>
        <w:pStyle w:val="ListParagraph"/>
        <w:numPr>
          <w:ilvl w:val="2"/>
          <w:numId w:val="32"/>
        </w:numPr>
        <w:tabs>
          <w:tab w:val="left" w:pos="1074"/>
        </w:tabs>
        <w:spacing w:before="1" w:after="0" w:line="364" w:lineRule="auto"/>
        <w:ind w:left="121" w:right="564" w:firstLine="480"/>
        <w:jc w:val="left"/>
        <w:rPr>
          <w:rFonts w:ascii="Times New Roman" w:eastAsia="Times New Roman"/>
          <w:sz w:val="21"/>
        </w:rPr>
      </w:pPr>
      <w:r>
        <w:rPr>
          <w:spacing w:val="-3"/>
          <w:sz w:val="24"/>
        </w:rPr>
        <w:t xml:space="preserve">推进速度控制在 </w:t>
      </w:r>
      <w:r>
        <w:rPr>
          <w:rFonts w:ascii="Times New Roman" w:eastAsia="Times New Roman"/>
          <w:sz w:val="24"/>
        </w:rPr>
        <w:t>30</w:t>
      </w:r>
      <w:r>
        <w:rPr>
          <w:sz w:val="24"/>
        </w:rPr>
        <w:t>～</w:t>
      </w:r>
      <w:r>
        <w:rPr>
          <w:rFonts w:ascii="Times New Roman" w:eastAsia="Times New Roman"/>
          <w:sz w:val="24"/>
        </w:rPr>
        <w:t>50mm/min</w:t>
      </w:r>
      <w:r>
        <w:rPr>
          <w:sz w:val="24"/>
        </w:rPr>
        <w:t>，并根据监测结果和排土情况调整。螺旋</w:t>
      </w:r>
      <w:r>
        <w:rPr>
          <w:spacing w:val="-2"/>
          <w:sz w:val="24"/>
        </w:rPr>
        <w:t>机转速根据设定土压力与推进速度匹配。</w:t>
      </w:r>
    </w:p>
    <w:p>
      <w:pPr>
        <w:pStyle w:val="ListParagraph"/>
        <w:numPr>
          <w:ilvl w:val="2"/>
          <w:numId w:val="32"/>
        </w:numPr>
        <w:tabs>
          <w:tab w:val="left" w:pos="1228"/>
        </w:tabs>
        <w:spacing w:before="0" w:after="0" w:line="230" w:lineRule="exact"/>
        <w:ind w:left="1227" w:right="0" w:hanging="661"/>
        <w:jc w:val="left"/>
        <w:rPr>
          <w:sz w:val="24"/>
        </w:rPr>
      </w:pPr>
      <w:r>
        <w:rPr>
          <w:spacing w:val="-1"/>
          <w:sz w:val="24"/>
        </w:rPr>
        <w:t>盾构掘进方向的控制与调整</w:t>
      </w:r>
    </w:p>
    <w:p>
      <w:pPr>
        <w:pStyle w:val="BodyText"/>
        <w:spacing w:before="159" w:line="364" w:lineRule="auto"/>
        <w:ind w:right="564" w:firstLine="446"/>
      </w:pPr>
      <w:r>
        <w:rPr>
          <w:spacing w:val="-2"/>
        </w:rPr>
        <w:t>推进油缸按上、下、左、右分成四个组，每组油缸都有一个带行程测量和推力</w:t>
      </w:r>
      <w:r>
        <w:rPr>
          <w:spacing w:val="6"/>
        </w:rPr>
        <w:t>计算的推进油缸，根据需要调节各组油缸的推进力，控制掘进方向。</w:t>
      </w:r>
    </w:p>
    <w:p>
      <w:pPr>
        <w:pStyle w:val="BodyText"/>
        <w:spacing w:line="364" w:lineRule="auto"/>
        <w:ind w:right="564" w:firstLine="446"/>
        <w:jc w:val="both"/>
      </w:pPr>
      <w:r>
        <w:rPr>
          <w:spacing w:val="-2"/>
        </w:rPr>
        <w:t>在实际施工中，由于管片选型错误、盾构机司机操作失误等原因盾构机推进方</w:t>
      </w:r>
      <w:r>
        <w:rPr>
          <w:spacing w:val="8"/>
        </w:rPr>
        <w:t>向可能会偏离设计轴线并超过管理警戒值；在稳定地层中掘进，因地层提供的滚</w:t>
      </w:r>
      <w:r>
        <w:rPr>
          <w:spacing w:val="8"/>
        </w:rPr>
        <w:t>动阻力小，可能会产生盾体滚动偏差；在线路变坡段或急弯段掘进过程中，有可</w:t>
      </w:r>
      <w:r>
        <w:rPr>
          <w:spacing w:val="8"/>
        </w:rPr>
        <w:t>能产生较大的偏差，这时就要及时调整盾构机姿态、纠正偏差。盾构机在内侧的</w:t>
      </w:r>
      <w:r>
        <w:rPr>
          <w:spacing w:val="-1"/>
        </w:rPr>
        <w:t xml:space="preserve">偏移量宜控制在 </w:t>
      </w:r>
      <w:r>
        <w:t>20mm</w:t>
      </w:r>
      <w:r>
        <w:rPr>
          <w:spacing w:val="-1"/>
        </w:rPr>
        <w:t xml:space="preserve">，盾构机前点每次纠偏小于 </w:t>
      </w:r>
      <w:r>
        <w:t>3mm。</w:t>
      </w:r>
    </w:p>
    <w:p>
      <w:pPr>
        <w:pStyle w:val="BodyText"/>
        <w:spacing w:line="364" w:lineRule="auto"/>
        <w:ind w:right="344" w:firstLine="446"/>
      </w:pPr>
      <w:r>
        <w:t>随着盾构推进导向系统后视基准点需要前移，须通过人工测量来进行精确定位。</w:t>
      </w:r>
      <w:r>
        <w:rPr>
          <w:spacing w:val="1"/>
        </w:rPr>
        <w:t xml:space="preserve">为保证推进方向的准确可靠，每 </w:t>
      </w:r>
      <w:r>
        <w:rPr>
          <w:spacing w:val="4"/>
        </w:rPr>
        <w:t>10</w:t>
      </w:r>
      <w:r>
        <w:rPr>
          <w:spacing w:val="3"/>
        </w:rPr>
        <w:t>m</w:t>
      </w:r>
      <w:r>
        <w:rPr>
          <w:spacing w:val="8"/>
        </w:rPr>
        <w:t>（</w:t>
      </w:r>
      <w:r>
        <w:t>8</w:t>
      </w:r>
      <w:r>
        <w:rPr>
          <w:spacing w:val="-9"/>
        </w:rPr>
        <w:t xml:space="preserve"> 环左右</w:t>
      </w:r>
      <w:r>
        <w:rPr>
          <w:spacing w:val="2"/>
        </w:rPr>
        <w:t>）</w:t>
      </w:r>
      <w:r>
        <w:rPr>
          <w:spacing w:val="5"/>
        </w:rPr>
        <w:t>进行一次人工测量，以校核自动</w:t>
      </w:r>
      <w:r>
        <w:rPr>
          <w:spacing w:val="5"/>
        </w:rPr>
        <w:t xml:space="preserve"> </w:t>
      </w:r>
      <w:r>
        <w:rPr>
          <w:spacing w:val="6"/>
        </w:rPr>
        <w:t>导向系统的测量数据并复核盾构机的位置、姿态，确保盾构掘进方向的正确。</w:t>
      </w:r>
    </w:p>
    <w:p>
      <w:pPr>
        <w:pStyle w:val="BodyText"/>
        <w:ind w:left="0"/>
      </w:pPr>
    </w:p>
    <w:p>
      <w:pPr>
        <w:pStyle w:val="Heading2"/>
        <w:spacing w:before="194"/>
        <w:ind w:left="669"/>
      </w:pPr>
      <w:r>
        <w:rPr>
          <w:spacing w:val="-2"/>
        </w:rPr>
        <w:t>5</w:t>
      </w:r>
      <w:r>
        <w:rPr>
          <w:spacing w:val="-3"/>
        </w:rPr>
        <w:t>、对建构筑物和既有线的监测和保护监理要点</w:t>
      </w:r>
    </w:p>
    <w:p>
      <w:pPr>
        <w:pStyle w:val="ListParagraph"/>
        <w:numPr>
          <w:ilvl w:val="0"/>
          <w:numId w:val="1"/>
        </w:numPr>
        <w:tabs>
          <w:tab w:val="left" w:pos="946"/>
        </w:tabs>
        <w:spacing w:before="149" w:after="0" w:line="364" w:lineRule="auto"/>
        <w:ind w:left="121" w:right="547" w:firstLine="235"/>
        <w:jc w:val="left"/>
        <w:rPr>
          <w:sz w:val="24"/>
        </w:rPr>
      </w:pPr>
      <w:r>
        <w:rPr>
          <w:spacing w:val="-6"/>
          <w:sz w:val="24"/>
        </w:rPr>
        <w:t>、承包商应在可能引起建筑物损坏的主要工程开工前进行调查，调查开始前承</w:t>
      </w:r>
      <w:r>
        <w:rPr>
          <w:spacing w:val="-2"/>
          <w:sz w:val="24"/>
        </w:rPr>
        <w:t>包商应就可能引起地面位移或振动的设备的使用获得工程师的批准。</w:t>
      </w:r>
    </w:p>
    <w:p>
      <w:pPr>
        <w:pStyle w:val="ListParagraph"/>
        <w:numPr>
          <w:ilvl w:val="1"/>
          <w:numId w:val="1"/>
        </w:numPr>
        <w:tabs>
          <w:tab w:val="left" w:pos="835"/>
        </w:tabs>
        <w:spacing w:before="0" w:after="0" w:line="230" w:lineRule="exact"/>
        <w:ind w:left="834" w:right="0" w:hanging="354"/>
        <w:jc w:val="left"/>
        <w:rPr>
          <w:sz w:val="24"/>
        </w:rPr>
      </w:pPr>
      <w:r>
        <w:rPr>
          <w:spacing w:val="-10"/>
          <w:sz w:val="24"/>
        </w:rPr>
        <w:t>、承包商应拥有专业摄影员在施工前对建筑物之状况进行记录和摄影。承包商还</w:t>
      </w:r>
    </w:p>
    <w:p>
      <w:pPr>
        <w:pStyle w:val="BodyText"/>
        <w:spacing w:before="159"/>
      </w:pPr>
      <w:r>
        <w:rPr>
          <w:spacing w:val="-10"/>
        </w:rPr>
        <w:t>应拥有合格和工程师和有经验的土地测量员指导摄影员的工作。</w:t>
      </w:r>
    </w:p>
    <w:p>
      <w:pPr>
        <w:pStyle w:val="ListParagraph"/>
        <w:numPr>
          <w:ilvl w:val="1"/>
          <w:numId w:val="1"/>
        </w:numPr>
        <w:tabs>
          <w:tab w:val="left" w:pos="835"/>
        </w:tabs>
        <w:spacing w:before="159" w:after="0" w:line="240" w:lineRule="auto"/>
        <w:ind w:left="834" w:right="0" w:hanging="354"/>
        <w:jc w:val="left"/>
        <w:rPr>
          <w:sz w:val="24"/>
        </w:rPr>
      </w:pPr>
      <w:r>
        <w:rPr>
          <w:spacing w:val="-10"/>
          <w:sz w:val="24"/>
        </w:rPr>
        <w:t>、承包商应在建筑物业主在场的情况下，进行目检并记录在工程影响范围内所有</w:t>
      </w:r>
    </w:p>
    <w:p>
      <w:pPr>
        <w:spacing w:after="0" w:line="240" w:lineRule="auto"/>
        <w:jc w:val="left"/>
        <w:rPr>
          <w:sz w:val="24"/>
        </w:rPr>
        <w:sectPr>
          <w:headerReference w:type="default" r:id="rId23"/>
          <w:footerReference w:type="default" r:id="rId24"/>
          <w:pgSz w:w="11910" w:h="16840"/>
          <w:pgMar w:top="1000" w:right="860" w:bottom="1400" w:left="1580" w:header="819" w:footer="1212"/>
          <w:pgNumType w:start="8"/>
          <w:cols w:space="708"/>
        </w:sectPr>
      </w:pPr>
    </w:p>
    <w:p>
      <w:pPr>
        <w:pStyle w:val="BodyText"/>
        <w:ind w:left="0"/>
        <w:rPr>
          <w:sz w:val="20"/>
        </w:rPr>
      </w:pPr>
    </w:p>
    <w:p>
      <w:pPr>
        <w:pStyle w:val="BodyText"/>
        <w:spacing w:before="4"/>
        <w:ind w:left="0"/>
        <w:rPr>
          <w:sz w:val="28"/>
        </w:rPr>
      </w:pPr>
    </w:p>
    <w:p>
      <w:pPr>
        <w:pStyle w:val="BodyText"/>
        <w:spacing w:before="66"/>
      </w:pPr>
      <w:r>
        <w:rPr>
          <w:spacing w:val="-11"/>
        </w:rPr>
        <w:t>建筑物在施工前的状况。</w:t>
      </w:r>
    </w:p>
    <w:p>
      <w:pPr>
        <w:pStyle w:val="ListParagraph"/>
        <w:numPr>
          <w:ilvl w:val="1"/>
          <w:numId w:val="33"/>
        </w:numPr>
        <w:tabs>
          <w:tab w:val="left" w:pos="835"/>
        </w:tabs>
        <w:spacing w:before="160" w:after="0" w:line="364" w:lineRule="auto"/>
        <w:ind w:left="121" w:right="547" w:firstLine="360"/>
        <w:jc w:val="left"/>
        <w:rPr>
          <w:sz w:val="24"/>
        </w:rPr>
      </w:pPr>
      <w:r>
        <w:rPr>
          <w:spacing w:val="-10"/>
          <w:sz w:val="24"/>
        </w:rPr>
        <w:t>、工程师可以在施工中甚至完工后有选择地要求对建筑物进行进一步的调查，并</w:t>
      </w:r>
      <w:r>
        <w:rPr>
          <w:spacing w:val="-2"/>
          <w:sz w:val="24"/>
        </w:rPr>
        <w:t>予以记录。</w:t>
      </w:r>
    </w:p>
    <w:p>
      <w:pPr>
        <w:pStyle w:val="ListParagraph"/>
        <w:numPr>
          <w:ilvl w:val="1"/>
          <w:numId w:val="33"/>
        </w:numPr>
        <w:tabs>
          <w:tab w:val="left" w:pos="835"/>
        </w:tabs>
        <w:spacing w:before="0" w:after="0" w:line="364" w:lineRule="auto"/>
        <w:ind w:left="121" w:right="547" w:firstLine="360"/>
        <w:jc w:val="both"/>
        <w:rPr>
          <w:sz w:val="24"/>
        </w:rPr>
      </w:pPr>
      <w:r>
        <w:rPr>
          <w:spacing w:val="-10"/>
          <w:sz w:val="24"/>
        </w:rPr>
        <w:t>、在提交各种调查资料、成果和报告的同时，承包商应在隧道施工前向工程师提交一份专门报告，向业主指明需要进行保护的建筑物，根据建筑物实际状态进行风险分</w:t>
      </w:r>
      <w:r>
        <w:rPr>
          <w:spacing w:val="-2"/>
          <w:sz w:val="24"/>
        </w:rPr>
        <w:t>析，指明所需进行的保护类型。</w:t>
      </w:r>
    </w:p>
    <w:p>
      <w:pPr>
        <w:pStyle w:val="ListParagraph"/>
        <w:numPr>
          <w:ilvl w:val="1"/>
          <w:numId w:val="33"/>
        </w:numPr>
        <w:tabs>
          <w:tab w:val="left" w:pos="835"/>
        </w:tabs>
        <w:spacing w:before="0" w:after="0" w:line="364" w:lineRule="auto"/>
        <w:ind w:left="121" w:right="427" w:firstLine="360"/>
        <w:jc w:val="left"/>
        <w:rPr>
          <w:sz w:val="24"/>
        </w:rPr>
      </w:pPr>
      <w:r>
        <w:rPr>
          <w:spacing w:val="-14"/>
          <w:sz w:val="24"/>
        </w:rPr>
        <w:t>、盾构施工前必须对可能穿越的建（构）筑物进行调查，并根据以往的工程实际，</w:t>
      </w:r>
      <w:r>
        <w:rPr>
          <w:spacing w:val="-2"/>
          <w:sz w:val="24"/>
        </w:rPr>
        <w:t>预测施工对建筑物的影响，并制定有针对性的预案。</w:t>
      </w:r>
    </w:p>
    <w:p>
      <w:pPr>
        <w:pStyle w:val="ListParagraph"/>
        <w:numPr>
          <w:ilvl w:val="1"/>
          <w:numId w:val="33"/>
        </w:numPr>
        <w:tabs>
          <w:tab w:val="left" w:pos="835"/>
        </w:tabs>
        <w:spacing w:before="0" w:after="0" w:line="364" w:lineRule="auto"/>
        <w:ind w:left="121" w:right="547" w:firstLine="360"/>
        <w:jc w:val="both"/>
        <w:rPr>
          <w:sz w:val="24"/>
        </w:rPr>
      </w:pPr>
      <w:r>
        <w:rPr>
          <w:spacing w:val="-10"/>
          <w:sz w:val="24"/>
        </w:rPr>
        <w:t>、盾构施工中承包商必须对地表及建筑物沉降进行监测，继续进行建筑物状态调查，施工期间应根据工程进展情况提出有关建议，并根据监测结果调整和优化盾构施工</w:t>
      </w:r>
      <w:r>
        <w:rPr>
          <w:spacing w:val="-4"/>
          <w:sz w:val="24"/>
        </w:rPr>
        <w:t>参数。</w:t>
      </w:r>
    </w:p>
    <w:p>
      <w:pPr>
        <w:pStyle w:val="ListParagraph"/>
        <w:numPr>
          <w:ilvl w:val="1"/>
          <w:numId w:val="33"/>
        </w:numPr>
        <w:tabs>
          <w:tab w:val="left" w:pos="835"/>
        </w:tabs>
        <w:spacing w:before="0" w:after="0" w:line="364" w:lineRule="auto"/>
        <w:ind w:left="121" w:right="547" w:firstLine="360"/>
        <w:jc w:val="both"/>
        <w:rPr>
          <w:sz w:val="24"/>
        </w:rPr>
      </w:pPr>
      <w:r>
        <w:rPr>
          <w:spacing w:val="-14"/>
          <w:sz w:val="24"/>
        </w:rPr>
        <w:t>、建筑物变形测量应在盾构机开挖面附近（</w:t>
      </w:r>
      <w:r>
        <w:rPr>
          <w:spacing w:val="-15"/>
          <w:sz w:val="24"/>
        </w:rPr>
        <w:t xml:space="preserve">盾构机前方 </w:t>
      </w:r>
      <w:r>
        <w:rPr>
          <w:spacing w:val="-14"/>
          <w:sz w:val="24"/>
        </w:rPr>
        <w:t>30</w:t>
      </w:r>
      <w:r>
        <w:rPr>
          <w:spacing w:val="-16"/>
          <w:sz w:val="24"/>
        </w:rPr>
        <w:t xml:space="preserve"> 米到后方 </w:t>
      </w:r>
      <w:r>
        <w:rPr>
          <w:spacing w:val="-14"/>
          <w:sz w:val="24"/>
        </w:rPr>
        <w:t>50</w:t>
      </w:r>
      <w:r>
        <w:rPr>
          <w:spacing w:val="-15"/>
          <w:sz w:val="24"/>
        </w:rPr>
        <w:t xml:space="preserve"> 米</w:t>
      </w:r>
      <w:r>
        <w:rPr>
          <w:spacing w:val="-14"/>
          <w:sz w:val="24"/>
        </w:rPr>
        <w:t>）每天</w:t>
      </w:r>
      <w:r>
        <w:rPr>
          <w:spacing w:val="-10"/>
          <w:sz w:val="24"/>
        </w:rPr>
        <w:t>进行及每周进行后期观测直到沉降稳定，当测量值变化较大或应工程师要求时应增加观</w:t>
      </w:r>
      <w:r>
        <w:rPr>
          <w:spacing w:val="-4"/>
          <w:sz w:val="24"/>
        </w:rPr>
        <w:t>测频率。</w:t>
      </w:r>
    </w:p>
    <w:p>
      <w:pPr>
        <w:pStyle w:val="ListParagraph"/>
        <w:numPr>
          <w:ilvl w:val="1"/>
          <w:numId w:val="33"/>
        </w:numPr>
        <w:tabs>
          <w:tab w:val="left" w:pos="715"/>
        </w:tabs>
        <w:spacing w:before="0" w:after="0" w:line="364" w:lineRule="auto"/>
        <w:ind w:left="121" w:right="548" w:firstLine="240"/>
        <w:jc w:val="left"/>
        <w:rPr>
          <w:sz w:val="24"/>
        </w:rPr>
      </w:pPr>
      <w:r>
        <w:rPr>
          <w:spacing w:val="-6"/>
          <w:sz w:val="24"/>
        </w:rPr>
        <w:t>、下穿重要建（构）筑物时必须编制有针对性的下穿施工方案，具体方案内需要</w:t>
      </w:r>
      <w:r>
        <w:rPr>
          <w:spacing w:val="-4"/>
          <w:sz w:val="24"/>
        </w:rPr>
        <w:t>包括：</w:t>
      </w:r>
    </w:p>
    <w:p>
      <w:pPr>
        <w:pStyle w:val="ListParagraph"/>
        <w:numPr>
          <w:ilvl w:val="2"/>
          <w:numId w:val="33"/>
        </w:numPr>
        <w:tabs>
          <w:tab w:val="left" w:pos="958"/>
        </w:tabs>
        <w:spacing w:before="0" w:after="0" w:line="364" w:lineRule="auto"/>
        <w:ind w:left="121" w:right="548" w:firstLine="480"/>
        <w:jc w:val="both"/>
        <w:rPr>
          <w:sz w:val="24"/>
        </w:rPr>
      </w:pPr>
      <w:r>
        <w:rPr>
          <w:spacing w:val="-8"/>
          <w:sz w:val="24"/>
        </w:rPr>
        <w:t>盾构隧道与建构筑物位置关系及下穿段地质条件《下穿平面图、纵包面图，按</w:t>
      </w:r>
      <w:r>
        <w:rPr>
          <w:spacing w:val="-4"/>
          <w:sz w:val="24"/>
        </w:rPr>
        <w:t>照下穿距离划分区段进行掘进：具体可参考预警区（12</w:t>
      </w:r>
      <w:r>
        <w:rPr>
          <w:spacing w:val="-15"/>
          <w:sz w:val="24"/>
        </w:rPr>
        <w:t xml:space="preserve"> 环</w:t>
      </w:r>
      <w:r>
        <w:rPr>
          <w:spacing w:val="-4"/>
          <w:sz w:val="24"/>
        </w:rPr>
        <w:t>）---风险区（6</w:t>
      </w:r>
      <w:r>
        <w:rPr>
          <w:spacing w:val="-15"/>
          <w:sz w:val="24"/>
        </w:rPr>
        <w:t xml:space="preserve"> 环</w:t>
      </w:r>
      <w:r>
        <w:rPr>
          <w:spacing w:val="-4"/>
          <w:sz w:val="24"/>
        </w:rPr>
        <w:t>）---危</w:t>
      </w:r>
      <w:r>
        <w:rPr>
          <w:spacing w:val="-2"/>
          <w:sz w:val="24"/>
        </w:rPr>
        <w:t>险区（建构筑物正下方环数）</w:t>
      </w:r>
      <w:r>
        <w:rPr>
          <w:spacing w:val="-24"/>
          <w:sz w:val="24"/>
        </w:rPr>
        <w:t>进行划分》。</w:t>
      </w:r>
    </w:p>
    <w:p>
      <w:pPr>
        <w:pStyle w:val="ListParagraph"/>
        <w:numPr>
          <w:ilvl w:val="2"/>
          <w:numId w:val="33"/>
        </w:numPr>
        <w:tabs>
          <w:tab w:val="left" w:pos="958"/>
        </w:tabs>
        <w:spacing w:before="0" w:after="0" w:line="364" w:lineRule="auto"/>
        <w:ind w:left="121" w:right="548" w:firstLine="480"/>
        <w:jc w:val="both"/>
        <w:rPr>
          <w:sz w:val="24"/>
        </w:rPr>
      </w:pPr>
      <w:r>
        <w:rPr>
          <w:spacing w:val="-8"/>
          <w:sz w:val="24"/>
        </w:rPr>
        <w:t>盾构掘进时间安排、掘进模式及参数《下穿的工期安排：根据下穿的区域进行</w:t>
      </w:r>
      <w:r>
        <w:rPr>
          <w:spacing w:val="-6"/>
          <w:sz w:val="24"/>
        </w:rPr>
        <w:t>掘进速度的预测安排，各区段掘进所需时间，下穿开始---结束时间需要天数；各区段</w:t>
      </w:r>
      <w:r>
        <w:rPr>
          <w:spacing w:val="-9"/>
          <w:sz w:val="24"/>
        </w:rPr>
        <w:t>的掘进参数控制，预设，采用的掘进模式》。</w:t>
      </w:r>
    </w:p>
    <w:p>
      <w:pPr>
        <w:pStyle w:val="ListParagraph"/>
        <w:numPr>
          <w:ilvl w:val="2"/>
          <w:numId w:val="33"/>
        </w:numPr>
        <w:tabs>
          <w:tab w:val="left" w:pos="958"/>
        </w:tabs>
        <w:spacing w:before="0" w:after="0" w:line="306" w:lineRule="exact"/>
        <w:ind w:left="957" w:right="0" w:hanging="357"/>
        <w:jc w:val="left"/>
        <w:rPr>
          <w:sz w:val="24"/>
        </w:rPr>
      </w:pPr>
      <w:r>
        <w:rPr>
          <w:spacing w:val="-10"/>
          <w:sz w:val="24"/>
        </w:rPr>
        <w:t>施工监测图极其穿越各区段的监测频率。</w:t>
      </w:r>
    </w:p>
    <w:p>
      <w:pPr>
        <w:pStyle w:val="ListParagraph"/>
        <w:numPr>
          <w:ilvl w:val="2"/>
          <w:numId w:val="33"/>
        </w:numPr>
        <w:tabs>
          <w:tab w:val="left" w:pos="958"/>
        </w:tabs>
        <w:spacing w:before="149" w:after="0" w:line="240" w:lineRule="auto"/>
        <w:ind w:left="957" w:right="0" w:hanging="357"/>
        <w:jc w:val="left"/>
        <w:rPr>
          <w:sz w:val="24"/>
        </w:rPr>
      </w:pPr>
      <w:r>
        <w:rPr>
          <w:spacing w:val="-11"/>
          <w:sz w:val="24"/>
        </w:rPr>
        <w:t>下穿过程中事故类型及危害程度分析，应急物资准备</w:t>
      </w:r>
    </w:p>
    <w:p>
      <w:pPr>
        <w:pStyle w:val="ListParagraph"/>
        <w:numPr>
          <w:ilvl w:val="1"/>
          <w:numId w:val="33"/>
        </w:numPr>
        <w:tabs>
          <w:tab w:val="left" w:pos="950"/>
        </w:tabs>
        <w:spacing w:before="160" w:after="0" w:line="364" w:lineRule="auto"/>
        <w:ind w:left="121" w:right="548" w:firstLine="360"/>
        <w:jc w:val="left"/>
        <w:rPr>
          <w:sz w:val="24"/>
        </w:rPr>
      </w:pPr>
      <w:r>
        <w:rPr>
          <w:spacing w:val="-6"/>
          <w:sz w:val="24"/>
        </w:rPr>
        <w:t>、承包商若发现建筑物变形有异常现象时，应立即报告监理工程师，并采取有</w:t>
      </w:r>
      <w:r>
        <w:rPr>
          <w:spacing w:val="-2"/>
          <w:sz w:val="24"/>
        </w:rPr>
        <w:t>效防护措施。</w:t>
      </w:r>
    </w:p>
    <w:p>
      <w:pPr>
        <w:pStyle w:val="BodyText"/>
        <w:spacing w:line="306" w:lineRule="exact"/>
        <w:ind w:left="361"/>
      </w:pPr>
      <w:r>
        <w:rPr>
          <w:spacing w:val="14"/>
        </w:rPr>
        <w:t>（</w:t>
      </w:r>
      <w:r>
        <w:rPr>
          <w:spacing w:val="17"/>
        </w:rPr>
        <w:t>11</w:t>
      </w:r>
      <w:r>
        <w:rPr>
          <w:spacing w:val="-106"/>
        </w:rPr>
        <w:t>）</w:t>
      </w:r>
      <w:r>
        <w:rPr>
          <w:spacing w:val="-14"/>
        </w:rPr>
        <w:t>、对既有线的监测项目和变形控制要求</w:t>
      </w:r>
    </w:p>
    <w:p>
      <w:pPr>
        <w:spacing w:after="0" w:line="306"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5" w:history="1">
        <w:r>
          <w:rPr>
            <w:rFonts w:ascii="SimSun" w:eastAsia="SimSun" w:hAnsi="SimSun" w:cs="SimSun"/>
            <w:b/>
            <w:bCs/>
            <w:color w:val="0000EE"/>
            <w:sz w:val="30"/>
            <w:szCs w:val="30"/>
            <w:u w:val="single" w:color="0000EE"/>
          </w:rPr>
          <w:t>https://d.book118.com/548116130064006042</w:t>
        </w:r>
      </w:hyperlink>
    </w:p>
    <w:p>
      <w:pPr>
        <w:spacing w:after="0" w:line="306" w:lineRule="exact"/>
      </w:pPr>
    </w:p>
    <w:sectPr>
      <w:headerReference w:type="default" r:id="rId26"/>
      <w:footerReference w:type="default" r:id="rId27"/>
      <w:pgSz w:w="11910" w:h="16840"/>
      <w:pgMar w:top="1000" w:right="860" w:bottom="1400" w:left="1580" w:header="819" w:footer="1212"/>
      <w:pgNumType w:start="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Cambria Math">
    <w:altName w:val="Cambria Math"/>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16pt;height:12pt;margin-top:770.28pt;margin-left:512.4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16pt;height:12pt;margin-top:770.28pt;margin-left:512.4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16pt;height:12pt;margin-top:770.28pt;margin-left:512.4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16pt;height:12pt;margin-top:770.28pt;margin-left:512.4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16pt;height:12pt;margin-top:770.28pt;margin-left:512.4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3" type="#_x0000_t202" style="width:16pt;height:12pt;margin-top:770.28pt;margin-left:512.4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5" type="#_x0000_t202" style="width:16pt;height:12pt;margin-top:770.28pt;margin-left:512.4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7" type="#_x0000_t202" style="width:16pt;height:12pt;margin-top:770.28pt;margin-left:512.4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9" type="#_x0000_t202" style="width:16pt;height:12pt;margin-top:770.28pt;margin-left:512.4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49" style="mso-position-horizontal-relative:page;mso-position-vertical-relative:page;position:absolute;z-index:-251658240" from="83.6pt,50.55pt" to="525.85pt,50.55pt" stroked="t" strokecolor="black" strokeweight="0.75pt">
          <v:stroke dashstyle="solid"/>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0" style="mso-position-horizontal-relative:page;mso-position-vertical-relative:page;position:absolute;z-index:-251657216" from="83.6pt,50.55pt" to="525.85pt,50.55pt" stroked="t" strokecolor="black" strokeweight="0.75pt">
          <v:stroke dashstyle="solid"/>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1" style="mso-position-horizontal-relative:page;mso-position-vertical-relative:page;position:absolute;z-index:-251656192" from="83.6pt,50.55pt" to="525.85pt,50.55pt" stroked="t" strokecolor="black" strokeweight="0.75pt">
          <v:stroke dashstyle="solid"/>
        </v:lin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2" style="mso-position-horizontal-relative:page;mso-position-vertical-relative:page;position:absolute;z-index:-251655168" from="83.6pt,50.55pt" to="525.85pt,50.55pt" stroked="t" strokecolor="black" strokeweight="0.75pt">
          <v:stroke dashstyle="solid"/>
        </v:lin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4" style="mso-position-horizontal-relative:page;mso-position-vertical-relative:page;position:absolute;z-index:-251654144" from="83.6pt,50.55pt" to="525.85pt,50.55pt" stroked="t" strokecolor="black" strokeweight="0.75pt">
          <v:stroke dashstyle="solid"/>
        </v:lin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6" style="mso-position-horizontal-relative:page;mso-position-vertical-relative:page;position:absolute;z-index:-251653120" from="83.6pt,50.55pt" to="525.85pt,50.55pt" stroked="t" strokecolor="black" strokeweight="0.75pt">
          <v:stroke dashstyle="solid"/>
        </v:lin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8" style="mso-position-horizontal-relative:page;mso-position-vertical-relative:page;position:absolute;z-index:-251652096" from="83.6pt,50.55pt" to="525.85pt,50.55pt" stroked="t" strokecolor="black" strokeweight="0.75pt">
          <v:stroke dashstyle="solid"/>
        </v:lin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0" style="mso-position-horizontal-relative:page;mso-position-vertical-relative:page;position:absolute;z-index:-251651072" from="83.6pt,50.55pt" to="525.85pt,50.55pt" stroked="t" strokecolor="black" strokeweight="0.75pt">
          <v:stroke dashstyle="solid"/>
        </v:lin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2" style="mso-position-horizontal-relative:page;mso-position-vertical-relative:page;position:absolute;z-index:-251650048" from="83.6pt,50.55pt" to="525.85pt,50.55pt" stroked="t" strokecolor="black" strokeweight="0.75pt">
          <v:stroke dashstyle="solid"/>
        </v:lin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4" style="mso-position-horizontal-relative:page;mso-position-vertical-relative:page;position:absolute;z-index:-251649024" from="83.6pt,50.55pt" to="525.85pt,50.55pt" stroked="t" strokecolor="black" strokeweight="0.75pt">
          <v:stroke dashstyle="solid"/>
        </v:lin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6" style="mso-position-horizontal-relative:page;mso-position-vertical-relative:page;position:absolute;z-index:-251648000" from="83.6pt,50.55pt" to="525.85pt,50.55pt" stroked="t" strokecolor="black" strokeweight="0.75pt">
          <v:stroke dashstyle="solid"/>
        </v:lin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8" style="mso-position-horizontal-relative:page;mso-position-vertical-relative:page;position:absolute;z-index:-251646976" from="83.6pt,50.55pt" to="525.85pt,50.55pt" stroked="t" strokecolor="black" strokeweight="0.75pt">
          <v:stroke dashstyle="solid"/>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B6AA29"/>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1">
    <w:nsid w:val="08D150BA"/>
    <w:multiLevelType w:val="hybridMultilevel"/>
    <w:tmpl w:val="00000000"/>
    <w:lvl w:ilvl="0">
      <w:start w:val="1"/>
      <w:numFmt w:val="decimal"/>
      <w:lvlText w:val="（%1）"/>
      <w:lvlJc w:val="left"/>
      <w:pPr>
        <w:ind w:left="121" w:hanging="589"/>
        <w:jc w:val="left"/>
      </w:pPr>
      <w:rPr>
        <w:rFonts w:ascii="宋体" w:eastAsia="宋体" w:hAnsi="宋体" w:cs="宋体" w:hint="default"/>
        <w:b w:val="0"/>
        <w:bCs w:val="0"/>
        <w:i w:val="0"/>
        <w:iCs w:val="0"/>
        <w:spacing w:val="-128"/>
        <w:w w:val="100"/>
        <w:sz w:val="22"/>
        <w:szCs w:val="22"/>
        <w:lang w:val="en-US" w:eastAsia="zh-CN" w:bidi="ar-SA"/>
      </w:rPr>
    </w:lvl>
    <w:lvl w:ilvl="1">
      <w:start w:val="2"/>
      <w:numFmt w:val="decimal"/>
      <w:lvlText w:val="(%2)"/>
      <w:lvlJc w:val="left"/>
      <w:pPr>
        <w:ind w:left="834" w:hanging="354"/>
        <w:jc w:val="right"/>
      </w:pPr>
      <w:rPr>
        <w:rFonts w:ascii="宋体" w:eastAsia="宋体" w:hAnsi="宋体" w:cs="宋体" w:hint="default"/>
        <w:b w:val="0"/>
        <w:bCs w:val="0"/>
        <w:i w:val="0"/>
        <w:iCs w:val="0"/>
        <w:spacing w:val="-5"/>
        <w:w w:val="100"/>
        <w:sz w:val="22"/>
        <w:szCs w:val="22"/>
        <w:lang w:val="en-US" w:eastAsia="zh-CN" w:bidi="ar-SA"/>
      </w:rPr>
    </w:lvl>
    <w:lvl w:ilvl="2">
      <w:start w:val="1"/>
      <w:numFmt w:val="decimal"/>
      <w:lvlText w:val="%3）"/>
      <w:lvlJc w:val="left"/>
      <w:pPr>
        <w:ind w:left="121" w:hanging="357"/>
        <w:jc w:val="left"/>
      </w:pPr>
      <w:rPr>
        <w:rFonts w:ascii="宋体" w:eastAsia="宋体" w:hAnsi="宋体" w:cs="宋体" w:hint="default"/>
        <w:b w:val="0"/>
        <w:bCs w:val="0"/>
        <w:i w:val="0"/>
        <w:iCs w:val="0"/>
        <w:spacing w:val="-6"/>
        <w:w w:val="100"/>
        <w:sz w:val="22"/>
        <w:szCs w:val="22"/>
        <w:lang w:val="en-US" w:eastAsia="zh-CN" w:bidi="ar-SA"/>
      </w:rPr>
    </w:lvl>
    <w:lvl w:ilvl="3">
      <w:start w:val="0"/>
      <w:numFmt w:val="bullet"/>
      <w:lvlText w:val="•"/>
      <w:lvlJc w:val="left"/>
      <w:pPr>
        <w:ind w:left="2756" w:hanging="357"/>
      </w:pPr>
      <w:rPr>
        <w:rFonts w:hint="default"/>
        <w:lang w:val="en-US" w:eastAsia="zh-CN" w:bidi="ar-SA"/>
      </w:rPr>
    </w:lvl>
    <w:lvl w:ilvl="4">
      <w:start w:val="0"/>
      <w:numFmt w:val="bullet"/>
      <w:lvlText w:val="•"/>
      <w:lvlJc w:val="left"/>
      <w:pPr>
        <w:ind w:left="3715" w:hanging="357"/>
      </w:pPr>
      <w:rPr>
        <w:rFonts w:hint="default"/>
        <w:lang w:val="en-US" w:eastAsia="zh-CN" w:bidi="ar-SA"/>
      </w:rPr>
    </w:lvl>
    <w:lvl w:ilvl="5">
      <w:start w:val="0"/>
      <w:numFmt w:val="bullet"/>
      <w:lvlText w:val="•"/>
      <w:lvlJc w:val="left"/>
      <w:pPr>
        <w:ind w:left="4673" w:hanging="357"/>
      </w:pPr>
      <w:rPr>
        <w:rFonts w:hint="default"/>
        <w:lang w:val="en-US" w:eastAsia="zh-CN" w:bidi="ar-SA"/>
      </w:rPr>
    </w:lvl>
    <w:lvl w:ilvl="6">
      <w:start w:val="0"/>
      <w:numFmt w:val="bullet"/>
      <w:lvlText w:val="•"/>
      <w:lvlJc w:val="left"/>
      <w:pPr>
        <w:ind w:left="5632" w:hanging="357"/>
      </w:pPr>
      <w:rPr>
        <w:rFonts w:hint="default"/>
        <w:lang w:val="en-US" w:eastAsia="zh-CN" w:bidi="ar-SA"/>
      </w:rPr>
    </w:lvl>
    <w:lvl w:ilvl="7">
      <w:start w:val="0"/>
      <w:numFmt w:val="bullet"/>
      <w:lvlText w:val="•"/>
      <w:lvlJc w:val="left"/>
      <w:pPr>
        <w:ind w:left="6590" w:hanging="357"/>
      </w:pPr>
      <w:rPr>
        <w:rFonts w:hint="default"/>
        <w:lang w:val="en-US" w:eastAsia="zh-CN" w:bidi="ar-SA"/>
      </w:rPr>
    </w:lvl>
    <w:lvl w:ilvl="8">
      <w:start w:val="0"/>
      <w:numFmt w:val="bullet"/>
      <w:lvlText w:val="•"/>
      <w:lvlJc w:val="left"/>
      <w:pPr>
        <w:ind w:left="7549" w:hanging="357"/>
      </w:pPr>
      <w:rPr>
        <w:rFonts w:hint="default"/>
        <w:lang w:val="en-US" w:eastAsia="zh-CN" w:bidi="ar-SA"/>
      </w:rPr>
    </w:lvl>
  </w:abstractNum>
  <w:abstractNum w:abstractNumId="2">
    <w:nsid w:val="0CAFEB16"/>
    <w:multiLevelType w:val="hybridMultilevel"/>
    <w:tmpl w:val="00000000"/>
    <w:lvl w:ilvl="0">
      <w:start w:val="1"/>
      <w:numFmt w:val="decimal"/>
      <w:lvlText w:val="%1）"/>
      <w:lvlJc w:val="left"/>
      <w:pPr>
        <w:ind w:left="121" w:hanging="363"/>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054" w:hanging="363"/>
      </w:pPr>
      <w:rPr>
        <w:rFonts w:hint="default"/>
        <w:lang w:val="en-US" w:eastAsia="zh-CN" w:bidi="ar-SA"/>
      </w:rPr>
    </w:lvl>
    <w:lvl w:ilvl="2">
      <w:start w:val="0"/>
      <w:numFmt w:val="bullet"/>
      <w:lvlText w:val="•"/>
      <w:lvlJc w:val="left"/>
      <w:pPr>
        <w:ind w:left="1989" w:hanging="363"/>
      </w:pPr>
      <w:rPr>
        <w:rFonts w:hint="default"/>
        <w:lang w:val="en-US" w:eastAsia="zh-CN" w:bidi="ar-SA"/>
      </w:rPr>
    </w:lvl>
    <w:lvl w:ilvl="3">
      <w:start w:val="0"/>
      <w:numFmt w:val="bullet"/>
      <w:lvlText w:val="•"/>
      <w:lvlJc w:val="left"/>
      <w:pPr>
        <w:ind w:left="2923" w:hanging="363"/>
      </w:pPr>
      <w:rPr>
        <w:rFonts w:hint="default"/>
        <w:lang w:val="en-US" w:eastAsia="zh-CN" w:bidi="ar-SA"/>
      </w:rPr>
    </w:lvl>
    <w:lvl w:ilvl="4">
      <w:start w:val="0"/>
      <w:numFmt w:val="bullet"/>
      <w:lvlText w:val="•"/>
      <w:lvlJc w:val="left"/>
      <w:pPr>
        <w:ind w:left="3858" w:hanging="363"/>
      </w:pPr>
      <w:rPr>
        <w:rFonts w:hint="default"/>
        <w:lang w:val="en-US" w:eastAsia="zh-CN" w:bidi="ar-SA"/>
      </w:rPr>
    </w:lvl>
    <w:lvl w:ilvl="5">
      <w:start w:val="0"/>
      <w:numFmt w:val="bullet"/>
      <w:lvlText w:val="•"/>
      <w:lvlJc w:val="left"/>
      <w:pPr>
        <w:ind w:left="4793" w:hanging="363"/>
      </w:pPr>
      <w:rPr>
        <w:rFonts w:hint="default"/>
        <w:lang w:val="en-US" w:eastAsia="zh-CN" w:bidi="ar-SA"/>
      </w:rPr>
    </w:lvl>
    <w:lvl w:ilvl="6">
      <w:start w:val="0"/>
      <w:numFmt w:val="bullet"/>
      <w:lvlText w:val="•"/>
      <w:lvlJc w:val="left"/>
      <w:pPr>
        <w:ind w:left="5727" w:hanging="363"/>
      </w:pPr>
      <w:rPr>
        <w:rFonts w:hint="default"/>
        <w:lang w:val="en-US" w:eastAsia="zh-CN" w:bidi="ar-SA"/>
      </w:rPr>
    </w:lvl>
    <w:lvl w:ilvl="7">
      <w:start w:val="0"/>
      <w:numFmt w:val="bullet"/>
      <w:lvlText w:val="•"/>
      <w:lvlJc w:val="left"/>
      <w:pPr>
        <w:ind w:left="6662" w:hanging="363"/>
      </w:pPr>
      <w:rPr>
        <w:rFonts w:hint="default"/>
        <w:lang w:val="en-US" w:eastAsia="zh-CN" w:bidi="ar-SA"/>
      </w:rPr>
    </w:lvl>
    <w:lvl w:ilvl="8">
      <w:start w:val="0"/>
      <w:numFmt w:val="bullet"/>
      <w:lvlText w:val="•"/>
      <w:lvlJc w:val="left"/>
      <w:pPr>
        <w:ind w:left="7596" w:hanging="363"/>
      </w:pPr>
      <w:rPr>
        <w:rFonts w:hint="default"/>
        <w:lang w:val="en-US" w:eastAsia="zh-CN" w:bidi="ar-SA"/>
      </w:rPr>
    </w:lvl>
  </w:abstractNum>
  <w:abstractNum w:abstractNumId="3">
    <w:nsid w:val="1197EF1F"/>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4">
    <w:nsid w:val="16034C0E"/>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5">
    <w:nsid w:val="16683EB5"/>
    <w:multiLevelType w:val="hybridMultilevel"/>
    <w:tmpl w:val="00000000"/>
    <w:lvl w:ilvl="0">
      <w:start w:val="1"/>
      <w:numFmt w:val="decimal"/>
      <w:lvlText w:val="（%1）"/>
      <w:lvlJc w:val="left"/>
      <w:pPr>
        <w:ind w:left="1073" w:hanging="713"/>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918" w:hanging="713"/>
      </w:pPr>
      <w:rPr>
        <w:rFonts w:hint="default"/>
        <w:lang w:val="en-US" w:eastAsia="zh-CN" w:bidi="ar-SA"/>
      </w:rPr>
    </w:lvl>
    <w:lvl w:ilvl="2">
      <w:start w:val="0"/>
      <w:numFmt w:val="bullet"/>
      <w:lvlText w:val="•"/>
      <w:lvlJc w:val="left"/>
      <w:pPr>
        <w:ind w:left="2757" w:hanging="713"/>
      </w:pPr>
      <w:rPr>
        <w:rFonts w:hint="default"/>
        <w:lang w:val="en-US" w:eastAsia="zh-CN" w:bidi="ar-SA"/>
      </w:rPr>
    </w:lvl>
    <w:lvl w:ilvl="3">
      <w:start w:val="0"/>
      <w:numFmt w:val="bullet"/>
      <w:lvlText w:val="•"/>
      <w:lvlJc w:val="left"/>
      <w:pPr>
        <w:ind w:left="3595" w:hanging="713"/>
      </w:pPr>
      <w:rPr>
        <w:rFonts w:hint="default"/>
        <w:lang w:val="en-US" w:eastAsia="zh-CN" w:bidi="ar-SA"/>
      </w:rPr>
    </w:lvl>
    <w:lvl w:ilvl="4">
      <w:start w:val="0"/>
      <w:numFmt w:val="bullet"/>
      <w:lvlText w:val="•"/>
      <w:lvlJc w:val="left"/>
      <w:pPr>
        <w:ind w:left="4434" w:hanging="713"/>
      </w:pPr>
      <w:rPr>
        <w:rFonts w:hint="default"/>
        <w:lang w:val="en-US" w:eastAsia="zh-CN" w:bidi="ar-SA"/>
      </w:rPr>
    </w:lvl>
    <w:lvl w:ilvl="5">
      <w:start w:val="0"/>
      <w:numFmt w:val="bullet"/>
      <w:lvlText w:val="•"/>
      <w:lvlJc w:val="left"/>
      <w:pPr>
        <w:ind w:left="5273" w:hanging="713"/>
      </w:pPr>
      <w:rPr>
        <w:rFonts w:hint="default"/>
        <w:lang w:val="en-US" w:eastAsia="zh-CN" w:bidi="ar-SA"/>
      </w:rPr>
    </w:lvl>
    <w:lvl w:ilvl="6">
      <w:start w:val="0"/>
      <w:numFmt w:val="bullet"/>
      <w:lvlText w:val="•"/>
      <w:lvlJc w:val="left"/>
      <w:pPr>
        <w:ind w:left="6111" w:hanging="713"/>
      </w:pPr>
      <w:rPr>
        <w:rFonts w:hint="default"/>
        <w:lang w:val="en-US" w:eastAsia="zh-CN" w:bidi="ar-SA"/>
      </w:rPr>
    </w:lvl>
    <w:lvl w:ilvl="7">
      <w:start w:val="0"/>
      <w:numFmt w:val="bullet"/>
      <w:lvlText w:val="•"/>
      <w:lvlJc w:val="left"/>
      <w:pPr>
        <w:ind w:left="6950" w:hanging="713"/>
      </w:pPr>
      <w:rPr>
        <w:rFonts w:hint="default"/>
        <w:lang w:val="en-US" w:eastAsia="zh-CN" w:bidi="ar-SA"/>
      </w:rPr>
    </w:lvl>
    <w:lvl w:ilvl="8">
      <w:start w:val="0"/>
      <w:numFmt w:val="bullet"/>
      <w:lvlText w:val="•"/>
      <w:lvlJc w:val="left"/>
      <w:pPr>
        <w:ind w:left="7788" w:hanging="713"/>
      </w:pPr>
      <w:rPr>
        <w:rFonts w:hint="default"/>
        <w:lang w:val="en-US" w:eastAsia="zh-CN" w:bidi="ar-SA"/>
      </w:rPr>
    </w:lvl>
  </w:abstractNum>
  <w:abstractNum w:abstractNumId="6">
    <w:nsid w:val="175B8A1A"/>
    <w:multiLevelType w:val="hybridMultilevel"/>
    <w:tmpl w:val="00000000"/>
    <w:lvl w:ilvl="0">
      <w:start w:val="4"/>
      <w:numFmt w:val="decimal"/>
      <w:lvlText w:val="%1"/>
      <w:lvlJc w:val="left"/>
      <w:pPr>
        <w:ind w:left="1014" w:hanging="423"/>
        <w:jc w:val="left"/>
      </w:pPr>
      <w:rPr>
        <w:rFonts w:hint="default"/>
        <w:lang w:val="en-US" w:eastAsia="zh-CN" w:bidi="ar-SA"/>
      </w:rPr>
    </w:lvl>
    <w:lvl w:ilvl="1">
      <w:start w:val="1"/>
      <w:numFmt w:val="decimal"/>
      <w:lvlText w:val="%1.%2"/>
      <w:lvlJc w:val="left"/>
      <w:pPr>
        <w:ind w:left="1014" w:hanging="423"/>
        <w:jc w:val="left"/>
      </w:pPr>
      <w:rPr>
        <w:rFonts w:ascii="Microsoft JhengHei" w:eastAsia="Microsoft JhengHei" w:hAnsi="Microsoft JhengHei" w:cs="Microsoft JhengHei" w:hint="default"/>
        <w:b/>
        <w:bCs/>
        <w:i w:val="0"/>
        <w:iCs w:val="0"/>
        <w:w w:val="83"/>
        <w:sz w:val="24"/>
        <w:szCs w:val="24"/>
        <w:lang w:val="en-US" w:eastAsia="zh-CN" w:bidi="ar-SA"/>
      </w:rPr>
    </w:lvl>
    <w:lvl w:ilvl="2">
      <w:start w:val="1"/>
      <w:numFmt w:val="decimal"/>
      <w:lvlText w:val="%1.%2.%3"/>
      <w:lvlJc w:val="left"/>
      <w:pPr>
        <w:ind w:left="1202" w:hanging="601"/>
        <w:jc w:val="left"/>
      </w:pPr>
      <w:rPr>
        <w:rFonts w:hint="default"/>
        <w:w w:val="100"/>
        <w:lang w:val="en-US" w:eastAsia="zh-CN" w:bidi="ar-SA"/>
      </w:rPr>
    </w:lvl>
    <w:lvl w:ilvl="3">
      <w:start w:val="0"/>
      <w:numFmt w:val="bullet"/>
      <w:lvlText w:val="•"/>
      <w:lvlJc w:val="left"/>
      <w:pPr>
        <w:ind w:left="1200" w:hanging="601"/>
      </w:pPr>
      <w:rPr>
        <w:rFonts w:hint="default"/>
        <w:lang w:val="en-US" w:eastAsia="zh-CN" w:bidi="ar-SA"/>
      </w:rPr>
    </w:lvl>
    <w:lvl w:ilvl="4">
      <w:start w:val="0"/>
      <w:numFmt w:val="bullet"/>
      <w:lvlText w:val="•"/>
      <w:lvlJc w:val="left"/>
      <w:pPr>
        <w:ind w:left="2380" w:hanging="601"/>
      </w:pPr>
      <w:rPr>
        <w:rFonts w:hint="default"/>
        <w:lang w:val="en-US" w:eastAsia="zh-CN" w:bidi="ar-SA"/>
      </w:rPr>
    </w:lvl>
    <w:lvl w:ilvl="5">
      <w:start w:val="0"/>
      <w:numFmt w:val="bullet"/>
      <w:lvlText w:val="•"/>
      <w:lvlJc w:val="left"/>
      <w:pPr>
        <w:ind w:left="3561" w:hanging="601"/>
      </w:pPr>
      <w:rPr>
        <w:rFonts w:hint="default"/>
        <w:lang w:val="en-US" w:eastAsia="zh-CN" w:bidi="ar-SA"/>
      </w:rPr>
    </w:lvl>
    <w:lvl w:ilvl="6">
      <w:start w:val="0"/>
      <w:numFmt w:val="bullet"/>
      <w:lvlText w:val="•"/>
      <w:lvlJc w:val="left"/>
      <w:pPr>
        <w:ind w:left="4742" w:hanging="601"/>
      </w:pPr>
      <w:rPr>
        <w:rFonts w:hint="default"/>
        <w:lang w:val="en-US" w:eastAsia="zh-CN" w:bidi="ar-SA"/>
      </w:rPr>
    </w:lvl>
    <w:lvl w:ilvl="7">
      <w:start w:val="0"/>
      <w:numFmt w:val="bullet"/>
      <w:lvlText w:val="•"/>
      <w:lvlJc w:val="left"/>
      <w:pPr>
        <w:ind w:left="5923" w:hanging="601"/>
      </w:pPr>
      <w:rPr>
        <w:rFonts w:hint="default"/>
        <w:lang w:val="en-US" w:eastAsia="zh-CN" w:bidi="ar-SA"/>
      </w:rPr>
    </w:lvl>
    <w:lvl w:ilvl="8">
      <w:start w:val="0"/>
      <w:numFmt w:val="bullet"/>
      <w:lvlText w:val="•"/>
      <w:lvlJc w:val="left"/>
      <w:pPr>
        <w:ind w:left="7104" w:hanging="601"/>
      </w:pPr>
      <w:rPr>
        <w:rFonts w:hint="default"/>
        <w:lang w:val="en-US" w:eastAsia="zh-CN" w:bidi="ar-SA"/>
      </w:rPr>
    </w:lvl>
  </w:abstractNum>
  <w:abstractNum w:abstractNumId="7">
    <w:nsid w:val="1A48BB9C"/>
    <w:multiLevelType w:val="hybridMultilevel"/>
    <w:tmpl w:val="00000000"/>
    <w:lvl w:ilvl="0">
      <w:start w:val="1"/>
      <w:numFmt w:val="decimal"/>
      <w:lvlText w:val="%1）"/>
      <w:lvlJc w:val="left"/>
      <w:pPr>
        <w:ind w:left="121" w:hanging="363"/>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054" w:hanging="363"/>
      </w:pPr>
      <w:rPr>
        <w:rFonts w:hint="default"/>
        <w:lang w:val="en-US" w:eastAsia="zh-CN" w:bidi="ar-SA"/>
      </w:rPr>
    </w:lvl>
    <w:lvl w:ilvl="2">
      <w:start w:val="0"/>
      <w:numFmt w:val="bullet"/>
      <w:lvlText w:val="•"/>
      <w:lvlJc w:val="left"/>
      <w:pPr>
        <w:ind w:left="1989" w:hanging="363"/>
      </w:pPr>
      <w:rPr>
        <w:rFonts w:hint="default"/>
        <w:lang w:val="en-US" w:eastAsia="zh-CN" w:bidi="ar-SA"/>
      </w:rPr>
    </w:lvl>
    <w:lvl w:ilvl="3">
      <w:start w:val="0"/>
      <w:numFmt w:val="bullet"/>
      <w:lvlText w:val="•"/>
      <w:lvlJc w:val="left"/>
      <w:pPr>
        <w:ind w:left="2923" w:hanging="363"/>
      </w:pPr>
      <w:rPr>
        <w:rFonts w:hint="default"/>
        <w:lang w:val="en-US" w:eastAsia="zh-CN" w:bidi="ar-SA"/>
      </w:rPr>
    </w:lvl>
    <w:lvl w:ilvl="4">
      <w:start w:val="0"/>
      <w:numFmt w:val="bullet"/>
      <w:lvlText w:val="•"/>
      <w:lvlJc w:val="left"/>
      <w:pPr>
        <w:ind w:left="3858" w:hanging="363"/>
      </w:pPr>
      <w:rPr>
        <w:rFonts w:hint="default"/>
        <w:lang w:val="en-US" w:eastAsia="zh-CN" w:bidi="ar-SA"/>
      </w:rPr>
    </w:lvl>
    <w:lvl w:ilvl="5">
      <w:start w:val="0"/>
      <w:numFmt w:val="bullet"/>
      <w:lvlText w:val="•"/>
      <w:lvlJc w:val="left"/>
      <w:pPr>
        <w:ind w:left="4793" w:hanging="363"/>
      </w:pPr>
      <w:rPr>
        <w:rFonts w:hint="default"/>
        <w:lang w:val="en-US" w:eastAsia="zh-CN" w:bidi="ar-SA"/>
      </w:rPr>
    </w:lvl>
    <w:lvl w:ilvl="6">
      <w:start w:val="0"/>
      <w:numFmt w:val="bullet"/>
      <w:lvlText w:val="•"/>
      <w:lvlJc w:val="left"/>
      <w:pPr>
        <w:ind w:left="5727" w:hanging="363"/>
      </w:pPr>
      <w:rPr>
        <w:rFonts w:hint="default"/>
        <w:lang w:val="en-US" w:eastAsia="zh-CN" w:bidi="ar-SA"/>
      </w:rPr>
    </w:lvl>
    <w:lvl w:ilvl="7">
      <w:start w:val="0"/>
      <w:numFmt w:val="bullet"/>
      <w:lvlText w:val="•"/>
      <w:lvlJc w:val="left"/>
      <w:pPr>
        <w:ind w:left="6662" w:hanging="363"/>
      </w:pPr>
      <w:rPr>
        <w:rFonts w:hint="default"/>
        <w:lang w:val="en-US" w:eastAsia="zh-CN" w:bidi="ar-SA"/>
      </w:rPr>
    </w:lvl>
    <w:lvl w:ilvl="8">
      <w:start w:val="0"/>
      <w:numFmt w:val="bullet"/>
      <w:lvlText w:val="•"/>
      <w:lvlJc w:val="left"/>
      <w:pPr>
        <w:ind w:left="7596" w:hanging="363"/>
      </w:pPr>
      <w:rPr>
        <w:rFonts w:hint="default"/>
        <w:lang w:val="en-US" w:eastAsia="zh-CN" w:bidi="ar-SA"/>
      </w:rPr>
    </w:lvl>
  </w:abstractNum>
  <w:abstractNum w:abstractNumId="8">
    <w:nsid w:val="1C6935AF"/>
    <w:multiLevelType w:val="hybridMultilevel"/>
    <w:tmpl w:val="00000000"/>
    <w:lvl w:ilvl="0">
      <w:start w:val="1"/>
      <w:numFmt w:val="decimal"/>
      <w:lvlText w:val="（%1）"/>
      <w:lvlJc w:val="left"/>
      <w:pPr>
        <w:ind w:left="1073" w:hanging="713"/>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918" w:hanging="713"/>
      </w:pPr>
      <w:rPr>
        <w:rFonts w:hint="default"/>
        <w:lang w:val="en-US" w:eastAsia="zh-CN" w:bidi="ar-SA"/>
      </w:rPr>
    </w:lvl>
    <w:lvl w:ilvl="2">
      <w:start w:val="0"/>
      <w:numFmt w:val="bullet"/>
      <w:lvlText w:val="•"/>
      <w:lvlJc w:val="left"/>
      <w:pPr>
        <w:ind w:left="2757" w:hanging="713"/>
      </w:pPr>
      <w:rPr>
        <w:rFonts w:hint="default"/>
        <w:lang w:val="en-US" w:eastAsia="zh-CN" w:bidi="ar-SA"/>
      </w:rPr>
    </w:lvl>
    <w:lvl w:ilvl="3">
      <w:start w:val="0"/>
      <w:numFmt w:val="bullet"/>
      <w:lvlText w:val="•"/>
      <w:lvlJc w:val="left"/>
      <w:pPr>
        <w:ind w:left="3595" w:hanging="713"/>
      </w:pPr>
      <w:rPr>
        <w:rFonts w:hint="default"/>
        <w:lang w:val="en-US" w:eastAsia="zh-CN" w:bidi="ar-SA"/>
      </w:rPr>
    </w:lvl>
    <w:lvl w:ilvl="4">
      <w:start w:val="0"/>
      <w:numFmt w:val="bullet"/>
      <w:lvlText w:val="•"/>
      <w:lvlJc w:val="left"/>
      <w:pPr>
        <w:ind w:left="4434" w:hanging="713"/>
      </w:pPr>
      <w:rPr>
        <w:rFonts w:hint="default"/>
        <w:lang w:val="en-US" w:eastAsia="zh-CN" w:bidi="ar-SA"/>
      </w:rPr>
    </w:lvl>
    <w:lvl w:ilvl="5">
      <w:start w:val="0"/>
      <w:numFmt w:val="bullet"/>
      <w:lvlText w:val="•"/>
      <w:lvlJc w:val="left"/>
      <w:pPr>
        <w:ind w:left="5273" w:hanging="713"/>
      </w:pPr>
      <w:rPr>
        <w:rFonts w:hint="default"/>
        <w:lang w:val="en-US" w:eastAsia="zh-CN" w:bidi="ar-SA"/>
      </w:rPr>
    </w:lvl>
    <w:lvl w:ilvl="6">
      <w:start w:val="0"/>
      <w:numFmt w:val="bullet"/>
      <w:lvlText w:val="•"/>
      <w:lvlJc w:val="left"/>
      <w:pPr>
        <w:ind w:left="6111" w:hanging="713"/>
      </w:pPr>
      <w:rPr>
        <w:rFonts w:hint="default"/>
        <w:lang w:val="en-US" w:eastAsia="zh-CN" w:bidi="ar-SA"/>
      </w:rPr>
    </w:lvl>
    <w:lvl w:ilvl="7">
      <w:start w:val="0"/>
      <w:numFmt w:val="bullet"/>
      <w:lvlText w:val="•"/>
      <w:lvlJc w:val="left"/>
      <w:pPr>
        <w:ind w:left="6950" w:hanging="713"/>
      </w:pPr>
      <w:rPr>
        <w:rFonts w:hint="default"/>
        <w:lang w:val="en-US" w:eastAsia="zh-CN" w:bidi="ar-SA"/>
      </w:rPr>
    </w:lvl>
    <w:lvl w:ilvl="8">
      <w:start w:val="0"/>
      <w:numFmt w:val="bullet"/>
      <w:lvlText w:val="•"/>
      <w:lvlJc w:val="left"/>
      <w:pPr>
        <w:ind w:left="7788" w:hanging="713"/>
      </w:pPr>
      <w:rPr>
        <w:rFonts w:hint="default"/>
        <w:lang w:val="en-US" w:eastAsia="zh-CN" w:bidi="ar-SA"/>
      </w:rPr>
    </w:lvl>
  </w:abstractNum>
  <w:abstractNum w:abstractNumId="9">
    <w:nsid w:val="1EBC7343"/>
    <w:multiLevelType w:val="hybridMultilevel"/>
    <w:tmpl w:val="00000000"/>
    <w:lvl w:ilvl="0">
      <w:start w:val="8"/>
      <w:numFmt w:val="decimal"/>
      <w:lvlText w:val="%1"/>
      <w:lvlJc w:val="left"/>
      <w:pPr>
        <w:ind w:left="1102" w:hanging="421"/>
        <w:jc w:val="left"/>
      </w:pPr>
      <w:rPr>
        <w:rFonts w:hint="default"/>
        <w:lang w:val="en-US" w:eastAsia="zh-CN" w:bidi="ar-SA"/>
      </w:rPr>
    </w:lvl>
    <w:lvl w:ilvl="1">
      <w:start w:val="1"/>
      <w:numFmt w:val="decimal"/>
      <w:lvlText w:val="%1.%2"/>
      <w:lvlJc w:val="left"/>
      <w:pPr>
        <w:ind w:left="1102" w:hanging="421"/>
        <w:jc w:val="right"/>
      </w:pPr>
      <w:rPr>
        <w:rFonts w:ascii="宋体" w:eastAsia="宋体" w:hAnsi="宋体" w:cs="宋体" w:hint="default"/>
        <w:b w:val="0"/>
        <w:bCs w:val="0"/>
        <w:i w:val="0"/>
        <w:iCs w:val="0"/>
        <w:w w:val="100"/>
        <w:sz w:val="26"/>
        <w:szCs w:val="26"/>
        <w:lang w:val="en-US" w:eastAsia="zh-CN" w:bidi="ar-SA"/>
      </w:rPr>
    </w:lvl>
    <w:lvl w:ilvl="2">
      <w:start w:val="1"/>
      <w:numFmt w:val="decimal"/>
      <w:lvlText w:val="（%3）"/>
      <w:lvlJc w:val="left"/>
      <w:pPr>
        <w:ind w:left="1202" w:hanging="601"/>
        <w:jc w:val="left"/>
      </w:pPr>
      <w:rPr>
        <w:rFonts w:ascii="宋体" w:eastAsia="宋体" w:hAnsi="宋体" w:cs="宋体" w:hint="default"/>
        <w:b w:val="0"/>
        <w:bCs w:val="0"/>
        <w:i w:val="0"/>
        <w:iCs w:val="0"/>
        <w:w w:val="100"/>
        <w:sz w:val="22"/>
        <w:szCs w:val="22"/>
        <w:lang w:val="en-US" w:eastAsia="zh-CN" w:bidi="ar-SA"/>
      </w:rPr>
    </w:lvl>
    <w:lvl w:ilvl="3">
      <w:start w:val="1"/>
      <w:numFmt w:val="decimal"/>
      <w:lvlText w:val="%4）"/>
      <w:lvlJc w:val="left"/>
      <w:pPr>
        <w:ind w:left="1382" w:hanging="361"/>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2535" w:hanging="361"/>
      </w:pPr>
      <w:rPr>
        <w:rFonts w:hint="default"/>
        <w:lang w:val="en-US" w:eastAsia="zh-CN" w:bidi="ar-SA"/>
      </w:rPr>
    </w:lvl>
    <w:lvl w:ilvl="5">
      <w:start w:val="0"/>
      <w:numFmt w:val="bullet"/>
      <w:lvlText w:val="•"/>
      <w:lvlJc w:val="left"/>
      <w:pPr>
        <w:ind w:left="3690" w:hanging="361"/>
      </w:pPr>
      <w:rPr>
        <w:rFonts w:hint="default"/>
        <w:lang w:val="en-US" w:eastAsia="zh-CN" w:bidi="ar-SA"/>
      </w:rPr>
    </w:lvl>
    <w:lvl w:ilvl="6">
      <w:start w:val="0"/>
      <w:numFmt w:val="bullet"/>
      <w:lvlText w:val="•"/>
      <w:lvlJc w:val="left"/>
      <w:pPr>
        <w:ind w:left="4845" w:hanging="361"/>
      </w:pPr>
      <w:rPr>
        <w:rFonts w:hint="default"/>
        <w:lang w:val="en-US" w:eastAsia="zh-CN" w:bidi="ar-SA"/>
      </w:rPr>
    </w:lvl>
    <w:lvl w:ilvl="7">
      <w:start w:val="0"/>
      <w:numFmt w:val="bullet"/>
      <w:lvlText w:val="•"/>
      <w:lvlJc w:val="left"/>
      <w:pPr>
        <w:ind w:left="6000" w:hanging="361"/>
      </w:pPr>
      <w:rPr>
        <w:rFonts w:hint="default"/>
        <w:lang w:val="en-US" w:eastAsia="zh-CN" w:bidi="ar-SA"/>
      </w:rPr>
    </w:lvl>
    <w:lvl w:ilvl="8">
      <w:start w:val="0"/>
      <w:numFmt w:val="bullet"/>
      <w:lvlText w:val="•"/>
      <w:lvlJc w:val="left"/>
      <w:pPr>
        <w:ind w:left="7155" w:hanging="361"/>
      </w:pPr>
      <w:rPr>
        <w:rFonts w:hint="default"/>
        <w:lang w:val="en-US" w:eastAsia="zh-CN" w:bidi="ar-SA"/>
      </w:rPr>
    </w:lvl>
  </w:abstractNum>
  <w:abstractNum w:abstractNumId="10">
    <w:nsid w:val="2274A385"/>
    <w:multiLevelType w:val="hybridMultilevel"/>
    <w:tmpl w:val="00000000"/>
    <w:lvl w:ilvl="0">
      <w:start w:val="4"/>
      <w:numFmt w:val="decimal"/>
      <w:lvlText w:val="(%1)"/>
      <w:lvlJc w:val="left"/>
      <w:pPr>
        <w:ind w:left="121" w:hanging="354"/>
        <w:jc w:val="left"/>
      </w:pPr>
      <w:rPr>
        <w:rFonts w:ascii="宋体" w:eastAsia="宋体" w:hAnsi="宋体" w:cs="宋体" w:hint="default"/>
        <w:b w:val="0"/>
        <w:bCs w:val="0"/>
        <w:i w:val="0"/>
        <w:iCs w:val="0"/>
        <w:spacing w:val="-5"/>
        <w:w w:val="100"/>
        <w:sz w:val="22"/>
        <w:szCs w:val="22"/>
        <w:lang w:val="en-US" w:eastAsia="zh-CN" w:bidi="ar-SA"/>
      </w:rPr>
    </w:lvl>
    <w:lvl w:ilvl="1">
      <w:start w:val="0"/>
      <w:numFmt w:val="bullet"/>
      <w:lvlText w:val="•"/>
      <w:lvlJc w:val="left"/>
      <w:pPr>
        <w:ind w:left="1054" w:hanging="354"/>
      </w:pPr>
      <w:rPr>
        <w:rFonts w:hint="default"/>
        <w:lang w:val="en-US" w:eastAsia="zh-CN" w:bidi="ar-SA"/>
      </w:rPr>
    </w:lvl>
    <w:lvl w:ilvl="2">
      <w:start w:val="0"/>
      <w:numFmt w:val="bullet"/>
      <w:lvlText w:val="•"/>
      <w:lvlJc w:val="left"/>
      <w:pPr>
        <w:ind w:left="1989" w:hanging="354"/>
      </w:pPr>
      <w:rPr>
        <w:rFonts w:hint="default"/>
        <w:lang w:val="en-US" w:eastAsia="zh-CN" w:bidi="ar-SA"/>
      </w:rPr>
    </w:lvl>
    <w:lvl w:ilvl="3">
      <w:start w:val="0"/>
      <w:numFmt w:val="bullet"/>
      <w:lvlText w:val="•"/>
      <w:lvlJc w:val="left"/>
      <w:pPr>
        <w:ind w:left="2923" w:hanging="354"/>
      </w:pPr>
      <w:rPr>
        <w:rFonts w:hint="default"/>
        <w:lang w:val="en-US" w:eastAsia="zh-CN" w:bidi="ar-SA"/>
      </w:rPr>
    </w:lvl>
    <w:lvl w:ilvl="4">
      <w:start w:val="0"/>
      <w:numFmt w:val="bullet"/>
      <w:lvlText w:val="•"/>
      <w:lvlJc w:val="left"/>
      <w:pPr>
        <w:ind w:left="3858" w:hanging="354"/>
      </w:pPr>
      <w:rPr>
        <w:rFonts w:hint="default"/>
        <w:lang w:val="en-US" w:eastAsia="zh-CN" w:bidi="ar-SA"/>
      </w:rPr>
    </w:lvl>
    <w:lvl w:ilvl="5">
      <w:start w:val="0"/>
      <w:numFmt w:val="bullet"/>
      <w:lvlText w:val="•"/>
      <w:lvlJc w:val="left"/>
      <w:pPr>
        <w:ind w:left="4793" w:hanging="354"/>
      </w:pPr>
      <w:rPr>
        <w:rFonts w:hint="default"/>
        <w:lang w:val="en-US" w:eastAsia="zh-CN" w:bidi="ar-SA"/>
      </w:rPr>
    </w:lvl>
    <w:lvl w:ilvl="6">
      <w:start w:val="0"/>
      <w:numFmt w:val="bullet"/>
      <w:lvlText w:val="•"/>
      <w:lvlJc w:val="left"/>
      <w:pPr>
        <w:ind w:left="5727" w:hanging="354"/>
      </w:pPr>
      <w:rPr>
        <w:rFonts w:hint="default"/>
        <w:lang w:val="en-US" w:eastAsia="zh-CN" w:bidi="ar-SA"/>
      </w:rPr>
    </w:lvl>
    <w:lvl w:ilvl="7">
      <w:start w:val="0"/>
      <w:numFmt w:val="bullet"/>
      <w:lvlText w:val="•"/>
      <w:lvlJc w:val="left"/>
      <w:pPr>
        <w:ind w:left="6662" w:hanging="354"/>
      </w:pPr>
      <w:rPr>
        <w:rFonts w:hint="default"/>
        <w:lang w:val="en-US" w:eastAsia="zh-CN" w:bidi="ar-SA"/>
      </w:rPr>
    </w:lvl>
    <w:lvl w:ilvl="8">
      <w:start w:val="0"/>
      <w:numFmt w:val="bullet"/>
      <w:lvlText w:val="•"/>
      <w:lvlJc w:val="left"/>
      <w:pPr>
        <w:ind w:left="7596" w:hanging="354"/>
      </w:pPr>
      <w:rPr>
        <w:rFonts w:hint="default"/>
        <w:lang w:val="en-US" w:eastAsia="zh-CN" w:bidi="ar-SA"/>
      </w:rPr>
    </w:lvl>
  </w:abstractNum>
  <w:abstractNum w:abstractNumId="11">
    <w:nsid w:val="33BC6DFC"/>
    <w:multiLevelType w:val="hybridMultilevel"/>
    <w:tmpl w:val="00000000"/>
    <w:lvl w:ilvl="0">
      <w:start w:val="1"/>
      <w:numFmt w:val="decimal"/>
      <w:lvlText w:val="（%1）"/>
      <w:lvlJc w:val="left"/>
      <w:pPr>
        <w:ind w:left="710" w:hanging="589"/>
        <w:jc w:val="left"/>
      </w:pPr>
      <w:rPr>
        <w:rFonts w:ascii="宋体" w:eastAsia="宋体" w:hAnsi="宋体" w:cs="宋体" w:hint="default"/>
        <w:b w:val="0"/>
        <w:bCs w:val="0"/>
        <w:i w:val="0"/>
        <w:iCs w:val="0"/>
        <w:spacing w:val="-128"/>
        <w:w w:val="100"/>
        <w:sz w:val="22"/>
        <w:szCs w:val="22"/>
        <w:lang w:val="en-US" w:eastAsia="zh-CN" w:bidi="ar-SA"/>
      </w:rPr>
    </w:lvl>
    <w:lvl w:ilvl="1">
      <w:start w:val="1"/>
      <w:numFmt w:val="decimal"/>
      <w:lvlText w:val="%2）"/>
      <w:lvlJc w:val="left"/>
      <w:pPr>
        <w:ind w:left="962" w:hanging="361"/>
        <w:jc w:val="left"/>
      </w:pPr>
      <w:rPr>
        <w:rFonts w:ascii="Times New Roman" w:eastAsia="Times New Roman" w:hAnsi="Times New Roman" w:cs="Times New Roman" w:hint="default"/>
        <w:b w:val="0"/>
        <w:bCs w:val="0"/>
        <w:i w:val="0"/>
        <w:iCs w:val="0"/>
        <w:w w:val="100"/>
        <w:sz w:val="22"/>
        <w:szCs w:val="22"/>
        <w:lang w:val="en-US" w:eastAsia="zh-CN" w:bidi="ar-SA"/>
      </w:rPr>
    </w:lvl>
    <w:lvl w:ilvl="2">
      <w:start w:val="0"/>
      <w:numFmt w:val="bullet"/>
      <w:lvlText w:val="•"/>
      <w:lvlJc w:val="left"/>
      <w:pPr>
        <w:ind w:left="1905" w:hanging="361"/>
      </w:pPr>
      <w:rPr>
        <w:rFonts w:hint="default"/>
        <w:lang w:val="en-US" w:eastAsia="zh-CN" w:bidi="ar-SA"/>
      </w:rPr>
    </w:lvl>
    <w:lvl w:ilvl="3">
      <w:start w:val="0"/>
      <w:numFmt w:val="bullet"/>
      <w:lvlText w:val="•"/>
      <w:lvlJc w:val="left"/>
      <w:pPr>
        <w:ind w:left="2850" w:hanging="361"/>
      </w:pPr>
      <w:rPr>
        <w:rFonts w:hint="default"/>
        <w:lang w:val="en-US" w:eastAsia="zh-CN" w:bidi="ar-SA"/>
      </w:rPr>
    </w:lvl>
    <w:lvl w:ilvl="4">
      <w:start w:val="0"/>
      <w:numFmt w:val="bullet"/>
      <w:lvlText w:val="•"/>
      <w:lvlJc w:val="left"/>
      <w:pPr>
        <w:ind w:left="3795" w:hanging="361"/>
      </w:pPr>
      <w:rPr>
        <w:rFonts w:hint="default"/>
        <w:lang w:val="en-US" w:eastAsia="zh-CN" w:bidi="ar-SA"/>
      </w:rPr>
    </w:lvl>
    <w:lvl w:ilvl="5">
      <w:start w:val="0"/>
      <w:numFmt w:val="bullet"/>
      <w:lvlText w:val="•"/>
      <w:lvlJc w:val="left"/>
      <w:pPr>
        <w:ind w:left="4740" w:hanging="361"/>
      </w:pPr>
      <w:rPr>
        <w:rFonts w:hint="default"/>
        <w:lang w:val="en-US" w:eastAsia="zh-CN" w:bidi="ar-SA"/>
      </w:rPr>
    </w:lvl>
    <w:lvl w:ilvl="6">
      <w:start w:val="0"/>
      <w:numFmt w:val="bullet"/>
      <w:lvlText w:val="•"/>
      <w:lvlJc w:val="left"/>
      <w:pPr>
        <w:ind w:left="5685" w:hanging="361"/>
      </w:pPr>
      <w:rPr>
        <w:rFonts w:hint="default"/>
        <w:lang w:val="en-US" w:eastAsia="zh-CN" w:bidi="ar-SA"/>
      </w:rPr>
    </w:lvl>
    <w:lvl w:ilvl="7">
      <w:start w:val="0"/>
      <w:numFmt w:val="bullet"/>
      <w:lvlText w:val="•"/>
      <w:lvlJc w:val="left"/>
      <w:pPr>
        <w:ind w:left="6630" w:hanging="361"/>
      </w:pPr>
      <w:rPr>
        <w:rFonts w:hint="default"/>
        <w:lang w:val="en-US" w:eastAsia="zh-CN" w:bidi="ar-SA"/>
      </w:rPr>
    </w:lvl>
    <w:lvl w:ilvl="8">
      <w:start w:val="0"/>
      <w:numFmt w:val="bullet"/>
      <w:lvlText w:val="•"/>
      <w:lvlJc w:val="left"/>
      <w:pPr>
        <w:ind w:left="7575" w:hanging="361"/>
      </w:pPr>
      <w:rPr>
        <w:rFonts w:hint="default"/>
        <w:lang w:val="en-US" w:eastAsia="zh-CN" w:bidi="ar-SA"/>
      </w:rPr>
    </w:lvl>
  </w:abstractNum>
  <w:abstractNum w:abstractNumId="12">
    <w:nsid w:val="36BBF21F"/>
    <w:multiLevelType w:val="hybridMultilevel"/>
    <w:tmpl w:val="00000000"/>
    <w:lvl w:ilvl="0">
      <w:start w:val="1"/>
      <w:numFmt w:val="decimal"/>
      <w:lvlText w:val="（%1）"/>
      <w:lvlJc w:val="left"/>
      <w:pPr>
        <w:ind w:left="121" w:hanging="589"/>
        <w:jc w:val="left"/>
      </w:pPr>
      <w:rPr>
        <w:rFonts w:ascii="宋体" w:eastAsia="宋体" w:hAnsi="宋体" w:cs="宋体" w:hint="default"/>
        <w:b w:val="0"/>
        <w:bCs w:val="0"/>
        <w:i w:val="0"/>
        <w:iCs w:val="0"/>
        <w:spacing w:val="-128"/>
        <w:w w:val="100"/>
        <w:sz w:val="22"/>
        <w:szCs w:val="22"/>
        <w:lang w:val="en-US" w:eastAsia="zh-CN" w:bidi="ar-SA"/>
      </w:rPr>
    </w:lvl>
    <w:lvl w:ilvl="1">
      <w:start w:val="0"/>
      <w:numFmt w:val="bullet"/>
      <w:lvlText w:val="•"/>
      <w:lvlJc w:val="left"/>
      <w:pPr>
        <w:ind w:left="1054" w:hanging="589"/>
      </w:pPr>
      <w:rPr>
        <w:rFonts w:hint="default"/>
        <w:lang w:val="en-US" w:eastAsia="zh-CN" w:bidi="ar-SA"/>
      </w:rPr>
    </w:lvl>
    <w:lvl w:ilvl="2">
      <w:start w:val="0"/>
      <w:numFmt w:val="bullet"/>
      <w:lvlText w:val="•"/>
      <w:lvlJc w:val="left"/>
      <w:pPr>
        <w:ind w:left="1989" w:hanging="589"/>
      </w:pPr>
      <w:rPr>
        <w:rFonts w:hint="default"/>
        <w:lang w:val="en-US" w:eastAsia="zh-CN" w:bidi="ar-SA"/>
      </w:rPr>
    </w:lvl>
    <w:lvl w:ilvl="3">
      <w:start w:val="0"/>
      <w:numFmt w:val="bullet"/>
      <w:lvlText w:val="•"/>
      <w:lvlJc w:val="left"/>
      <w:pPr>
        <w:ind w:left="2923" w:hanging="589"/>
      </w:pPr>
      <w:rPr>
        <w:rFonts w:hint="default"/>
        <w:lang w:val="en-US" w:eastAsia="zh-CN" w:bidi="ar-SA"/>
      </w:rPr>
    </w:lvl>
    <w:lvl w:ilvl="4">
      <w:start w:val="0"/>
      <w:numFmt w:val="bullet"/>
      <w:lvlText w:val="•"/>
      <w:lvlJc w:val="left"/>
      <w:pPr>
        <w:ind w:left="3858" w:hanging="589"/>
      </w:pPr>
      <w:rPr>
        <w:rFonts w:hint="default"/>
        <w:lang w:val="en-US" w:eastAsia="zh-CN" w:bidi="ar-SA"/>
      </w:rPr>
    </w:lvl>
    <w:lvl w:ilvl="5">
      <w:start w:val="0"/>
      <w:numFmt w:val="bullet"/>
      <w:lvlText w:val="•"/>
      <w:lvlJc w:val="left"/>
      <w:pPr>
        <w:ind w:left="4793" w:hanging="589"/>
      </w:pPr>
      <w:rPr>
        <w:rFonts w:hint="default"/>
        <w:lang w:val="en-US" w:eastAsia="zh-CN" w:bidi="ar-SA"/>
      </w:rPr>
    </w:lvl>
    <w:lvl w:ilvl="6">
      <w:start w:val="0"/>
      <w:numFmt w:val="bullet"/>
      <w:lvlText w:val="•"/>
      <w:lvlJc w:val="left"/>
      <w:pPr>
        <w:ind w:left="5727" w:hanging="589"/>
      </w:pPr>
      <w:rPr>
        <w:rFonts w:hint="default"/>
        <w:lang w:val="en-US" w:eastAsia="zh-CN" w:bidi="ar-SA"/>
      </w:rPr>
    </w:lvl>
    <w:lvl w:ilvl="7">
      <w:start w:val="0"/>
      <w:numFmt w:val="bullet"/>
      <w:lvlText w:val="•"/>
      <w:lvlJc w:val="left"/>
      <w:pPr>
        <w:ind w:left="6662" w:hanging="589"/>
      </w:pPr>
      <w:rPr>
        <w:rFonts w:hint="default"/>
        <w:lang w:val="en-US" w:eastAsia="zh-CN" w:bidi="ar-SA"/>
      </w:rPr>
    </w:lvl>
    <w:lvl w:ilvl="8">
      <w:start w:val="0"/>
      <w:numFmt w:val="bullet"/>
      <w:lvlText w:val="•"/>
      <w:lvlJc w:val="left"/>
      <w:pPr>
        <w:ind w:left="7596" w:hanging="589"/>
      </w:pPr>
      <w:rPr>
        <w:rFonts w:hint="default"/>
        <w:lang w:val="en-US" w:eastAsia="zh-CN" w:bidi="ar-SA"/>
      </w:rPr>
    </w:lvl>
  </w:abstractNum>
  <w:abstractNum w:abstractNumId="13">
    <w:nsid w:val="37A38E3E"/>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14">
    <w:nsid w:val="39177905"/>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15">
    <w:nsid w:val="396EF5A7"/>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16">
    <w:nsid w:val="3BA41755"/>
    <w:multiLevelType w:val="hybridMultilevel"/>
    <w:tmpl w:val="00000000"/>
    <w:lvl w:ilvl="0">
      <w:start w:val="1"/>
      <w:numFmt w:val="decimal"/>
      <w:lvlText w:val="%1）"/>
      <w:lvlJc w:val="left"/>
      <w:pPr>
        <w:ind w:left="960"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17">
    <w:nsid w:val="3DC001F2"/>
    <w:multiLevelType w:val="hybridMultilevel"/>
    <w:tmpl w:val="00000000"/>
    <w:lvl w:ilvl="0">
      <w:start w:val="1"/>
      <w:numFmt w:val="decimal"/>
      <w:lvlText w:val="（%1）"/>
      <w:lvlJc w:val="left"/>
      <w:pPr>
        <w:ind w:left="121" w:hanging="589"/>
        <w:jc w:val="left"/>
      </w:pPr>
      <w:rPr>
        <w:rFonts w:ascii="宋体" w:eastAsia="宋体" w:hAnsi="宋体" w:cs="宋体" w:hint="default"/>
        <w:b w:val="0"/>
        <w:bCs w:val="0"/>
        <w:i w:val="0"/>
        <w:iCs w:val="0"/>
        <w:spacing w:val="-128"/>
        <w:w w:val="100"/>
        <w:sz w:val="22"/>
        <w:szCs w:val="22"/>
        <w:lang w:val="en-US" w:eastAsia="zh-CN" w:bidi="ar-SA"/>
      </w:rPr>
    </w:lvl>
    <w:lvl w:ilvl="1">
      <w:start w:val="2"/>
      <w:numFmt w:val="decimal"/>
      <w:lvlText w:val="(%2)"/>
      <w:lvlJc w:val="left"/>
      <w:pPr>
        <w:ind w:left="834" w:hanging="354"/>
        <w:jc w:val="right"/>
      </w:pPr>
      <w:rPr>
        <w:rFonts w:ascii="宋体" w:eastAsia="宋体" w:hAnsi="宋体" w:cs="宋体" w:hint="default"/>
        <w:b w:val="0"/>
        <w:bCs w:val="0"/>
        <w:i w:val="0"/>
        <w:iCs w:val="0"/>
        <w:spacing w:val="-5"/>
        <w:w w:val="100"/>
        <w:sz w:val="22"/>
        <w:szCs w:val="22"/>
        <w:lang w:val="en-US" w:eastAsia="zh-CN" w:bidi="ar-SA"/>
      </w:rPr>
    </w:lvl>
    <w:lvl w:ilvl="2">
      <w:start w:val="1"/>
      <w:numFmt w:val="decimal"/>
      <w:lvlText w:val="%3）"/>
      <w:lvlJc w:val="left"/>
      <w:pPr>
        <w:ind w:left="121" w:hanging="357"/>
        <w:jc w:val="left"/>
      </w:pPr>
      <w:rPr>
        <w:rFonts w:ascii="宋体" w:eastAsia="宋体" w:hAnsi="宋体" w:cs="宋体" w:hint="default"/>
        <w:b w:val="0"/>
        <w:bCs w:val="0"/>
        <w:i w:val="0"/>
        <w:iCs w:val="0"/>
        <w:spacing w:val="-6"/>
        <w:w w:val="100"/>
        <w:sz w:val="22"/>
        <w:szCs w:val="22"/>
        <w:lang w:val="en-US" w:eastAsia="zh-CN" w:bidi="ar-SA"/>
      </w:rPr>
    </w:lvl>
    <w:lvl w:ilvl="3">
      <w:start w:val="0"/>
      <w:numFmt w:val="bullet"/>
      <w:lvlText w:val="•"/>
      <w:lvlJc w:val="left"/>
      <w:pPr>
        <w:ind w:left="2756" w:hanging="357"/>
      </w:pPr>
      <w:rPr>
        <w:rFonts w:hint="default"/>
        <w:lang w:val="en-US" w:eastAsia="zh-CN" w:bidi="ar-SA"/>
      </w:rPr>
    </w:lvl>
    <w:lvl w:ilvl="4">
      <w:start w:val="0"/>
      <w:numFmt w:val="bullet"/>
      <w:lvlText w:val="•"/>
      <w:lvlJc w:val="left"/>
      <w:pPr>
        <w:ind w:left="3715" w:hanging="357"/>
      </w:pPr>
      <w:rPr>
        <w:rFonts w:hint="default"/>
        <w:lang w:val="en-US" w:eastAsia="zh-CN" w:bidi="ar-SA"/>
      </w:rPr>
    </w:lvl>
    <w:lvl w:ilvl="5">
      <w:start w:val="0"/>
      <w:numFmt w:val="bullet"/>
      <w:lvlText w:val="•"/>
      <w:lvlJc w:val="left"/>
      <w:pPr>
        <w:ind w:left="4673" w:hanging="357"/>
      </w:pPr>
      <w:rPr>
        <w:rFonts w:hint="default"/>
        <w:lang w:val="en-US" w:eastAsia="zh-CN" w:bidi="ar-SA"/>
      </w:rPr>
    </w:lvl>
    <w:lvl w:ilvl="6">
      <w:start w:val="0"/>
      <w:numFmt w:val="bullet"/>
      <w:lvlText w:val="•"/>
      <w:lvlJc w:val="left"/>
      <w:pPr>
        <w:ind w:left="5632" w:hanging="357"/>
      </w:pPr>
      <w:rPr>
        <w:rFonts w:hint="default"/>
        <w:lang w:val="en-US" w:eastAsia="zh-CN" w:bidi="ar-SA"/>
      </w:rPr>
    </w:lvl>
    <w:lvl w:ilvl="7">
      <w:start w:val="0"/>
      <w:numFmt w:val="bullet"/>
      <w:lvlText w:val="•"/>
      <w:lvlJc w:val="left"/>
      <w:pPr>
        <w:ind w:left="6590" w:hanging="357"/>
      </w:pPr>
      <w:rPr>
        <w:rFonts w:hint="default"/>
        <w:lang w:val="en-US" w:eastAsia="zh-CN" w:bidi="ar-SA"/>
      </w:rPr>
    </w:lvl>
    <w:lvl w:ilvl="8">
      <w:start w:val="0"/>
      <w:numFmt w:val="bullet"/>
      <w:lvlText w:val="•"/>
      <w:lvlJc w:val="left"/>
      <w:pPr>
        <w:ind w:left="7549" w:hanging="357"/>
      </w:pPr>
      <w:rPr>
        <w:rFonts w:hint="default"/>
        <w:lang w:val="en-US" w:eastAsia="zh-CN" w:bidi="ar-SA"/>
      </w:rPr>
    </w:lvl>
  </w:abstractNum>
  <w:abstractNum w:abstractNumId="18">
    <w:nsid w:val="40E92957"/>
    <w:multiLevelType w:val="hybridMultilevel"/>
    <w:tmpl w:val="00000000"/>
    <w:lvl w:ilvl="0">
      <w:start w:val="4"/>
      <w:numFmt w:val="decimal"/>
      <w:lvlText w:val="%1"/>
      <w:lvlJc w:val="left"/>
      <w:pPr>
        <w:ind w:left="1014" w:hanging="423"/>
        <w:jc w:val="left"/>
      </w:pPr>
      <w:rPr>
        <w:rFonts w:hint="default"/>
        <w:lang w:val="en-US" w:eastAsia="zh-CN" w:bidi="ar-SA"/>
      </w:rPr>
    </w:lvl>
    <w:lvl w:ilvl="1">
      <w:start w:val="1"/>
      <w:numFmt w:val="decimal"/>
      <w:lvlText w:val="%1.%2"/>
      <w:lvlJc w:val="left"/>
      <w:pPr>
        <w:ind w:left="1014" w:hanging="423"/>
        <w:jc w:val="left"/>
      </w:pPr>
      <w:rPr>
        <w:rFonts w:ascii="Microsoft JhengHei" w:eastAsia="Microsoft JhengHei" w:hAnsi="Microsoft JhengHei" w:cs="Microsoft JhengHei" w:hint="default"/>
        <w:b/>
        <w:bCs/>
        <w:i w:val="0"/>
        <w:iCs w:val="0"/>
        <w:w w:val="83"/>
        <w:sz w:val="24"/>
        <w:szCs w:val="24"/>
        <w:lang w:val="en-US" w:eastAsia="zh-CN" w:bidi="ar-SA"/>
      </w:rPr>
    </w:lvl>
    <w:lvl w:ilvl="2">
      <w:start w:val="1"/>
      <w:numFmt w:val="decimal"/>
      <w:lvlText w:val="%1.%2.%3"/>
      <w:lvlJc w:val="left"/>
      <w:pPr>
        <w:ind w:left="1202" w:hanging="601"/>
        <w:jc w:val="left"/>
      </w:pPr>
      <w:rPr>
        <w:rFonts w:hint="default"/>
        <w:w w:val="100"/>
        <w:lang w:val="en-US" w:eastAsia="zh-CN" w:bidi="ar-SA"/>
      </w:rPr>
    </w:lvl>
    <w:lvl w:ilvl="3">
      <w:start w:val="0"/>
      <w:numFmt w:val="bullet"/>
      <w:lvlText w:val="•"/>
      <w:lvlJc w:val="left"/>
      <w:pPr>
        <w:ind w:left="1200" w:hanging="601"/>
      </w:pPr>
      <w:rPr>
        <w:rFonts w:hint="default"/>
        <w:lang w:val="en-US" w:eastAsia="zh-CN" w:bidi="ar-SA"/>
      </w:rPr>
    </w:lvl>
    <w:lvl w:ilvl="4">
      <w:start w:val="0"/>
      <w:numFmt w:val="bullet"/>
      <w:lvlText w:val="•"/>
      <w:lvlJc w:val="left"/>
      <w:pPr>
        <w:ind w:left="2380" w:hanging="601"/>
      </w:pPr>
      <w:rPr>
        <w:rFonts w:hint="default"/>
        <w:lang w:val="en-US" w:eastAsia="zh-CN" w:bidi="ar-SA"/>
      </w:rPr>
    </w:lvl>
    <w:lvl w:ilvl="5">
      <w:start w:val="0"/>
      <w:numFmt w:val="bullet"/>
      <w:lvlText w:val="•"/>
      <w:lvlJc w:val="left"/>
      <w:pPr>
        <w:ind w:left="3561" w:hanging="601"/>
      </w:pPr>
      <w:rPr>
        <w:rFonts w:hint="default"/>
        <w:lang w:val="en-US" w:eastAsia="zh-CN" w:bidi="ar-SA"/>
      </w:rPr>
    </w:lvl>
    <w:lvl w:ilvl="6">
      <w:start w:val="0"/>
      <w:numFmt w:val="bullet"/>
      <w:lvlText w:val="•"/>
      <w:lvlJc w:val="left"/>
      <w:pPr>
        <w:ind w:left="4742" w:hanging="601"/>
      </w:pPr>
      <w:rPr>
        <w:rFonts w:hint="default"/>
        <w:lang w:val="en-US" w:eastAsia="zh-CN" w:bidi="ar-SA"/>
      </w:rPr>
    </w:lvl>
    <w:lvl w:ilvl="7">
      <w:start w:val="0"/>
      <w:numFmt w:val="bullet"/>
      <w:lvlText w:val="•"/>
      <w:lvlJc w:val="left"/>
      <w:pPr>
        <w:ind w:left="5923" w:hanging="601"/>
      </w:pPr>
      <w:rPr>
        <w:rFonts w:hint="default"/>
        <w:lang w:val="en-US" w:eastAsia="zh-CN" w:bidi="ar-SA"/>
      </w:rPr>
    </w:lvl>
    <w:lvl w:ilvl="8">
      <w:start w:val="0"/>
      <w:numFmt w:val="bullet"/>
      <w:lvlText w:val="•"/>
      <w:lvlJc w:val="left"/>
      <w:pPr>
        <w:ind w:left="7104" w:hanging="601"/>
      </w:pPr>
      <w:rPr>
        <w:rFonts w:hint="default"/>
        <w:lang w:val="en-US" w:eastAsia="zh-CN" w:bidi="ar-SA"/>
      </w:rPr>
    </w:lvl>
  </w:abstractNum>
  <w:abstractNum w:abstractNumId="19">
    <w:nsid w:val="42F58B13"/>
    <w:multiLevelType w:val="hybridMultilevel"/>
    <w:tmpl w:val="00000000"/>
    <w:lvl w:ilvl="0">
      <w:start w:val="1"/>
      <w:numFmt w:val="decimal"/>
      <w:lvlText w:val="（%1）"/>
      <w:lvlJc w:val="left"/>
      <w:pPr>
        <w:ind w:left="12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026" w:hanging="601"/>
      </w:pPr>
      <w:rPr>
        <w:rFonts w:hint="default"/>
        <w:lang w:val="en-US" w:eastAsia="zh-CN" w:bidi="ar-SA"/>
      </w:rPr>
    </w:lvl>
    <w:lvl w:ilvl="2">
      <w:start w:val="0"/>
      <w:numFmt w:val="bullet"/>
      <w:lvlText w:val="•"/>
      <w:lvlJc w:val="left"/>
      <w:pPr>
        <w:ind w:left="2853" w:hanging="601"/>
      </w:pPr>
      <w:rPr>
        <w:rFonts w:hint="default"/>
        <w:lang w:val="en-US" w:eastAsia="zh-CN" w:bidi="ar-SA"/>
      </w:rPr>
    </w:lvl>
    <w:lvl w:ilvl="3">
      <w:start w:val="0"/>
      <w:numFmt w:val="bullet"/>
      <w:lvlText w:val="•"/>
      <w:lvlJc w:val="left"/>
      <w:pPr>
        <w:ind w:left="3679" w:hanging="601"/>
      </w:pPr>
      <w:rPr>
        <w:rFonts w:hint="default"/>
        <w:lang w:val="en-US" w:eastAsia="zh-CN" w:bidi="ar-SA"/>
      </w:rPr>
    </w:lvl>
    <w:lvl w:ilvl="4">
      <w:start w:val="0"/>
      <w:numFmt w:val="bullet"/>
      <w:lvlText w:val="•"/>
      <w:lvlJc w:val="left"/>
      <w:pPr>
        <w:ind w:left="4506" w:hanging="601"/>
      </w:pPr>
      <w:rPr>
        <w:rFonts w:hint="default"/>
        <w:lang w:val="en-US" w:eastAsia="zh-CN" w:bidi="ar-SA"/>
      </w:rPr>
    </w:lvl>
    <w:lvl w:ilvl="5">
      <w:start w:val="0"/>
      <w:numFmt w:val="bullet"/>
      <w:lvlText w:val="•"/>
      <w:lvlJc w:val="left"/>
      <w:pPr>
        <w:ind w:left="5333" w:hanging="601"/>
      </w:pPr>
      <w:rPr>
        <w:rFonts w:hint="default"/>
        <w:lang w:val="en-US" w:eastAsia="zh-CN" w:bidi="ar-SA"/>
      </w:rPr>
    </w:lvl>
    <w:lvl w:ilvl="6">
      <w:start w:val="0"/>
      <w:numFmt w:val="bullet"/>
      <w:lvlText w:val="•"/>
      <w:lvlJc w:val="left"/>
      <w:pPr>
        <w:ind w:left="6159" w:hanging="601"/>
      </w:pPr>
      <w:rPr>
        <w:rFonts w:hint="default"/>
        <w:lang w:val="en-US" w:eastAsia="zh-CN" w:bidi="ar-SA"/>
      </w:rPr>
    </w:lvl>
    <w:lvl w:ilvl="7">
      <w:start w:val="0"/>
      <w:numFmt w:val="bullet"/>
      <w:lvlText w:val="•"/>
      <w:lvlJc w:val="left"/>
      <w:pPr>
        <w:ind w:left="6986" w:hanging="601"/>
      </w:pPr>
      <w:rPr>
        <w:rFonts w:hint="default"/>
        <w:lang w:val="en-US" w:eastAsia="zh-CN" w:bidi="ar-SA"/>
      </w:rPr>
    </w:lvl>
    <w:lvl w:ilvl="8">
      <w:start w:val="0"/>
      <w:numFmt w:val="bullet"/>
      <w:lvlText w:val="•"/>
      <w:lvlJc w:val="left"/>
      <w:pPr>
        <w:ind w:left="7812" w:hanging="601"/>
      </w:pPr>
      <w:rPr>
        <w:rFonts w:hint="default"/>
        <w:lang w:val="en-US" w:eastAsia="zh-CN" w:bidi="ar-SA"/>
      </w:rPr>
    </w:lvl>
  </w:abstractNum>
  <w:abstractNum w:abstractNumId="20">
    <w:nsid w:val="469EBE79"/>
    <w:multiLevelType w:val="hybridMultilevel"/>
    <w:tmpl w:val="00000000"/>
    <w:lvl w:ilvl="0">
      <w:start w:val="1"/>
      <w:numFmt w:val="decimal"/>
      <w:lvlText w:val="%1）"/>
      <w:lvlJc w:val="left"/>
      <w:pPr>
        <w:ind w:left="121" w:hanging="363"/>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054" w:hanging="363"/>
      </w:pPr>
      <w:rPr>
        <w:rFonts w:hint="default"/>
        <w:lang w:val="en-US" w:eastAsia="zh-CN" w:bidi="ar-SA"/>
      </w:rPr>
    </w:lvl>
    <w:lvl w:ilvl="2">
      <w:start w:val="0"/>
      <w:numFmt w:val="bullet"/>
      <w:lvlText w:val="•"/>
      <w:lvlJc w:val="left"/>
      <w:pPr>
        <w:ind w:left="1989" w:hanging="363"/>
      </w:pPr>
      <w:rPr>
        <w:rFonts w:hint="default"/>
        <w:lang w:val="en-US" w:eastAsia="zh-CN" w:bidi="ar-SA"/>
      </w:rPr>
    </w:lvl>
    <w:lvl w:ilvl="3">
      <w:start w:val="0"/>
      <w:numFmt w:val="bullet"/>
      <w:lvlText w:val="•"/>
      <w:lvlJc w:val="left"/>
      <w:pPr>
        <w:ind w:left="2923" w:hanging="363"/>
      </w:pPr>
      <w:rPr>
        <w:rFonts w:hint="default"/>
        <w:lang w:val="en-US" w:eastAsia="zh-CN" w:bidi="ar-SA"/>
      </w:rPr>
    </w:lvl>
    <w:lvl w:ilvl="4">
      <w:start w:val="0"/>
      <w:numFmt w:val="bullet"/>
      <w:lvlText w:val="•"/>
      <w:lvlJc w:val="left"/>
      <w:pPr>
        <w:ind w:left="3858" w:hanging="363"/>
      </w:pPr>
      <w:rPr>
        <w:rFonts w:hint="default"/>
        <w:lang w:val="en-US" w:eastAsia="zh-CN" w:bidi="ar-SA"/>
      </w:rPr>
    </w:lvl>
    <w:lvl w:ilvl="5">
      <w:start w:val="0"/>
      <w:numFmt w:val="bullet"/>
      <w:lvlText w:val="•"/>
      <w:lvlJc w:val="left"/>
      <w:pPr>
        <w:ind w:left="4793" w:hanging="363"/>
      </w:pPr>
      <w:rPr>
        <w:rFonts w:hint="default"/>
        <w:lang w:val="en-US" w:eastAsia="zh-CN" w:bidi="ar-SA"/>
      </w:rPr>
    </w:lvl>
    <w:lvl w:ilvl="6">
      <w:start w:val="0"/>
      <w:numFmt w:val="bullet"/>
      <w:lvlText w:val="•"/>
      <w:lvlJc w:val="left"/>
      <w:pPr>
        <w:ind w:left="5727" w:hanging="363"/>
      </w:pPr>
      <w:rPr>
        <w:rFonts w:hint="default"/>
        <w:lang w:val="en-US" w:eastAsia="zh-CN" w:bidi="ar-SA"/>
      </w:rPr>
    </w:lvl>
    <w:lvl w:ilvl="7">
      <w:start w:val="0"/>
      <w:numFmt w:val="bullet"/>
      <w:lvlText w:val="•"/>
      <w:lvlJc w:val="left"/>
      <w:pPr>
        <w:ind w:left="6662" w:hanging="363"/>
      </w:pPr>
      <w:rPr>
        <w:rFonts w:hint="default"/>
        <w:lang w:val="en-US" w:eastAsia="zh-CN" w:bidi="ar-SA"/>
      </w:rPr>
    </w:lvl>
    <w:lvl w:ilvl="8">
      <w:start w:val="0"/>
      <w:numFmt w:val="bullet"/>
      <w:lvlText w:val="•"/>
      <w:lvlJc w:val="left"/>
      <w:pPr>
        <w:ind w:left="7596" w:hanging="363"/>
      </w:pPr>
      <w:rPr>
        <w:rFonts w:hint="default"/>
        <w:lang w:val="en-US" w:eastAsia="zh-CN" w:bidi="ar-SA"/>
      </w:rPr>
    </w:lvl>
  </w:abstractNum>
  <w:abstractNum w:abstractNumId="21">
    <w:nsid w:val="46E68FD9"/>
    <w:multiLevelType w:val="hybridMultilevel"/>
    <w:tmpl w:val="00000000"/>
    <w:lvl w:ilvl="0">
      <w:start w:val="1"/>
      <w:numFmt w:val="decimal"/>
      <w:lvlText w:val="（%1）"/>
      <w:lvlJc w:val="left"/>
      <w:pPr>
        <w:ind w:left="121" w:hanging="605"/>
        <w:jc w:val="left"/>
      </w:pPr>
      <w:rPr>
        <w:rFonts w:ascii="宋体" w:eastAsia="宋体" w:hAnsi="宋体" w:cs="宋体" w:hint="default"/>
        <w:b w:val="0"/>
        <w:bCs w:val="0"/>
        <w:i w:val="0"/>
        <w:iCs w:val="0"/>
        <w:spacing w:val="0"/>
        <w:w w:val="100"/>
        <w:sz w:val="22"/>
        <w:szCs w:val="22"/>
        <w:lang w:val="en-US" w:eastAsia="zh-CN" w:bidi="ar-SA"/>
      </w:rPr>
    </w:lvl>
    <w:lvl w:ilvl="1">
      <w:start w:val="0"/>
      <w:numFmt w:val="bullet"/>
      <w:lvlText w:val="•"/>
      <w:lvlJc w:val="left"/>
      <w:pPr>
        <w:ind w:left="1054" w:hanging="605"/>
      </w:pPr>
      <w:rPr>
        <w:rFonts w:hint="default"/>
        <w:lang w:val="en-US" w:eastAsia="zh-CN" w:bidi="ar-SA"/>
      </w:rPr>
    </w:lvl>
    <w:lvl w:ilvl="2">
      <w:start w:val="0"/>
      <w:numFmt w:val="bullet"/>
      <w:lvlText w:val="•"/>
      <w:lvlJc w:val="left"/>
      <w:pPr>
        <w:ind w:left="1989" w:hanging="605"/>
      </w:pPr>
      <w:rPr>
        <w:rFonts w:hint="default"/>
        <w:lang w:val="en-US" w:eastAsia="zh-CN" w:bidi="ar-SA"/>
      </w:rPr>
    </w:lvl>
    <w:lvl w:ilvl="3">
      <w:start w:val="0"/>
      <w:numFmt w:val="bullet"/>
      <w:lvlText w:val="•"/>
      <w:lvlJc w:val="left"/>
      <w:pPr>
        <w:ind w:left="2923" w:hanging="605"/>
      </w:pPr>
      <w:rPr>
        <w:rFonts w:hint="default"/>
        <w:lang w:val="en-US" w:eastAsia="zh-CN" w:bidi="ar-SA"/>
      </w:rPr>
    </w:lvl>
    <w:lvl w:ilvl="4">
      <w:start w:val="0"/>
      <w:numFmt w:val="bullet"/>
      <w:lvlText w:val="•"/>
      <w:lvlJc w:val="left"/>
      <w:pPr>
        <w:ind w:left="3858" w:hanging="605"/>
      </w:pPr>
      <w:rPr>
        <w:rFonts w:hint="default"/>
        <w:lang w:val="en-US" w:eastAsia="zh-CN" w:bidi="ar-SA"/>
      </w:rPr>
    </w:lvl>
    <w:lvl w:ilvl="5">
      <w:start w:val="0"/>
      <w:numFmt w:val="bullet"/>
      <w:lvlText w:val="•"/>
      <w:lvlJc w:val="left"/>
      <w:pPr>
        <w:ind w:left="4793" w:hanging="605"/>
      </w:pPr>
      <w:rPr>
        <w:rFonts w:hint="default"/>
        <w:lang w:val="en-US" w:eastAsia="zh-CN" w:bidi="ar-SA"/>
      </w:rPr>
    </w:lvl>
    <w:lvl w:ilvl="6">
      <w:start w:val="0"/>
      <w:numFmt w:val="bullet"/>
      <w:lvlText w:val="•"/>
      <w:lvlJc w:val="left"/>
      <w:pPr>
        <w:ind w:left="5727" w:hanging="605"/>
      </w:pPr>
      <w:rPr>
        <w:rFonts w:hint="default"/>
        <w:lang w:val="en-US" w:eastAsia="zh-CN" w:bidi="ar-SA"/>
      </w:rPr>
    </w:lvl>
    <w:lvl w:ilvl="7">
      <w:start w:val="0"/>
      <w:numFmt w:val="bullet"/>
      <w:lvlText w:val="•"/>
      <w:lvlJc w:val="left"/>
      <w:pPr>
        <w:ind w:left="6662" w:hanging="605"/>
      </w:pPr>
      <w:rPr>
        <w:rFonts w:hint="default"/>
        <w:lang w:val="en-US" w:eastAsia="zh-CN" w:bidi="ar-SA"/>
      </w:rPr>
    </w:lvl>
    <w:lvl w:ilvl="8">
      <w:start w:val="0"/>
      <w:numFmt w:val="bullet"/>
      <w:lvlText w:val="•"/>
      <w:lvlJc w:val="left"/>
      <w:pPr>
        <w:ind w:left="7596" w:hanging="605"/>
      </w:pPr>
      <w:rPr>
        <w:rFonts w:hint="default"/>
        <w:lang w:val="en-US" w:eastAsia="zh-CN" w:bidi="ar-SA"/>
      </w:rPr>
    </w:lvl>
  </w:abstractNum>
  <w:abstractNum w:abstractNumId="22">
    <w:nsid w:val="498258BF"/>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23">
    <w:nsid w:val="4C352C77"/>
    <w:multiLevelType w:val="hybridMultilevel"/>
    <w:tmpl w:val="00000000"/>
    <w:lvl w:ilvl="0">
      <w:start w:val="7"/>
      <w:numFmt w:val="decimal"/>
      <w:lvlText w:val="(%1)"/>
      <w:lvlJc w:val="left"/>
      <w:pPr>
        <w:ind w:left="121" w:hanging="354"/>
        <w:jc w:val="left"/>
      </w:pPr>
      <w:rPr>
        <w:rFonts w:ascii="宋体" w:eastAsia="宋体" w:hAnsi="宋体" w:cs="宋体" w:hint="default"/>
        <w:b w:val="0"/>
        <w:bCs w:val="0"/>
        <w:i w:val="0"/>
        <w:iCs w:val="0"/>
        <w:spacing w:val="-5"/>
        <w:w w:val="100"/>
        <w:sz w:val="22"/>
        <w:szCs w:val="22"/>
        <w:lang w:val="en-US" w:eastAsia="zh-CN" w:bidi="ar-SA"/>
      </w:rPr>
    </w:lvl>
    <w:lvl w:ilvl="1">
      <w:start w:val="0"/>
      <w:numFmt w:val="bullet"/>
      <w:lvlText w:val="•"/>
      <w:lvlJc w:val="left"/>
      <w:pPr>
        <w:ind w:left="1054" w:hanging="354"/>
      </w:pPr>
      <w:rPr>
        <w:rFonts w:hint="default"/>
        <w:lang w:val="en-US" w:eastAsia="zh-CN" w:bidi="ar-SA"/>
      </w:rPr>
    </w:lvl>
    <w:lvl w:ilvl="2">
      <w:start w:val="0"/>
      <w:numFmt w:val="bullet"/>
      <w:lvlText w:val="•"/>
      <w:lvlJc w:val="left"/>
      <w:pPr>
        <w:ind w:left="1989" w:hanging="354"/>
      </w:pPr>
      <w:rPr>
        <w:rFonts w:hint="default"/>
        <w:lang w:val="en-US" w:eastAsia="zh-CN" w:bidi="ar-SA"/>
      </w:rPr>
    </w:lvl>
    <w:lvl w:ilvl="3">
      <w:start w:val="0"/>
      <w:numFmt w:val="bullet"/>
      <w:lvlText w:val="•"/>
      <w:lvlJc w:val="left"/>
      <w:pPr>
        <w:ind w:left="2923" w:hanging="354"/>
      </w:pPr>
      <w:rPr>
        <w:rFonts w:hint="default"/>
        <w:lang w:val="en-US" w:eastAsia="zh-CN" w:bidi="ar-SA"/>
      </w:rPr>
    </w:lvl>
    <w:lvl w:ilvl="4">
      <w:start w:val="0"/>
      <w:numFmt w:val="bullet"/>
      <w:lvlText w:val="•"/>
      <w:lvlJc w:val="left"/>
      <w:pPr>
        <w:ind w:left="3858" w:hanging="354"/>
      </w:pPr>
      <w:rPr>
        <w:rFonts w:hint="default"/>
        <w:lang w:val="en-US" w:eastAsia="zh-CN" w:bidi="ar-SA"/>
      </w:rPr>
    </w:lvl>
    <w:lvl w:ilvl="5">
      <w:start w:val="0"/>
      <w:numFmt w:val="bullet"/>
      <w:lvlText w:val="•"/>
      <w:lvlJc w:val="left"/>
      <w:pPr>
        <w:ind w:left="4793" w:hanging="354"/>
      </w:pPr>
      <w:rPr>
        <w:rFonts w:hint="default"/>
        <w:lang w:val="en-US" w:eastAsia="zh-CN" w:bidi="ar-SA"/>
      </w:rPr>
    </w:lvl>
    <w:lvl w:ilvl="6">
      <w:start w:val="0"/>
      <w:numFmt w:val="bullet"/>
      <w:lvlText w:val="•"/>
      <w:lvlJc w:val="left"/>
      <w:pPr>
        <w:ind w:left="5727" w:hanging="354"/>
      </w:pPr>
      <w:rPr>
        <w:rFonts w:hint="default"/>
        <w:lang w:val="en-US" w:eastAsia="zh-CN" w:bidi="ar-SA"/>
      </w:rPr>
    </w:lvl>
    <w:lvl w:ilvl="7">
      <w:start w:val="0"/>
      <w:numFmt w:val="bullet"/>
      <w:lvlText w:val="•"/>
      <w:lvlJc w:val="left"/>
      <w:pPr>
        <w:ind w:left="6662" w:hanging="354"/>
      </w:pPr>
      <w:rPr>
        <w:rFonts w:hint="default"/>
        <w:lang w:val="en-US" w:eastAsia="zh-CN" w:bidi="ar-SA"/>
      </w:rPr>
    </w:lvl>
    <w:lvl w:ilvl="8">
      <w:start w:val="0"/>
      <w:numFmt w:val="bullet"/>
      <w:lvlText w:val="•"/>
      <w:lvlJc w:val="left"/>
      <w:pPr>
        <w:ind w:left="7596" w:hanging="354"/>
      </w:pPr>
      <w:rPr>
        <w:rFonts w:hint="default"/>
        <w:lang w:val="en-US" w:eastAsia="zh-CN" w:bidi="ar-SA"/>
      </w:rPr>
    </w:lvl>
  </w:abstractNum>
  <w:abstractNum w:abstractNumId="24">
    <w:nsid w:val="4CC9CF67"/>
    <w:multiLevelType w:val="hybridMultilevel"/>
    <w:tmpl w:val="00000000"/>
    <w:lvl w:ilvl="0">
      <w:start w:val="4"/>
      <w:numFmt w:val="decimal"/>
      <w:lvlText w:val="%1"/>
      <w:lvlJc w:val="left"/>
      <w:pPr>
        <w:ind w:left="1014" w:hanging="423"/>
        <w:jc w:val="left"/>
      </w:pPr>
      <w:rPr>
        <w:rFonts w:hint="default"/>
        <w:lang w:val="en-US" w:eastAsia="zh-CN" w:bidi="ar-SA"/>
      </w:rPr>
    </w:lvl>
    <w:lvl w:ilvl="1">
      <w:start w:val="1"/>
      <w:numFmt w:val="decimal"/>
      <w:lvlText w:val="%1.%2"/>
      <w:lvlJc w:val="left"/>
      <w:pPr>
        <w:ind w:left="1014" w:hanging="423"/>
        <w:jc w:val="left"/>
      </w:pPr>
      <w:rPr>
        <w:rFonts w:ascii="Microsoft JhengHei" w:eastAsia="Microsoft JhengHei" w:hAnsi="Microsoft JhengHei" w:cs="Microsoft JhengHei" w:hint="default"/>
        <w:b/>
        <w:bCs/>
        <w:i w:val="0"/>
        <w:iCs w:val="0"/>
        <w:w w:val="83"/>
        <w:sz w:val="24"/>
        <w:szCs w:val="24"/>
        <w:lang w:val="en-US" w:eastAsia="zh-CN" w:bidi="ar-SA"/>
      </w:rPr>
    </w:lvl>
    <w:lvl w:ilvl="2">
      <w:start w:val="1"/>
      <w:numFmt w:val="decimal"/>
      <w:lvlText w:val="%1.%2.%3"/>
      <w:lvlJc w:val="left"/>
      <w:pPr>
        <w:ind w:left="1202" w:hanging="601"/>
        <w:jc w:val="left"/>
      </w:pPr>
      <w:rPr>
        <w:rFonts w:hint="default"/>
        <w:w w:val="100"/>
        <w:lang w:val="en-US" w:eastAsia="zh-CN" w:bidi="ar-SA"/>
      </w:rPr>
    </w:lvl>
    <w:lvl w:ilvl="3">
      <w:start w:val="0"/>
      <w:numFmt w:val="bullet"/>
      <w:lvlText w:val="•"/>
      <w:lvlJc w:val="left"/>
      <w:pPr>
        <w:ind w:left="1200" w:hanging="601"/>
      </w:pPr>
      <w:rPr>
        <w:rFonts w:hint="default"/>
        <w:lang w:val="en-US" w:eastAsia="zh-CN" w:bidi="ar-SA"/>
      </w:rPr>
    </w:lvl>
    <w:lvl w:ilvl="4">
      <w:start w:val="0"/>
      <w:numFmt w:val="bullet"/>
      <w:lvlText w:val="•"/>
      <w:lvlJc w:val="left"/>
      <w:pPr>
        <w:ind w:left="2380" w:hanging="601"/>
      </w:pPr>
      <w:rPr>
        <w:rFonts w:hint="default"/>
        <w:lang w:val="en-US" w:eastAsia="zh-CN" w:bidi="ar-SA"/>
      </w:rPr>
    </w:lvl>
    <w:lvl w:ilvl="5">
      <w:start w:val="0"/>
      <w:numFmt w:val="bullet"/>
      <w:lvlText w:val="•"/>
      <w:lvlJc w:val="left"/>
      <w:pPr>
        <w:ind w:left="3561" w:hanging="601"/>
      </w:pPr>
      <w:rPr>
        <w:rFonts w:hint="default"/>
        <w:lang w:val="en-US" w:eastAsia="zh-CN" w:bidi="ar-SA"/>
      </w:rPr>
    </w:lvl>
    <w:lvl w:ilvl="6">
      <w:start w:val="0"/>
      <w:numFmt w:val="bullet"/>
      <w:lvlText w:val="•"/>
      <w:lvlJc w:val="left"/>
      <w:pPr>
        <w:ind w:left="4742" w:hanging="601"/>
      </w:pPr>
      <w:rPr>
        <w:rFonts w:hint="default"/>
        <w:lang w:val="en-US" w:eastAsia="zh-CN" w:bidi="ar-SA"/>
      </w:rPr>
    </w:lvl>
    <w:lvl w:ilvl="7">
      <w:start w:val="0"/>
      <w:numFmt w:val="bullet"/>
      <w:lvlText w:val="•"/>
      <w:lvlJc w:val="left"/>
      <w:pPr>
        <w:ind w:left="5923" w:hanging="601"/>
      </w:pPr>
      <w:rPr>
        <w:rFonts w:hint="default"/>
        <w:lang w:val="en-US" w:eastAsia="zh-CN" w:bidi="ar-SA"/>
      </w:rPr>
    </w:lvl>
    <w:lvl w:ilvl="8">
      <w:start w:val="0"/>
      <w:numFmt w:val="bullet"/>
      <w:lvlText w:val="•"/>
      <w:lvlJc w:val="left"/>
      <w:pPr>
        <w:ind w:left="7104" w:hanging="601"/>
      </w:pPr>
      <w:rPr>
        <w:rFonts w:hint="default"/>
        <w:lang w:val="en-US" w:eastAsia="zh-CN" w:bidi="ar-SA"/>
      </w:rPr>
    </w:lvl>
  </w:abstractNum>
  <w:abstractNum w:abstractNumId="25">
    <w:nsid w:val="5BCB915B"/>
    <w:multiLevelType w:val="hybridMultilevel"/>
    <w:tmpl w:val="00000000"/>
    <w:lvl w:ilvl="0">
      <w:start w:val="1"/>
      <w:numFmt w:val="decimal"/>
      <w:lvlText w:val="%1"/>
      <w:lvlJc w:val="left"/>
      <w:pPr>
        <w:ind w:left="542" w:hanging="422"/>
        <w:jc w:val="left"/>
      </w:pPr>
      <w:rPr>
        <w:rFonts w:ascii="Microsoft JhengHei" w:eastAsia="Microsoft JhengHei" w:hAnsi="Microsoft JhengHei" w:cs="Microsoft JhengHei" w:hint="default"/>
        <w:b/>
        <w:bCs/>
        <w:i w:val="0"/>
        <w:iCs w:val="0"/>
        <w:w w:val="83"/>
        <w:sz w:val="28"/>
        <w:szCs w:val="28"/>
        <w:lang w:val="en-US" w:eastAsia="zh-CN" w:bidi="ar-SA"/>
      </w:rPr>
    </w:lvl>
    <w:lvl w:ilvl="1">
      <w:start w:val="0"/>
      <w:numFmt w:val="bullet"/>
      <w:lvlText w:val="•"/>
      <w:lvlJc w:val="left"/>
      <w:pPr>
        <w:ind w:left="1432" w:hanging="422"/>
      </w:pPr>
      <w:rPr>
        <w:rFonts w:hint="default"/>
        <w:lang w:val="en-US" w:eastAsia="zh-CN" w:bidi="ar-SA"/>
      </w:rPr>
    </w:lvl>
    <w:lvl w:ilvl="2">
      <w:start w:val="0"/>
      <w:numFmt w:val="bullet"/>
      <w:lvlText w:val="•"/>
      <w:lvlJc w:val="left"/>
      <w:pPr>
        <w:ind w:left="2325" w:hanging="422"/>
      </w:pPr>
      <w:rPr>
        <w:rFonts w:hint="default"/>
        <w:lang w:val="en-US" w:eastAsia="zh-CN" w:bidi="ar-SA"/>
      </w:rPr>
    </w:lvl>
    <w:lvl w:ilvl="3">
      <w:start w:val="0"/>
      <w:numFmt w:val="bullet"/>
      <w:lvlText w:val="•"/>
      <w:lvlJc w:val="left"/>
      <w:pPr>
        <w:ind w:left="3217" w:hanging="422"/>
      </w:pPr>
      <w:rPr>
        <w:rFonts w:hint="default"/>
        <w:lang w:val="en-US" w:eastAsia="zh-CN" w:bidi="ar-SA"/>
      </w:rPr>
    </w:lvl>
    <w:lvl w:ilvl="4">
      <w:start w:val="0"/>
      <w:numFmt w:val="bullet"/>
      <w:lvlText w:val="•"/>
      <w:lvlJc w:val="left"/>
      <w:pPr>
        <w:ind w:left="4110" w:hanging="422"/>
      </w:pPr>
      <w:rPr>
        <w:rFonts w:hint="default"/>
        <w:lang w:val="en-US" w:eastAsia="zh-CN" w:bidi="ar-SA"/>
      </w:rPr>
    </w:lvl>
    <w:lvl w:ilvl="5">
      <w:start w:val="0"/>
      <w:numFmt w:val="bullet"/>
      <w:lvlText w:val="•"/>
      <w:lvlJc w:val="left"/>
      <w:pPr>
        <w:ind w:left="5003" w:hanging="422"/>
      </w:pPr>
      <w:rPr>
        <w:rFonts w:hint="default"/>
        <w:lang w:val="en-US" w:eastAsia="zh-CN" w:bidi="ar-SA"/>
      </w:rPr>
    </w:lvl>
    <w:lvl w:ilvl="6">
      <w:start w:val="0"/>
      <w:numFmt w:val="bullet"/>
      <w:lvlText w:val="•"/>
      <w:lvlJc w:val="left"/>
      <w:pPr>
        <w:ind w:left="5895" w:hanging="422"/>
      </w:pPr>
      <w:rPr>
        <w:rFonts w:hint="default"/>
        <w:lang w:val="en-US" w:eastAsia="zh-CN" w:bidi="ar-SA"/>
      </w:rPr>
    </w:lvl>
    <w:lvl w:ilvl="7">
      <w:start w:val="0"/>
      <w:numFmt w:val="bullet"/>
      <w:lvlText w:val="•"/>
      <w:lvlJc w:val="left"/>
      <w:pPr>
        <w:ind w:left="6788" w:hanging="422"/>
      </w:pPr>
      <w:rPr>
        <w:rFonts w:hint="default"/>
        <w:lang w:val="en-US" w:eastAsia="zh-CN" w:bidi="ar-SA"/>
      </w:rPr>
    </w:lvl>
    <w:lvl w:ilvl="8">
      <w:start w:val="0"/>
      <w:numFmt w:val="bullet"/>
      <w:lvlText w:val="•"/>
      <w:lvlJc w:val="left"/>
      <w:pPr>
        <w:ind w:left="7680" w:hanging="422"/>
      </w:pPr>
      <w:rPr>
        <w:rFonts w:hint="default"/>
        <w:lang w:val="en-US" w:eastAsia="zh-CN" w:bidi="ar-SA"/>
      </w:rPr>
    </w:lvl>
  </w:abstractNum>
  <w:abstractNum w:abstractNumId="26">
    <w:nsid w:val="5CDCE7A2"/>
    <w:multiLevelType w:val="hybridMultilevel"/>
    <w:tmpl w:val="00000000"/>
    <w:lvl w:ilvl="0">
      <w:start w:val="4"/>
      <w:numFmt w:val="decimal"/>
      <w:lvlText w:val="%1"/>
      <w:lvlJc w:val="left"/>
      <w:pPr>
        <w:ind w:left="1014" w:hanging="423"/>
        <w:jc w:val="left"/>
      </w:pPr>
      <w:rPr>
        <w:rFonts w:hint="default"/>
        <w:lang w:val="en-US" w:eastAsia="zh-CN" w:bidi="ar-SA"/>
      </w:rPr>
    </w:lvl>
    <w:lvl w:ilvl="1">
      <w:start w:val="1"/>
      <w:numFmt w:val="decimal"/>
      <w:lvlText w:val="%1.%2"/>
      <w:lvlJc w:val="left"/>
      <w:pPr>
        <w:ind w:left="1014" w:hanging="423"/>
        <w:jc w:val="left"/>
      </w:pPr>
      <w:rPr>
        <w:rFonts w:ascii="Microsoft JhengHei" w:eastAsia="Microsoft JhengHei" w:hAnsi="Microsoft JhengHei" w:cs="Microsoft JhengHei" w:hint="default"/>
        <w:b/>
        <w:bCs/>
        <w:i w:val="0"/>
        <w:iCs w:val="0"/>
        <w:w w:val="83"/>
        <w:sz w:val="24"/>
        <w:szCs w:val="24"/>
        <w:lang w:val="en-US" w:eastAsia="zh-CN" w:bidi="ar-SA"/>
      </w:rPr>
    </w:lvl>
    <w:lvl w:ilvl="2">
      <w:start w:val="1"/>
      <w:numFmt w:val="decimal"/>
      <w:lvlText w:val="%1.%2.%3"/>
      <w:lvlJc w:val="left"/>
      <w:pPr>
        <w:ind w:left="1202" w:hanging="601"/>
        <w:jc w:val="left"/>
      </w:pPr>
      <w:rPr>
        <w:rFonts w:hint="default"/>
        <w:w w:val="100"/>
        <w:lang w:val="en-US" w:eastAsia="zh-CN" w:bidi="ar-SA"/>
      </w:rPr>
    </w:lvl>
    <w:lvl w:ilvl="3">
      <w:start w:val="0"/>
      <w:numFmt w:val="bullet"/>
      <w:lvlText w:val="•"/>
      <w:lvlJc w:val="left"/>
      <w:pPr>
        <w:ind w:left="1200" w:hanging="601"/>
      </w:pPr>
      <w:rPr>
        <w:rFonts w:hint="default"/>
        <w:lang w:val="en-US" w:eastAsia="zh-CN" w:bidi="ar-SA"/>
      </w:rPr>
    </w:lvl>
    <w:lvl w:ilvl="4">
      <w:start w:val="0"/>
      <w:numFmt w:val="bullet"/>
      <w:lvlText w:val="•"/>
      <w:lvlJc w:val="left"/>
      <w:pPr>
        <w:ind w:left="2380" w:hanging="601"/>
      </w:pPr>
      <w:rPr>
        <w:rFonts w:hint="default"/>
        <w:lang w:val="en-US" w:eastAsia="zh-CN" w:bidi="ar-SA"/>
      </w:rPr>
    </w:lvl>
    <w:lvl w:ilvl="5">
      <w:start w:val="0"/>
      <w:numFmt w:val="bullet"/>
      <w:lvlText w:val="•"/>
      <w:lvlJc w:val="left"/>
      <w:pPr>
        <w:ind w:left="3561" w:hanging="601"/>
      </w:pPr>
      <w:rPr>
        <w:rFonts w:hint="default"/>
        <w:lang w:val="en-US" w:eastAsia="zh-CN" w:bidi="ar-SA"/>
      </w:rPr>
    </w:lvl>
    <w:lvl w:ilvl="6">
      <w:start w:val="0"/>
      <w:numFmt w:val="bullet"/>
      <w:lvlText w:val="•"/>
      <w:lvlJc w:val="left"/>
      <w:pPr>
        <w:ind w:left="4742" w:hanging="601"/>
      </w:pPr>
      <w:rPr>
        <w:rFonts w:hint="default"/>
        <w:lang w:val="en-US" w:eastAsia="zh-CN" w:bidi="ar-SA"/>
      </w:rPr>
    </w:lvl>
    <w:lvl w:ilvl="7">
      <w:start w:val="0"/>
      <w:numFmt w:val="bullet"/>
      <w:lvlText w:val="•"/>
      <w:lvlJc w:val="left"/>
      <w:pPr>
        <w:ind w:left="5923" w:hanging="601"/>
      </w:pPr>
      <w:rPr>
        <w:rFonts w:hint="default"/>
        <w:lang w:val="en-US" w:eastAsia="zh-CN" w:bidi="ar-SA"/>
      </w:rPr>
    </w:lvl>
    <w:lvl w:ilvl="8">
      <w:start w:val="0"/>
      <w:numFmt w:val="bullet"/>
      <w:lvlText w:val="•"/>
      <w:lvlJc w:val="left"/>
      <w:pPr>
        <w:ind w:left="7104" w:hanging="601"/>
      </w:pPr>
      <w:rPr>
        <w:rFonts w:hint="default"/>
        <w:lang w:val="en-US" w:eastAsia="zh-CN" w:bidi="ar-SA"/>
      </w:rPr>
    </w:lvl>
  </w:abstractNum>
  <w:abstractNum w:abstractNumId="27">
    <w:nsid w:val="65F67DF8"/>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28">
    <w:nsid w:val="6C0278C4"/>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29">
    <w:nsid w:val="70D99AB1"/>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30">
    <w:nsid w:val="7913011C"/>
    <w:multiLevelType w:val="hybridMultilevel"/>
    <w:tmpl w:val="00000000"/>
    <w:lvl w:ilvl="0">
      <w:start w:val="1"/>
      <w:numFmt w:val="decimal"/>
      <w:lvlText w:val="%1）"/>
      <w:lvlJc w:val="left"/>
      <w:pPr>
        <w:ind w:left="957" w:hanging="357"/>
        <w:jc w:val="left"/>
      </w:pPr>
      <w:rPr>
        <w:rFonts w:ascii="宋体" w:eastAsia="宋体" w:hAnsi="宋体" w:cs="宋体" w:hint="default"/>
        <w:b w:val="0"/>
        <w:bCs w:val="0"/>
        <w:i w:val="0"/>
        <w:iCs w:val="0"/>
        <w:spacing w:val="-8"/>
        <w:w w:val="100"/>
        <w:sz w:val="22"/>
        <w:szCs w:val="22"/>
        <w:lang w:val="en-US" w:eastAsia="zh-CN" w:bidi="ar-SA"/>
      </w:rPr>
    </w:lvl>
    <w:lvl w:ilvl="1">
      <w:start w:val="0"/>
      <w:numFmt w:val="bullet"/>
      <w:lvlText w:val="•"/>
      <w:lvlJc w:val="left"/>
      <w:pPr>
        <w:ind w:left="1810" w:hanging="357"/>
      </w:pPr>
      <w:rPr>
        <w:rFonts w:hint="default"/>
        <w:lang w:val="en-US" w:eastAsia="zh-CN" w:bidi="ar-SA"/>
      </w:rPr>
    </w:lvl>
    <w:lvl w:ilvl="2">
      <w:start w:val="0"/>
      <w:numFmt w:val="bullet"/>
      <w:lvlText w:val="•"/>
      <w:lvlJc w:val="left"/>
      <w:pPr>
        <w:ind w:left="2661" w:hanging="357"/>
      </w:pPr>
      <w:rPr>
        <w:rFonts w:hint="default"/>
        <w:lang w:val="en-US" w:eastAsia="zh-CN" w:bidi="ar-SA"/>
      </w:rPr>
    </w:lvl>
    <w:lvl w:ilvl="3">
      <w:start w:val="0"/>
      <w:numFmt w:val="bullet"/>
      <w:lvlText w:val="•"/>
      <w:lvlJc w:val="left"/>
      <w:pPr>
        <w:ind w:left="3511" w:hanging="357"/>
      </w:pPr>
      <w:rPr>
        <w:rFonts w:hint="default"/>
        <w:lang w:val="en-US" w:eastAsia="zh-CN" w:bidi="ar-SA"/>
      </w:rPr>
    </w:lvl>
    <w:lvl w:ilvl="4">
      <w:start w:val="0"/>
      <w:numFmt w:val="bullet"/>
      <w:lvlText w:val="•"/>
      <w:lvlJc w:val="left"/>
      <w:pPr>
        <w:ind w:left="4362" w:hanging="357"/>
      </w:pPr>
      <w:rPr>
        <w:rFonts w:hint="default"/>
        <w:lang w:val="en-US" w:eastAsia="zh-CN" w:bidi="ar-SA"/>
      </w:rPr>
    </w:lvl>
    <w:lvl w:ilvl="5">
      <w:start w:val="0"/>
      <w:numFmt w:val="bullet"/>
      <w:lvlText w:val="•"/>
      <w:lvlJc w:val="left"/>
      <w:pPr>
        <w:ind w:left="5213" w:hanging="357"/>
      </w:pPr>
      <w:rPr>
        <w:rFonts w:hint="default"/>
        <w:lang w:val="en-US" w:eastAsia="zh-CN" w:bidi="ar-SA"/>
      </w:rPr>
    </w:lvl>
    <w:lvl w:ilvl="6">
      <w:start w:val="0"/>
      <w:numFmt w:val="bullet"/>
      <w:lvlText w:val="•"/>
      <w:lvlJc w:val="left"/>
      <w:pPr>
        <w:ind w:left="6063" w:hanging="357"/>
      </w:pPr>
      <w:rPr>
        <w:rFonts w:hint="default"/>
        <w:lang w:val="en-US" w:eastAsia="zh-CN" w:bidi="ar-SA"/>
      </w:rPr>
    </w:lvl>
    <w:lvl w:ilvl="7">
      <w:start w:val="0"/>
      <w:numFmt w:val="bullet"/>
      <w:lvlText w:val="•"/>
      <w:lvlJc w:val="left"/>
      <w:pPr>
        <w:ind w:left="6914" w:hanging="357"/>
      </w:pPr>
      <w:rPr>
        <w:rFonts w:hint="default"/>
        <w:lang w:val="en-US" w:eastAsia="zh-CN" w:bidi="ar-SA"/>
      </w:rPr>
    </w:lvl>
    <w:lvl w:ilvl="8">
      <w:start w:val="0"/>
      <w:numFmt w:val="bullet"/>
      <w:lvlText w:val="•"/>
      <w:lvlJc w:val="left"/>
      <w:pPr>
        <w:ind w:left="7764" w:hanging="357"/>
      </w:pPr>
      <w:rPr>
        <w:rFonts w:hint="default"/>
        <w:lang w:val="en-US" w:eastAsia="zh-CN" w:bidi="ar-SA"/>
      </w:rPr>
    </w:lvl>
  </w:abstractNum>
  <w:abstractNum w:abstractNumId="31">
    <w:nsid w:val="79207C7D"/>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abstractNum w:abstractNumId="32">
    <w:nsid w:val="7D7B68E6"/>
    <w:multiLevelType w:val="hybridMultilevel"/>
    <w:tmpl w:val="00000000"/>
    <w:lvl w:ilvl="0">
      <w:start w:val="1"/>
      <w:numFmt w:val="decimal"/>
      <w:lvlText w:val="%1）"/>
      <w:lvlJc w:val="left"/>
      <w:pPr>
        <w:ind w:left="9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810" w:hanging="361"/>
      </w:pPr>
      <w:rPr>
        <w:rFonts w:hint="default"/>
        <w:lang w:val="en-US" w:eastAsia="zh-CN" w:bidi="ar-SA"/>
      </w:rPr>
    </w:lvl>
    <w:lvl w:ilvl="2">
      <w:start w:val="0"/>
      <w:numFmt w:val="bullet"/>
      <w:lvlText w:val="•"/>
      <w:lvlJc w:val="left"/>
      <w:pPr>
        <w:ind w:left="2661" w:hanging="361"/>
      </w:pPr>
      <w:rPr>
        <w:rFonts w:hint="default"/>
        <w:lang w:val="en-US" w:eastAsia="zh-CN" w:bidi="ar-SA"/>
      </w:rPr>
    </w:lvl>
    <w:lvl w:ilvl="3">
      <w:start w:val="0"/>
      <w:numFmt w:val="bullet"/>
      <w:lvlText w:val="•"/>
      <w:lvlJc w:val="left"/>
      <w:pPr>
        <w:ind w:left="3511" w:hanging="361"/>
      </w:pPr>
      <w:rPr>
        <w:rFonts w:hint="default"/>
        <w:lang w:val="en-US" w:eastAsia="zh-CN" w:bidi="ar-SA"/>
      </w:rPr>
    </w:lvl>
    <w:lvl w:ilvl="4">
      <w:start w:val="0"/>
      <w:numFmt w:val="bullet"/>
      <w:lvlText w:val="•"/>
      <w:lvlJc w:val="left"/>
      <w:pPr>
        <w:ind w:left="436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6914" w:hanging="361"/>
      </w:pPr>
      <w:rPr>
        <w:rFonts w:hint="default"/>
        <w:lang w:val="en-US" w:eastAsia="zh-CN" w:bidi="ar-SA"/>
      </w:rPr>
    </w:lvl>
    <w:lvl w:ilvl="8">
      <w:start w:val="0"/>
      <w:numFmt w:val="bullet"/>
      <w:lvlText w:val="•"/>
      <w:lvlJc w:val="left"/>
      <w:pPr>
        <w:ind w:left="7764" w:hanging="361"/>
      </w:pPr>
      <w:rPr>
        <w:rFonts w:hint="default"/>
        <w:lang w:val="en-US" w:eastAsia="zh-CN" w:bidi="ar-SA"/>
      </w:rPr>
    </w:lvl>
  </w:abstractNum>
  <w:num w:numId="1">
    <w:abstractNumId w:val="17"/>
  </w:num>
  <w:num w:numId="2">
    <w:abstractNumId w:val="3"/>
  </w:num>
  <w:num w:numId="3">
    <w:abstractNumId w:val="16"/>
  </w:num>
  <w:num w:numId="4">
    <w:abstractNumId w:val="21"/>
  </w:num>
  <w:num w:numId="5">
    <w:abstractNumId w:val="32"/>
  </w:num>
  <w:num w:numId="6">
    <w:abstractNumId w:val="15"/>
  </w:num>
  <w:num w:numId="7">
    <w:abstractNumId w:val="14"/>
  </w:num>
  <w:num w:numId="8">
    <w:abstractNumId w:val="13"/>
  </w:num>
  <w:num w:numId="9">
    <w:abstractNumId w:val="22"/>
  </w:num>
  <w:num w:numId="10">
    <w:abstractNumId w:val="7"/>
  </w:num>
  <w:num w:numId="11">
    <w:abstractNumId w:val="0"/>
  </w:num>
  <w:num w:numId="12">
    <w:abstractNumId w:val="2"/>
  </w:num>
  <w:num w:numId="13">
    <w:abstractNumId w:val="4"/>
  </w:num>
  <w:num w:numId="14">
    <w:abstractNumId w:val="27"/>
  </w:num>
  <w:num w:numId="15">
    <w:abstractNumId w:val="29"/>
  </w:num>
  <w:num w:numId="16">
    <w:abstractNumId w:val="20"/>
  </w:num>
  <w:num w:numId="17">
    <w:abstractNumId w:val="31"/>
  </w:num>
  <w:num w:numId="18">
    <w:abstractNumId w:val="28"/>
  </w:num>
  <w:num w:numId="19">
    <w:abstractNumId w:val="19"/>
  </w:num>
  <w:num w:numId="20">
    <w:abstractNumId w:val="9"/>
  </w:num>
  <w:num w:numId="21">
    <w:abstractNumId w:val="23"/>
  </w:num>
  <w:num w:numId="22">
    <w:abstractNumId w:val="30"/>
  </w:num>
  <w:num w:numId="23">
    <w:abstractNumId w:val="10"/>
  </w:num>
  <w:num w:numId="24">
    <w:abstractNumId w:val="12"/>
  </w:num>
  <w:num w:numId="25">
    <w:abstractNumId w:val="6"/>
  </w:num>
  <w:num w:numId="26">
    <w:abstractNumId w:val="11"/>
  </w:num>
  <w:num w:numId="27">
    <w:abstractNumId w:val="5"/>
  </w:num>
  <w:num w:numId="28">
    <w:abstractNumId w:val="25"/>
  </w:num>
  <w:num w:numId="29">
    <w:abstractNumId w:val="8"/>
  </w:num>
  <w:num w:numId="30">
    <w:abstractNumId w:val="26"/>
  </w:num>
  <w:num w:numId="31">
    <w:abstractNumId w:val="24"/>
  </w:num>
  <w:num w:numId="32">
    <w:abstractNumId w:val="18"/>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50"/>
      <w:jc w:val="center"/>
      <w:outlineLvl w:val="0"/>
    </w:pPr>
    <w:rPr>
      <w:rFonts w:ascii="宋体" w:eastAsia="宋体" w:hAnsi="宋体" w:cs="宋体"/>
      <w:sz w:val="36"/>
      <w:szCs w:val="36"/>
      <w:lang w:val="en-US" w:eastAsia="zh-CN" w:bidi="ar-SA"/>
    </w:rPr>
  </w:style>
  <w:style w:type="paragraph" w:styleId="Heading2">
    <w:name w:val="heading 2"/>
    <w:basedOn w:val="Normal"/>
    <w:uiPriority w:val="1"/>
    <w:qFormat/>
    <w:pPr>
      <w:ind w:left="121"/>
      <w:outlineLvl w:val="1"/>
    </w:pPr>
    <w:rPr>
      <w:rFonts w:ascii="Microsoft JhengHei" w:eastAsia="Microsoft JhengHei" w:hAnsi="Microsoft JhengHei" w:cs="Microsoft JhengHei"/>
      <w:b/>
      <w:bCs/>
      <w:sz w:val="28"/>
      <w:szCs w:val="28"/>
      <w:lang w:val="en-US" w:eastAsia="zh-CN" w:bidi="ar-SA"/>
    </w:rPr>
  </w:style>
  <w:style w:type="paragraph" w:styleId="Heading3">
    <w:name w:val="heading 3"/>
    <w:basedOn w:val="Normal"/>
    <w:uiPriority w:val="1"/>
    <w:qFormat/>
    <w:pPr>
      <w:spacing w:before="160"/>
      <w:ind w:left="681" w:hanging="560"/>
      <w:outlineLvl w:val="2"/>
    </w:pPr>
    <w:rPr>
      <w:rFonts w:ascii="宋体" w:eastAsia="宋体" w:hAnsi="宋体" w:cs="宋体"/>
      <w:sz w:val="28"/>
      <w:szCs w:val="28"/>
      <w:lang w:val="en-US" w:eastAsia="zh-CN" w:bidi="ar-SA"/>
    </w:rPr>
  </w:style>
  <w:style w:type="paragraph" w:styleId="Heading4">
    <w:name w:val="heading 4"/>
    <w:basedOn w:val="Normal"/>
    <w:uiPriority w:val="1"/>
    <w:qFormat/>
    <w:pPr>
      <w:ind w:left="1014" w:hanging="424"/>
      <w:outlineLvl w:val="3"/>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49"/>
      <w:ind w:left="542" w:hanging="422"/>
    </w:pPr>
    <w:rPr>
      <w:rFonts w:ascii="Microsoft JhengHei" w:eastAsia="Microsoft JhengHei" w:hAnsi="Microsoft JhengHei" w:cs="Microsoft JhengHei"/>
      <w:b/>
      <w:bCs/>
      <w:sz w:val="28"/>
      <w:szCs w:val="28"/>
      <w:lang w:val="en-US" w:eastAsia="zh-CN" w:bidi="ar-SA"/>
    </w:rPr>
  </w:style>
  <w:style w:type="paragraph" w:styleId="BodyText">
    <w:name w:val="Body Text"/>
    <w:basedOn w:val="Normal"/>
    <w:uiPriority w:val="1"/>
    <w:qFormat/>
    <w:pPr>
      <w:ind w:left="121"/>
    </w:pPr>
    <w:rPr>
      <w:rFonts w:ascii="宋体" w:eastAsia="宋体" w:hAnsi="宋体" w:cs="宋体"/>
      <w:sz w:val="24"/>
      <w:szCs w:val="24"/>
      <w:lang w:val="en-US" w:eastAsia="zh-CN" w:bidi="ar-SA"/>
    </w:rPr>
  </w:style>
  <w:style w:type="paragraph" w:styleId="Title">
    <w:name w:val="Title"/>
    <w:basedOn w:val="Normal"/>
    <w:uiPriority w:val="1"/>
    <w:qFormat/>
    <w:pPr>
      <w:ind w:left="2104" w:right="2541"/>
      <w:jc w:val="center"/>
    </w:pPr>
    <w:rPr>
      <w:rFonts w:ascii="Microsoft JhengHei" w:eastAsia="Microsoft JhengHei" w:hAnsi="Microsoft JhengHei" w:cs="Microsoft JhengHei"/>
      <w:b/>
      <w:bCs/>
      <w:sz w:val="72"/>
      <w:szCs w:val="72"/>
      <w:lang w:val="en-US" w:eastAsia="zh-CN" w:bidi="ar-SA"/>
    </w:rPr>
  </w:style>
  <w:style w:type="paragraph" w:styleId="ListParagraph">
    <w:name w:val="List Paragraph"/>
    <w:basedOn w:val="Normal"/>
    <w:uiPriority w:val="1"/>
    <w:qFormat/>
    <w:pPr>
      <w:ind w:left="962" w:hanging="361"/>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footer" Target="footer3.xml" /><Relationship Id="rId13" Type="http://schemas.openxmlformats.org/officeDocument/2006/relationships/header" Target="header7.xml" /><Relationship Id="rId14" Type="http://schemas.openxmlformats.org/officeDocument/2006/relationships/footer" Target="footer4.xml" /><Relationship Id="rId15" Type="http://schemas.openxmlformats.org/officeDocument/2006/relationships/header" Target="header8.xml" /><Relationship Id="rId16" Type="http://schemas.openxmlformats.org/officeDocument/2006/relationships/footer" Target="footer5.xml" /><Relationship Id="rId17" Type="http://schemas.openxmlformats.org/officeDocument/2006/relationships/image" Target="media/image1.jpeg" /><Relationship Id="rId18" Type="http://schemas.openxmlformats.org/officeDocument/2006/relationships/header" Target="header9.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image" Target="media/image2.jpeg" /><Relationship Id="rId21" Type="http://schemas.openxmlformats.org/officeDocument/2006/relationships/header" Target="header10.xml" /><Relationship Id="rId22" Type="http://schemas.openxmlformats.org/officeDocument/2006/relationships/footer" Target="footer7.xml" /><Relationship Id="rId23" Type="http://schemas.openxmlformats.org/officeDocument/2006/relationships/header" Target="header11.xml" /><Relationship Id="rId24" Type="http://schemas.openxmlformats.org/officeDocument/2006/relationships/footer" Target="footer8.xml" /><Relationship Id="rId25" Type="http://schemas.openxmlformats.org/officeDocument/2006/relationships/hyperlink" Target="https://d.book118.com/548116130064006042" TargetMode="External" /><Relationship Id="rId26" Type="http://schemas.openxmlformats.org/officeDocument/2006/relationships/header" Target="header12.xml" /><Relationship Id="rId27" Type="http://schemas.openxmlformats.org/officeDocument/2006/relationships/footer" Target="footer9.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footer" Target="footer1.xml" /><Relationship Id="rId9" Type="http://schemas.openxmlformats.org/officeDocument/2006/relationships/header" Target="head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2024-03-01T13:26:56Z</dcterms:created>
  <dcterms:modified xsi:type="dcterms:W3CDTF">2024-03-01T13:26:56Z</dcterms:modified>
</cp:coreProperties>
</file>