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其他通用设备和零件相关行业公司成立方案及可行性研究报告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6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_Toc20631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_Toc7030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_Toc6701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_Toc31949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_Toc11504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_Toc23573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_Toc13109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_Toc13506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_Toc20845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7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_Toc10774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_Toc28982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_Toc22340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_Toc29693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_Toc3988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_Toc13665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eastAsia="zh-CN"/>
          </w:rPr>
          <w:t>(七)、其他通用设备和零件项目建设必要性分析</w:t>
        </w:r>
        <w:r>
          <w:tab/>
        </w:r>
        <w:r>
          <w:fldChar w:fldCharType="begin"/>
        </w:r>
        <w:r>
          <w:instrText xml:space="preserve"> PAGEREF _Toc30307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_Toc14094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_Toc22823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_Toc12221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_Toc3739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_Toc31333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_Toc2123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_Toc6948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0" w:history="1">
        <w:r>
          <w:rPr>
            <w:rFonts w:ascii="仿宋" w:eastAsia="仿宋" w:hAnsi="仿宋" w:cs="仿宋" w:hint="eastAsia"/>
            <w:lang w:eastAsia="zh-CN"/>
          </w:rPr>
          <w:t>(一)、其他通用设备和零件项目进度安排</w:t>
        </w:r>
        <w:r>
          <w:tab/>
        </w:r>
        <w:r>
          <w:fldChar w:fldCharType="begin"/>
        </w:r>
        <w:r>
          <w:instrText xml:space="preserve"> PAGEREF _Toc19060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8" w:history="1">
        <w:r>
          <w:rPr>
            <w:rFonts w:ascii="仿宋" w:eastAsia="仿宋" w:hAnsi="仿宋" w:cs="仿宋" w:hint="eastAsia"/>
            <w:lang w:eastAsia="zh-CN"/>
          </w:rPr>
          <w:t>(二)、其他通用设备和零件项目实施保障措施</w:t>
        </w:r>
        <w:r>
          <w:tab/>
        </w:r>
        <w:r>
          <w:fldChar w:fldCharType="begin"/>
        </w:r>
        <w:r>
          <w:instrText xml:space="preserve"> PAGEREF _Toc25548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_Toc29019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2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_Toc7412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3" w:history="1">
        <w:r>
          <w:rPr>
            <w:rFonts w:ascii="仿宋" w:eastAsia="仿宋" w:hAnsi="仿宋" w:cs="仿宋" w:hint="eastAsia"/>
            <w:lang w:eastAsia="zh-CN"/>
          </w:rPr>
          <w:t>(一)、其他通用设备和零件项目背景分析</w:t>
        </w:r>
        <w:r>
          <w:tab/>
        </w:r>
        <w:r>
          <w:fldChar w:fldCharType="begin"/>
        </w:r>
        <w:r>
          <w:instrText xml:space="preserve"> PAGEREF _Toc21583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(二)、其他通用设备和零件项目建设必要性分析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_Toc8338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_Toc8652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3" w:history="1">
        <w:r>
          <w:rPr>
            <w:rFonts w:ascii="仿宋" w:eastAsia="仿宋" w:hAnsi="仿宋" w:cs="仿宋" w:hint="eastAsia"/>
            <w:lang w:eastAsia="zh-CN"/>
          </w:rPr>
          <w:t>十、其他通用设备和零件项目风险分析</w:t>
        </w:r>
        <w:r>
          <w:tab/>
        </w:r>
        <w:r>
          <w:fldChar w:fldCharType="begin"/>
        </w:r>
        <w:r>
          <w:instrText xml:space="preserve"> PAGEREF _Toc19373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0" w:history="1">
        <w:r>
          <w:rPr>
            <w:rFonts w:ascii="仿宋" w:eastAsia="仿宋" w:hAnsi="仿宋" w:cs="仿宋" w:hint="eastAsia"/>
            <w:lang w:eastAsia="zh-CN"/>
          </w:rPr>
          <w:t>(一)、其他通用设备和零件项目风险分析</w:t>
        </w:r>
        <w:r>
          <w:tab/>
        </w:r>
        <w:r>
          <w:fldChar w:fldCharType="begin"/>
        </w:r>
        <w:r>
          <w:instrText xml:space="preserve"> PAGEREF _Toc32080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4" w:history="1">
        <w:r>
          <w:rPr>
            <w:rFonts w:ascii="仿宋" w:eastAsia="仿宋" w:hAnsi="仿宋" w:cs="仿宋" w:hint="eastAsia"/>
            <w:lang w:eastAsia="zh-CN"/>
          </w:rPr>
          <w:t>(二)、其他通用设备和零件项目风险对策</w:t>
        </w:r>
        <w:r>
          <w:tab/>
        </w:r>
        <w:r>
          <w:fldChar w:fldCharType="begin"/>
        </w:r>
        <w:r>
          <w:instrText xml:space="preserve"> PAGEREF _Toc29374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5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_Toc27359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3" w:history="1">
        <w:r>
          <w:rPr>
            <w:rFonts w:ascii="仿宋" w:eastAsia="仿宋" w:hAnsi="仿宋" w:cs="仿宋" w:hint="eastAsia"/>
            <w:lang w:eastAsia="zh-CN"/>
          </w:rPr>
          <w:t>(二)、合作其他通用设备和零件项目</w:t>
        </w:r>
        <w:r>
          <w:tab/>
        </w:r>
        <w:r>
          <w:fldChar w:fldCharType="begin"/>
        </w:r>
        <w:r>
          <w:instrText xml:space="preserve"> PAGEREF _Toc23653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_Toc8778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6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03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03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https://d.book118.com/555101111342011100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其他通用设备和零件相关行业公司成立方案及可行性研究报告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其他通用设备和零件相关行业公司成立方案及可行性研究报告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其他通用设备和零件相关行业公司成立方案及可行性研究报告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其他通用设备和零件相关行业公司成立方案及可行性研究报告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其他通用设备和零件相关行业公司成立方案及可行性研究报告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55101111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2024-01-18T08:31:00Z</dcterms:created>
  <dcterms:modified xsi:type="dcterms:W3CDTF">2024-01-18T08:31:22Z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A5918DE473814AEAB41CFD35D01F1A59_11</vt:lpwstr>
  </property>
  <property fmtid="{D5CDD505-2E9C-101B-9397-08002B2CF9AE}" pid="3" name="KSOProductBuildVer">
    <vt:lpwstr>2052-12.1.0.16120</vt:lpwstr>
  </property>
</Properties>
</file>