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407" w:lineRule="auto"/>
      </w:pPr>
    </w:p>
    <w:p>
      <w:pPr>
        <w:spacing w:line="603" w:lineRule="exact"/>
        <w:ind w:firstLine="17079"/>
      </w:pPr>
      <w:r>
        <w:rPr>
          <w:position w:val="-12"/>
        </w:rPr>
        <w:drawing>
          <wp:inline distT="0" distB="0" distL="0" distR="0">
            <wp:extent cx="1073139" cy="383236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73139" cy="383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9" w:lineRule="auto"/>
        <w:ind w:left="17130"/>
        <w:rPr>
          <w:rFonts w:ascii="SimHei" w:eastAsia="SimHei" w:hAnsi="SimHei" w:cs="SimHei"/>
          <w:sz w:val="21"/>
          <w:szCs w:val="2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-643252</wp:posOffset>
            </wp:positionV>
            <wp:extent cx="12192000" cy="68580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YouYuan" w:eastAsia="YouYuan" w:hAnsi="YouYuan" w:cs="YouYuan"/>
          <w:spacing w:val="-8"/>
          <w:sz w:val="21"/>
          <w:szCs w:val="21"/>
        </w:rPr>
        <w:t>艾</w:t>
      </w:r>
      <w:r>
        <w:rPr>
          <w:rFonts w:ascii="YouYuan" w:eastAsia="YouYuan" w:hAnsi="YouYuan" w:cs="YouYuan"/>
          <w:spacing w:val="29"/>
          <w:sz w:val="21"/>
          <w:szCs w:val="21"/>
        </w:rPr>
        <w:t xml:space="preserve">  </w:t>
      </w:r>
      <w:r>
        <w:rPr>
          <w:rFonts w:ascii="YouYuan" w:eastAsia="YouYuan" w:hAnsi="YouYuan" w:cs="YouYuan"/>
          <w:spacing w:val="-8"/>
          <w:sz w:val="21"/>
          <w:szCs w:val="21"/>
        </w:rPr>
        <w:t>瑞</w:t>
      </w:r>
      <w:r>
        <w:rPr>
          <w:rFonts w:ascii="YouYuan" w:eastAsia="YouYuan" w:hAnsi="YouYuan" w:cs="YouYuan"/>
          <w:spacing w:val="31"/>
          <w:sz w:val="21"/>
          <w:szCs w:val="21"/>
        </w:rPr>
        <w:t xml:space="preserve">  </w:t>
      </w:r>
      <w:r>
        <w:rPr>
          <w:rFonts w:ascii="YouYuan" w:eastAsia="YouYuan" w:hAnsi="YouYuan" w:cs="YouYuan"/>
          <w:spacing w:val="-8"/>
          <w:sz w:val="21"/>
          <w:szCs w:val="21"/>
        </w:rPr>
        <w:t>咨</w:t>
      </w:r>
      <w:r>
        <w:rPr>
          <w:rFonts w:ascii="YouYuan" w:eastAsia="YouYuan" w:hAnsi="YouYuan" w:cs="YouYuan"/>
          <w:spacing w:val="-8"/>
          <w:sz w:val="21"/>
          <w:szCs w:val="21"/>
        </w:rPr>
        <w:t xml:space="preserve">   </w:t>
      </w:r>
      <w:r>
        <w:rPr>
          <w:rFonts w:ascii="SimHei" w:eastAsia="SimHei" w:hAnsi="SimHei" w:cs="SimHei"/>
          <w:spacing w:val="-8"/>
          <w:sz w:val="21"/>
          <w:szCs w:val="21"/>
        </w:rPr>
        <w:t>询</w:t>
      </w:r>
    </w:p>
    <w:p>
      <w:pPr>
        <w:pStyle w:val="BodyText"/>
        <w:spacing w:line="402" w:lineRule="auto"/>
      </w:pPr>
    </w:p>
    <w:p>
      <w:pPr>
        <w:pStyle w:val="BodyText"/>
        <w:spacing w:before="92" w:line="198" w:lineRule="auto"/>
        <w:ind w:left="1260"/>
        <w:rPr>
          <w:sz w:val="32"/>
          <w:szCs w:val="32"/>
        </w:rPr>
      </w:pPr>
      <w:r>
        <w:rPr>
          <w:color w:val="FFFFFF"/>
          <w:spacing w:val="-2"/>
          <w:sz w:val="32"/>
          <w:szCs w:val="32"/>
        </w:rPr>
        <w:t>CONTENTS</w:t>
      </w:r>
    </w:p>
    <w:p>
      <w:pPr>
        <w:spacing w:before="319" w:line="222" w:lineRule="auto"/>
        <w:ind w:left="1279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b/>
          <w:bCs/>
          <w:color w:val="FFFFFF"/>
          <w:spacing w:val="5"/>
          <w:sz w:val="65"/>
          <w:szCs w:val="65"/>
        </w:rPr>
        <w:t>目录</w:t>
      </w:r>
    </w:p>
    <w:p>
      <w:pPr>
        <w:spacing w:before="160" w:line="221" w:lineRule="auto"/>
        <w:ind w:left="854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9"/>
          <w:sz w:val="29"/>
          <w:szCs w:val="29"/>
        </w:rPr>
        <w:t>01</w:t>
      </w:r>
      <w:r>
        <w:rPr>
          <w:rFonts w:ascii="SimHei" w:eastAsia="SimHei" w:hAnsi="SimHei" w:cs="SimHei"/>
          <w:spacing w:val="-9"/>
          <w:sz w:val="29"/>
          <w:szCs w:val="29"/>
        </w:rPr>
        <w:t xml:space="preserve">   </w:t>
      </w:r>
      <w:r>
        <w:rPr>
          <w:rFonts w:ascii="SimHei" w:eastAsia="SimHei" w:hAnsi="SimHei" w:cs="SimHei"/>
          <w:b/>
          <w:bCs/>
          <w:spacing w:val="-9"/>
          <w:sz w:val="29"/>
          <w:szCs w:val="29"/>
        </w:rPr>
        <w:t>游戏行业营销发展趋势</w:t>
      </w:r>
    </w:p>
    <w:p>
      <w:pPr>
        <w:pStyle w:val="BodyText"/>
        <w:spacing w:before="181" w:line="198" w:lineRule="auto"/>
        <w:ind w:left="9230"/>
      </w:pPr>
      <w:r>
        <w:rPr>
          <w:spacing w:val="-2"/>
        </w:rPr>
        <w:t>Overview</w:t>
      </w: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pStyle w:val="BodyText"/>
        <w:spacing w:line="293" w:lineRule="auto"/>
      </w:pPr>
    </w:p>
    <w:p>
      <w:pPr>
        <w:spacing w:before="95" w:line="221" w:lineRule="auto"/>
        <w:ind w:left="854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6"/>
          <w:sz w:val="29"/>
          <w:szCs w:val="29"/>
        </w:rPr>
        <w:t>02</w:t>
      </w:r>
      <w:r>
        <w:rPr>
          <w:rFonts w:ascii="SimHei" w:eastAsia="SimHei" w:hAnsi="SimHei" w:cs="SimHei"/>
          <w:spacing w:val="-6"/>
          <w:sz w:val="29"/>
          <w:szCs w:val="29"/>
        </w:rPr>
        <w:t xml:space="preserve">   </w:t>
      </w:r>
      <w:r>
        <w:rPr>
          <w:rFonts w:ascii="SimHei" w:eastAsia="SimHei" w:hAnsi="SimHei" w:cs="SimHei"/>
          <w:spacing w:val="-6"/>
          <w:sz w:val="29"/>
          <w:szCs w:val="29"/>
        </w:rPr>
        <w:t>游戏社交创作者生态创新研究——以微博为例</w:t>
      </w:r>
    </w:p>
    <w:p>
      <w:pPr>
        <w:pStyle w:val="BodyText"/>
        <w:spacing w:before="156" w:line="196" w:lineRule="auto"/>
        <w:ind w:left="9230"/>
      </w:pPr>
      <w:r>
        <w:rPr>
          <w:spacing w:val="-1"/>
        </w:rPr>
        <w:t>Analysis</w:t>
      </w: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95" w:line="221" w:lineRule="auto"/>
        <w:ind w:left="854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10"/>
          <w:sz w:val="29"/>
          <w:szCs w:val="29"/>
        </w:rPr>
        <w:t>03</w:t>
      </w:r>
      <w:r>
        <w:rPr>
          <w:rFonts w:ascii="SimHei" w:eastAsia="SimHei" w:hAnsi="SimHei" w:cs="SimHei"/>
          <w:spacing w:val="-10"/>
          <w:sz w:val="29"/>
          <w:szCs w:val="29"/>
        </w:rPr>
        <w:t xml:space="preserve">   </w:t>
      </w:r>
      <w:r>
        <w:rPr>
          <w:rFonts w:ascii="SimHei" w:eastAsia="SimHei" w:hAnsi="SimHei" w:cs="SimHei"/>
          <w:b/>
          <w:bCs/>
          <w:spacing w:val="-10"/>
          <w:sz w:val="29"/>
          <w:szCs w:val="29"/>
        </w:rPr>
        <w:t>游戏社交创作者生态发展展望</w:t>
      </w:r>
    </w:p>
    <w:p>
      <w:pPr>
        <w:pStyle w:val="BodyText"/>
        <w:spacing w:before="118" w:line="286" w:lineRule="exact"/>
        <w:ind w:left="9230"/>
      </w:pPr>
      <w:r>
        <w:rPr>
          <w:spacing w:val="-1"/>
          <w:position w:val="3"/>
        </w:rPr>
        <w:t>Development   trend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footerReference w:type="default" r:id="rId6"/>
          <w:pgSz w:w="19200" w:h="10800"/>
          <w:pgMar w:top="0" w:right="0" w:bottom="1" w:left="0" w:header="0" w:footer="0" w:gutter="0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69" w:line="183" w:lineRule="auto"/>
        <w:ind w:left="187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3</w:t>
      </w:r>
    </w:p>
    <w:p>
      <w:pPr>
        <w:spacing w:line="183" w:lineRule="auto"/>
        <w:rPr>
          <w:rFonts w:ascii="SimSun" w:eastAsia="SimSun" w:hAnsi="SimSun" w:cs="SimSun"/>
          <w:sz w:val="21"/>
          <w:szCs w:val="21"/>
        </w:rPr>
        <w:sectPr>
          <w:footerReference w:type="default" r:id="rId7"/>
          <w:type w:val="nextPage"/>
          <w:pgSz w:w="19200" w:h="10800"/>
          <w:pgMar w:top="0" w:right="0" w:bottom="1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87" w:lineRule="auto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2216139</wp:posOffset>
            </wp:positionH>
            <wp:positionV relativeFrom="page">
              <wp:posOffset>2514622</wp:posOffset>
            </wp:positionV>
            <wp:extent cx="1797100" cy="1047696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97100" cy="1047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930" w:lineRule="exact"/>
        <w:ind w:firstLine="17059"/>
      </w:pPr>
      <w:r>
        <w:rPr>
          <w:position w:val="-18"/>
        </w:rPr>
        <w:drawing>
          <wp:inline distT="0" distB="0" distL="0" distR="0">
            <wp:extent cx="1117640" cy="590542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17640" cy="590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277" w:line="221" w:lineRule="auto"/>
        <w:ind w:left="6672"/>
        <w:rPr>
          <w:rFonts w:ascii="SimHei" w:eastAsia="SimHei" w:hAnsi="SimHei" w:cs="SimHei"/>
          <w:sz w:val="85"/>
          <w:szCs w:val="85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-2393113</wp:posOffset>
            </wp:positionV>
            <wp:extent cx="12192000" cy="68580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FFFFFF"/>
          <w:spacing w:val="16"/>
          <w:sz w:val="85"/>
          <w:szCs w:val="85"/>
        </w:rPr>
        <w:t>游戏行业营销发展趋势</w:t>
      </w:r>
    </w:p>
    <w:p>
      <w:pPr>
        <w:pStyle w:val="BodyText"/>
        <w:spacing w:before="157" w:line="198" w:lineRule="auto"/>
        <w:ind w:left="6639"/>
        <w:rPr>
          <w:sz w:val="60"/>
          <w:szCs w:val="60"/>
        </w:rPr>
      </w:pPr>
      <w:r>
        <w:rPr>
          <w:color w:val="FFFFFF"/>
          <w:spacing w:val="-4"/>
          <w:sz w:val="60"/>
          <w:szCs w:val="60"/>
        </w:rPr>
        <w:t>Overview</w:t>
      </w:r>
    </w:p>
    <w:p>
      <w:pPr>
        <w:spacing w:line="198" w:lineRule="auto"/>
        <w:rPr>
          <w:sz w:val="60"/>
          <w:szCs w:val="60"/>
        </w:rPr>
        <w:sectPr>
          <w:footerReference w:type="default" r:id="rId11"/>
          <w:pgSz w:w="19200" w:h="10800"/>
          <w:pgMar w:top="0" w:right="0" w:bottom="400" w:left="0" w:header="0" w:footer="0" w:gutter="0"/>
          <w:pgNumType w:start="3"/>
          <w:cols w:space="708"/>
        </w:sectPr>
      </w:pPr>
    </w:p>
    <w:p>
      <w:pPr>
        <w:spacing w:before="392" w:line="187" w:lineRule="auto"/>
        <w:ind w:left="918"/>
        <w:rPr>
          <w:rFonts w:ascii="SimHei" w:eastAsia="SimHei" w:hAnsi="SimHei" w:cs="SimHei"/>
          <w:sz w:val="61"/>
          <w:szCs w:val="6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7.05pt;height:186.85pt;margin-top:213pt;margin-left:0.2pt;mso-position-horizontal-relative:page;mso-position-vertical-relative:page;position:absolute;z-index:251661312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15" w:lineRule="auto"/>
                    <w:ind w:left="20"/>
                    <w:rPr>
                      <w:rFonts w:ascii="SimHei" w:eastAsia="SimHei" w:hAnsi="SimHei" w:cs="SimHei"/>
                      <w:sz w:val="25"/>
                      <w:szCs w:val="25"/>
                    </w:rPr>
                  </w:pPr>
                  <w:r>
                    <w:rPr>
                      <w:rFonts w:ascii="SimHei" w:eastAsia="SimHei" w:hAnsi="SimHei" w:cs="SimHei"/>
                      <w:spacing w:val="31"/>
                      <w:sz w:val="25"/>
                      <w:szCs w:val="25"/>
                    </w:rPr>
                    <w:t>行业规模</w:t>
                  </w:r>
                  <w:r>
                    <w:rPr>
                      <w:rFonts w:ascii="SimHei" w:eastAsia="SimHei" w:hAnsi="SimHei" w:cs="SimHei"/>
                      <w:spacing w:val="6"/>
                      <w:sz w:val="25"/>
                      <w:szCs w:val="25"/>
                    </w:rPr>
                    <w:t xml:space="preserve">           </w:t>
                  </w:r>
                  <w:r>
                    <w:rPr>
                      <w:rFonts w:ascii="SimHei" w:eastAsia="SimHei" w:hAnsi="SimHei" w:cs="SimHei"/>
                      <w:spacing w:val="31"/>
                      <w:sz w:val="25"/>
                      <w:szCs w:val="25"/>
                    </w:rPr>
                    <w:t>行业趋势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color w:val="6FC500"/>
          <w:spacing w:val="14"/>
          <w:sz w:val="61"/>
          <w:szCs w:val="61"/>
        </w:rPr>
        <w:t>中国游戏市场营收规模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698" w:lineRule="exact"/>
      </w:pPr>
      <w:r>
        <w:rPr>
          <w:position w:val="-13"/>
        </w:rPr>
        <w:drawing>
          <wp:inline distT="0" distB="0" distL="0" distR="0">
            <wp:extent cx="1162019" cy="443591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62019" cy="443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 w:line="225" w:lineRule="auto"/>
        <w:ind w:left="39"/>
        <w:rPr>
          <w:rFonts w:ascii="YouYuan" w:eastAsia="YouYuan" w:hAnsi="YouYuan" w:cs="YouYuan"/>
          <w:sz w:val="19"/>
          <w:szCs w:val="19"/>
        </w:rPr>
      </w:pPr>
      <w:r>
        <w:rPr>
          <w:rFonts w:ascii="YouYuan" w:eastAsia="YouYuan" w:hAnsi="YouYuan" w:cs="YouYuan"/>
          <w:spacing w:val="-4"/>
          <w:sz w:val="19"/>
          <w:szCs w:val="19"/>
        </w:rPr>
        <w:t>艾</w:t>
      </w:r>
      <w:r>
        <w:rPr>
          <w:rFonts w:ascii="YouYuan" w:eastAsia="YouYuan" w:hAnsi="YouYuan" w:cs="YouYuan"/>
          <w:spacing w:val="14"/>
          <w:sz w:val="19"/>
          <w:szCs w:val="19"/>
        </w:rPr>
        <w:t xml:space="preserve">   </w:t>
      </w:r>
      <w:r>
        <w:rPr>
          <w:rFonts w:ascii="YouYuan" w:eastAsia="YouYuan" w:hAnsi="YouYuan" w:cs="YouYuan"/>
          <w:spacing w:val="-4"/>
          <w:sz w:val="19"/>
          <w:szCs w:val="19"/>
        </w:rPr>
        <w:t>瑞</w:t>
      </w:r>
      <w:r>
        <w:rPr>
          <w:rFonts w:ascii="YouYuan" w:eastAsia="YouYuan" w:hAnsi="YouYuan" w:cs="YouYuan"/>
          <w:spacing w:val="12"/>
          <w:sz w:val="19"/>
          <w:szCs w:val="19"/>
        </w:rPr>
        <w:t xml:space="preserve">   </w:t>
      </w:r>
      <w:r>
        <w:rPr>
          <w:rFonts w:ascii="YouYuan" w:eastAsia="YouYuan" w:hAnsi="YouYuan" w:cs="YouYuan"/>
          <w:spacing w:val="-4"/>
          <w:sz w:val="19"/>
          <w:szCs w:val="19"/>
        </w:rPr>
        <w:t>咨</w:t>
      </w:r>
      <w:r>
        <w:rPr>
          <w:rFonts w:ascii="YouYuan" w:eastAsia="YouYuan" w:hAnsi="YouYuan" w:cs="YouYuan"/>
          <w:spacing w:val="17"/>
          <w:sz w:val="19"/>
          <w:szCs w:val="19"/>
        </w:rPr>
        <w:t xml:space="preserve">   </w:t>
      </w:r>
      <w:r>
        <w:rPr>
          <w:rFonts w:ascii="YouYuan" w:eastAsia="YouYuan" w:hAnsi="YouYuan" w:cs="YouYuan"/>
          <w:spacing w:val="-4"/>
          <w:sz w:val="19"/>
          <w:szCs w:val="19"/>
        </w:rPr>
        <w:t>询</w:t>
      </w:r>
    </w:p>
    <w:p>
      <w:pPr>
        <w:spacing w:line="225" w:lineRule="auto"/>
        <w:rPr>
          <w:rFonts w:ascii="YouYuan" w:eastAsia="YouYuan" w:hAnsi="YouYuan" w:cs="YouYuan"/>
          <w:sz w:val="19"/>
          <w:szCs w:val="19"/>
        </w:rPr>
        <w:sectPr>
          <w:footerReference w:type="default" r:id="rId13"/>
          <w:pgSz w:w="19200" w:h="10800"/>
          <w:pgMar w:top="520" w:right="447" w:bottom="150" w:left="0" w:header="0" w:footer="0" w:gutter="0"/>
          <w:pgNumType w:start="4"/>
          <w:cols w:num="2" w:space="708" w:equalWidth="0">
            <w:col w:w="16580" w:space="100"/>
            <w:col w:w="2073" w:space="0"/>
          </w:cols>
        </w:sectPr>
      </w:pPr>
    </w:p>
    <w:p>
      <w:pPr>
        <w:spacing w:before="207" w:line="213" w:lineRule="auto"/>
        <w:ind w:left="856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3"/>
          <w:sz w:val="49"/>
          <w:szCs w:val="49"/>
        </w:rPr>
        <w:t>游戏市场回暖升温，2023年整体游戏市场规</w:t>
      </w:r>
      <w:r>
        <w:rPr>
          <w:rFonts w:ascii="SimHei" w:eastAsia="SimHei" w:hAnsi="SimHei" w:cs="SimHei"/>
          <w:b/>
          <w:bCs/>
          <w:spacing w:val="-4"/>
          <w:sz w:val="49"/>
          <w:szCs w:val="49"/>
        </w:rPr>
        <w:t>模首次突破</w:t>
      </w:r>
      <w:r>
        <w:rPr>
          <w:rFonts w:ascii="SimHei" w:eastAsia="SimHei" w:hAnsi="SimHei" w:cs="SimHei"/>
          <w:spacing w:val="-4"/>
          <w:sz w:val="49"/>
          <w:szCs w:val="49"/>
        </w:rPr>
        <w:t>4000亿元</w:t>
      </w:r>
    </w:p>
    <w:p>
      <w:pPr>
        <w:spacing w:before="304" w:line="213" w:lineRule="auto"/>
        <w:ind w:left="84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4"/>
          <w:sz w:val="24"/>
          <w:szCs w:val="24"/>
        </w:rPr>
        <w:t>·在经济复苏向好和游戏版号常态化发放的双重驱动下，2023年中国整体游戏市场规模突破4000亿元，达到4039亿元，同比增长5.4%。</w:t>
      </w:r>
    </w:p>
    <w:p>
      <w:pPr>
        <w:spacing w:before="73" w:line="213" w:lineRule="auto"/>
        <w:ind w:left="849"/>
        <w:rPr>
          <w:rFonts w:ascii="SimHei" w:eastAsia="SimHei" w:hAnsi="SimHei" w:cs="SimHei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·5G、AIGC、</w:t>
      </w:r>
      <w:r>
        <w:rPr>
          <w:rFonts w:ascii="SimSun" w:eastAsia="SimSun" w:hAnsi="SimSun" w:cs="SimSun"/>
          <w:spacing w:val="32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2"/>
          <w:sz w:val="24"/>
          <w:szCs w:val="24"/>
        </w:rPr>
        <w:t>云游戏、</w:t>
      </w:r>
      <w:r>
        <w:rPr>
          <w:rFonts w:ascii="SimSun" w:eastAsia="SimSun" w:hAnsi="SimSun" w:cs="SimSun"/>
          <w:spacing w:val="-2"/>
          <w:sz w:val="24"/>
          <w:szCs w:val="24"/>
        </w:rPr>
        <w:t>VR/AR</w:t>
      </w:r>
      <w:r>
        <w:rPr>
          <w:rFonts w:ascii="SimSun" w:eastAsia="SimSun" w:hAnsi="SimSun" w:cs="SimSun"/>
          <w:spacing w:val="44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2"/>
          <w:sz w:val="24"/>
          <w:szCs w:val="24"/>
        </w:rPr>
        <w:t>等技术的快速发展，将为游戏市场注入源源不断的创新动力</w:t>
      </w:r>
      <w:r>
        <w:rPr>
          <w:rFonts w:ascii="SimHei" w:eastAsia="SimHei" w:hAnsi="SimHei" w:cs="SimHei"/>
          <w:spacing w:val="-3"/>
          <w:sz w:val="24"/>
          <w:szCs w:val="24"/>
        </w:rPr>
        <w:t>，推动行业继续繁荣，预计游戏行业在未来几年仍将保持稳健增长的势头。</w:t>
      </w: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19"/>
      </w:pPr>
    </w:p>
    <w:p>
      <w:pPr>
        <w:sectPr>
          <w:footerReference w:type="default" r:id="rId14"/>
          <w:type w:val="continuous"/>
          <w:pgSz w:w="19200" w:h="10800"/>
          <w:pgMar w:top="520" w:right="447" w:bottom="150" w:left="0" w:header="0" w:footer="0" w:gutter="0"/>
          <w:pgNumType w:start="5"/>
          <w:cols w:num="1" w:space="708" w:equalWidth="0">
            <w:col w:w="18753" w:space="0"/>
          </w:cols>
        </w:sectPr>
      </w:pPr>
    </w:p>
    <w:p/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33" w:line="221" w:lineRule="auto"/>
        <w:ind w:left="6480"/>
        <w:rPr>
          <w:rFonts w:ascii="SimHei" w:eastAsia="SimHei" w:hAnsi="SimHei" w:cs="SimHei"/>
          <w:sz w:val="24"/>
          <w:szCs w:val="24"/>
        </w:rPr>
        <w:sectPr>
          <w:footerReference w:type="default" r:id="rId15"/>
          <w:type w:val="continuous"/>
          <w:pgSz w:w="19200" w:h="10800"/>
          <w:pgMar w:top="520" w:right="447" w:bottom="150" w:left="0" w:header="0" w:footer="0" w:gutter="0"/>
          <w:pgNumType w:start="6"/>
          <w:cols w:num="2" w:space="708" w:equalWidth="0">
            <w:col w:w="743" w:space="100"/>
            <w:col w:w="17910" w:space="0"/>
          </w:cols>
        </w:sectPr>
      </w:pPr>
      <w:r>
        <w:rPr>
          <w:rFonts w:ascii="SimHei" w:eastAsia="SimHei" w:hAnsi="SimHei" w:cs="SimHei"/>
          <w:b/>
          <w:bCs/>
          <w:spacing w:val="33"/>
          <w:sz w:val="24"/>
          <w:szCs w:val="24"/>
        </w:rPr>
        <w:t>2019</w:t>
      </w:r>
      <w:r>
        <w:rPr>
          <w:rFonts w:ascii="SimHei" w:eastAsia="SimHei" w:hAnsi="SimHei" w:cs="SimHei"/>
          <w:spacing w:val="-62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33"/>
          <w:sz w:val="24"/>
          <w:szCs w:val="24"/>
        </w:rPr>
        <w:t>-</w:t>
      </w:r>
      <w:r>
        <w:rPr>
          <w:rFonts w:ascii="SimHei" w:eastAsia="SimHei" w:hAnsi="SimHei" w:cs="SimHei"/>
          <w:spacing w:val="-69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33"/>
          <w:sz w:val="24"/>
          <w:szCs w:val="24"/>
        </w:rPr>
        <w:t>2026年中国游戏市场营收规模</w:t>
      </w:r>
    </w:p>
    <w:p>
      <w:pPr>
        <w:pStyle w:val="BodyText"/>
        <w:spacing w:before="18" w:line="5051" w:lineRule="exact"/>
        <w:ind w:firstLine="637"/>
      </w:pPr>
      <w:r>
        <w:rPr>
          <w:position w:val="-101"/>
        </w:rPr>
        <w:pict>
          <v:group id="_x0000_i1026" style="width:814.55pt;height:252.6pt;mso-position-horizontal-relative:char;mso-position-vertical-relative:line" coordorigin="0,0" coordsize="16290,5052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6290;height:4870;position:absolute" filled="f" stroked="f">
              <v:imagedata r:id="rId16" o:title=""/>
            </v:shape>
            <v:shape id="_x0000_s1028" type="#_x0000_t202" style="width:14548;height:4727;left:959;position:absolute;top:344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580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spacing w:val="-2"/>
                        <w:sz w:val="19"/>
                        <w:szCs w:val="19"/>
                      </w:rPr>
                      <w:t>CAGR=9.9%</w:t>
                    </w: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8" w:line="180" w:lineRule="exact"/>
                      <w:ind w:left="199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position w:val="-3"/>
                        <w:sz w:val="24"/>
                        <w:szCs w:val="24"/>
                      </w:rPr>
                      <w:t>24.4%</w:t>
                    </w:r>
                  </w:p>
                  <w:p>
                    <w:pPr>
                      <w:spacing w:line="183" w:lineRule="auto"/>
                      <w:ind w:left="1004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4"/>
                        <w:szCs w:val="24"/>
                      </w:rPr>
                      <w:t>3.9%</w:t>
                    </w:r>
                  </w:p>
                  <w:p>
                    <w:pPr>
                      <w:spacing w:line="4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2" w:line="118" w:lineRule="exact"/>
                      <w:ind w:left="140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position w:val="-3"/>
                        <w:sz w:val="19"/>
                        <w:szCs w:val="19"/>
                      </w:rPr>
                      <w:t>4438</w:t>
                    </w:r>
                  </w:p>
                  <w:p>
                    <w:pPr>
                      <w:spacing w:line="137" w:lineRule="exact"/>
                      <w:ind w:left="100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position w:val="-4"/>
                        <w:sz w:val="24"/>
                        <w:szCs w:val="24"/>
                      </w:rPr>
                      <w:t>4195</w:t>
                    </w:r>
                  </w:p>
                  <w:p>
                    <w:pPr>
                      <w:spacing w:line="115" w:lineRule="exact"/>
                      <w:ind w:left="60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position w:val="-3"/>
                        <w:sz w:val="19"/>
                        <w:szCs w:val="19"/>
                      </w:rPr>
                      <w:t>3833</w:t>
                    </w:r>
                  </w:p>
                  <w:p>
                    <w:pPr>
                      <w:spacing w:line="182" w:lineRule="auto"/>
                      <w:ind w:left="203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19"/>
                        <w:szCs w:val="19"/>
                      </w:rPr>
                      <w:t>3590</w:t>
                    </w:r>
                  </w:p>
                  <w:p>
                    <w:pPr>
                      <w:spacing w:before="101" w:line="183" w:lineRule="auto"/>
                      <w:ind w:left="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9"/>
                        <w:szCs w:val="19"/>
                      </w:rPr>
                      <w:t>2885</w:t>
                    </w: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8" w:line="195" w:lineRule="auto"/>
                      <w:ind w:left="4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position w:val="3"/>
                        <w:sz w:val="19"/>
                        <w:szCs w:val="19"/>
                      </w:rPr>
                      <w:t>2019                 2020</w:t>
                    </w:r>
                    <w:r>
                      <w:rPr>
                        <w:rFonts w:ascii="SimSun" w:eastAsia="SimSun" w:hAnsi="SimSun" w:cs="SimSun"/>
                        <w:position w:val="3"/>
                        <w:sz w:val="19"/>
                        <w:szCs w:val="19"/>
                      </w:rPr>
                      <w:t xml:space="preserve">                 </w:t>
                    </w:r>
                    <w:r>
                      <w:rPr>
                        <w:rFonts w:ascii="SimSun" w:eastAsia="SimSun" w:hAnsi="SimSun" w:cs="SimSun"/>
                        <w:spacing w:val="-2"/>
                        <w:position w:val="3"/>
                        <w:sz w:val="19"/>
                        <w:szCs w:val="19"/>
                      </w:rPr>
                      <w:t>2021                  2022</w:t>
                    </w:r>
                    <w:r>
                      <w:rPr>
                        <w:rFonts w:ascii="SimSun" w:eastAsia="SimSun" w:hAnsi="SimSun" w:cs="SimSun"/>
                        <w:spacing w:val="2"/>
                        <w:position w:val="3"/>
                        <w:sz w:val="19"/>
                        <w:szCs w:val="19"/>
                      </w:rPr>
                      <w:t xml:space="preserve">                </w:t>
                    </w:r>
                    <w:r>
                      <w:rPr>
                        <w:rFonts w:ascii="SimSun" w:eastAsia="SimSun" w:hAnsi="SimSun" w:cs="SimSun"/>
                        <w:spacing w:val="-2"/>
                        <w:position w:val="-1"/>
                        <w:sz w:val="24"/>
                        <w:szCs w:val="24"/>
                      </w:rPr>
                      <w:t xml:space="preserve">2023e           </w:t>
                    </w:r>
                    <w:r>
                      <w:rPr>
                        <w:rFonts w:ascii="SimSun" w:eastAsia="SimSun" w:hAnsi="SimSun" w:cs="SimSun"/>
                        <w:spacing w:val="-3"/>
                        <w:position w:val="-1"/>
                        <w:sz w:val="24"/>
                        <w:szCs w:val="24"/>
                      </w:rPr>
                      <w:t xml:space="preserve"> 2024e            2025e</w:t>
                    </w:r>
                    <w:r>
                      <w:rPr>
                        <w:rFonts w:ascii="SimSun" w:eastAsia="SimSun" w:hAnsi="SimSun" w:cs="SimSun"/>
                        <w:spacing w:val="8"/>
                        <w:position w:val="-1"/>
                        <w:sz w:val="24"/>
                        <w:szCs w:val="24"/>
                      </w:rPr>
                      <w:t xml:space="preserve">           </w:t>
                    </w:r>
                    <w:r>
                      <w:rPr>
                        <w:rFonts w:ascii="SimSun" w:eastAsia="SimSun" w:hAnsi="SimSun" w:cs="SimSun"/>
                        <w:spacing w:val="-3"/>
                        <w:position w:val="-1"/>
                        <w:sz w:val="24"/>
                        <w:szCs w:val="24"/>
                      </w:rPr>
                      <w:t>2026e</w:t>
                    </w:r>
                  </w:p>
                  <w:p>
                    <w:pPr>
                      <w:spacing w:before="124" w:line="237" w:lineRule="auto"/>
                      <w:ind w:left="3372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6"/>
                        <w:sz w:val="19"/>
                        <w:szCs w:val="19"/>
                      </w:rPr>
                      <w:t>中国游戏市场规模(亿元)</w:t>
                    </w:r>
                    <w:r>
                      <w:rPr>
                        <w:rFonts w:ascii="SimHei" w:eastAsia="SimHei" w:hAnsi="SimHei" w:cs="SimHei"/>
                        <w:spacing w:val="1"/>
                        <w:sz w:val="19"/>
                        <w:szCs w:val="19"/>
                      </w:rPr>
                      <w:t xml:space="preserve">                                           </w:t>
                    </w:r>
                    <w:r>
                      <w:rPr>
                        <w:rFonts w:ascii="SimHei" w:eastAsia="SimHei" w:hAnsi="SimHei" w:cs="SimHei"/>
                        <w:spacing w:val="6"/>
                        <w:position w:val="-1"/>
                        <w:sz w:val="19"/>
                        <w:szCs w:val="19"/>
                      </w:rPr>
                      <w:t>—</w:t>
                    </w:r>
                    <w:r>
                      <w:rPr>
                        <w:rFonts w:ascii="SimHei" w:eastAsia="SimHei" w:hAnsi="SimHei" w:cs="SimHei"/>
                        <w:spacing w:val="6"/>
                        <w:position w:val="-1"/>
                        <w:sz w:val="19"/>
                        <w:szCs w:val="19"/>
                      </w:rPr>
                      <w:t xml:space="preserve">  </w:t>
                    </w:r>
                    <w:r>
                      <w:rPr>
                        <w:rFonts w:ascii="SimHei" w:eastAsia="SimHei" w:hAnsi="SimHei" w:cs="SimHei"/>
                        <w:spacing w:val="6"/>
                        <w:position w:val="-1"/>
                        <w:sz w:val="19"/>
                        <w:szCs w:val="19"/>
                      </w:rPr>
                      <w:t>增</w:t>
                    </w:r>
                    <w:r>
                      <w:rPr>
                        <w:rFonts w:ascii="SimHei" w:eastAsia="SimHei" w:hAnsi="SimHei" w:cs="SimHei"/>
                        <w:spacing w:val="-22"/>
                        <w:position w:val="-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6"/>
                        <w:position w:val="-1"/>
                        <w:sz w:val="19"/>
                        <w:szCs w:val="19"/>
                      </w:rPr>
                      <w:t>长</w:t>
                    </w:r>
                    <w:r>
                      <w:rPr>
                        <w:rFonts w:ascii="SimHei" w:eastAsia="SimHei" w:hAnsi="SimHei" w:cs="SimHei"/>
                        <w:spacing w:val="-32"/>
                        <w:position w:val="-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6"/>
                        <w:position w:val="-1"/>
                        <w:sz w:val="19"/>
                        <w:szCs w:val="19"/>
                      </w:rPr>
                      <w:t>率</w:t>
                    </w:r>
                    <w:r>
                      <w:rPr>
                        <w:rFonts w:ascii="SimHei" w:eastAsia="SimHei" w:hAnsi="SimHei" w:cs="SimHei"/>
                        <w:spacing w:val="6"/>
                        <w:position w:val="-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6"/>
                        <w:position w:val="-1"/>
                        <w:sz w:val="19"/>
                        <w:szCs w:val="19"/>
                      </w:rPr>
                      <w:t>(</w:t>
                    </w:r>
                    <w:r>
                      <w:rPr>
                        <w:rFonts w:ascii="SimHei" w:eastAsia="SimHei" w:hAnsi="SimHei" w:cs="SimHei"/>
                        <w:spacing w:val="-37"/>
                        <w:position w:val="-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6"/>
                        <w:position w:val="-1"/>
                        <w:sz w:val="19"/>
                        <w:szCs w:val="19"/>
                      </w:rPr>
                      <w:t>%</w:t>
                    </w:r>
                    <w:r>
                      <w:rPr>
                        <w:rFonts w:ascii="SimHei" w:eastAsia="SimHei" w:hAnsi="SimHei" w:cs="SimHei"/>
                        <w:spacing w:val="-38"/>
                        <w:position w:val="-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6"/>
                        <w:position w:val="-1"/>
                        <w:sz w:val="19"/>
                        <w:szCs w:val="19"/>
                      </w:rPr>
                      <w:t>)</w:t>
                    </w:r>
                  </w:p>
                </w:txbxContent>
              </v:textbox>
            </v:shape>
            <v:shape id="_x0000_s1029" type="#_x0000_t202" style="width:1123;height:186;left:11590;position:absolute;top:394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spacing w:val="-2"/>
                        <w:sz w:val="19"/>
                        <w:szCs w:val="19"/>
                      </w:rPr>
                      <w:t>CAGR=3.2%</w:t>
                    </w:r>
                  </w:p>
                </w:txbxContent>
              </v:textbox>
            </v:shape>
            <v:shape id="_x0000_s1030" type="#_x0000_t202" style="width:505;height:207;left:8970;position:absolute;top:1271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4"/>
                        <w:szCs w:val="24"/>
                      </w:rPr>
                      <w:t>5.4%</w:t>
                    </w:r>
                  </w:p>
                </w:txbxContent>
              </v:textbox>
            </v:shape>
            <v:shape id="_x0000_s1031" type="#_x0000_t202" style="width:465;height:207;left:4960;position:absolute;top:1251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24"/>
                        <w:szCs w:val="24"/>
                      </w:rPr>
                      <w:t>8.6%</w:t>
                    </w:r>
                  </w:p>
                </w:txbxContent>
              </v:textbox>
            </v:shape>
            <v:shape id="_x0000_s1032" type="#_x0000_t202" style="width:510;height:173;left:6920;position:absolute;top:1416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9"/>
                        <w:szCs w:val="19"/>
                      </w:rPr>
                      <w:t>-1.7%</w:t>
                    </w:r>
                  </w:p>
                </w:txbxContent>
              </v:textbox>
            </v:shape>
            <v:shape id="_x0000_s1033" type="#_x0000_t202" style="width:414;height:172;left:12970;position:absolute;top:2076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9"/>
                        <w:szCs w:val="19"/>
                      </w:rPr>
                      <w:t>4327</w:t>
                    </w:r>
                  </w:p>
                </w:txbxContent>
              </v:textbox>
            </v:shape>
            <v:shape id="_x0000_s1034" type="#_x0000_t202" style="width:414;height:172;left:8970;position:absolute;top:2206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9"/>
                        <w:szCs w:val="19"/>
                      </w:rPr>
                      <w:t>4039</w:t>
                    </w:r>
                  </w:p>
                </w:txbxContent>
              </v:textbox>
            </v:shape>
            <v:shape id="_x0000_s1035" type="#_x0000_t202" style="width:409;height:173;left:12970;position:absolute;top:1355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19"/>
                        <w:szCs w:val="19"/>
                      </w:rPr>
                      <w:t>3.1%</w:t>
                    </w:r>
                  </w:p>
                </w:txbxContent>
              </v:textbox>
            </v:shape>
            <v:shape id="_x0000_s1036" type="#_x0000_t202" style="width:410;height:172;left:14960;position:absolute;top:1356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19"/>
                        <w:szCs w:val="19"/>
                      </w:rPr>
                      <w:t>2.6%</w:t>
                    </w:r>
                  </w:p>
                </w:txbxContent>
              </v:textbox>
            </v:shape>
            <v:shape id="_x0000_s1037" type="#_x0000_t202" style="width:409;height:172;left:4960;position:absolute;top:2286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19"/>
                        <w:szCs w:val="19"/>
                      </w:rPr>
                      <w:t>3900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87" w:line="213" w:lineRule="auto"/>
        <w:ind w:left="7"/>
        <w:rPr>
          <w:rFonts w:ascii="SimHei" w:eastAsia="SimHei" w:hAnsi="SimHei" w:cs="SimHei"/>
          <w:sz w:val="14"/>
          <w:szCs w:val="14"/>
        </w:rPr>
      </w:pPr>
      <w:r>
        <w:rPr>
          <w:rFonts w:ascii="SimHei" w:eastAsia="SimHei" w:hAnsi="SimHei" w:cs="SimHei"/>
          <w:spacing w:val="15"/>
          <w:sz w:val="14"/>
          <w:szCs w:val="14"/>
        </w:rPr>
        <w:t>注释：1</w:t>
      </w:r>
      <w:r>
        <w:rPr>
          <w:rFonts w:ascii="SimHei" w:eastAsia="SimHei" w:hAnsi="SimHei" w:cs="SimHei"/>
          <w:spacing w:val="-37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15"/>
          <w:sz w:val="14"/>
          <w:szCs w:val="14"/>
        </w:rPr>
        <w:t>.</w:t>
      </w:r>
      <w:r>
        <w:rPr>
          <w:rFonts w:ascii="SimHei" w:eastAsia="SimHei" w:hAnsi="SimHei" w:cs="SimHei"/>
          <w:spacing w:val="-32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15"/>
          <w:sz w:val="14"/>
          <w:szCs w:val="14"/>
        </w:rPr>
        <w:t>中国游戏市场规模统计包括</w:t>
      </w:r>
      <w:r>
        <w:rPr>
          <w:rFonts w:ascii="SimSun" w:eastAsia="SimSun" w:hAnsi="SimSun" w:cs="SimSun"/>
          <w:sz w:val="14"/>
          <w:szCs w:val="14"/>
        </w:rPr>
        <w:t>PC</w:t>
      </w:r>
      <w:r>
        <w:rPr>
          <w:rFonts w:ascii="SimSun" w:eastAsia="SimSun" w:hAnsi="SimSun" w:cs="SimSun"/>
          <w:spacing w:val="15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15"/>
          <w:sz w:val="14"/>
          <w:szCs w:val="14"/>
        </w:rPr>
        <w:t>客</w:t>
      </w:r>
      <w:r>
        <w:rPr>
          <w:rFonts w:ascii="SimHei" w:eastAsia="SimHei" w:hAnsi="SimHei" w:cs="SimHei"/>
          <w:spacing w:val="-26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15"/>
          <w:sz w:val="14"/>
          <w:szCs w:val="14"/>
        </w:rPr>
        <w:t>户</w:t>
      </w:r>
      <w:r>
        <w:rPr>
          <w:rFonts w:ascii="SimHei" w:eastAsia="SimHei" w:hAnsi="SimHei" w:cs="SimHei"/>
          <w:spacing w:val="-26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15"/>
          <w:sz w:val="14"/>
          <w:szCs w:val="14"/>
        </w:rPr>
        <w:t>端</w:t>
      </w:r>
      <w:r>
        <w:rPr>
          <w:rFonts w:ascii="SimHei" w:eastAsia="SimHei" w:hAnsi="SimHei" w:cs="SimHei"/>
          <w:spacing w:val="-26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15"/>
          <w:sz w:val="14"/>
          <w:szCs w:val="14"/>
        </w:rPr>
        <w:t>游</w:t>
      </w:r>
      <w:r>
        <w:rPr>
          <w:rFonts w:ascii="SimHei" w:eastAsia="SimHei" w:hAnsi="SimHei" w:cs="SimHei"/>
          <w:spacing w:val="-27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15"/>
          <w:sz w:val="14"/>
          <w:szCs w:val="14"/>
        </w:rPr>
        <w:t>戏</w:t>
      </w:r>
      <w:r>
        <w:rPr>
          <w:rFonts w:ascii="SimHei" w:eastAsia="SimHei" w:hAnsi="SimHei" w:cs="SimHei"/>
          <w:spacing w:val="-31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15"/>
          <w:sz w:val="14"/>
          <w:szCs w:val="14"/>
        </w:rPr>
        <w:t>、</w:t>
      </w:r>
      <w:r>
        <w:rPr>
          <w:rFonts w:ascii="SimSun" w:eastAsia="SimSun" w:hAnsi="SimSun" w:cs="SimSun"/>
          <w:sz w:val="14"/>
          <w:szCs w:val="14"/>
        </w:rPr>
        <w:t>PC</w:t>
      </w:r>
      <w:r>
        <w:rPr>
          <w:rFonts w:ascii="SimSun" w:eastAsia="SimSun" w:hAnsi="SimSun" w:cs="SimSun"/>
          <w:spacing w:val="15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15"/>
          <w:sz w:val="14"/>
          <w:szCs w:val="14"/>
        </w:rPr>
        <w:t>浏览器端游戏、移动端游戏；2</w:t>
      </w:r>
      <w:r>
        <w:rPr>
          <w:rFonts w:ascii="SimHei" w:eastAsia="SimHei" w:hAnsi="SimHei" w:cs="SimHei"/>
          <w:spacing w:val="-40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15"/>
          <w:sz w:val="14"/>
          <w:szCs w:val="14"/>
        </w:rPr>
        <w:t>.游戏市场规模包含中国大陆地区游戏用户消费总金额，以及中国游戏企业</w:t>
      </w:r>
      <w:r>
        <w:rPr>
          <w:rFonts w:ascii="SimHei" w:eastAsia="SimHei" w:hAnsi="SimHei" w:cs="SimHei"/>
          <w:spacing w:val="14"/>
          <w:sz w:val="14"/>
          <w:szCs w:val="14"/>
        </w:rPr>
        <w:t>在海外网络游戏市场获得的总营收。</w:t>
      </w:r>
    </w:p>
    <w:p>
      <w:pPr>
        <w:spacing w:before="69" w:line="213" w:lineRule="auto"/>
        <w:ind w:left="7"/>
        <w:rPr>
          <w:rFonts w:ascii="SimHei" w:eastAsia="SimHei" w:hAnsi="SimHei" w:cs="SimHei"/>
          <w:sz w:val="14"/>
          <w:szCs w:val="14"/>
        </w:rPr>
      </w:pPr>
      <w:r>
        <w:pict>
          <v:rect id="_x0000_s1038" style="width:875.4pt;height:0.4pt;margin-top:10.06pt;margin-left:0;position:absolute;z-index:251662336" filled="t" fillcolor="black" stroked="f"/>
        </w:pict>
      </w:r>
      <w:r>
        <w:rPr>
          <w:rFonts w:ascii="SimHei" w:eastAsia="SimHei" w:hAnsi="SimHei" w:cs="SimHei"/>
          <w:spacing w:val="-5"/>
          <w:sz w:val="14"/>
          <w:szCs w:val="14"/>
        </w:rPr>
        <w:t>来</w:t>
      </w:r>
      <w:r>
        <w:rPr>
          <w:rFonts w:ascii="SimHei" w:eastAsia="SimHei" w:hAnsi="SimHei" w:cs="SimHei"/>
          <w:spacing w:val="-5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源</w:t>
      </w:r>
      <w:r>
        <w:rPr>
          <w:rFonts w:ascii="SimHei" w:eastAsia="SimHei" w:hAnsi="SimHei" w:cs="SimHei"/>
          <w:spacing w:val="-5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：</w:t>
      </w:r>
      <w:r>
        <w:rPr>
          <w:rFonts w:ascii="SimHei" w:eastAsia="SimHei" w:hAnsi="SimHei" w:cs="SimHei"/>
          <w:spacing w:val="19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中</w:t>
      </w:r>
      <w:r>
        <w:rPr>
          <w:rFonts w:ascii="SimHei" w:eastAsia="SimHei" w:hAnsi="SimHei" w:cs="SimHei"/>
          <w:spacing w:val="-5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国</w:t>
      </w:r>
      <w:r>
        <w:rPr>
          <w:rFonts w:ascii="SimHei" w:eastAsia="SimHei" w:hAnsi="SimHei" w:cs="SimHei"/>
          <w:spacing w:val="-5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游</w:t>
      </w:r>
      <w:r>
        <w:rPr>
          <w:rFonts w:ascii="SimHei" w:eastAsia="SimHei" w:hAnsi="SimHei" w:cs="SimHei"/>
          <w:spacing w:val="-5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戏</w:t>
      </w:r>
      <w:r>
        <w:rPr>
          <w:rFonts w:ascii="SimHei" w:eastAsia="SimHei" w:hAnsi="SimHei" w:cs="SimHei"/>
          <w:spacing w:val="7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市</w:t>
      </w:r>
      <w:r>
        <w:rPr>
          <w:rFonts w:ascii="SimHei" w:eastAsia="SimHei" w:hAnsi="SimHei" w:cs="SimHei"/>
          <w:spacing w:val="4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场</w:t>
      </w:r>
      <w:r>
        <w:rPr>
          <w:rFonts w:ascii="SimHei" w:eastAsia="SimHei" w:hAnsi="SimHei" w:cs="SimHei"/>
          <w:spacing w:val="5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规</w:t>
      </w:r>
      <w:r>
        <w:rPr>
          <w:rFonts w:ascii="SimHei" w:eastAsia="SimHei" w:hAnsi="SimHei" w:cs="SimHei"/>
          <w:spacing w:val="4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模</w:t>
      </w:r>
      <w:r>
        <w:rPr>
          <w:rFonts w:ascii="SimHei" w:eastAsia="SimHei" w:hAnsi="SimHei" w:cs="SimHei"/>
          <w:spacing w:val="15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由</w:t>
      </w:r>
      <w:r>
        <w:rPr>
          <w:rFonts w:ascii="SimHei" w:eastAsia="SimHei" w:hAnsi="SimHei" w:cs="SimHei"/>
          <w:spacing w:val="8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艾</w:t>
      </w:r>
      <w:r>
        <w:rPr>
          <w:rFonts w:ascii="SimHei" w:eastAsia="SimHei" w:hAnsi="SimHei" w:cs="SimHei"/>
          <w:spacing w:val="4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瑞</w:t>
      </w:r>
      <w:r>
        <w:rPr>
          <w:rFonts w:ascii="SimHei" w:eastAsia="SimHei" w:hAnsi="SimHei" w:cs="SimHei"/>
          <w:spacing w:val="4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综</w:t>
      </w:r>
      <w:r>
        <w:rPr>
          <w:rFonts w:ascii="SimHei" w:eastAsia="SimHei" w:hAnsi="SimHei" w:cs="SimHei"/>
          <w:spacing w:val="7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合</w:t>
      </w:r>
      <w:r>
        <w:rPr>
          <w:rFonts w:ascii="SimHei" w:eastAsia="SimHei" w:hAnsi="SimHei" w:cs="SimHei"/>
          <w:spacing w:val="4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企</w:t>
      </w:r>
      <w:r>
        <w:rPr>
          <w:rFonts w:ascii="SimHei" w:eastAsia="SimHei" w:hAnsi="SimHei" w:cs="SimHei"/>
          <w:spacing w:val="7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业</w:t>
      </w:r>
      <w:r>
        <w:rPr>
          <w:rFonts w:ascii="SimHei" w:eastAsia="SimHei" w:hAnsi="SimHei" w:cs="SimHei"/>
          <w:spacing w:val="7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财</w:t>
      </w:r>
      <w:r>
        <w:rPr>
          <w:rFonts w:ascii="SimHei" w:eastAsia="SimHei" w:hAnsi="SimHei" w:cs="SimHei"/>
          <w:spacing w:val="4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报</w:t>
      </w:r>
      <w:r>
        <w:rPr>
          <w:rFonts w:ascii="SimHei" w:eastAsia="SimHei" w:hAnsi="SimHei" w:cs="SimHei"/>
          <w:spacing w:val="6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及</w:t>
      </w:r>
      <w:r>
        <w:rPr>
          <w:rFonts w:ascii="SimHei" w:eastAsia="SimHei" w:hAnsi="SimHei" w:cs="SimHei"/>
          <w:spacing w:val="8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专</w:t>
      </w:r>
      <w:r>
        <w:rPr>
          <w:rFonts w:ascii="SimHei" w:eastAsia="SimHei" w:hAnsi="SimHei" w:cs="SimHei"/>
          <w:spacing w:val="7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家</w:t>
      </w:r>
      <w:r>
        <w:rPr>
          <w:rFonts w:ascii="SimHei" w:eastAsia="SimHei" w:hAnsi="SimHei" w:cs="SimHei"/>
          <w:spacing w:val="7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访</w:t>
      </w:r>
      <w:r>
        <w:rPr>
          <w:rFonts w:ascii="SimHei" w:eastAsia="SimHei" w:hAnsi="SimHei" w:cs="SimHei"/>
          <w:spacing w:val="7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谈</w:t>
      </w:r>
      <w:r>
        <w:rPr>
          <w:rFonts w:ascii="SimHei" w:eastAsia="SimHei" w:hAnsi="SimHei" w:cs="SimHei"/>
          <w:spacing w:val="19"/>
          <w:w w:val="101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，</w:t>
      </w:r>
      <w:r>
        <w:rPr>
          <w:rFonts w:ascii="SimHei" w:eastAsia="SimHei" w:hAnsi="SimHei" w:cs="SimHei"/>
          <w:spacing w:val="4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根</w:t>
      </w:r>
      <w:r>
        <w:rPr>
          <w:rFonts w:ascii="SimHei" w:eastAsia="SimHei" w:hAnsi="SimHei" w:cs="SimHei"/>
          <w:spacing w:val="6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据</w:t>
      </w:r>
      <w:r>
        <w:rPr>
          <w:rFonts w:ascii="SimHei" w:eastAsia="SimHei" w:hAnsi="SimHei" w:cs="SimHei"/>
          <w:spacing w:val="7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艾</w:t>
      </w:r>
      <w:r>
        <w:rPr>
          <w:rFonts w:ascii="SimHei" w:eastAsia="SimHei" w:hAnsi="SimHei" w:cs="SimHei"/>
          <w:spacing w:val="5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瑞</w:t>
      </w:r>
      <w:r>
        <w:rPr>
          <w:rFonts w:ascii="SimHei" w:eastAsia="SimHei" w:hAnsi="SimHei" w:cs="SimHei"/>
          <w:spacing w:val="4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统</w:t>
      </w:r>
      <w:r>
        <w:rPr>
          <w:rFonts w:ascii="SimHei" w:eastAsia="SimHei" w:hAnsi="SimHei" w:cs="SimHei"/>
          <w:spacing w:val="6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计</w:t>
      </w:r>
      <w:r>
        <w:rPr>
          <w:rFonts w:ascii="SimHei" w:eastAsia="SimHei" w:hAnsi="SimHei" w:cs="SimHei"/>
          <w:spacing w:val="5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模</w:t>
      </w:r>
      <w:r>
        <w:rPr>
          <w:rFonts w:ascii="SimHei" w:eastAsia="SimHei" w:hAnsi="SimHei" w:cs="SimHei"/>
          <w:spacing w:val="8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型</w:t>
      </w:r>
      <w:r>
        <w:rPr>
          <w:rFonts w:ascii="SimHei" w:eastAsia="SimHei" w:hAnsi="SimHei" w:cs="SimHei"/>
          <w:spacing w:val="4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核</w:t>
      </w:r>
      <w:r>
        <w:rPr>
          <w:rFonts w:ascii="SimHei" w:eastAsia="SimHei" w:hAnsi="SimHei" w:cs="SimHei"/>
          <w:spacing w:val="6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算</w:t>
      </w:r>
      <w:r>
        <w:rPr>
          <w:rFonts w:ascii="SimHei" w:eastAsia="SimHei" w:hAnsi="SimHei" w:cs="SimHei"/>
          <w:spacing w:val="-5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。</w:t>
      </w:r>
    </w:p>
    <w:p>
      <w:pPr>
        <w:pStyle w:val="BodyText"/>
        <w:spacing w:before="41" w:line="203" w:lineRule="auto"/>
        <w:jc w:val="right"/>
        <w:rPr>
          <w:rFonts w:ascii="SimHei" w:eastAsia="SimHei" w:hAnsi="SimHei" w:cs="SimHei"/>
          <w:sz w:val="17"/>
          <w:szCs w:val="17"/>
        </w:rPr>
      </w:pPr>
      <w:r>
        <w:rPr>
          <w:rFonts w:ascii="SimSun" w:eastAsia="SimSun" w:hAnsi="SimSun" w:cs="SimSun"/>
          <w:spacing w:val="-13"/>
          <w:position w:val="-1"/>
          <w:sz w:val="19"/>
          <w:szCs w:val="19"/>
        </w:rPr>
        <w:t>◎</w:t>
      </w:r>
      <w:r>
        <w:rPr>
          <w:spacing w:val="-13"/>
          <w:position w:val="-1"/>
          <w:sz w:val="19"/>
          <w:szCs w:val="19"/>
        </w:rPr>
        <w:t>20</w:t>
      </w:r>
      <w:r>
        <w:rPr>
          <w:spacing w:val="-12"/>
          <w:position w:val="-1"/>
          <w:sz w:val="19"/>
          <w:szCs w:val="19"/>
        </w:rPr>
        <w:t>24.1 iResearch</w:t>
      </w:r>
      <w:r>
        <w:rPr>
          <w:spacing w:val="8"/>
          <w:position w:val="-1"/>
          <w:sz w:val="19"/>
          <w:szCs w:val="19"/>
        </w:rPr>
        <w:t xml:space="preserve"> </w:t>
      </w:r>
      <w:r>
        <w:rPr>
          <w:spacing w:val="-12"/>
          <w:position w:val="-1"/>
          <w:sz w:val="19"/>
          <w:szCs w:val="19"/>
        </w:rPr>
        <w:t>Inc.</w:t>
      </w:r>
      <w:r>
        <w:rPr>
          <w:spacing w:val="1"/>
          <w:position w:val="-1"/>
          <w:sz w:val="19"/>
          <w:szCs w:val="19"/>
        </w:rPr>
        <w:t xml:space="preserve">                                       </w:t>
      </w:r>
      <w:r>
        <w:rPr>
          <w:position w:val="-1"/>
          <w:sz w:val="19"/>
          <w:szCs w:val="1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pacing w:val="-12"/>
          <w:sz w:val="19"/>
          <w:szCs w:val="19"/>
        </w:rPr>
        <w:t>www.iresea</w:t>
      </w:r>
      <w:r>
        <w:rPr>
          <w:spacing w:val="-13"/>
          <w:sz w:val="19"/>
          <w:szCs w:val="19"/>
        </w:rPr>
        <w:t xml:space="preserve">rch.com.cn          </w:t>
      </w:r>
      <w:r>
        <w:rPr>
          <w:rFonts w:ascii="SimHei" w:eastAsia="SimHei" w:hAnsi="SimHei" w:cs="SimHei"/>
          <w:spacing w:val="-10"/>
          <w:position w:val="5"/>
          <w:sz w:val="17"/>
          <w:szCs w:val="17"/>
        </w:rPr>
        <w:t>5</w:t>
      </w:r>
    </w:p>
    <w:p>
      <w:pPr>
        <w:spacing w:line="203" w:lineRule="auto"/>
        <w:rPr>
          <w:rFonts w:ascii="SimHei" w:eastAsia="SimHei" w:hAnsi="SimHei" w:cs="SimHei"/>
          <w:sz w:val="17"/>
          <w:szCs w:val="17"/>
        </w:rPr>
        <w:sectPr>
          <w:footerReference w:type="default" r:id="rId17"/>
          <w:type w:val="nextPage"/>
          <w:pgSz w:w="19200" w:h="10800"/>
          <w:pgMar w:top="520" w:right="447" w:bottom="150" w:left="0" w:header="0" w:footer="0" w:gutter="0"/>
          <w:pgNumType w:start="7"/>
          <w:cols w:num="2" w:space="708" w:equalWidth="0">
            <w:col w:w="743" w:space="100"/>
            <w:col w:w="17910" w:space="0"/>
          </w:cols>
          <w:titlePg w:val="0"/>
        </w:sectPr>
      </w:pPr>
    </w:p>
    <w:p>
      <w:pPr>
        <w:pStyle w:val="BodyText"/>
        <w:spacing w:line="307" w:lineRule="auto"/>
      </w:pPr>
      <w:r>
        <w:pict>
          <v:shape id="_x0000_s1039" type="#_x0000_t202" style="width:17.05pt;height:186.85pt;margin-top:213pt;margin-left:0.2pt;mso-position-horizontal-relative:page;mso-position-vertical-relative:page;position:absolute;z-index:251663360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15" w:lineRule="auto"/>
                    <w:ind w:left="20"/>
                    <w:rPr>
                      <w:rFonts w:ascii="SimHei" w:eastAsia="SimHei" w:hAnsi="SimHei" w:cs="SimHei"/>
                      <w:sz w:val="25"/>
                      <w:szCs w:val="25"/>
                    </w:rPr>
                  </w:pPr>
                  <w:r>
                    <w:rPr>
                      <w:rFonts w:ascii="SimHei" w:eastAsia="SimHei" w:hAnsi="SimHei" w:cs="SimHei"/>
                      <w:spacing w:val="31"/>
                      <w:sz w:val="25"/>
                      <w:szCs w:val="25"/>
                    </w:rPr>
                    <w:t>行业规模</w:t>
                  </w:r>
                  <w:r>
                    <w:rPr>
                      <w:rFonts w:ascii="SimHei" w:eastAsia="SimHei" w:hAnsi="SimHei" w:cs="SimHei"/>
                      <w:spacing w:val="6"/>
                      <w:sz w:val="25"/>
                      <w:szCs w:val="25"/>
                    </w:rPr>
                    <w:t xml:space="preserve">           </w:t>
                  </w:r>
                  <w:r>
                    <w:rPr>
                      <w:rFonts w:ascii="SimHei" w:eastAsia="SimHei" w:hAnsi="SimHei" w:cs="SimHei"/>
                      <w:spacing w:val="31"/>
                      <w:sz w:val="25"/>
                      <w:szCs w:val="25"/>
                    </w:rPr>
                    <w:t>行业趋势</w:t>
                  </w:r>
                </w:p>
              </w:txbxContent>
            </v:textbox>
          </v:shape>
        </w:pict>
      </w:r>
    </w:p>
    <w:p>
      <w:pPr>
        <w:spacing w:before="201" w:line="187" w:lineRule="auto"/>
        <w:ind w:left="918"/>
        <w:rPr>
          <w:rFonts w:ascii="SimHei" w:eastAsia="SimHei" w:hAnsi="SimHei" w:cs="SimHei"/>
          <w:sz w:val="62"/>
          <w:szCs w:val="62"/>
        </w:rPr>
      </w:pPr>
      <w:r>
        <w:rPr>
          <w:rFonts w:ascii="SimHei" w:eastAsia="SimHei" w:hAnsi="SimHei" w:cs="SimHei"/>
          <w:b/>
          <w:bCs/>
          <w:color w:val="6FC500"/>
          <w:spacing w:val="4"/>
          <w:sz w:val="62"/>
          <w:szCs w:val="62"/>
        </w:rPr>
        <w:t>中国游戏市场用户规模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36" w:line="690" w:lineRule="exact"/>
      </w:pPr>
      <w:r>
        <w:rPr>
          <w:position w:val="-14"/>
        </w:rPr>
        <w:drawing>
          <wp:inline distT="0" distB="0" distL="0" distR="0">
            <wp:extent cx="1162019" cy="43815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62019" cy="438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" w:line="225" w:lineRule="auto"/>
        <w:ind w:left="39"/>
        <w:rPr>
          <w:rFonts w:ascii="YouYuan" w:eastAsia="YouYuan" w:hAnsi="YouYuan" w:cs="YouYuan"/>
          <w:sz w:val="20"/>
          <w:szCs w:val="20"/>
        </w:rPr>
      </w:pPr>
      <w:r>
        <w:rPr>
          <w:rFonts w:ascii="YouYuan" w:eastAsia="YouYuan" w:hAnsi="YouYuan" w:cs="YouYuan"/>
          <w:spacing w:val="-4"/>
          <w:sz w:val="20"/>
          <w:szCs w:val="20"/>
        </w:rPr>
        <w:t>艾</w:t>
      </w:r>
      <w:r>
        <w:rPr>
          <w:rFonts w:ascii="YouYuan" w:eastAsia="YouYuan" w:hAnsi="YouYuan" w:cs="YouYuan"/>
          <w:spacing w:val="5"/>
          <w:sz w:val="20"/>
          <w:szCs w:val="20"/>
        </w:rPr>
        <w:t xml:space="preserve">   </w:t>
      </w:r>
      <w:r>
        <w:rPr>
          <w:rFonts w:ascii="YouYuan" w:eastAsia="YouYuan" w:hAnsi="YouYuan" w:cs="YouYuan"/>
          <w:spacing w:val="-4"/>
          <w:sz w:val="20"/>
          <w:szCs w:val="20"/>
        </w:rPr>
        <w:t>瑞</w:t>
      </w:r>
      <w:r>
        <w:rPr>
          <w:rFonts w:ascii="YouYuan" w:eastAsia="YouYuan" w:hAnsi="YouYuan" w:cs="YouYuan"/>
          <w:spacing w:val="4"/>
          <w:sz w:val="20"/>
          <w:szCs w:val="20"/>
        </w:rPr>
        <w:t xml:space="preserve">   </w:t>
      </w:r>
      <w:r>
        <w:rPr>
          <w:rFonts w:ascii="YouYuan" w:eastAsia="YouYuan" w:hAnsi="YouYuan" w:cs="YouYuan"/>
          <w:spacing w:val="-4"/>
          <w:sz w:val="20"/>
          <w:szCs w:val="20"/>
        </w:rPr>
        <w:t>咨</w:t>
      </w:r>
      <w:r>
        <w:rPr>
          <w:rFonts w:ascii="YouYuan" w:eastAsia="YouYuan" w:hAnsi="YouYuan" w:cs="YouYuan"/>
          <w:spacing w:val="9"/>
          <w:sz w:val="20"/>
          <w:szCs w:val="20"/>
        </w:rPr>
        <w:t xml:space="preserve">   </w:t>
      </w:r>
      <w:r>
        <w:rPr>
          <w:rFonts w:ascii="YouYuan" w:eastAsia="YouYuan" w:hAnsi="YouYuan" w:cs="YouYuan"/>
          <w:spacing w:val="-4"/>
          <w:sz w:val="20"/>
          <w:szCs w:val="20"/>
        </w:rPr>
        <w:t>询</w:t>
      </w:r>
    </w:p>
    <w:p>
      <w:pPr>
        <w:spacing w:line="225" w:lineRule="auto"/>
        <w:rPr>
          <w:rFonts w:ascii="YouYuan" w:eastAsia="YouYuan" w:hAnsi="YouYuan" w:cs="YouYuan"/>
          <w:sz w:val="20"/>
          <w:szCs w:val="20"/>
        </w:rPr>
        <w:sectPr>
          <w:footerReference w:type="default" r:id="rId18"/>
          <w:pgSz w:w="19200" w:h="10800"/>
          <w:pgMar w:top="391" w:right="458" w:bottom="159" w:left="0" w:header="0" w:footer="0" w:gutter="0"/>
          <w:pgNumType w:start="8"/>
          <w:cols w:num="2" w:space="708" w:equalWidth="0">
            <w:col w:w="16580" w:space="100"/>
            <w:col w:w="2062" w:space="0"/>
          </w:cols>
        </w:sectPr>
      </w:pPr>
    </w:p>
    <w:p>
      <w:pPr>
        <w:spacing w:before="217" w:line="213" w:lineRule="auto"/>
        <w:ind w:left="82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6"/>
          <w:sz w:val="48"/>
          <w:szCs w:val="48"/>
        </w:rPr>
        <w:t>游戏用户增速明显趋缓，游戏市场进入存量竞争阶段</w:t>
      </w:r>
    </w:p>
    <w:p>
      <w:pPr>
        <w:spacing w:before="34"/>
      </w:pPr>
    </w:p>
    <w:p>
      <w:pPr>
        <w:sectPr>
          <w:footerReference w:type="default" r:id="rId19"/>
          <w:type w:val="continuous"/>
          <w:pgSz w:w="19200" w:h="10800"/>
          <w:pgMar w:top="391" w:right="458" w:bottom="159" w:left="0" w:header="0" w:footer="0" w:gutter="0"/>
          <w:pgNumType w:start="9"/>
          <w:cols w:num="1" w:space="708" w:equalWidth="0">
            <w:col w:w="18742" w:space="0"/>
          </w:cols>
        </w:sectPr>
      </w:pPr>
    </w:p>
    <w:p/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" w:line="231" w:lineRule="auto"/>
        <w:ind w:left="289" w:right="459" w:hanging="28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7"/>
          <w:sz w:val="25"/>
          <w:szCs w:val="25"/>
        </w:rPr>
        <w:t>·2023年中国游戏市场用户规模达到7.43亿人，同比增长0.5%。随着疫情带来的部分游戏增量用户流失和游戏市场人口红利的减弱，中国游戏用户增长明显降速，预</w:t>
      </w:r>
      <w:r>
        <w:rPr>
          <w:rFonts w:ascii="SimHei" w:eastAsia="SimHei" w:hAnsi="SimHei" w:cs="SimHei"/>
          <w:spacing w:val="7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11"/>
          <w:sz w:val="25"/>
          <w:szCs w:val="25"/>
        </w:rPr>
        <w:t>计未来几年内，游戏用户规模将基本保持稳定，这也标志着中国游戏行</w:t>
      </w:r>
      <w:r>
        <w:rPr>
          <w:rFonts w:ascii="SimHei" w:eastAsia="SimHei" w:hAnsi="SimHei" w:cs="SimHei"/>
          <w:spacing w:val="-11"/>
          <w:sz w:val="25"/>
          <w:szCs w:val="25"/>
          <w:u w:val="single" w:color="auto"/>
        </w:rPr>
        <w:t>业正式</w:t>
      </w:r>
      <w:r>
        <w:rPr>
          <w:rFonts w:ascii="SimHei" w:eastAsia="SimHei" w:hAnsi="SimHei" w:cs="SimHei"/>
          <w:spacing w:val="-11"/>
          <w:sz w:val="25"/>
          <w:szCs w:val="25"/>
        </w:rPr>
        <w:t>从“流量时</w:t>
      </w:r>
      <w:r>
        <w:rPr>
          <w:rFonts w:ascii="SimHei" w:eastAsia="SimHei" w:hAnsi="SimHei" w:cs="SimHei"/>
          <w:spacing w:val="-12"/>
          <w:sz w:val="25"/>
          <w:szCs w:val="25"/>
        </w:rPr>
        <w:t>代”向“存量时代”转变。</w:t>
      </w:r>
    </w:p>
    <w:p>
      <w:pPr>
        <w:spacing w:before="59" w:line="249" w:lineRule="auto"/>
        <w:ind w:left="288" w:right="416" w:hanging="28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0"/>
          <w:sz w:val="25"/>
          <w:szCs w:val="25"/>
        </w:rPr>
        <w:t>·在这一新的行业背景下，游戏厂商一方面需要更加注重提升产品质量和用户体验，以吸引和留住核心用户，实现持续发展；另一方面，随着游戏产品竞争加剧和新</w:t>
      </w:r>
      <w:r>
        <w:rPr>
          <w:rFonts w:ascii="SimHei" w:eastAsia="SimHei" w:hAnsi="SimHei" w:cs="SimHei"/>
          <w:spacing w:val="-10"/>
          <w:sz w:val="25"/>
          <w:szCs w:val="25"/>
        </w:rPr>
        <w:t xml:space="preserve">  </w:t>
      </w:r>
      <w:r>
        <w:rPr>
          <w:rFonts w:ascii="SimHei" w:eastAsia="SimHei" w:hAnsi="SimHei" w:cs="SimHei"/>
          <w:spacing w:val="-11"/>
          <w:sz w:val="25"/>
          <w:szCs w:val="25"/>
        </w:rPr>
        <w:t>用户获客成本居高不下，将传统的大规模广告投放作为获取用户主要手段的难度也越来越大，社交营销、内容营销及社区运营是当下游戏厂商进行游戏宣传和引流、</w:t>
      </w:r>
      <w:r>
        <w:rPr>
          <w:rFonts w:ascii="SimHei" w:eastAsia="SimHei" w:hAnsi="SimHei" w:cs="SimHei"/>
          <w:spacing w:val="6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14"/>
          <w:sz w:val="25"/>
          <w:szCs w:val="25"/>
        </w:rPr>
        <w:t>获取并维系游戏用户的营销新思路。</w:t>
      </w:r>
    </w:p>
    <w:p>
      <w:pPr>
        <w:pStyle w:val="BodyText"/>
        <w:spacing w:before="247" w:line="221" w:lineRule="auto"/>
        <w:ind w:left="6069"/>
        <w:rPr>
          <w:rFonts w:ascii="SimHei" w:eastAsia="SimHei" w:hAnsi="SimHei" w:cs="SimHei"/>
          <w:sz w:val="25"/>
          <w:szCs w:val="25"/>
        </w:rPr>
      </w:pPr>
      <w:r>
        <w:rPr>
          <w:b/>
          <w:bCs/>
          <w:sz w:val="25"/>
          <w:szCs w:val="25"/>
        </w:rPr>
        <w:t>UserTracker</w:t>
      </w:r>
      <w:r>
        <w:rPr>
          <w:b/>
          <w:bCs/>
          <w:spacing w:val="10"/>
          <w:sz w:val="25"/>
          <w:szCs w:val="25"/>
        </w:rPr>
        <w:t xml:space="preserve">-2019-2026       </w:t>
      </w:r>
      <w:r>
        <w:rPr>
          <w:rFonts w:ascii="SimHei" w:eastAsia="SimHei" w:hAnsi="SimHei" w:cs="SimHei"/>
          <w:b/>
          <w:bCs/>
          <w:spacing w:val="10"/>
          <w:sz w:val="25"/>
          <w:szCs w:val="25"/>
        </w:rPr>
        <w:t>年中国游</w:t>
      </w:r>
      <w:r>
        <w:rPr>
          <w:rFonts w:ascii="SimHei" w:eastAsia="SimHei" w:hAnsi="SimHei" w:cs="SimHei"/>
          <w:b/>
          <w:bCs/>
          <w:spacing w:val="9"/>
          <w:sz w:val="25"/>
          <w:szCs w:val="25"/>
        </w:rPr>
        <w:t>戏用户规模</w:t>
      </w:r>
    </w:p>
    <w:p>
      <w:pPr>
        <w:pStyle w:val="BodyText"/>
        <w:spacing w:line="341" w:lineRule="auto"/>
      </w:pPr>
    </w:p>
    <w:p>
      <w:pPr>
        <w:pStyle w:val="BodyText"/>
        <w:spacing w:line="341" w:lineRule="auto"/>
      </w:pPr>
    </w:p>
    <w:p>
      <w:pPr>
        <w:spacing w:line="3750" w:lineRule="exact"/>
        <w:ind w:firstLine="1790"/>
      </w:pPr>
      <w:r>
        <w:rPr>
          <w:position w:val="-74"/>
        </w:rPr>
        <w:drawing>
          <wp:inline distT="0" distB="0" distL="0" distR="0">
            <wp:extent cx="8712159" cy="2381234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712159" cy="2381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750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https://d.book118.com/555143020334011102</w:t>
        </w:r>
      </w:hyperlink>
    </w:p>
    <w:p>
      <w:pPr>
        <w:spacing w:line="3750" w:lineRule="exact"/>
      </w:pPr>
    </w:p>
    <w:sectPr>
      <w:footerReference w:type="default" r:id="rId22"/>
      <w:type w:val="continuous"/>
      <w:pgSz w:w="19200" w:h="10800"/>
      <w:pgMar w:top="391" w:right="458" w:bottom="159" w:left="0" w:header="0" w:footer="0" w:gutter="0"/>
      <w:pgNumType w:start="10"/>
      <w:cols w:num="2" w:space="708" w:equalWidth="0">
        <w:col w:w="721" w:space="100"/>
        <w:col w:w="179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22"/>
      <w:szCs w:val="2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footer" Target="footer3.xml" /><Relationship Id="rId12" Type="http://schemas.openxmlformats.org/officeDocument/2006/relationships/image" Target="media/image6.jpeg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image" Target="media/image7.jpeg" /><Relationship Id="rId17" Type="http://schemas.openxmlformats.org/officeDocument/2006/relationships/footer" Target="footer7.xml" /><Relationship Id="rId18" Type="http://schemas.openxmlformats.org/officeDocument/2006/relationships/footer" Target="footer8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image" Target="media/image8.jpeg" /><Relationship Id="rId21" Type="http://schemas.openxmlformats.org/officeDocument/2006/relationships/hyperlink" Target="https://d.book118.com/555143020334011102" TargetMode="External" /><Relationship Id="rId22" Type="http://schemas.openxmlformats.org/officeDocument/2006/relationships/footer" Target="footer10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2024-02-04T23:19:02Z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2024-02-04T23:19:11Z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65bfaadfcf550f001fd9b713wl</vt:lpwstr>
  </property>
</Properties>
</file>