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计价秤项目招商引资报告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一、计价秤项目建设单位基本情况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(一)、计价秤项目建设单位基本情况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(二)、计价秤项目主管单位基本情况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(三)、计价秤项目技术协作单位基本情况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eastAsia="zh-CN"/>
          </w:rPr>
          <w:t>二、公司介绍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5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_Toc6005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三、评价单元的划分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0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_Toc24110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四、计价秤项目建设背景及必要性分析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(一)、计价秤项目背景分析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(二)、计价秤项目建设必要性分析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五、人才队伍建设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六、计价秤企业经营决策的流程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七、发展规划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_Toc20979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九、环境保护措施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十、发展规划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十一、战略实施的阶段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十二、组织机构及人力资源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(一)、计价秤项目估算说明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(二)、计价秤项目总投资估算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十六、环境与社会责任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十七、计价秤项目管理与团队协作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(一)、计价秤项目管理方法论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(二)、计价秤项目计划与进度管理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_Toc14444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(五)、计价秤项目风险管理与应对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十八、员工健康与安全方案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0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_Toc22480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3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十九、计价秤项目安全与环保管理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二十、计价秤风险管理与合规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34"/>
      <w:r>
        <w:rPr>
          <w:rFonts w:ascii="仿宋" w:eastAsia="仿宋" w:hAnsi="仿宋" w:cs="仿宋" w:hint="eastAsia"/>
          <w:sz w:val="28"/>
          <w:lang w:eastAsia="zh-CN"/>
        </w:rPr>
        <w:t>一、计价秤项目建设单位基本情况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92"/>
      <w:r>
        <w:rPr>
          <w:rFonts w:ascii="仿宋" w:eastAsia="仿宋" w:hAnsi="仿宋" w:cs="仿宋" w:hint="eastAsia"/>
          <w:lang w:eastAsia="zh-CN"/>
        </w:rPr>
        <w:t>(一)、计价秤项目建设单位基本情况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公司名字： 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注资：XX亿人民币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注册位置：位于XX省XX市XX区XX街道XX号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法人代表：张XX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创办时间：日期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公司性质：私营/国有/合资等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主要业务：阐述公司的主营领域和范围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8. 公司规模：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员工数量：XX人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资产总额：XX亿人民币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年营业额：XX亿人民币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https://d.book118.com/555221134222011124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计价秤项目招商引资报告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计价秤项目招商引资报告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计价秤项目招商引资报告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计价秤项目招商引资报告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计价秤项目招商引资报告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AB7"/>
    <w:rsid w:val="00790AB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22113422201112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2024-03-19T11:00:00Z</dcterms:created>
  <dcterms:modified xsi:type="dcterms:W3CDTF">2024-03-19T11:00:29Z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2C247CEF05094388B37BE55770B28195_11</vt:lpwstr>
  </property>
  <property fmtid="{D5CDD505-2E9C-101B-9397-08002B2CF9AE}" pid="3" name="KSOProductBuildVer">
    <vt:lpwstr>2052-12.1.0.16412</vt:lpwstr>
  </property>
</Properties>
</file>