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50B0" w:rsidP="000350B0">
      <w:pPr>
        <w:pStyle w:val="Heading3"/>
        <w:numPr>
          <w:ilvl w:val="0"/>
          <w:numId w:val="0"/>
        </w:numPr>
        <w:jc w:val="center"/>
        <w:rPr>
          <w:rFonts w:hint="eastAsia"/>
        </w:rPr>
      </w:pPr>
      <w:bookmarkStart w:id="0" w:name="_Toc488821099"/>
      <w:r>
        <w:rPr>
          <w:rFonts w:hint="eastAsia"/>
        </w:rPr>
        <w:t>机械设备安装工程施工及验收</w:t>
      </w:r>
      <w:bookmarkEnd w:id="0"/>
    </w:p>
    <w:p w:rsidR="000350B0" w:rsidP="000350B0">
      <w:pPr>
        <w:pStyle w:val="Heading4"/>
        <w:rPr>
          <w:rFonts w:hint="eastAsia"/>
        </w:rPr>
      </w:pPr>
      <w:r>
        <w:rPr>
          <w:rFonts w:hint="eastAsia"/>
        </w:rPr>
        <w:t>总则</w:t>
      </w:r>
    </w:p>
    <w:p w:rsidR="000350B0" w:rsidP="000350B0">
      <w:pPr>
        <w:numPr>
          <w:ilvl w:val="0"/>
          <w:numId w:val="3"/>
        </w:numPr>
        <w:rPr>
          <w:rFonts w:hint="eastAsia"/>
        </w:rPr>
      </w:pPr>
      <w:r>
        <w:rPr>
          <w:rFonts w:hint="eastAsia"/>
        </w:rPr>
        <w:t>为了提高机械设备安装工程的施工水平，促进技术进步，确保工程质量和安全，提高经济效益，制定本方案。</w:t>
      </w:r>
    </w:p>
    <w:p w:rsidR="000350B0" w:rsidP="000350B0">
      <w:pPr>
        <w:numPr>
          <w:ilvl w:val="0"/>
          <w:numId w:val="3"/>
        </w:numPr>
        <w:rPr>
          <w:rFonts w:hint="eastAsia"/>
        </w:rPr>
      </w:pPr>
      <w:r>
        <w:rPr>
          <w:rFonts w:hint="eastAsia"/>
        </w:rPr>
        <w:t>本方案适用予各类机械设备安装工程施工及验收的通用性部分。</w:t>
      </w:r>
    </w:p>
    <w:p w:rsidR="000350B0" w:rsidP="000350B0">
      <w:pPr>
        <w:numPr>
          <w:ilvl w:val="0"/>
          <w:numId w:val="3"/>
        </w:numPr>
        <w:rPr>
          <w:rFonts w:hint="eastAsia"/>
        </w:rPr>
      </w:pPr>
      <w:r>
        <w:rPr>
          <w:rFonts w:hint="eastAsia"/>
        </w:rPr>
        <w:t>机械设备安装工程应从设备开箱起至设备空负荷试运转为止的施工及验收，对必须带负荷才能进行试运转的机械设备，可至负荷试运转。</w:t>
      </w:r>
    </w:p>
    <w:p w:rsidR="000350B0" w:rsidP="000350B0">
      <w:pPr>
        <w:numPr>
          <w:ilvl w:val="0"/>
          <w:numId w:val="3"/>
        </w:numPr>
        <w:rPr>
          <w:rFonts w:hint="eastAsia"/>
        </w:rPr>
      </w:pPr>
      <w:r>
        <w:rPr>
          <w:rFonts w:hint="eastAsia"/>
        </w:rPr>
        <w:t>在机械设备安装工程施工中，应按工程设计进行施工，不得擅自修改工程设计，施工过程中发现设计文件和图纸有差错时，应及时提出意见和建议，且应按原设计单位修改变更后的工程设计施工。</w:t>
      </w:r>
    </w:p>
    <w:p w:rsidR="000350B0" w:rsidP="000350B0">
      <w:pPr>
        <w:numPr>
          <w:ilvl w:val="0"/>
          <w:numId w:val="3"/>
        </w:numPr>
        <w:rPr>
          <w:rFonts w:hint="eastAsia"/>
        </w:rPr>
      </w:pPr>
      <w:r>
        <w:rPr>
          <w:rFonts w:hint="eastAsia"/>
        </w:rPr>
        <w:t>安装的机械设备、零部件和主要材料，必须符合工程设计和其产品标准的规定，并应有合格证明。</w:t>
      </w:r>
    </w:p>
    <w:p w:rsidR="000350B0" w:rsidP="000350B0">
      <w:pPr>
        <w:numPr>
          <w:ilvl w:val="0"/>
          <w:numId w:val="3"/>
        </w:numPr>
        <w:rPr>
          <w:rFonts w:hint="eastAsia"/>
        </w:rPr>
      </w:pPr>
      <w:r>
        <w:rPr>
          <w:rFonts w:hint="eastAsia"/>
        </w:rPr>
        <w:t>机械设备安装工程中采用的各种计量和检测器具、仪器、仪表和设备，必须符合国家现行有关标准的规定；其精度等级应满足被检测项目的精度要求。</w:t>
      </w:r>
    </w:p>
    <w:p w:rsidR="000350B0" w:rsidP="000350B0">
      <w:pPr>
        <w:numPr>
          <w:ilvl w:val="0"/>
          <w:numId w:val="3"/>
        </w:numPr>
        <w:rPr>
          <w:rFonts w:hint="eastAsia"/>
        </w:rPr>
        <w:sectPr>
          <w:pgSz w:w="11906" w:h="16838"/>
          <w:pgMar w:top="1440" w:right="1800" w:bottom="1440" w:left="1800" w:header="851" w:footer="992" w:gutter="0"/>
          <w:cols w:space="425"/>
          <w:docGrid w:type="lines" w:linePitch="312"/>
        </w:sectPr>
      </w:pPr>
      <w:r>
        <w:rPr>
          <w:rFonts w:hint="eastAsia"/>
        </w:rPr>
        <w:t>机械设备安装工程施工中，应对工程质量进行检验和记录。对于隐蔽工程，应在工程隐蔽前进行检验并作出记录，合格后方可继续安装。工程验收时，应以有关记录为依据进行验收和必要的抽检工作。</w:t>
      </w:r>
    </w:p>
    <w:p w:rsidR="000350B0" w:rsidP="000350B0">
      <w:pPr>
        <w:numPr>
          <w:ilvl w:val="0"/>
          <w:numId w:val="3"/>
        </w:numPr>
        <w:rPr>
          <w:rFonts w:hint="eastAsia"/>
        </w:rPr>
      </w:pPr>
      <w:r>
        <w:rPr>
          <w:rFonts w:hint="eastAsia"/>
        </w:rPr>
        <w:t>机械设备安装工程的施工及验收，除应符合本方案外，尚应符合国家现行有关标准的规定。</w:t>
      </w:r>
    </w:p>
    <w:p w:rsidR="000350B0" w:rsidP="000350B0">
      <w:pPr>
        <w:pStyle w:val="Heading4"/>
        <w:rPr>
          <w:rFonts w:hint="eastAsia"/>
        </w:rPr>
      </w:pPr>
      <w:r>
        <w:rPr>
          <w:rFonts w:hint="eastAsia"/>
        </w:rPr>
        <w:t>施工条件</w:t>
      </w:r>
    </w:p>
    <w:p w:rsidR="000350B0" w:rsidP="000350B0">
      <w:pPr>
        <w:numPr>
          <w:ilvl w:val="0"/>
          <w:numId w:val="4"/>
        </w:numPr>
        <w:rPr>
          <w:rFonts w:hint="eastAsia"/>
        </w:rPr>
      </w:pPr>
      <w:r>
        <w:rPr>
          <w:rFonts w:hint="eastAsia"/>
        </w:rPr>
        <w:t>机械设备安装工程施工前，应具备下列工程设计图样和技术文件：</w:t>
      </w:r>
    </w:p>
    <w:p w:rsidR="000350B0" w:rsidP="000350B0">
      <w:pPr>
        <w:numPr>
          <w:ilvl w:val="1"/>
          <w:numId w:val="4"/>
        </w:numPr>
        <w:rPr>
          <w:rFonts w:hint="eastAsia"/>
        </w:rPr>
      </w:pPr>
      <w:r>
        <w:rPr>
          <w:rFonts w:hint="eastAsia"/>
        </w:rPr>
        <w:t>机械设备的工艺平面位置图、标高图、设备基础图、安装施工图及施工说明和注释技术文件；</w:t>
      </w:r>
    </w:p>
    <w:p w:rsidR="000350B0" w:rsidP="000350B0">
      <w:pPr>
        <w:numPr>
          <w:ilvl w:val="1"/>
          <w:numId w:val="4"/>
        </w:numPr>
        <w:rPr>
          <w:rFonts w:hint="eastAsia"/>
        </w:rPr>
      </w:pPr>
      <w:r>
        <w:rPr>
          <w:rFonts w:hint="eastAsia"/>
        </w:rPr>
        <w:t>机械设备使用说明书及与机械设备安装有关的技术文件；</w:t>
      </w:r>
    </w:p>
    <w:p w:rsidR="000350B0" w:rsidP="000350B0">
      <w:pPr>
        <w:numPr>
          <w:ilvl w:val="1"/>
          <w:numId w:val="4"/>
        </w:numPr>
        <w:rPr>
          <w:rFonts w:hint="eastAsia"/>
        </w:rPr>
      </w:pPr>
      <w:r>
        <w:rPr>
          <w:rFonts w:hint="eastAsia"/>
        </w:rPr>
        <w:t>与机械设备安装有关的建筑结构、管线和道路等图样。</w:t>
      </w:r>
    </w:p>
    <w:p w:rsidR="000350B0" w:rsidP="000350B0">
      <w:pPr>
        <w:numPr>
          <w:ilvl w:val="0"/>
          <w:numId w:val="4"/>
        </w:numPr>
        <w:rPr>
          <w:rFonts w:hint="eastAsia"/>
        </w:rPr>
      </w:pPr>
      <w:r>
        <w:rPr>
          <w:rFonts w:hint="eastAsia"/>
        </w:rPr>
        <w:t>机械设备开箱时，应有建设单位人员参加，并应按下列项目进行检查和记录：</w:t>
      </w:r>
    </w:p>
    <w:p w:rsidR="000350B0" w:rsidP="000350B0">
      <w:pPr>
        <w:numPr>
          <w:ilvl w:val="1"/>
          <w:numId w:val="4"/>
        </w:numPr>
        <w:rPr>
          <w:rFonts w:hint="eastAsia"/>
        </w:rPr>
      </w:pPr>
      <w:r>
        <w:rPr>
          <w:rFonts w:hint="eastAsia"/>
        </w:rPr>
        <w:t>箱号、箱数以及包装情况；</w:t>
      </w:r>
    </w:p>
    <w:p w:rsidR="000350B0" w:rsidP="000350B0">
      <w:pPr>
        <w:numPr>
          <w:ilvl w:val="1"/>
          <w:numId w:val="4"/>
        </w:numPr>
        <w:rPr>
          <w:rFonts w:hint="eastAsia"/>
        </w:rPr>
      </w:pPr>
      <w:r>
        <w:rPr>
          <w:rFonts w:hint="eastAsia"/>
        </w:rPr>
        <w:t>机械设备名称、型号和规格；</w:t>
      </w:r>
    </w:p>
    <w:p w:rsidR="000350B0" w:rsidP="000350B0">
      <w:pPr>
        <w:numPr>
          <w:ilvl w:val="1"/>
          <w:numId w:val="4"/>
        </w:numPr>
        <w:rPr>
          <w:rFonts w:hint="eastAsia"/>
        </w:rPr>
      </w:pPr>
      <w:r>
        <w:rPr>
          <w:rFonts w:hint="eastAsia"/>
        </w:rPr>
        <w:t>随机技术文件及专用工具；</w:t>
      </w:r>
    </w:p>
    <w:p w:rsidR="000350B0" w:rsidP="000350B0">
      <w:pPr>
        <w:numPr>
          <w:ilvl w:val="1"/>
          <w:numId w:val="4"/>
        </w:numPr>
        <w:rPr>
          <w:rFonts w:hint="eastAsia"/>
        </w:rPr>
      </w:pPr>
      <w:r>
        <w:rPr>
          <w:rFonts w:hint="eastAsia"/>
        </w:rPr>
        <w:t>机械设备有无缺损件，表面有无损坏和锈蚀；</w:t>
      </w:r>
    </w:p>
    <w:p w:rsidR="000350B0" w:rsidP="000350B0">
      <w:pPr>
        <w:numPr>
          <w:ilvl w:val="1"/>
          <w:numId w:val="4"/>
        </w:numPr>
        <w:rPr>
          <w:rFonts w:hint="eastAsia"/>
        </w:rPr>
      </w:pPr>
      <w:r>
        <w:rPr>
          <w:rFonts w:hint="eastAsia"/>
        </w:rPr>
        <w:t>其他需要记录的事项。</w:t>
      </w:r>
    </w:p>
    <w:p w:rsidR="000350B0" w:rsidP="000350B0">
      <w:pPr>
        <w:numPr>
          <w:ilvl w:val="0"/>
          <w:numId w:val="4"/>
        </w:numPr>
        <w:rPr>
          <w:rFonts w:hint="eastAsia"/>
        </w:rPr>
      </w:pPr>
      <w:r>
        <w:rPr>
          <w:rFonts w:hint="eastAsia"/>
        </w:rPr>
        <w:t>机械设备安装前，其基础、地坪和相关建筑结构，应符合下列要求：机械设备基础的质最应符合现行国家标准《混凝土结构工程施工质最验收规范》GB50204的有关规定，并应有验收资料和记录；</w:t>
      </w:r>
    </w:p>
    <w:p w:rsidR="000350B0" w:rsidP="000350B0">
      <w:pPr>
        <w:numPr>
          <w:ilvl w:val="2"/>
          <w:numId w:val="4"/>
        </w:numPr>
        <w:rPr>
          <w:rFonts w:hint="eastAsia"/>
        </w:rPr>
        <w:sectPr>
          <w:type w:val="nextPage"/>
          <w:pgSz w:w="11906" w:h="16838"/>
          <w:pgMar w:top="1440" w:right="1800" w:bottom="1440" w:left="1800" w:header="851" w:footer="992" w:gutter="0"/>
          <w:pgNumType w:start="2"/>
          <w:cols w:space="425"/>
          <w:titlePg w:val="0"/>
          <w:docGrid w:type="lines" w:linePitch="312"/>
        </w:sectPr>
      </w:pPr>
      <w:r>
        <w:rPr>
          <w:rFonts w:hint="eastAsia"/>
        </w:rPr>
        <w:t>检查坐标、中心线位置时，应沿纵、横两个方向测量，并取其中的最大值；</w:t>
      </w:r>
    </w:p>
    <w:p w:rsidR="000350B0" w:rsidP="000350B0">
      <w:pPr>
        <w:numPr>
          <w:ilvl w:val="2"/>
          <w:numId w:val="4"/>
        </w:numPr>
        <w:rPr>
          <w:rFonts w:hint="eastAsia"/>
        </w:rPr>
      </w:pPr>
      <w:r>
        <w:rPr>
          <w:rFonts w:hint="eastAsia"/>
        </w:rPr>
        <w:t>预埋地脚螺栓的标高，应在其顶部测量；</w:t>
      </w:r>
    </w:p>
    <w:p w:rsidR="000350B0" w:rsidP="000350B0">
      <w:pPr>
        <w:numPr>
          <w:ilvl w:val="2"/>
          <w:numId w:val="4"/>
        </w:numPr>
        <w:rPr>
          <w:rFonts w:hint="eastAsia"/>
        </w:rPr>
      </w:pPr>
      <w:r>
        <w:rPr>
          <w:rFonts w:hint="eastAsia"/>
        </w:rPr>
        <w:t>预埋地脚螺栓的中心距，廊在根部和顶部测量。</w:t>
      </w:r>
    </w:p>
    <w:p w:rsidR="000350B0" w:rsidP="000350B0">
      <w:pPr>
        <w:numPr>
          <w:ilvl w:val="2"/>
          <w:numId w:val="4"/>
        </w:numPr>
        <w:rPr>
          <w:rFonts w:hint="eastAsia"/>
        </w:rPr>
      </w:pPr>
      <w:r>
        <w:rPr>
          <w:rFonts w:hint="eastAsia"/>
        </w:rPr>
        <w:t>基础或地坪有防震隔离要求时，应按工程设计要求施工完毕；</w:t>
      </w:r>
    </w:p>
    <w:p w:rsidR="000350B0" w:rsidP="000350B0">
      <w:pPr>
        <w:numPr>
          <w:ilvl w:val="2"/>
          <w:numId w:val="4"/>
        </w:numPr>
        <w:rPr>
          <w:rFonts w:hint="eastAsia"/>
        </w:rPr>
      </w:pPr>
      <w:r>
        <w:rPr>
          <w:rFonts w:hint="eastAsia"/>
        </w:rPr>
        <w:t>基础有预压和沉降观测要求时，应经预压合格，并应有预压和沉降观测的记录；</w:t>
      </w:r>
    </w:p>
    <w:p w:rsidR="000350B0" w:rsidP="000350B0">
      <w:pPr>
        <w:numPr>
          <w:ilvl w:val="2"/>
          <w:numId w:val="4"/>
        </w:numPr>
        <w:rPr>
          <w:rFonts w:hint="eastAsia"/>
        </w:rPr>
      </w:pPr>
      <w:r>
        <w:rPr>
          <w:rFonts w:hint="eastAsia"/>
        </w:rPr>
        <w:t>安装工程施工中拟利用建筑结构作为起吊、搬运设备的承力点时，应对建筑结构的承载能力进行核算，并应经设计单位或建设单位同意方可利用。</w:t>
      </w:r>
    </w:p>
    <w:p w:rsidR="000350B0" w:rsidP="000350B0">
      <w:pPr>
        <w:numPr>
          <w:ilvl w:val="0"/>
          <w:numId w:val="4"/>
        </w:numPr>
        <w:rPr>
          <w:rFonts w:hint="eastAsia"/>
        </w:rPr>
      </w:pPr>
      <w:r>
        <w:rPr>
          <w:rFonts w:hint="eastAsia"/>
        </w:rPr>
        <w:t>安装工程施工现场，应符合下列要求：</w:t>
      </w:r>
    </w:p>
    <w:p w:rsidR="000350B0" w:rsidP="000350B0">
      <w:pPr>
        <w:numPr>
          <w:ilvl w:val="1"/>
          <w:numId w:val="4"/>
        </w:numPr>
        <w:rPr>
          <w:rFonts w:hint="eastAsia"/>
        </w:rPr>
      </w:pPr>
      <w:r>
        <w:rPr>
          <w:rFonts w:hint="eastAsia"/>
        </w:rPr>
        <w:t>临时建筑、运输道路、水源、电源、蒸汽、压缩空气和照明等，应能满足机械设备安装工程的需要；</w:t>
      </w:r>
    </w:p>
    <w:p w:rsidR="000350B0" w:rsidP="000350B0">
      <w:pPr>
        <w:numPr>
          <w:ilvl w:val="1"/>
          <w:numId w:val="4"/>
        </w:numPr>
        <w:rPr>
          <w:rFonts w:hint="eastAsia"/>
        </w:rPr>
      </w:pPr>
      <w:r>
        <w:rPr>
          <w:rFonts w:hint="eastAsia"/>
        </w:rPr>
        <w:t>安装过程中，宜避免与建筑或其他作业交叉进行；</w:t>
      </w:r>
    </w:p>
    <w:p w:rsidR="000350B0" w:rsidP="000350B0">
      <w:pPr>
        <w:numPr>
          <w:ilvl w:val="1"/>
          <w:numId w:val="4"/>
        </w:numPr>
        <w:rPr>
          <w:rFonts w:hint="eastAsia"/>
        </w:rPr>
      </w:pPr>
      <w:r>
        <w:rPr>
          <w:rFonts w:hint="eastAsia"/>
        </w:rPr>
        <w:t>厂房内的恒温、恒湿应达到设计要求后，再安装有恒温、恒温要求的机械设备；</w:t>
      </w:r>
    </w:p>
    <w:p w:rsidR="000350B0" w:rsidP="000350B0">
      <w:pPr>
        <w:numPr>
          <w:ilvl w:val="1"/>
          <w:numId w:val="4"/>
        </w:numPr>
        <w:rPr>
          <w:rFonts w:hint="eastAsia"/>
        </w:rPr>
      </w:pPr>
      <w:r>
        <w:rPr>
          <w:rFonts w:hint="eastAsia"/>
        </w:rPr>
        <w:t>应有防尘、防雨和排污的措施；</w:t>
      </w:r>
    </w:p>
    <w:p w:rsidR="000350B0" w:rsidP="000350B0">
      <w:pPr>
        <w:numPr>
          <w:ilvl w:val="1"/>
          <w:numId w:val="4"/>
        </w:numPr>
        <w:rPr>
          <w:rFonts w:hint="eastAsia"/>
        </w:rPr>
      </w:pPr>
      <w:r>
        <w:rPr>
          <w:rFonts w:hint="eastAsia"/>
        </w:rPr>
        <w:t>应设置消防设施；</w:t>
      </w:r>
    </w:p>
    <w:p w:rsidR="000350B0" w:rsidP="000350B0">
      <w:pPr>
        <w:numPr>
          <w:ilvl w:val="1"/>
          <w:numId w:val="4"/>
        </w:numPr>
        <w:rPr>
          <w:rFonts w:hint="eastAsia"/>
        </w:rPr>
      </w:pPr>
      <w:r>
        <w:rPr>
          <w:rFonts w:hint="eastAsia"/>
        </w:rPr>
        <w:t>应符合卫生和环境保护的要求。</w:t>
      </w:r>
    </w:p>
    <w:p w:rsidR="000350B0" w:rsidP="000350B0">
      <w:pPr>
        <w:numPr>
          <w:ilvl w:val="0"/>
          <w:numId w:val="4"/>
        </w:numPr>
        <w:rPr>
          <w:rFonts w:hint="eastAsia"/>
        </w:rPr>
      </w:pPr>
      <w:r>
        <w:rPr>
          <w:rFonts w:hint="eastAsia"/>
        </w:rPr>
        <w:t>对大型、复杂的机械设备安装工程，施工前应编制安装工程的施工组织没计或施工方案。</w:t>
      </w:r>
    </w:p>
    <w:p w:rsidR="000350B0" w:rsidP="000350B0">
      <w:pPr>
        <w:pStyle w:val="Heading4"/>
        <w:rPr>
          <w:rFonts w:hint="eastAsia"/>
        </w:rPr>
      </w:pPr>
      <w:r>
        <w:rPr>
          <w:rFonts w:hint="eastAsia"/>
        </w:rPr>
        <w:t>放线、就位、找正和调平</w:t>
      </w:r>
    </w:p>
    <w:p w:rsidR="000350B0" w:rsidP="000350B0">
      <w:pPr>
        <w:numPr>
          <w:ilvl w:val="0"/>
          <w:numId w:val="5"/>
        </w:numPr>
        <w:rPr>
          <w:rFonts w:hint="eastAsia"/>
        </w:rPr>
        <w:sectPr>
          <w:type w:val="nextPage"/>
          <w:pgSz w:w="11906" w:h="16838"/>
          <w:pgMar w:top="1440" w:right="1800" w:bottom="1440" w:left="1800" w:header="851" w:footer="992" w:gutter="0"/>
          <w:pgNumType w:start="3"/>
          <w:cols w:space="425"/>
          <w:titlePg w:val="0"/>
          <w:docGrid w:type="lines" w:linePitch="312"/>
        </w:sectPr>
      </w:pPr>
    </w:p>
    <w:p w:rsidR="000350B0" w:rsidP="000350B0">
      <w:pPr>
        <w:numPr>
          <w:ilvl w:val="0"/>
          <w:numId w:val="0"/>
        </w:numPr>
        <w:ind w:left="0"/>
        <w:rPr>
          <w:rFonts w:hint="eastAsia"/>
        </w:rPr>
      </w:pPr>
      <w:r>
        <w:rPr>
          <w:rFonts w:hint="eastAsia"/>
        </w:rPr>
        <w:t>机械设备就位前，应按施工图和相关建筑物的轴线、边缘线、标高线，划定安装的基准线。</w:t>
      </w:r>
    </w:p>
    <w:p w:rsidR="000350B0" w:rsidP="000350B0">
      <w:pPr>
        <w:numPr>
          <w:ilvl w:val="0"/>
          <w:numId w:val="31"/>
        </w:numPr>
        <w:rPr>
          <w:rFonts w:hint="eastAsia"/>
        </w:rPr>
      </w:pPr>
      <w:r>
        <w:rPr>
          <w:rFonts w:hint="eastAsia"/>
        </w:rPr>
        <w:t>相互有连接、衔接或排列关系的机械设备，应划定共同的安装基准线，并应按设备的具体要求埋设中心标板或基准点。中心标板或基准点的埋设应正确和牢固，其材料宜选用铜材或不锈钢材。</w:t>
      </w:r>
    </w:p>
    <w:p w:rsidR="000350B0" w:rsidP="000350B0">
      <w:pPr>
        <w:numPr>
          <w:ilvl w:val="0"/>
          <w:numId w:val="31"/>
        </w:numPr>
        <w:rPr>
          <w:rFonts w:hint="eastAsia"/>
        </w:rPr>
      </w:pPr>
      <w:r>
        <w:rPr>
          <w:rFonts w:hint="eastAsia"/>
        </w:rPr>
        <w:t>平面位置安装基准线与基础实际轴线或与厂房墙、柱的实际轴线、边缘线的距离，其允许偏差为</w:t>
      </w:r>
      <w:r>
        <w:rPr>
          <w:rFonts w:hint="eastAsia"/>
        </w:rPr>
        <w:t>±</w:t>
      </w:r>
      <w:smartTag w:uri="urn:schemas-microsoft-com:office:smarttags" w:element="chmetcnv">
        <w:smartTagPr>
          <w:attr w:name="HasSpace" w:val="False"/>
          <w:attr w:name="Negative" w:val="False"/>
          <w:attr w:name="NumberType" w:val="1"/>
          <w:attr w:name="SourceValue" w:val="20"/>
          <w:attr w:name="TCSC" w:val="0"/>
          <w:attr w:name="UnitName" w:val="mm"/>
        </w:smartTagPr>
        <w:r>
          <w:rPr>
            <w:rFonts w:hint="eastAsia"/>
          </w:rPr>
          <w:t>20mm</w:t>
        </w:r>
      </w:smartTag>
      <w:r>
        <w:rPr>
          <w:rFonts w:hint="eastAsia"/>
        </w:rPr>
        <w:t>。</w:t>
      </w:r>
    </w:p>
    <w:p w:rsidR="000350B0" w:rsidP="000350B0">
      <w:pPr>
        <w:numPr>
          <w:ilvl w:val="0"/>
          <w:numId w:val="31"/>
        </w:numPr>
        <w:rPr>
          <w:rFonts w:hint="eastAsia"/>
        </w:rPr>
      </w:pPr>
      <w:r>
        <w:rPr>
          <w:rFonts w:hint="eastAsia"/>
        </w:rPr>
        <w:t>机械设备定位基准的面、线或点与安装基准线的平面位置和标高的允许偏差。</w:t>
      </w:r>
    </w:p>
    <w:p w:rsidR="000350B0" w:rsidP="000350B0">
      <w:pPr>
        <w:numPr>
          <w:ilvl w:val="0"/>
          <w:numId w:val="31"/>
        </w:numPr>
        <w:rPr>
          <w:rFonts w:hint="eastAsia"/>
        </w:rPr>
      </w:pPr>
      <w:r>
        <w:rPr>
          <w:rFonts w:hint="eastAsia"/>
        </w:rPr>
        <w:t>机械设备找正、调平的测量位置，当随机技术文件无规定时，宜在下列部位中选择：</w:t>
      </w:r>
    </w:p>
    <w:p w:rsidR="000350B0" w:rsidP="000350B0">
      <w:pPr>
        <w:numPr>
          <w:ilvl w:val="1"/>
          <w:numId w:val="31"/>
        </w:numPr>
        <w:rPr>
          <w:rFonts w:hint="eastAsia"/>
        </w:rPr>
      </w:pPr>
      <w:r>
        <w:rPr>
          <w:rFonts w:hint="eastAsia"/>
        </w:rPr>
        <w:t>机械设备的主要工作面；</w:t>
      </w:r>
    </w:p>
    <w:p w:rsidR="000350B0" w:rsidP="000350B0">
      <w:pPr>
        <w:numPr>
          <w:ilvl w:val="1"/>
          <w:numId w:val="31"/>
        </w:numPr>
        <w:rPr>
          <w:rFonts w:hint="eastAsia"/>
        </w:rPr>
      </w:pPr>
      <w:r>
        <w:rPr>
          <w:rFonts w:hint="eastAsia"/>
        </w:rPr>
        <w:t>支承滑动部件的导向面；</w:t>
      </w:r>
    </w:p>
    <w:p w:rsidR="000350B0" w:rsidP="000350B0">
      <w:pPr>
        <w:numPr>
          <w:ilvl w:val="1"/>
          <w:numId w:val="31"/>
        </w:numPr>
        <w:rPr>
          <w:rFonts w:hint="eastAsia"/>
        </w:rPr>
      </w:pPr>
      <w:r>
        <w:rPr>
          <w:rFonts w:hint="eastAsia"/>
        </w:rPr>
        <w:t>轴颈或外露轴的表面；</w:t>
      </w:r>
    </w:p>
    <w:p w:rsidR="000350B0" w:rsidP="000350B0">
      <w:pPr>
        <w:numPr>
          <w:ilvl w:val="1"/>
          <w:numId w:val="31"/>
        </w:numPr>
        <w:rPr>
          <w:rFonts w:hint="eastAsia"/>
        </w:rPr>
      </w:pPr>
      <w:r>
        <w:rPr>
          <w:rFonts w:hint="eastAsia"/>
        </w:rPr>
        <w:t>部件上加工精度较高的表面；</w:t>
      </w:r>
    </w:p>
    <w:p w:rsidR="000350B0" w:rsidP="000350B0">
      <w:pPr>
        <w:numPr>
          <w:ilvl w:val="1"/>
          <w:numId w:val="31"/>
        </w:numPr>
        <w:rPr>
          <w:rFonts w:hint="eastAsia"/>
        </w:rPr>
      </w:pPr>
      <w:r>
        <w:rPr>
          <w:rFonts w:hint="eastAsia"/>
        </w:rPr>
        <w:t>机械设备上应为水平或垂直的主要轮廓面；</w:t>
      </w:r>
    </w:p>
    <w:p w:rsidR="000350B0" w:rsidP="000350B0">
      <w:pPr>
        <w:numPr>
          <w:ilvl w:val="1"/>
          <w:numId w:val="31"/>
        </w:numPr>
        <w:rPr>
          <w:rFonts w:hint="eastAsia"/>
        </w:rPr>
      </w:pPr>
      <w:r>
        <w:rPr>
          <w:rFonts w:hint="eastAsia"/>
        </w:rPr>
        <w:t>连续输送设备和金属结构宣选在主要部件的基准面的部位，相邻两测点间距离不宜大于</w:t>
      </w:r>
      <w:smartTag w:uri="urn:schemas-microsoft-com:office:smarttags" w:element="chmetcnv">
        <w:smartTagPr>
          <w:attr w:name="HasSpace" w:val="False"/>
          <w:attr w:name="Negative" w:val="False"/>
          <w:attr w:name="NumberType" w:val="1"/>
          <w:attr w:name="SourceValue" w:val="6"/>
          <w:attr w:name="TCSC" w:val="0"/>
          <w:attr w:name="UnitName" w:val="m"/>
        </w:smartTagPr>
        <w:r>
          <w:rPr>
            <w:rFonts w:hint="eastAsia"/>
          </w:rPr>
          <w:t>6m</w:t>
        </w:r>
      </w:smartTag>
      <w:r>
        <w:rPr>
          <w:rFonts w:hint="eastAsia"/>
        </w:rPr>
        <w:t>。</w:t>
      </w:r>
    </w:p>
    <w:p w:rsidR="000350B0" w:rsidP="000350B0">
      <w:pPr>
        <w:numPr>
          <w:ilvl w:val="0"/>
          <w:numId w:val="31"/>
        </w:numPr>
        <w:rPr>
          <w:rFonts w:hint="eastAsia"/>
        </w:rPr>
      </w:pPr>
      <w:r>
        <w:rPr>
          <w:rFonts w:hint="eastAsia"/>
        </w:rPr>
        <w:t>机械设备找正、调平的定位基准的面、线或点确定后，其找正、调平应在确定的测量位置上进行检验，且应做好标记，复检时应在原来的测量位置。</w:t>
      </w:r>
    </w:p>
    <w:p w:rsidR="000350B0" w:rsidP="000350B0">
      <w:pPr>
        <w:numPr>
          <w:ilvl w:val="0"/>
          <w:numId w:val="31"/>
        </w:numPr>
        <w:rPr>
          <w:rFonts w:hint="eastAsia"/>
        </w:rPr>
      </w:pPr>
      <w:r>
        <w:rPr>
          <w:rFonts w:hint="eastAsia"/>
        </w:rPr>
        <w:t>机械设备安装精度的偏差，宜符合下列要求：</w:t>
      </w:r>
    </w:p>
    <w:p w:rsidR="000350B0" w:rsidP="000350B0">
      <w:pPr>
        <w:numPr>
          <w:ilvl w:val="1"/>
          <w:numId w:val="31"/>
        </w:numPr>
        <w:rPr>
          <w:rFonts w:hint="eastAsia"/>
        </w:rPr>
        <w:sectPr>
          <w:type w:val="nextPage"/>
          <w:pgSz w:w="11906" w:h="16838"/>
          <w:pgMar w:top="1440" w:right="1800" w:bottom="1440" w:left="1800" w:header="851" w:footer="992" w:gutter="0"/>
          <w:pgNumType w:start="4"/>
          <w:cols w:space="425"/>
          <w:titlePg w:val="0"/>
          <w:docGrid w:type="lines" w:linePitch="312"/>
        </w:sectPr>
      </w:pPr>
      <w:r>
        <w:rPr>
          <w:rFonts w:hint="eastAsia"/>
        </w:rPr>
        <w:t>能补偿受力或温度变化后所引起的偏差；</w:t>
      </w:r>
    </w:p>
    <w:p w:rsidR="000350B0" w:rsidP="000350B0">
      <w:pPr>
        <w:numPr>
          <w:ilvl w:val="1"/>
          <w:numId w:val="5"/>
        </w:numPr>
        <w:rPr>
          <w:rFonts w:hint="eastAsia"/>
        </w:rPr>
      </w:pPr>
      <w:r>
        <w:rPr>
          <w:rFonts w:hint="eastAsia"/>
        </w:rPr>
        <w:t>能补偿使用过程中磨损所引起的偏差；</w:t>
      </w:r>
    </w:p>
    <w:p w:rsidR="000350B0" w:rsidP="000350B0">
      <w:pPr>
        <w:numPr>
          <w:ilvl w:val="1"/>
          <w:numId w:val="5"/>
        </w:numPr>
        <w:rPr>
          <w:rFonts w:hint="eastAsia"/>
        </w:rPr>
      </w:pPr>
      <w:r>
        <w:rPr>
          <w:rFonts w:hint="eastAsia"/>
        </w:rPr>
        <w:t>不增加功率损耗；</w:t>
      </w:r>
    </w:p>
    <w:p w:rsidR="000350B0" w:rsidP="000350B0">
      <w:pPr>
        <w:numPr>
          <w:ilvl w:val="1"/>
          <w:numId w:val="5"/>
        </w:numPr>
        <w:rPr>
          <w:rFonts w:hint="eastAsia"/>
        </w:rPr>
      </w:pPr>
      <w:r>
        <w:rPr>
          <w:rFonts w:hint="eastAsia"/>
        </w:rPr>
        <w:t>使转动平稳；</w:t>
      </w:r>
    </w:p>
    <w:p w:rsidR="000350B0" w:rsidP="000350B0">
      <w:pPr>
        <w:numPr>
          <w:ilvl w:val="1"/>
          <w:numId w:val="5"/>
        </w:numPr>
        <w:rPr>
          <w:rFonts w:hint="eastAsia"/>
        </w:rPr>
      </w:pPr>
      <w:r>
        <w:rPr>
          <w:rFonts w:hint="eastAsia"/>
        </w:rPr>
        <w:t>有利于提高工件的加工精度。</w:t>
      </w:r>
    </w:p>
    <w:p w:rsidR="000350B0" w:rsidP="000350B0">
      <w:pPr>
        <w:pStyle w:val="Heading4"/>
        <w:rPr>
          <w:rFonts w:hint="eastAsia"/>
        </w:rPr>
      </w:pPr>
      <w:r>
        <w:rPr>
          <w:rFonts w:hint="eastAsia"/>
        </w:rPr>
        <w:t>装配</w:t>
      </w:r>
    </w:p>
    <w:p w:rsidR="000350B0" w:rsidP="000350B0">
      <w:pPr>
        <w:pStyle w:val="Heading5"/>
        <w:rPr>
          <w:rFonts w:hint="eastAsia"/>
        </w:rPr>
      </w:pPr>
      <w:r>
        <w:rPr>
          <w:rFonts w:hint="eastAsia"/>
        </w:rPr>
        <w:t>基本规定</w:t>
      </w:r>
    </w:p>
    <w:p w:rsidR="000350B0" w:rsidP="000350B0">
      <w:pPr>
        <w:numPr>
          <w:ilvl w:val="0"/>
          <w:numId w:val="9"/>
        </w:numPr>
        <w:rPr>
          <w:rFonts w:hint="eastAsia"/>
        </w:rPr>
      </w:pPr>
      <w:r>
        <w:rPr>
          <w:rFonts w:hint="eastAsia"/>
        </w:rPr>
        <w:t>机械设备装配前，应对需要装配的零部件配合尺寸、相关精度、配合面、滑动面进行复查和清洗洁净，并应按照标记及装配顺序进行装配。</w:t>
      </w:r>
    </w:p>
    <w:p w:rsidR="000350B0" w:rsidP="000350B0">
      <w:pPr>
        <w:numPr>
          <w:ilvl w:val="0"/>
          <w:numId w:val="9"/>
        </w:numPr>
        <w:rPr>
          <w:rFonts w:hint="eastAsia"/>
        </w:rPr>
      </w:pPr>
      <w:r>
        <w:rPr>
          <w:rFonts w:hint="eastAsia"/>
        </w:rPr>
        <w:t>机械设备清洗的零件、部件应按装配或拆卸的程序进行摆放，并妥善地保护；清理出的油污、杂物及废清洗剂，不得随地乱倒，应按环保有关规定妥善处理。</w:t>
      </w:r>
    </w:p>
    <w:p w:rsidR="000350B0" w:rsidP="000350B0">
      <w:pPr>
        <w:numPr>
          <w:ilvl w:val="0"/>
          <w:numId w:val="9"/>
        </w:numPr>
        <w:rPr>
          <w:rFonts w:hint="eastAsia"/>
        </w:rPr>
      </w:pPr>
      <w:r>
        <w:rPr>
          <w:rFonts w:hint="eastAsia"/>
        </w:rPr>
        <w:t>当机械设备及零、部件表面有锈蚀时，应进行除锈处理。机械设备本体、管道等钢材表面的锈蚀等级和除锈等级，应符合现行国家标准《涂装前钢材表面锈蚀等级和除锈等级》GB8923-88的有关规定。</w:t>
      </w:r>
    </w:p>
    <w:p w:rsidR="000350B0" w:rsidP="000350B0">
      <w:pPr>
        <w:numPr>
          <w:ilvl w:val="0"/>
          <w:numId w:val="9"/>
        </w:numPr>
        <w:rPr>
          <w:rFonts w:hint="eastAsia"/>
        </w:rPr>
      </w:pPr>
      <w:r>
        <w:rPr>
          <w:rFonts w:hint="eastAsia"/>
        </w:rPr>
        <w:t>清洗机械设备及装配件表面的防锈油脂时，其清洗方式可按下列规定确定：</w:t>
      </w:r>
    </w:p>
    <w:p w:rsidR="000350B0" w:rsidP="000350B0">
      <w:pPr>
        <w:numPr>
          <w:ilvl w:val="1"/>
          <w:numId w:val="9"/>
        </w:numPr>
        <w:rPr>
          <w:rFonts w:hint="eastAsia"/>
        </w:rPr>
      </w:pPr>
      <w:r>
        <w:rPr>
          <w:rFonts w:hint="eastAsia"/>
        </w:rPr>
        <w:t>机械设备及大、中型部件的局部清洗，宦采用擦洗和刷洗；</w:t>
      </w:r>
    </w:p>
    <w:p w:rsidR="000350B0" w:rsidP="000350B0">
      <w:pPr>
        <w:numPr>
          <w:ilvl w:val="1"/>
          <w:numId w:val="9"/>
        </w:numPr>
        <w:rPr>
          <w:rFonts w:hint="eastAsia"/>
        </w:rPr>
        <w:sectPr>
          <w:type w:val="nextPage"/>
          <w:pgSz w:w="11906" w:h="16838"/>
          <w:pgMar w:top="1440" w:right="1800" w:bottom="1440" w:left="1800" w:header="851" w:footer="992" w:gutter="0"/>
          <w:pgNumType w:start="5"/>
          <w:cols w:space="425"/>
          <w:titlePg w:val="0"/>
          <w:docGrid w:type="lines" w:linePitch="312"/>
        </w:sectPr>
      </w:pPr>
    </w:p>
    <w:p w:rsidR="000350B0" w:rsidP="000350B0">
      <w:pPr>
        <w:numPr>
          <w:ilvl w:val="0"/>
          <w:numId w:val="0"/>
        </w:numPr>
        <w:ind w:left="0"/>
        <w:rPr>
          <w:rFonts w:hint="eastAsia"/>
        </w:rPr>
      </w:pPr>
      <w:r>
        <w:rPr>
          <w:rFonts w:hint="eastAsia"/>
        </w:rPr>
        <w:t>中、小型形状较复杂的装配件，宜采用多步清洗或浸、刷结合清洗；浸洗时间宜2～20min；采用加热浸洗时，应控制清洗液温度，被清洗件不得接触容器壁；</w:t>
      </w:r>
    </w:p>
    <w:p w:rsidR="000350B0" w:rsidP="000350B0">
      <w:pPr>
        <w:numPr>
          <w:ilvl w:val="1"/>
          <w:numId w:val="32"/>
        </w:numPr>
        <w:rPr>
          <w:rFonts w:hint="eastAsia"/>
        </w:rPr>
      </w:pPr>
      <w:r>
        <w:rPr>
          <w:rFonts w:hint="eastAsia"/>
        </w:rPr>
        <w:t>形状复杂、污垢黏附严重的装配件，宜采用清洗液和蒸汽、热空气进行喷洗；精密零件、滚动轴承不得使用喷洗；</w:t>
      </w:r>
    </w:p>
    <w:p w:rsidR="000350B0" w:rsidP="000350B0">
      <w:pPr>
        <w:numPr>
          <w:ilvl w:val="1"/>
          <w:numId w:val="32"/>
        </w:numPr>
        <w:rPr>
          <w:rFonts w:hint="eastAsia"/>
        </w:rPr>
      </w:pPr>
      <w:r>
        <w:rPr>
          <w:rFonts w:hint="eastAsia"/>
        </w:rPr>
        <w:t>对形状复杂、油垢黏附严重、清洗要求高的装配件，宜采用浸、喷联合清洗；</w:t>
      </w:r>
    </w:p>
    <w:p w:rsidR="000350B0" w:rsidP="000350B0">
      <w:pPr>
        <w:numPr>
          <w:ilvl w:val="1"/>
          <w:numId w:val="32"/>
        </w:numPr>
        <w:rPr>
          <w:rFonts w:hint="eastAsia"/>
        </w:rPr>
      </w:pPr>
      <w:r>
        <w:rPr>
          <w:rFonts w:hint="eastAsia"/>
        </w:rPr>
        <w:t>对装配件进行最后清洗时，宜采用清洗液进行超声波清洗。</w:t>
      </w:r>
    </w:p>
    <w:p w:rsidR="000350B0" w:rsidP="000350B0">
      <w:pPr>
        <w:numPr>
          <w:ilvl w:val="0"/>
          <w:numId w:val="32"/>
        </w:numPr>
        <w:rPr>
          <w:rFonts w:hint="eastAsia"/>
        </w:rPr>
      </w:pPr>
      <w:r>
        <w:rPr>
          <w:rFonts w:hint="eastAsia"/>
        </w:rPr>
        <w:t>机械设备加工装配表面上的防锈漆，应采用相应的稀群剂或脱漆剂等溶剂进行清洗。</w:t>
      </w:r>
    </w:p>
    <w:p w:rsidR="000350B0" w:rsidP="000350B0">
      <w:pPr>
        <w:numPr>
          <w:ilvl w:val="0"/>
          <w:numId w:val="32"/>
        </w:numPr>
        <w:rPr>
          <w:rFonts w:hint="eastAsia"/>
        </w:rPr>
      </w:pPr>
      <w:r>
        <w:rPr>
          <w:rFonts w:hint="eastAsia"/>
        </w:rPr>
        <w:t>在禁油条件下工作的零、部件及管路应进行脱脂，脱脂后应将残留的脱脂剂清除干净。</w:t>
      </w:r>
    </w:p>
    <w:p w:rsidR="000350B0" w:rsidP="000350B0">
      <w:pPr>
        <w:numPr>
          <w:ilvl w:val="0"/>
          <w:numId w:val="32"/>
        </w:numPr>
        <w:rPr>
          <w:rFonts w:hint="eastAsia"/>
        </w:rPr>
      </w:pPr>
      <w:r>
        <w:rPr>
          <w:rFonts w:hint="eastAsia"/>
        </w:rPr>
        <w:t>机械设备零、部件经清洗后，应立即进行干燥处理，并应采敬防锈措施。</w:t>
      </w:r>
    </w:p>
    <w:p w:rsidR="000350B0" w:rsidP="000350B0">
      <w:pPr>
        <w:numPr>
          <w:ilvl w:val="0"/>
          <w:numId w:val="32"/>
        </w:numPr>
        <w:rPr>
          <w:rFonts w:hint="eastAsia"/>
        </w:rPr>
      </w:pPr>
      <w:r>
        <w:rPr>
          <w:rFonts w:hint="eastAsia"/>
        </w:rPr>
        <w:t>机械设备和零、部件清洗后，其清洁度应符合下列要求：</w:t>
      </w:r>
    </w:p>
    <w:p w:rsidR="000350B0" w:rsidP="000350B0">
      <w:pPr>
        <w:numPr>
          <w:ilvl w:val="1"/>
          <w:numId w:val="32"/>
        </w:numPr>
        <w:rPr>
          <w:rFonts w:hint="eastAsia"/>
        </w:rPr>
      </w:pPr>
      <w:r>
        <w:rPr>
          <w:rFonts w:hint="eastAsia"/>
        </w:rPr>
        <w:t>采用目测法时，在室内白天或在15～20W日光灯下，肉眼观察表面廒无任何残留污物；</w:t>
      </w:r>
    </w:p>
    <w:p w:rsidR="000350B0" w:rsidP="000350B0">
      <w:pPr>
        <w:numPr>
          <w:ilvl w:val="1"/>
          <w:numId w:val="32"/>
        </w:numPr>
        <w:rPr>
          <w:rFonts w:hint="eastAsia"/>
        </w:rPr>
      </w:pPr>
      <w:r>
        <w:rPr>
          <w:rFonts w:hint="eastAsia"/>
        </w:rPr>
        <w:t>采用擦拭法时，应用清洁的白布或黑布擦拭清洗的检验部位，布的表面应无异物污染；</w:t>
      </w:r>
    </w:p>
    <w:p w:rsidR="000350B0" w:rsidP="000350B0">
      <w:pPr>
        <w:numPr>
          <w:ilvl w:val="1"/>
          <w:numId w:val="32"/>
        </w:numPr>
        <w:rPr>
          <w:rFonts w:hint="eastAsia"/>
        </w:rPr>
      </w:pPr>
      <w:r>
        <w:rPr>
          <w:rFonts w:hint="eastAsia"/>
        </w:rPr>
        <w:t>采用溶剂法时，应用新溶液洗涤，观察或分析洗涤溶剂中应无污物、悬浮或沉淀物；</w:t>
      </w:r>
    </w:p>
    <w:p w:rsidR="000350B0" w:rsidP="000350B0">
      <w:pPr>
        <w:numPr>
          <w:ilvl w:val="1"/>
          <w:numId w:val="32"/>
        </w:numPr>
        <w:rPr>
          <w:rFonts w:hint="eastAsia"/>
        </w:rPr>
      </w:pPr>
      <w:r>
        <w:rPr>
          <w:rFonts w:hint="eastAsia"/>
        </w:rPr>
        <w:t>采用蒸馏水局部润湿清洗后的金属表面，应用pH试纸测定残留酸碱度，并应符合其机械设备技术要求。</w:t>
      </w:r>
    </w:p>
    <w:p w:rsidR="000350B0" w:rsidP="000350B0">
      <w:pPr>
        <w:numPr>
          <w:ilvl w:val="0"/>
          <w:numId w:val="32"/>
        </w:numPr>
        <w:rPr>
          <w:rFonts w:hint="eastAsia"/>
        </w:rPr>
        <w:sectPr>
          <w:type w:val="nextPage"/>
          <w:pgSz w:w="11906" w:h="16838"/>
          <w:pgMar w:top="1440" w:right="1800" w:bottom="1440" w:left="1800" w:header="851" w:footer="992" w:gutter="0"/>
          <w:pgNumType w:start="6"/>
          <w:cols w:space="425"/>
          <w:titlePg w:val="0"/>
          <w:docGrid w:type="lines" w:linePitch="312"/>
        </w:sectPr>
      </w:pPr>
      <w:r>
        <w:rPr>
          <w:rFonts w:hint="eastAsia"/>
        </w:rPr>
        <w:t>机械设备较精密的螺纹连接或温度高于</w:t>
      </w:r>
      <w:smartTag w:uri="urn:schemas-microsoft-com:office:smarttags" w:element="chmetcnv">
        <w:smartTagPr>
          <w:attr w:name="HasSpace" w:val="False"/>
          <w:attr w:name="Negative" w:val="False"/>
          <w:attr w:name="NumberType" w:val="1"/>
          <w:attr w:name="SourceValue" w:val="200"/>
          <w:attr w:name="TCSC" w:val="0"/>
          <w:attr w:name="UnitName" w:val="℃"/>
        </w:smartTagPr>
        <w:r>
          <w:rPr>
            <w:rFonts w:hint="eastAsia"/>
          </w:rPr>
          <w:t>200</w:t>
        </w:r>
        <w:r>
          <w:rPr>
            <w:rFonts w:hint="eastAsia"/>
          </w:rPr>
          <w:t>℃</w:t>
        </w:r>
      </w:smartTag>
    </w:p>
    <w:p w:rsidR="000350B0" w:rsidP="000350B0">
      <w:pPr>
        <w:numPr>
          <w:ilvl w:val="0"/>
          <w:numId w:val="0"/>
        </w:numPr>
        <w:ind w:left="0"/>
        <w:rPr>
          <w:rFonts w:hint="eastAsia"/>
        </w:rPr>
      </w:pPr>
      <w:r>
        <w:rPr>
          <w:rFonts w:hint="eastAsia"/>
        </w:rPr>
        <w:t>条件下工作的连接件及配合件等装配时，应在其配合表面涂防咬合剂。</w:t>
      </w:r>
    </w:p>
    <w:p w:rsidR="000350B0" w:rsidP="000350B0">
      <w:pPr>
        <w:numPr>
          <w:ilvl w:val="0"/>
          <w:numId w:val="33"/>
        </w:numPr>
        <w:rPr>
          <w:rFonts w:hint="eastAsia"/>
        </w:rPr>
      </w:pPr>
      <w:r>
        <w:rPr>
          <w:rFonts w:hint="eastAsia"/>
        </w:rPr>
        <w:t>带有内腔的机械设备或部件在封闭前，应仔细检查和清理，其内部不得有任何异物。</w:t>
      </w:r>
    </w:p>
    <w:p w:rsidR="000350B0" w:rsidP="000350B0">
      <w:pPr>
        <w:numPr>
          <w:ilvl w:val="0"/>
          <w:numId w:val="33"/>
        </w:numPr>
        <w:rPr>
          <w:rFonts w:hint="eastAsia"/>
        </w:rPr>
      </w:pPr>
      <w:r>
        <w:rPr>
          <w:rFonts w:hint="eastAsia"/>
        </w:rPr>
        <w:t>对安装后不易拆卸、检查、修理的油箱或水箱，装配前应作渗漏检查。</w:t>
      </w:r>
    </w:p>
    <w:p w:rsidR="000350B0" w:rsidP="000350B0">
      <w:pPr>
        <w:pStyle w:val="Heading5"/>
        <w:rPr>
          <w:rFonts w:hint="eastAsia"/>
        </w:rPr>
      </w:pPr>
      <w:r>
        <w:rPr>
          <w:rFonts w:hint="eastAsia"/>
        </w:rPr>
        <w:t>联接与紧固</w:t>
      </w:r>
    </w:p>
    <w:p w:rsidR="000350B0" w:rsidP="000350B0">
      <w:pPr>
        <w:numPr>
          <w:ilvl w:val="0"/>
          <w:numId w:val="10"/>
        </w:numPr>
        <w:rPr>
          <w:rFonts w:hint="eastAsia"/>
        </w:rPr>
      </w:pPr>
      <w:r>
        <w:rPr>
          <w:rFonts w:hint="eastAsia"/>
        </w:rPr>
        <w:t>螺栓或螺钉联接紧固时，应符合下列要求：</w:t>
      </w:r>
    </w:p>
    <w:p w:rsidR="000350B0" w:rsidP="000350B0">
      <w:pPr>
        <w:numPr>
          <w:ilvl w:val="1"/>
          <w:numId w:val="10"/>
        </w:numPr>
        <w:rPr>
          <w:rFonts w:hint="eastAsia"/>
        </w:rPr>
      </w:pPr>
      <w:r>
        <w:rPr>
          <w:rFonts w:hint="eastAsia"/>
        </w:rPr>
        <w:t>螺拴紧固时，宜采用呆扳手，不得使用打击法和超过螺栓的许用应力；</w:t>
      </w:r>
    </w:p>
    <w:p w:rsidR="000350B0" w:rsidP="000350B0">
      <w:pPr>
        <w:numPr>
          <w:ilvl w:val="1"/>
          <w:numId w:val="10"/>
        </w:numPr>
        <w:rPr>
          <w:rFonts w:hint="eastAsia"/>
        </w:rPr>
      </w:pPr>
      <w:r>
        <w:rPr>
          <w:rFonts w:hint="eastAsia"/>
        </w:rPr>
        <w:t>多只螺栓或螺钉联接同一装配件紧固时，各螺栓或螺钉应交叉、对称和均匀地拧紧。当有定位销时应从靠近该销的螺栓或螺钉开始均匀拧紧；</w:t>
      </w:r>
    </w:p>
    <w:p w:rsidR="000350B0" w:rsidP="000350B0">
      <w:pPr>
        <w:numPr>
          <w:ilvl w:val="1"/>
          <w:numId w:val="10"/>
        </w:numPr>
        <w:rPr>
          <w:rFonts w:hint="eastAsia"/>
        </w:rPr>
      </w:pPr>
      <w:r>
        <w:rPr>
          <w:rFonts w:hint="eastAsia"/>
        </w:rPr>
        <w:t>螺栓头、螺母与被连接件的接触应紧密；对接触面积和接触间隙有特殊要求时，尚应按规定的要求进行检验；</w:t>
      </w:r>
    </w:p>
    <w:p w:rsidR="000350B0" w:rsidP="000350B0">
      <w:pPr>
        <w:numPr>
          <w:ilvl w:val="1"/>
          <w:numId w:val="10"/>
        </w:numPr>
        <w:rPr>
          <w:rFonts w:hint="eastAsia"/>
        </w:rPr>
      </w:pPr>
      <w:r>
        <w:rPr>
          <w:rFonts w:hint="eastAsia"/>
        </w:rPr>
        <w:t>螺栓与螺母拧紧后，螺栓应露出螺母2～3个螺距，其支承面应与被紧固零件贴合；沉头螺钉紧固后，沉头应埋入机件内，不得外露；</w:t>
      </w:r>
    </w:p>
    <w:p w:rsidR="000350B0" w:rsidP="000350B0">
      <w:pPr>
        <w:numPr>
          <w:ilvl w:val="1"/>
          <w:numId w:val="10"/>
        </w:numPr>
        <w:rPr>
          <w:rFonts w:hint="eastAsia"/>
        </w:rPr>
      </w:pPr>
      <w:r>
        <w:rPr>
          <w:rFonts w:hint="eastAsia"/>
        </w:rPr>
        <w:t>有锁紧要求的螺栓，拧紧后应按其规定进行锁紧；用双螺母锁紧时，应先装薄螺母后装厚螺母；每个螺母下面不得用两个相同的垫圈。</w:t>
      </w:r>
    </w:p>
    <w:p w:rsidR="000350B0" w:rsidP="000350B0">
      <w:pPr>
        <w:numPr>
          <w:ilvl w:val="0"/>
          <w:numId w:val="10"/>
        </w:numPr>
        <w:rPr>
          <w:rFonts w:hint="eastAsia"/>
        </w:rPr>
        <w:sectPr>
          <w:type w:val="nextPage"/>
          <w:pgSz w:w="11906" w:h="16838"/>
          <w:pgMar w:top="1440" w:right="1800" w:bottom="1440" w:left="1800" w:header="851" w:footer="992" w:gutter="0"/>
          <w:pgNumType w:start="7"/>
          <w:cols w:space="425"/>
          <w:titlePg w:val="0"/>
          <w:docGrid w:type="lines" w:linePitch="312"/>
        </w:sectPr>
      </w:pPr>
    </w:p>
    <w:p w:rsidR="000350B0" w:rsidP="000350B0">
      <w:pPr>
        <w:numPr>
          <w:ilvl w:val="0"/>
          <w:numId w:val="0"/>
        </w:numPr>
        <w:ind w:left="0"/>
        <w:rPr>
          <w:rFonts w:hint="eastAsia"/>
        </w:rPr>
      </w:pPr>
      <w:r>
        <w:rPr>
          <w:rFonts w:hint="eastAsia"/>
        </w:rPr>
        <w:t>精制螺栓和高强度螺检装配前，应按设计要求检验螺孔直径的尺寸和加工精度。</w:t>
      </w:r>
    </w:p>
    <w:p w:rsidR="000350B0" w:rsidP="000350B0">
      <w:pPr>
        <w:numPr>
          <w:ilvl w:val="0"/>
          <w:numId w:val="34"/>
        </w:numPr>
        <w:rPr>
          <w:rFonts w:hint="eastAsia"/>
        </w:rPr>
      </w:pPr>
      <w:r>
        <w:rPr>
          <w:rFonts w:hint="eastAsia"/>
        </w:rPr>
        <w:t>不锈钢、铜、铝等材质的螺栓装配时，应在螺纹部分涂抹防咬合剂。</w:t>
      </w:r>
    </w:p>
    <w:p w:rsidR="000350B0" w:rsidP="000350B0">
      <w:pPr>
        <w:numPr>
          <w:ilvl w:val="0"/>
          <w:numId w:val="34"/>
        </w:numPr>
        <w:rPr>
          <w:rFonts w:hint="eastAsia"/>
        </w:rPr>
      </w:pPr>
      <w:r>
        <w:rPr>
          <w:rFonts w:hint="eastAsia"/>
        </w:rPr>
        <w:t>高强度螺栓的装配，应符合下列要求：</w:t>
      </w:r>
    </w:p>
    <w:p w:rsidR="000350B0" w:rsidP="000350B0">
      <w:pPr>
        <w:numPr>
          <w:ilvl w:val="1"/>
          <w:numId w:val="34"/>
        </w:numPr>
        <w:rPr>
          <w:rFonts w:hint="eastAsia"/>
        </w:rPr>
      </w:pPr>
      <w:r>
        <w:rPr>
          <w:rFonts w:hint="eastAsia"/>
        </w:rPr>
        <w:t>高强度螺栓在装配前，应按设计要求检查和处理被联接件的接合面；装配时，接合面应保持干燥，严禁在雨中进行装配；</w:t>
      </w:r>
    </w:p>
    <w:p w:rsidR="000350B0" w:rsidP="000350B0">
      <w:pPr>
        <w:numPr>
          <w:ilvl w:val="1"/>
          <w:numId w:val="34"/>
        </w:numPr>
        <w:rPr>
          <w:rFonts w:hint="eastAsia"/>
        </w:rPr>
      </w:pPr>
      <w:r>
        <w:rPr>
          <w:rFonts w:hint="eastAsia"/>
        </w:rPr>
        <w:t>不得用高强度螺栓兼做临时螺栓；</w:t>
      </w:r>
    </w:p>
    <w:p w:rsidR="000350B0" w:rsidP="000350B0">
      <w:pPr>
        <w:numPr>
          <w:ilvl w:val="1"/>
          <w:numId w:val="34"/>
        </w:numPr>
        <w:rPr>
          <w:rFonts w:hint="eastAsia"/>
        </w:rPr>
      </w:pPr>
      <w:r>
        <w:rPr>
          <w:rFonts w:hint="eastAsia"/>
        </w:rPr>
        <w:t>安装高强度螺栓时，不得强行穿入螺栓孔；当不能自由穿入时，该孔应用铰刀修整，铰孔前应将四周螺栓全部拧紧，修整后孔的最大直径应小于螺栓直径的1.2倍；</w:t>
      </w:r>
    </w:p>
    <w:p w:rsidR="000350B0" w:rsidP="000350B0">
      <w:pPr>
        <w:numPr>
          <w:ilvl w:val="1"/>
          <w:numId w:val="34"/>
        </w:numPr>
        <w:rPr>
          <w:rFonts w:hint="eastAsia"/>
        </w:rPr>
      </w:pPr>
      <w:r>
        <w:rPr>
          <w:rFonts w:hint="eastAsia"/>
        </w:rPr>
        <w:t>组装螺栓联接副时，垫圈有倒角的一侧应朝向螺母支撑面；</w:t>
      </w:r>
    </w:p>
    <w:p w:rsidR="000350B0" w:rsidP="000350B0">
      <w:pPr>
        <w:numPr>
          <w:ilvl w:val="1"/>
          <w:numId w:val="34"/>
        </w:numPr>
        <w:rPr>
          <w:rFonts w:hint="eastAsia"/>
        </w:rPr>
      </w:pPr>
      <w:r>
        <w:rPr>
          <w:rFonts w:hint="eastAsia"/>
        </w:rPr>
        <w:t>高强度螺栓的初拧、复拧和终拧应在同一天内完成。</w:t>
      </w:r>
    </w:p>
    <w:p w:rsidR="000350B0" w:rsidP="000350B0">
      <w:pPr>
        <w:numPr>
          <w:ilvl w:val="0"/>
          <w:numId w:val="34"/>
        </w:numPr>
        <w:rPr>
          <w:rFonts w:hint="eastAsia"/>
        </w:rPr>
      </w:pPr>
      <w:r>
        <w:rPr>
          <w:rFonts w:hint="eastAsia"/>
        </w:rPr>
        <w:t>大六角头高强度螺栓装配应符台下列要求：</w:t>
      </w:r>
    </w:p>
    <w:p w:rsidR="000350B0" w:rsidP="000350B0">
      <w:pPr>
        <w:numPr>
          <w:ilvl w:val="1"/>
          <w:numId w:val="34"/>
        </w:numPr>
        <w:rPr>
          <w:rFonts w:hint="eastAsia"/>
        </w:rPr>
      </w:pPr>
      <w:r>
        <w:rPr>
          <w:rFonts w:hint="eastAsia"/>
        </w:rPr>
        <w:t>施工所用的扭矩扳手，每次使用前必须校正，其扭矩偏差不得大于</w:t>
      </w:r>
      <w:r>
        <w:rPr>
          <w:rFonts w:hint="eastAsia"/>
        </w:rPr>
        <w:t>±</w:t>
      </w:r>
      <w:r>
        <w:rPr>
          <w:rFonts w:hint="eastAsia"/>
        </w:rPr>
        <w:t>5%，并应在合格后使用；校正用的扭矩扳手，其扭矩允许偏差为</w:t>
      </w:r>
      <w:r>
        <w:rPr>
          <w:rFonts w:hint="eastAsia"/>
        </w:rPr>
        <w:t>±</w:t>
      </w:r>
      <w:r>
        <w:rPr>
          <w:rFonts w:hint="eastAsia"/>
        </w:rPr>
        <w:t>3%；</w:t>
      </w:r>
    </w:p>
    <w:p w:rsidR="000350B0" w:rsidP="000350B0">
      <w:pPr>
        <w:numPr>
          <w:ilvl w:val="1"/>
          <w:numId w:val="34"/>
        </w:numPr>
        <w:rPr>
          <w:rFonts w:hint="eastAsia"/>
        </w:rPr>
      </w:pPr>
      <w:r>
        <w:rPr>
          <w:rFonts w:hint="eastAsia"/>
        </w:rPr>
        <w:t>大六角头高强度螺栓的拧紧应分为初拧和终拧；对于大型节点应分为初拧、复拧和终拧；初拧扭矩应为终拧扭矩值的50%复拧扭矩应等于初拧扭矩，初拧或复拧后的高强度螺栓应在螺母上涂上标记，然后按终拧扭矩值进行终拧，终拧后的螺栓应用另一种颜色在螺母上涂上标记；</w:t>
      </w:r>
    </w:p>
    <w:p w:rsidR="000350B0" w:rsidP="000350B0">
      <w:pPr>
        <w:numPr>
          <w:ilvl w:val="1"/>
          <w:numId w:val="34"/>
        </w:numPr>
        <w:rPr>
          <w:rFonts w:hint="eastAsia"/>
        </w:rPr>
        <w:sectPr>
          <w:type w:val="nextPage"/>
          <w:pgSz w:w="11906" w:h="16838"/>
          <w:pgMar w:top="1440" w:right="1800" w:bottom="1440" w:left="1800" w:header="851" w:footer="992" w:gutter="0"/>
          <w:pgNumType w:start="8"/>
          <w:cols w:space="425"/>
          <w:titlePg w:val="0"/>
          <w:docGrid w:type="lines" w:linePitch="312"/>
        </w:sectPr>
      </w:pPr>
      <w:r>
        <w:rPr>
          <w:rFonts w:hint="eastAsia"/>
        </w:rPr>
        <w:t>螺栓拧紧时，应只准在螺母上施加扭矩。</w:t>
      </w:r>
    </w:p>
    <w:p w:rsidR="000350B0" w:rsidP="000350B0">
      <w:pPr>
        <w:numPr>
          <w:ilvl w:val="0"/>
          <w:numId w:val="10"/>
        </w:numPr>
        <w:rPr>
          <w:rFonts w:hint="eastAsia"/>
        </w:rPr>
      </w:pPr>
      <w:r>
        <w:rPr>
          <w:rFonts w:hint="eastAsia"/>
        </w:rPr>
        <w:t>终拧时，应拧掉螺栓尾部的梅花头。对于个别不能用专用扳手终拧的螺栓，其终拧扭矩值计算时，扭矩系数宜取0.13。</w:t>
      </w:r>
    </w:p>
    <w:p w:rsidR="000350B0" w:rsidP="000350B0">
      <w:pPr>
        <w:numPr>
          <w:ilvl w:val="0"/>
          <w:numId w:val="10"/>
        </w:numPr>
        <w:rPr>
          <w:rFonts w:hint="eastAsia"/>
        </w:rPr>
      </w:pPr>
      <w:r>
        <w:rPr>
          <w:rFonts w:hint="eastAsia"/>
        </w:rPr>
        <w:t>键的装配应符合下列要求：</w:t>
      </w:r>
    </w:p>
    <w:p w:rsidR="000350B0" w:rsidP="000350B0">
      <w:pPr>
        <w:numPr>
          <w:ilvl w:val="1"/>
          <w:numId w:val="10"/>
        </w:numPr>
        <w:rPr>
          <w:rFonts w:hint="eastAsia"/>
        </w:rPr>
      </w:pPr>
      <w:r>
        <w:rPr>
          <w:rFonts w:hint="eastAsia"/>
        </w:rPr>
        <w:t>现场配制的各种类型的键，应符合现行国家标准《键技术条件》GB/T1568的有关规定；</w:t>
      </w:r>
    </w:p>
    <w:p w:rsidR="000350B0" w:rsidP="000350B0">
      <w:pPr>
        <w:numPr>
          <w:ilvl w:val="1"/>
          <w:numId w:val="10"/>
        </w:numPr>
        <w:rPr>
          <w:rFonts w:hint="eastAsia"/>
        </w:rPr>
      </w:pPr>
      <w:r>
        <w:rPr>
          <w:rFonts w:hint="eastAsia"/>
        </w:rPr>
        <w:t>键的表面不应有裂纹、浮锈、氧化皮和条痕、凹痕及毛刺，键和键槽的表面粗糙度、平面度和尺寸在装配前均应检验且符合规定；</w:t>
      </w:r>
    </w:p>
    <w:p w:rsidR="000350B0" w:rsidP="000350B0">
      <w:pPr>
        <w:numPr>
          <w:ilvl w:val="1"/>
          <w:numId w:val="10"/>
        </w:numPr>
        <w:rPr>
          <w:rFonts w:hint="eastAsia"/>
        </w:rPr>
      </w:pPr>
      <w:r>
        <w:rPr>
          <w:rFonts w:hint="eastAsia"/>
        </w:rPr>
        <w:t>平键装配时，键的两端不得翘起。平键与固定键的键槽两侧面应紧密接触，其配合面不得有间隙；</w:t>
      </w:r>
    </w:p>
    <w:p w:rsidR="000350B0" w:rsidP="000350B0">
      <w:pPr>
        <w:numPr>
          <w:ilvl w:val="1"/>
          <w:numId w:val="10"/>
        </w:numPr>
        <w:rPr>
          <w:rFonts w:hint="eastAsia"/>
        </w:rPr>
      </w:pPr>
      <w:r>
        <w:rPr>
          <w:rFonts w:hint="eastAsia"/>
        </w:rPr>
        <w:t>导向键和半圆键，两个侧面与键槽应紧密接触，与轮毂键槽底面应有间隙；</w:t>
      </w:r>
    </w:p>
    <w:p w:rsidR="000350B0" w:rsidP="000350B0">
      <w:pPr>
        <w:numPr>
          <w:ilvl w:val="1"/>
          <w:numId w:val="10"/>
        </w:numPr>
        <w:rPr>
          <w:rFonts w:hint="eastAsia"/>
        </w:rPr>
      </w:pPr>
      <w:r>
        <w:rPr>
          <w:rFonts w:hint="eastAsia"/>
        </w:rPr>
        <w:t>楔键和钩头楔键的上、下面，与轴和轮毂的键槽底面的接触面积不应小于70%，且不接触部分不得集中于一段；外露部分的长度应为斜面长度的10%～15%；</w:t>
      </w:r>
    </w:p>
    <w:p w:rsidR="000350B0" w:rsidP="000350B0">
      <w:pPr>
        <w:numPr>
          <w:ilvl w:val="1"/>
          <w:numId w:val="10"/>
        </w:numPr>
        <w:rPr>
          <w:rFonts w:hint="eastAsia"/>
        </w:rPr>
      </w:pPr>
      <w:r>
        <w:rPr>
          <w:rFonts w:hint="eastAsia"/>
        </w:rPr>
        <w:t>切向键的两斜面间以及键的侧面与轴和轮毂键槽的工作面间，均应紧密接触，装配后相互位置应采用销固定；</w:t>
      </w:r>
    </w:p>
    <w:p w:rsidR="000350B0" w:rsidP="000350B0">
      <w:pPr>
        <w:numPr>
          <w:ilvl w:val="1"/>
          <w:numId w:val="10"/>
        </w:numPr>
        <w:rPr>
          <w:rFonts w:hint="eastAsia"/>
        </w:rPr>
      </w:pPr>
      <w:r>
        <w:rPr>
          <w:rFonts w:hint="eastAsia"/>
        </w:rPr>
        <w:t>花键装配时，同时接触的齿数不应少于2/3，接触率在键齿的长度和高度方向不应低于50%；</w:t>
      </w:r>
    </w:p>
    <w:p w:rsidR="000350B0" w:rsidP="000350B0">
      <w:pPr>
        <w:numPr>
          <w:ilvl w:val="1"/>
          <w:numId w:val="10"/>
        </w:numPr>
        <w:rPr>
          <w:rFonts w:hint="eastAsia"/>
        </w:rPr>
      </w:pPr>
      <w:r>
        <w:rPr>
          <w:rFonts w:hint="eastAsia"/>
        </w:rPr>
        <w:t>间隙配台的平键或花键装配后，相配件应移动自如，不应有松紧不匀现象；</w:t>
      </w:r>
    </w:p>
    <w:p w:rsidR="000350B0" w:rsidP="000350B0">
      <w:pPr>
        <w:numPr>
          <w:ilvl w:val="1"/>
          <w:numId w:val="10"/>
        </w:numPr>
        <w:rPr>
          <w:rFonts w:hint="eastAsia"/>
        </w:rPr>
        <w:sectPr>
          <w:type w:val="nextPage"/>
          <w:pgSz w:w="11906" w:h="16838"/>
          <w:pgMar w:top="1440" w:right="1800" w:bottom="1440" w:left="1800" w:header="851" w:footer="992" w:gutter="0"/>
          <w:pgNumType w:start="9"/>
          <w:cols w:space="425"/>
          <w:titlePg w:val="0"/>
          <w:docGrid w:type="lines" w:linePitch="312"/>
        </w:sectPr>
      </w:pPr>
    </w:p>
    <w:p w:rsidR="000350B0" w:rsidP="000350B0">
      <w:pPr>
        <w:numPr>
          <w:ilvl w:val="0"/>
          <w:numId w:val="0"/>
        </w:numPr>
        <w:ind w:left="0"/>
        <w:rPr>
          <w:rFonts w:hint="eastAsia"/>
        </w:rPr>
      </w:pPr>
      <w:r>
        <w:rPr>
          <w:rFonts w:hint="eastAsia"/>
        </w:rPr>
        <w:t>装配时，轴键槽及轮毂键槽轴心线的对称度，应按现行国家标准《形状和位置公差未注公差值》GB/T1184的对称度公差等级H、K、L选取。</w:t>
      </w:r>
    </w:p>
    <w:p w:rsidR="000350B0" w:rsidP="000350B0">
      <w:pPr>
        <w:numPr>
          <w:ilvl w:val="0"/>
          <w:numId w:val="35"/>
        </w:numPr>
        <w:rPr>
          <w:rFonts w:hint="eastAsia"/>
        </w:rPr>
      </w:pPr>
      <w:r>
        <w:rPr>
          <w:rFonts w:hint="eastAsia"/>
        </w:rPr>
        <w:t>定位销的装配应符合下列要求：</w:t>
      </w:r>
    </w:p>
    <w:p w:rsidR="000350B0" w:rsidP="000350B0">
      <w:pPr>
        <w:numPr>
          <w:ilvl w:val="1"/>
          <w:numId w:val="35"/>
        </w:numPr>
        <w:rPr>
          <w:rFonts w:hint="eastAsia"/>
        </w:rPr>
      </w:pPr>
      <w:r>
        <w:rPr>
          <w:rFonts w:hint="eastAsia"/>
        </w:rPr>
        <w:t>定位销的型式、规格，应符合随机技术文件的规定；</w:t>
      </w:r>
    </w:p>
    <w:p w:rsidR="000350B0" w:rsidP="000350B0">
      <w:pPr>
        <w:numPr>
          <w:ilvl w:val="1"/>
          <w:numId w:val="35"/>
        </w:numPr>
        <w:rPr>
          <w:rFonts w:hint="eastAsia"/>
        </w:rPr>
      </w:pPr>
      <w:r>
        <w:rPr>
          <w:rFonts w:hint="eastAsia"/>
        </w:rPr>
        <w:t>有关联接机件及其几何精度应经调整符合要求后装销；</w:t>
      </w:r>
    </w:p>
    <w:p w:rsidR="000350B0" w:rsidP="000350B0">
      <w:pPr>
        <w:numPr>
          <w:ilvl w:val="1"/>
          <w:numId w:val="35"/>
        </w:numPr>
        <w:rPr>
          <w:rFonts w:hint="eastAsia"/>
        </w:rPr>
      </w:pPr>
      <w:r>
        <w:rPr>
          <w:rFonts w:hint="eastAsia"/>
        </w:rPr>
        <w:t>销与销孔装配前，应涂抹润滑油脂或防咬合剂；</w:t>
      </w:r>
    </w:p>
    <w:p w:rsidR="000350B0" w:rsidP="000350B0">
      <w:pPr>
        <w:numPr>
          <w:ilvl w:val="1"/>
          <w:numId w:val="35"/>
        </w:numPr>
        <w:rPr>
          <w:rFonts w:hint="eastAsia"/>
        </w:rPr>
      </w:pPr>
      <w:r>
        <w:rPr>
          <w:rFonts w:hint="eastAsia"/>
        </w:rPr>
        <w:t>装配定位销时不宜使销承受载荷，宜根据销的性质选择相应的方法装入；销孔的位置应正确；</w:t>
      </w:r>
    </w:p>
    <w:p w:rsidR="000350B0" w:rsidP="000350B0">
      <w:pPr>
        <w:numPr>
          <w:ilvl w:val="1"/>
          <w:numId w:val="35"/>
        </w:numPr>
        <w:rPr>
          <w:rFonts w:hint="eastAsia"/>
        </w:rPr>
      </w:pPr>
      <w:r>
        <w:rPr>
          <w:rFonts w:hint="eastAsia"/>
        </w:rPr>
        <w:t>圆锥定位销装配时，应与孔进行涂色检查；其接触率不应小于配合长度的60%，并应分布均匀；</w:t>
      </w:r>
    </w:p>
    <w:p w:rsidR="000350B0" w:rsidP="000350B0">
      <w:pPr>
        <w:numPr>
          <w:ilvl w:val="1"/>
          <w:numId w:val="35"/>
        </w:numPr>
        <w:rPr>
          <w:rFonts w:hint="eastAsia"/>
        </w:rPr>
      </w:pPr>
      <w:r>
        <w:rPr>
          <w:rFonts w:hint="eastAsia"/>
        </w:rPr>
        <w:t>螺尾圆锥销装入相关零件后，其大端应沉入孔内；</w:t>
      </w:r>
    </w:p>
    <w:p w:rsidR="000350B0" w:rsidP="000350B0">
      <w:pPr>
        <w:numPr>
          <w:ilvl w:val="1"/>
          <w:numId w:val="35"/>
        </w:numPr>
        <w:rPr>
          <w:rFonts w:hint="eastAsia"/>
        </w:rPr>
      </w:pPr>
      <w:r>
        <w:rPr>
          <w:rFonts w:hint="eastAsia"/>
        </w:rPr>
        <w:t>装配中发现销和销孔不符合要求时，应铰孔，并应另配新销；对配制定位精度要求高的新销，应在机械设备的几何精度符合要求或空负荷试运转合格后进行。</w:t>
      </w:r>
    </w:p>
    <w:p w:rsidR="000350B0" w:rsidP="000350B0">
      <w:pPr>
        <w:numPr>
          <w:ilvl w:val="0"/>
          <w:numId w:val="35"/>
        </w:numPr>
        <w:rPr>
          <w:rFonts w:hint="eastAsia"/>
        </w:rPr>
      </w:pPr>
      <w:r>
        <w:rPr>
          <w:rFonts w:hint="eastAsia"/>
        </w:rPr>
        <w:t>具有过盈的配合件装配，应符合下列要求：</w:t>
      </w:r>
    </w:p>
    <w:p w:rsidR="000350B0" w:rsidP="000350B0">
      <w:pPr>
        <w:numPr>
          <w:ilvl w:val="1"/>
          <w:numId w:val="35"/>
        </w:numPr>
        <w:rPr>
          <w:rFonts w:hint="eastAsia"/>
        </w:rPr>
      </w:pPr>
      <w:r>
        <w:rPr>
          <w:rFonts w:hint="eastAsia"/>
        </w:rPr>
        <w:t>装配前应测量孔和轴的配合部位尺寸及进入端的倒角角度与尺寸，并应符合随机技术文件的规定；</w:t>
      </w:r>
    </w:p>
    <w:p w:rsidR="000350B0" w:rsidP="000350B0">
      <w:pPr>
        <w:numPr>
          <w:ilvl w:val="1"/>
          <w:numId w:val="35"/>
        </w:numPr>
        <w:rPr>
          <w:rFonts w:hint="eastAsia"/>
        </w:rPr>
      </w:pPr>
      <w:r>
        <w:rPr>
          <w:rFonts w:hint="eastAsia"/>
        </w:rPr>
        <w:t>在常温下装配时，应将配合面清洗洁净，并涂一薄层不含二硫化钼添加剂的润滑油；装入时用力应均匀，不得直接打击装配件；</w:t>
      </w:r>
    </w:p>
    <w:p w:rsidR="000350B0" w:rsidP="000350B0">
      <w:pPr>
        <w:numPr>
          <w:ilvl w:val="1"/>
          <w:numId w:val="35"/>
        </w:numPr>
        <w:rPr>
          <w:rFonts w:hint="eastAsia"/>
        </w:rPr>
        <w:sectPr>
          <w:type w:val="nextPage"/>
          <w:pgSz w:w="11906" w:h="16838"/>
          <w:pgMar w:top="1440" w:right="1800" w:bottom="1440" w:left="1800" w:header="851" w:footer="992" w:gutter="0"/>
          <w:pgNumType w:start="10"/>
          <w:cols w:space="425"/>
          <w:titlePg w:val="0"/>
          <w:docGrid w:type="lines" w:linePitch="312"/>
        </w:sectPr>
      </w:pPr>
      <w:r>
        <w:rPr>
          <w:rFonts w:hint="eastAsia"/>
        </w:rPr>
        <w:t>用液压充油法装、卸配合件时，配合面的表面粗糙度应按随机技术文件的要求检查；无表面粗糙度规定时，配合面的表面粗糙度按1.6～0.8</w:t>
      </w:r>
      <w:r>
        <w:rPr>
          <w:rFonts w:hint="eastAsia"/>
        </w:rPr>
        <w:t>μ</w:t>
      </w:r>
      <w:r>
        <w:rPr>
          <w:rFonts w:hint="eastAsia"/>
        </w:rPr>
        <w:t>m检查；压力油应清洁，不得含有杂质和污物；对油沟、棱边应刮修倒圆；安装完后应用螺塞将油孔堵死；</w:t>
      </w:r>
    </w:p>
    <w:p w:rsidR="000350B0" w:rsidP="000350B0">
      <w:pPr>
        <w:numPr>
          <w:ilvl w:val="1"/>
          <w:numId w:val="10"/>
        </w:numPr>
        <w:rPr>
          <w:rFonts w:hint="eastAsia"/>
        </w:rPr>
      </w:pPr>
      <w:r>
        <w:rPr>
          <w:rFonts w:hint="eastAsia"/>
        </w:rPr>
        <w:t>横向过盈连接的装配宜采用温差法；加热包容件时，加热应均匀，不得产生局部过热；未经热处理的装配件，加热温度应小于</w:t>
      </w:r>
      <w:smartTag w:uri="urn:schemas-microsoft-com:office:smarttags" w:element="chmetcnv">
        <w:smartTagPr>
          <w:attr w:name="HasSpace" w:val="False"/>
          <w:attr w:name="Negative" w:val="False"/>
          <w:attr w:name="NumberType" w:val="1"/>
          <w:attr w:name="SourceValue" w:val="400"/>
          <w:attr w:name="TCSC" w:val="0"/>
          <w:attr w:name="UnitName" w:val="℃"/>
        </w:smartTagPr>
        <w:r>
          <w:rPr>
            <w:rFonts w:hint="eastAsia"/>
          </w:rPr>
          <w:t>400</w:t>
        </w:r>
        <w:r>
          <w:rPr>
            <w:rFonts w:hint="eastAsia"/>
          </w:rPr>
          <w:t>℃</w:t>
        </w:r>
      </w:smartTag>
      <w:r>
        <w:rPr>
          <w:rFonts w:hint="eastAsia"/>
        </w:rPr>
        <w:t>；经过热处理的装配件，加热温度应小于回火温度；</w:t>
      </w:r>
    </w:p>
    <w:p w:rsidR="000350B0" w:rsidP="000350B0">
      <w:pPr>
        <w:numPr>
          <w:ilvl w:val="1"/>
          <w:numId w:val="10"/>
        </w:numPr>
        <w:rPr>
          <w:rFonts w:hint="eastAsia"/>
        </w:rPr>
      </w:pPr>
      <w:r>
        <w:rPr>
          <w:rFonts w:hint="eastAsia"/>
        </w:rPr>
        <w:t>温差法装配时，应按随机技术文件规定，检查装配件的相互位置及相关尺寸；加热或冷却均不得使其温度变化过快，并应采取防止发生火灾及人员被灼伤或冻伤的措施。</w:t>
      </w:r>
    </w:p>
    <w:p w:rsidR="000350B0" w:rsidP="000350B0">
      <w:pPr>
        <w:numPr>
          <w:ilvl w:val="0"/>
          <w:numId w:val="10"/>
        </w:numPr>
        <w:rPr>
          <w:rFonts w:hint="eastAsia"/>
        </w:rPr>
      </w:pPr>
      <w:r>
        <w:rPr>
          <w:rFonts w:hint="eastAsia"/>
        </w:rPr>
        <w:t>胀紧联接套装配，应符合下列要求：</w:t>
      </w:r>
    </w:p>
    <w:p w:rsidR="000350B0" w:rsidP="000350B0">
      <w:pPr>
        <w:numPr>
          <w:ilvl w:val="1"/>
          <w:numId w:val="10"/>
        </w:numPr>
        <w:rPr>
          <w:rFonts w:hint="eastAsia"/>
        </w:rPr>
      </w:pPr>
      <w:r>
        <w:rPr>
          <w:rFonts w:hint="eastAsia"/>
        </w:rPr>
        <w:t>被联接件的尺寸的检验，应符合现行国家标准《光滑极限量规技术条件》GB/T1957和《光滑工件尺寸的检验》GB/T3177的有关规定；其表面应无污物、锈蚀和损伤；在清洗干净的胀紧联接套表面和被联接件的结合表面上，应均匀涂一层不含二硫化钼等添加剂的薄润滑油；</w:t>
      </w:r>
    </w:p>
    <w:p w:rsidR="000350B0" w:rsidP="000350B0">
      <w:pPr>
        <w:numPr>
          <w:ilvl w:val="1"/>
          <w:numId w:val="10"/>
        </w:numPr>
        <w:rPr>
          <w:rFonts w:hint="eastAsia"/>
        </w:rPr>
      </w:pPr>
      <w:r>
        <w:rPr>
          <w:rFonts w:hint="eastAsia"/>
        </w:rPr>
        <w:t>胀紧联接套应平滑地装入联接孔内，且应防止倾斜，胀紧联接套螺钉应用力矩扳手对称、交叉、均匀地拧紧；拧紧时应先以拧紧力矩值的1/3拧紧，再以拧紧力矩值的1/2拧紧，最后以拧紧力矩值拧紧，并应以拧紧力矩值检查全部螺钉；拧紧力矩应符合设计的规定，无规定时，可按国家现行标准《胀紧联结套型式与基本尺寸》JB/T7934--1999的有关规定确定；</w:t>
      </w:r>
    </w:p>
    <w:p w:rsidR="000350B0" w:rsidP="000350B0">
      <w:pPr>
        <w:numPr>
          <w:ilvl w:val="1"/>
          <w:numId w:val="10"/>
        </w:numPr>
        <w:rPr>
          <w:rFonts w:hint="eastAsia"/>
        </w:rPr>
        <w:sectPr>
          <w:type w:val="nextPage"/>
          <w:pgSz w:w="11906" w:h="16838"/>
          <w:pgMar w:top="1440" w:right="1800" w:bottom="1440" w:left="1800" w:header="851" w:footer="992" w:gutter="0"/>
          <w:pgNumType w:start="11"/>
          <w:cols w:space="425"/>
          <w:titlePg w:val="0"/>
          <w:docGrid w:type="lines" w:linePitch="312"/>
        </w:sectPr>
      </w:pPr>
      <w:r>
        <w:rPr>
          <w:rFonts w:hint="eastAsia"/>
        </w:rPr>
        <w:t>安装完毕后，应在胀紧联接套外露端面及螺钉头部涂上一层防锈油脂；在腐蚀介质中工作的胀紧联接套，应采用专门的防护装置。</w:t>
      </w:r>
    </w:p>
    <w:p w:rsidR="000350B0" w:rsidP="000350B0">
      <w:pPr>
        <w:pStyle w:val="Heading5"/>
        <w:rPr>
          <w:rFonts w:hint="eastAsia"/>
        </w:rPr>
      </w:pPr>
      <w:r>
        <w:rPr>
          <w:rFonts w:hint="eastAsia"/>
        </w:rPr>
        <w:t>联轴器装配</w:t>
      </w:r>
    </w:p>
    <w:p w:rsidR="000350B0" w:rsidP="000350B0">
      <w:pPr>
        <w:numPr>
          <w:ilvl w:val="0"/>
          <w:numId w:val="36"/>
        </w:numPr>
        <w:rPr>
          <w:rFonts w:hint="eastAsia"/>
        </w:rPr>
      </w:pPr>
      <w:r>
        <w:rPr>
          <w:rFonts w:hint="eastAsia"/>
        </w:rPr>
        <w:t>当测量联轴器端面问隙时，应使两轴的轴向窜动至端面间隙为最小的位置上，再测量其端面间隙值。</w:t>
      </w:r>
    </w:p>
    <w:p w:rsidR="000350B0" w:rsidP="000350B0">
      <w:pPr>
        <w:numPr>
          <w:ilvl w:val="0"/>
          <w:numId w:val="36"/>
        </w:numPr>
        <w:rPr>
          <w:rFonts w:hint="eastAsia"/>
        </w:rPr>
      </w:pPr>
      <w:r>
        <w:rPr>
          <w:rFonts w:hint="eastAsia"/>
        </w:rPr>
        <w:t>凸缘联轴器装配，应使两个半联轴器的端面紧密接触，两轴心的径向和轴向位移不应大于</w:t>
      </w:r>
      <w:smartTag w:uri="urn:schemas-microsoft-com:office:smarttags" w:element="chmetcnv">
        <w:smartTagPr>
          <w:attr w:name="HasSpace" w:val="False"/>
          <w:attr w:name="Negative" w:val="False"/>
          <w:attr w:name="NumberType" w:val="1"/>
          <w:attr w:name="SourceValue" w:val=".03"/>
          <w:attr w:name="TCSC" w:val="0"/>
          <w:attr w:name="UnitName" w:val="mm"/>
        </w:smartTagPr>
        <w:r>
          <w:rPr>
            <w:rFonts w:hint="eastAsia"/>
          </w:rPr>
          <w:t>0.03mm</w:t>
        </w:r>
      </w:smartTag>
      <w:r>
        <w:rPr>
          <w:rFonts w:hint="eastAsia"/>
        </w:rPr>
        <w:t>。</w:t>
      </w:r>
    </w:p>
    <w:p w:rsidR="000350B0" w:rsidP="000350B0">
      <w:pPr>
        <w:numPr>
          <w:ilvl w:val="0"/>
          <w:numId w:val="36"/>
        </w:numPr>
        <w:rPr>
          <w:rFonts w:hint="eastAsia"/>
        </w:rPr>
      </w:pPr>
      <w:r>
        <w:rPr>
          <w:rFonts w:hint="eastAsia"/>
        </w:rPr>
        <w:t>联轴器的内、外齿的啮合应良好，并在油浴内工作，不得有漏油现象；润滑剂宜按国家现行标准《合成锂基润滑脂》SH/T0380的规定选用；高转速时宜按现行国家标准《L-AN全损耗系统用油》GB443的有关规定选用。</w:t>
      </w:r>
    </w:p>
    <w:p w:rsidR="000350B0" w:rsidP="000350B0">
      <w:pPr>
        <w:numPr>
          <w:ilvl w:val="0"/>
          <w:numId w:val="36"/>
        </w:numPr>
        <w:rPr>
          <w:rFonts w:hint="eastAsia"/>
        </w:rPr>
      </w:pPr>
      <w:r>
        <w:rPr>
          <w:rFonts w:hint="eastAsia"/>
        </w:rPr>
        <w:t>十字轴式万向联轴器装配，应符合下列要求：</w:t>
      </w:r>
    </w:p>
    <w:p w:rsidR="000350B0" w:rsidP="000350B0">
      <w:pPr>
        <w:numPr>
          <w:ilvl w:val="1"/>
          <w:numId w:val="36"/>
        </w:numPr>
        <w:rPr>
          <w:rFonts w:hint="eastAsia"/>
        </w:rPr>
      </w:pPr>
      <w:r>
        <w:rPr>
          <w:rFonts w:hint="eastAsia"/>
        </w:rPr>
        <w:t>法兰的结合面应平整、光洁，不得有毛刺、伤痕等缺陷；</w:t>
      </w:r>
    </w:p>
    <w:p w:rsidR="000350B0" w:rsidP="000350B0">
      <w:pPr>
        <w:numPr>
          <w:ilvl w:val="1"/>
          <w:numId w:val="36"/>
        </w:numPr>
        <w:rPr>
          <w:rFonts w:hint="eastAsia"/>
        </w:rPr>
      </w:pPr>
      <w:r>
        <w:rPr>
          <w:rFonts w:hint="eastAsia"/>
        </w:rPr>
        <w:t>半圆滑块与叉头的虎口面或扁头平面的接触应均匀，接触面积应大于60%；</w:t>
      </w:r>
    </w:p>
    <w:p w:rsidR="000350B0" w:rsidP="000350B0">
      <w:pPr>
        <w:numPr>
          <w:ilvl w:val="1"/>
          <w:numId w:val="36"/>
        </w:numPr>
        <w:rPr>
          <w:rFonts w:hint="eastAsia"/>
        </w:rPr>
      </w:pPr>
      <w:r>
        <w:rPr>
          <w:rFonts w:hint="eastAsia"/>
        </w:rPr>
        <w:t>十字头的轴向间隙调整垫片，应按实测尺寸选配；轴向总间隙值应符合产品标准或随机技术文件的规定；当联轴器可逆转时，间隙应取小值；</w:t>
      </w:r>
    </w:p>
    <w:p w:rsidR="000350B0" w:rsidP="000350B0">
      <w:pPr>
        <w:numPr>
          <w:ilvl w:val="1"/>
          <w:numId w:val="36"/>
        </w:numPr>
        <w:rPr>
          <w:rFonts w:hint="eastAsia"/>
        </w:rPr>
      </w:pPr>
      <w:r>
        <w:rPr>
          <w:rFonts w:hint="eastAsia"/>
        </w:rPr>
        <w:t>花键轴叉头与花键套叉头的轴心线应位于同一平面内，其偏差不得超过1</w:t>
      </w:r>
      <w:r>
        <w:rPr>
          <w:rFonts w:hint="eastAsia"/>
        </w:rPr>
        <w:t>°</w:t>
      </w:r>
      <w:r>
        <w:rPr>
          <w:rFonts w:hint="eastAsia"/>
        </w:rPr>
        <w:t>；</w:t>
      </w:r>
    </w:p>
    <w:p w:rsidR="000350B0" w:rsidP="000350B0">
      <w:pPr>
        <w:numPr>
          <w:ilvl w:val="1"/>
          <w:numId w:val="36"/>
        </w:numPr>
        <w:rPr>
          <w:rFonts w:hint="eastAsia"/>
        </w:rPr>
      </w:pPr>
      <w:r>
        <w:rPr>
          <w:rFonts w:hint="eastAsia"/>
        </w:rPr>
        <w:t>中间轴与主、从动轴的轴线倾角应相等；中间轴两端的叉头应在同一平面内；主、从动轴与中间轴的中心线应在同一面内；联接螺栓的预紧力应符合随机技术文件的规定；</w:t>
      </w:r>
    </w:p>
    <w:p w:rsidR="000350B0" w:rsidP="000350B0">
      <w:pPr>
        <w:numPr>
          <w:ilvl w:val="1"/>
          <w:numId w:val="36"/>
        </w:numPr>
        <w:rPr>
          <w:rFonts w:hint="eastAsia"/>
        </w:rPr>
        <w:sectPr>
          <w:type w:val="nextPage"/>
          <w:pgSz w:w="11906" w:h="16838"/>
          <w:pgMar w:top="1440" w:right="1800" w:bottom="1440" w:left="1800" w:header="851" w:footer="992" w:gutter="0"/>
          <w:pgNumType w:start="12"/>
          <w:cols w:space="425"/>
          <w:titlePg w:val="0"/>
          <w:docGrid w:type="lines" w:linePitch="312"/>
        </w:sectPr>
      </w:pPr>
    </w:p>
    <w:p w:rsidR="000350B0" w:rsidP="000350B0">
      <w:pPr>
        <w:numPr>
          <w:ilvl w:val="0"/>
          <w:numId w:val="0"/>
        </w:numPr>
        <w:ind w:left="0"/>
        <w:rPr>
          <w:rFonts w:hint="eastAsia"/>
        </w:rPr>
      </w:pPr>
      <w:r>
        <w:rPr>
          <w:rFonts w:hint="eastAsia"/>
        </w:rPr>
        <w:t>万向节应转动灵活，并应无卡滞现象；联轴器组装后，花键轴应伸缩灵活，并应无卡滞现象；</w:t>
      </w:r>
    </w:p>
    <w:p w:rsidR="000350B0" w:rsidP="000350B0">
      <w:pPr>
        <w:numPr>
          <w:ilvl w:val="1"/>
          <w:numId w:val="37"/>
        </w:numPr>
        <w:rPr>
          <w:rFonts w:hint="eastAsia"/>
        </w:rPr>
      </w:pPr>
      <w:r>
        <w:rPr>
          <w:rFonts w:hint="eastAsia"/>
        </w:rPr>
        <w:t>轴承和花键组装时，涂抹用的润滑脂，宜按现行国家标准《通用锂基润滑脂》GB7324的有关规定选用；组装完成后，应从油咀充满相同润滑脂。</w:t>
      </w:r>
    </w:p>
    <w:p w:rsidR="000350B0" w:rsidP="000350B0">
      <w:pPr>
        <w:numPr>
          <w:ilvl w:val="0"/>
          <w:numId w:val="37"/>
        </w:numPr>
        <w:rPr>
          <w:rFonts w:hint="eastAsia"/>
        </w:rPr>
      </w:pPr>
      <w:r>
        <w:rPr>
          <w:rFonts w:hint="eastAsia"/>
        </w:rPr>
        <w:t>联轴器安装后，应注入润滑脂或润滑泊，润滑脂应符合现行国家标准《通用锂基润滑脂》GB7324的有关规定，润滑油应符合现行国家标准《L-AN全损耗系统用油》GB443的有关规定。</w:t>
      </w:r>
    </w:p>
    <w:p w:rsidR="000350B0" w:rsidP="000350B0">
      <w:pPr>
        <w:numPr>
          <w:ilvl w:val="0"/>
          <w:numId w:val="37"/>
        </w:numPr>
        <w:rPr>
          <w:rFonts w:hint="eastAsia"/>
        </w:rPr>
      </w:pPr>
      <w:r>
        <w:rPr>
          <w:rFonts w:hint="eastAsia"/>
        </w:rPr>
        <w:t>膜片联轴器装配应符合下列要求：</w:t>
      </w:r>
    </w:p>
    <w:p w:rsidR="000350B0" w:rsidP="000350B0">
      <w:pPr>
        <w:numPr>
          <w:ilvl w:val="1"/>
          <w:numId w:val="37"/>
        </w:numPr>
        <w:rPr>
          <w:rFonts w:hint="eastAsia"/>
        </w:rPr>
      </w:pPr>
      <w:r>
        <w:rPr>
          <w:rFonts w:hint="eastAsia"/>
        </w:rPr>
        <w:t>膜片表面应光滑、平整，并应无裂纹等缺陷，半联轴器及中间轴应无裂纹、缩孔、气泡、夹渣等缺陷；</w:t>
      </w:r>
    </w:p>
    <w:p w:rsidR="000350B0" w:rsidP="000350B0">
      <w:pPr>
        <w:numPr>
          <w:ilvl w:val="1"/>
          <w:numId w:val="37"/>
        </w:numPr>
        <w:rPr>
          <w:rFonts w:hint="eastAsia"/>
        </w:rPr>
      </w:pPr>
      <w:r>
        <w:rPr>
          <w:rFonts w:hint="eastAsia"/>
        </w:rPr>
        <w:t>膜片联轴器的允许偏差应符合随机技术文件的规定。</w:t>
      </w:r>
    </w:p>
    <w:p w:rsidR="000350B0" w:rsidP="000350B0">
      <w:pPr>
        <w:numPr>
          <w:ilvl w:val="0"/>
          <w:numId w:val="37"/>
        </w:numPr>
        <w:rPr>
          <w:rFonts w:hint="eastAsia"/>
        </w:rPr>
      </w:pPr>
      <w:r>
        <w:rPr>
          <w:rFonts w:hint="eastAsia"/>
        </w:rPr>
        <w:t>轮胎式联轴器装配，应符合下列要求：</w:t>
      </w:r>
    </w:p>
    <w:p w:rsidR="000350B0" w:rsidP="000350B0">
      <w:pPr>
        <w:numPr>
          <w:ilvl w:val="1"/>
          <w:numId w:val="37"/>
        </w:numPr>
        <w:rPr>
          <w:rFonts w:hint="eastAsia"/>
        </w:rPr>
      </w:pPr>
      <w:r>
        <w:rPr>
          <w:rFonts w:hint="eastAsia"/>
        </w:rPr>
        <w:t>轮胎表面应无凹陷、裂纹、轮胎环与骨架脱粘现象，半联轴器表面应无裂纹、夹渣等缺陷；</w:t>
      </w:r>
    </w:p>
    <w:p w:rsidR="000350B0" w:rsidP="000350B0">
      <w:pPr>
        <w:numPr>
          <w:ilvl w:val="1"/>
          <w:numId w:val="37"/>
        </w:numPr>
        <w:rPr>
          <w:rFonts w:hint="eastAsia"/>
        </w:rPr>
      </w:pPr>
      <w:r>
        <w:rPr>
          <w:rFonts w:hint="eastAsia"/>
        </w:rPr>
        <w:t>组装前应将各个零件清洗洁净；壳体内表面、转子及钢砂均不得有油污；</w:t>
      </w:r>
    </w:p>
    <w:p w:rsidR="000350B0" w:rsidP="000350B0">
      <w:pPr>
        <w:numPr>
          <w:ilvl w:val="1"/>
          <w:numId w:val="37"/>
        </w:numPr>
        <w:rPr>
          <w:rFonts w:hint="eastAsia"/>
        </w:rPr>
      </w:pPr>
      <w:r>
        <w:rPr>
          <w:rFonts w:hint="eastAsia"/>
        </w:rPr>
        <w:t>轴承应用汽油清洗洁净，润滑脂的充入数量不应多于轴承空间的1/2；</w:t>
      </w:r>
    </w:p>
    <w:p w:rsidR="000350B0" w:rsidP="000350B0">
      <w:pPr>
        <w:numPr>
          <w:ilvl w:val="1"/>
          <w:numId w:val="37"/>
        </w:numPr>
        <w:rPr>
          <w:rFonts w:hint="eastAsia"/>
        </w:rPr>
      </w:pPr>
      <w:r>
        <w:rPr>
          <w:rFonts w:hint="eastAsia"/>
        </w:rPr>
        <w:t>V带轮钢砂式安全联轴器装配的允许偏差，应符合表</w:t>
      </w:r>
      <w:smartTag w:uri="urn:schemas-microsoft-com:office:smarttags" w:element="chsdate">
        <w:smartTagPr>
          <w:attr w:name="Day" w:val="30"/>
          <w:attr w:name="IsLunarDate" w:val="False"/>
          <w:attr w:name="IsROCDate" w:val="False"/>
          <w:attr w:name="Month" w:val="12"/>
          <w:attr w:name="Year" w:val="1899"/>
        </w:smartTagPr>
        <w:r>
          <w:rPr>
            <w:rFonts w:hint="eastAsia"/>
          </w:rPr>
          <w:t>5.3.15</w:t>
        </w:r>
      </w:smartTag>
      <w:r>
        <w:rPr>
          <w:rFonts w:hint="eastAsia"/>
        </w:rPr>
        <w:t>的规定；</w:t>
      </w:r>
    </w:p>
    <w:p w:rsidR="000350B0" w:rsidP="000350B0">
      <w:pPr>
        <w:numPr>
          <w:ilvl w:val="1"/>
          <w:numId w:val="37"/>
        </w:numPr>
        <w:rPr>
          <w:rFonts w:hint="eastAsia"/>
        </w:rPr>
        <w:sectPr>
          <w:type w:val="nextPage"/>
          <w:pgSz w:w="11906" w:h="16838"/>
          <w:pgMar w:top="1440" w:right="1800" w:bottom="1440" w:left="1800" w:header="851" w:footer="992" w:gutter="0"/>
          <w:pgNumType w:start="13"/>
          <w:cols w:space="425"/>
          <w:titlePg w:val="0"/>
          <w:docGrid w:type="lines" w:linePitch="312"/>
        </w:sectPr>
      </w:pPr>
      <w:r>
        <w:rPr>
          <w:rFonts w:hint="eastAsia"/>
        </w:rPr>
        <w:t>钢砂的填充量应按传递的转矩确定；有过载保护要求时，应按过载极限转矩计算钢砂量；</w:t>
      </w:r>
    </w:p>
    <w:p w:rsidR="000350B0" w:rsidP="000350B0">
      <w:pPr>
        <w:numPr>
          <w:ilvl w:val="1"/>
          <w:numId w:val="11"/>
        </w:numPr>
        <w:rPr>
          <w:rFonts w:hint="eastAsia"/>
        </w:rPr>
      </w:pPr>
      <w:r>
        <w:rPr>
          <w:rFonts w:hint="eastAsia"/>
        </w:rPr>
        <w:t>组装后，转子与壳体应转动灵活，不应有阻滞和卡死现象。</w:t>
      </w:r>
    </w:p>
    <w:p w:rsidR="000350B0" w:rsidP="000350B0">
      <w:pPr>
        <w:pStyle w:val="Heading5"/>
        <w:rPr>
          <w:rFonts w:hint="eastAsia"/>
        </w:rPr>
      </w:pPr>
      <w:r>
        <w:rPr>
          <w:rFonts w:hint="eastAsia"/>
        </w:rPr>
        <w:t>离合器、制动器装配</w:t>
      </w:r>
    </w:p>
    <w:p w:rsidR="000350B0" w:rsidP="000350B0">
      <w:pPr>
        <w:numPr>
          <w:ilvl w:val="0"/>
          <w:numId w:val="12"/>
        </w:numPr>
        <w:rPr>
          <w:rFonts w:hint="eastAsia"/>
        </w:rPr>
      </w:pPr>
      <w:r>
        <w:rPr>
          <w:rFonts w:hint="eastAsia"/>
        </w:rPr>
        <w:t>湿式多片摩擦离合器装配，应符合下列要求：</w:t>
      </w:r>
    </w:p>
    <w:p w:rsidR="000350B0" w:rsidP="000350B0">
      <w:pPr>
        <w:numPr>
          <w:ilvl w:val="1"/>
          <w:numId w:val="12"/>
        </w:numPr>
        <w:rPr>
          <w:rFonts w:hint="eastAsia"/>
        </w:rPr>
      </w:pPr>
      <w:r>
        <w:rPr>
          <w:rFonts w:hint="eastAsia"/>
        </w:rPr>
        <w:t>摩擦片应能灵活地沿花键轴移动；</w:t>
      </w:r>
    </w:p>
    <w:p w:rsidR="000350B0" w:rsidP="000350B0">
      <w:pPr>
        <w:numPr>
          <w:ilvl w:val="1"/>
          <w:numId w:val="12"/>
        </w:numPr>
        <w:rPr>
          <w:rFonts w:hint="eastAsia"/>
        </w:rPr>
      </w:pPr>
      <w:r>
        <w:rPr>
          <w:rFonts w:hint="eastAsia"/>
        </w:rPr>
        <w:t>在接合位置扭力超过规定时，应有打滑现象；</w:t>
      </w:r>
    </w:p>
    <w:p w:rsidR="000350B0" w:rsidP="000350B0">
      <w:pPr>
        <w:numPr>
          <w:ilvl w:val="1"/>
          <w:numId w:val="12"/>
        </w:numPr>
        <w:rPr>
          <w:rFonts w:hint="eastAsia"/>
        </w:rPr>
      </w:pPr>
      <w:r>
        <w:rPr>
          <w:rFonts w:hint="eastAsia"/>
        </w:rPr>
        <w:t>在脱开位置时，主动与从动部分应能彻底分离，不应有阻滞现象；</w:t>
      </w:r>
    </w:p>
    <w:p w:rsidR="000350B0" w:rsidP="000350B0">
      <w:pPr>
        <w:numPr>
          <w:ilvl w:val="1"/>
          <w:numId w:val="12"/>
        </w:numPr>
        <w:rPr>
          <w:rFonts w:hint="eastAsia"/>
        </w:rPr>
      </w:pPr>
      <w:r>
        <w:rPr>
          <w:rFonts w:hint="eastAsia"/>
        </w:rPr>
        <w:t>离合器的摩擦盘接触面积，不应小于总摩擦面积的75%；</w:t>
      </w:r>
    </w:p>
    <w:p w:rsidR="000350B0" w:rsidP="000350B0">
      <w:pPr>
        <w:numPr>
          <w:ilvl w:val="1"/>
          <w:numId w:val="12"/>
        </w:numPr>
        <w:rPr>
          <w:rFonts w:hint="eastAsia"/>
        </w:rPr>
      </w:pPr>
      <w:r>
        <w:rPr>
          <w:rFonts w:hint="eastAsia"/>
        </w:rPr>
        <w:t>离合器润滑油的黏度，应符合随机技术文件的规定。</w:t>
      </w:r>
    </w:p>
    <w:p w:rsidR="000350B0" w:rsidP="000350B0">
      <w:pPr>
        <w:numPr>
          <w:ilvl w:val="0"/>
          <w:numId w:val="12"/>
        </w:numPr>
        <w:rPr>
          <w:rFonts w:hint="eastAsia"/>
        </w:rPr>
      </w:pPr>
      <w:r>
        <w:rPr>
          <w:rFonts w:hint="eastAsia"/>
        </w:rPr>
        <w:t>干式单片摩擦离合器装配，应符合下列要求：</w:t>
      </w:r>
    </w:p>
    <w:p w:rsidR="000350B0" w:rsidP="000350B0">
      <w:pPr>
        <w:numPr>
          <w:ilvl w:val="1"/>
          <w:numId w:val="12"/>
        </w:numPr>
        <w:rPr>
          <w:rFonts w:hint="eastAsia"/>
        </w:rPr>
      </w:pPr>
      <w:r>
        <w:rPr>
          <w:rFonts w:hint="eastAsia"/>
        </w:rPr>
        <w:t>各弹簧的弹力应均匀一致；</w:t>
      </w:r>
    </w:p>
    <w:p w:rsidR="000350B0" w:rsidP="000350B0">
      <w:pPr>
        <w:numPr>
          <w:ilvl w:val="1"/>
          <w:numId w:val="12"/>
        </w:numPr>
        <w:rPr>
          <w:rFonts w:hint="eastAsia"/>
        </w:rPr>
      </w:pPr>
      <w:r>
        <w:rPr>
          <w:rFonts w:hint="eastAsia"/>
        </w:rPr>
        <w:t>各联接销轴部分应灵活，应无卡住现象；</w:t>
      </w:r>
    </w:p>
    <w:p w:rsidR="000350B0" w:rsidP="000350B0">
      <w:pPr>
        <w:numPr>
          <w:ilvl w:val="1"/>
          <w:numId w:val="12"/>
        </w:numPr>
        <w:rPr>
          <w:rFonts w:hint="eastAsia"/>
        </w:rPr>
      </w:pPr>
      <w:r>
        <w:rPr>
          <w:rFonts w:hint="eastAsia"/>
        </w:rPr>
        <w:t>摩擦片的联接铆钉头，应低于表面</w:t>
      </w:r>
      <w:smartTag w:uri="urn:schemas-microsoft-com:office:smarttags" w:element="chmetcnv">
        <w:smartTagPr>
          <w:attr w:name="HasSpace" w:val="False"/>
          <w:attr w:name="Negative" w:val="False"/>
          <w:attr w:name="NumberType" w:val="1"/>
          <w:attr w:name="SourceValue" w:val="1"/>
          <w:attr w:name="TCSC" w:val="0"/>
          <w:attr w:name="UnitName" w:val="mm"/>
        </w:smartTagPr>
        <w:r>
          <w:rPr>
            <w:rFonts w:hint="eastAsia"/>
          </w:rPr>
          <w:t>1mm</w:t>
        </w:r>
      </w:smartTag>
      <w:r>
        <w:rPr>
          <w:rFonts w:hint="eastAsia"/>
        </w:rPr>
        <w:t>；</w:t>
      </w:r>
    </w:p>
    <w:p w:rsidR="000350B0" w:rsidP="000350B0">
      <w:pPr>
        <w:numPr>
          <w:ilvl w:val="1"/>
          <w:numId w:val="12"/>
        </w:numPr>
        <w:rPr>
          <w:rFonts w:hint="eastAsia"/>
        </w:rPr>
      </w:pPr>
      <w:r>
        <w:rPr>
          <w:rFonts w:hint="eastAsia"/>
        </w:rPr>
        <w:t>摩擦片必须干燥、清洁，工作面不应沾上油污和杂物；</w:t>
      </w:r>
    </w:p>
    <w:p w:rsidR="000350B0" w:rsidP="000350B0">
      <w:pPr>
        <w:numPr>
          <w:ilvl w:val="1"/>
          <w:numId w:val="12"/>
        </w:numPr>
        <w:rPr>
          <w:rFonts w:hint="eastAsia"/>
        </w:rPr>
      </w:pPr>
      <w:r>
        <w:rPr>
          <w:rFonts w:hint="eastAsia"/>
        </w:rPr>
        <w:t>离合器的摩擦盘的接触面积，不应小于总摩擦面积的75%。</w:t>
      </w:r>
    </w:p>
    <w:p w:rsidR="000350B0" w:rsidP="000350B0">
      <w:pPr>
        <w:numPr>
          <w:ilvl w:val="0"/>
          <w:numId w:val="12"/>
        </w:numPr>
        <w:rPr>
          <w:rFonts w:hint="eastAsia"/>
        </w:rPr>
      </w:pPr>
      <w:r>
        <w:rPr>
          <w:rFonts w:hint="eastAsia"/>
        </w:rPr>
        <w:t>圆锥离合器的内外锥面应接触均匀，其接触面积不应小于85%；离合动作应平稳、准确和可靠。</w:t>
      </w:r>
    </w:p>
    <w:p w:rsidR="000350B0" w:rsidP="000350B0">
      <w:pPr>
        <w:numPr>
          <w:ilvl w:val="0"/>
          <w:numId w:val="12"/>
        </w:numPr>
        <w:rPr>
          <w:rFonts w:hint="eastAsia"/>
        </w:rPr>
      </w:pPr>
      <w:r>
        <w:rPr>
          <w:rFonts w:hint="eastAsia"/>
        </w:rPr>
        <w:t>牙嵌式离合器装配，应符合下列要求：</w:t>
      </w:r>
    </w:p>
    <w:p w:rsidR="000350B0" w:rsidP="000350B0">
      <w:pPr>
        <w:numPr>
          <w:ilvl w:val="1"/>
          <w:numId w:val="12"/>
        </w:numPr>
        <w:rPr>
          <w:rFonts w:hint="eastAsia"/>
        </w:rPr>
      </w:pPr>
      <w:r>
        <w:rPr>
          <w:rFonts w:hint="eastAsia"/>
        </w:rPr>
        <w:t>嵌齿应无毛刺，并应清洗洁净；</w:t>
      </w:r>
    </w:p>
    <w:p w:rsidR="000350B0" w:rsidP="000350B0">
      <w:pPr>
        <w:numPr>
          <w:ilvl w:val="1"/>
          <w:numId w:val="12"/>
        </w:numPr>
        <w:rPr>
          <w:rFonts w:hint="eastAsia"/>
        </w:rPr>
      </w:pPr>
      <w:r>
        <w:rPr>
          <w:rFonts w:hint="eastAsia"/>
        </w:rPr>
        <w:t>离、合动作应准确可靠。</w:t>
      </w:r>
    </w:p>
    <w:p w:rsidR="000350B0" w:rsidP="000350B0">
      <w:pPr>
        <w:numPr>
          <w:ilvl w:val="0"/>
          <w:numId w:val="12"/>
        </w:numPr>
        <w:rPr>
          <w:rFonts w:hint="eastAsia"/>
        </w:rPr>
        <w:sectPr>
          <w:type w:val="nextPage"/>
          <w:pgSz w:w="11906" w:h="16838"/>
          <w:pgMar w:top="1440" w:right="1800" w:bottom="1440" w:left="1800" w:header="851" w:footer="992" w:gutter="0"/>
          <w:pgNumType w:start="14"/>
          <w:cols w:space="425"/>
          <w:titlePg w:val="0"/>
          <w:docGrid w:type="lines" w:linePitch="312"/>
        </w:sectPr>
      </w:pPr>
      <w:r>
        <w:rPr>
          <w:rFonts w:hint="eastAsia"/>
        </w:rPr>
        <w:t>超越离合器装配，应符合下列要求：</w:t>
      </w:r>
    </w:p>
    <w:p w:rsidR="000350B0" w:rsidP="000350B0">
      <w:pPr>
        <w:numPr>
          <w:ilvl w:val="1"/>
          <w:numId w:val="12"/>
        </w:numPr>
        <w:rPr>
          <w:rFonts w:hint="eastAsia"/>
        </w:rPr>
      </w:pPr>
      <w:r>
        <w:rPr>
          <w:rFonts w:hint="eastAsia"/>
        </w:rPr>
        <w:t>内外环表面应光滑，并应无毛刺，其各调整弹簧的弹力应均匀一致；</w:t>
      </w:r>
    </w:p>
    <w:p w:rsidR="000350B0" w:rsidP="000350B0">
      <w:pPr>
        <w:numPr>
          <w:ilvl w:val="1"/>
          <w:numId w:val="12"/>
        </w:numPr>
        <w:rPr>
          <w:rFonts w:hint="eastAsia"/>
        </w:rPr>
      </w:pPr>
      <w:r>
        <w:rPr>
          <w:rFonts w:hint="eastAsia"/>
        </w:rPr>
        <w:t>弹簧滑销应能在孔内自由滑动，不应有卡住现象；</w:t>
      </w:r>
    </w:p>
    <w:p w:rsidR="000350B0" w:rsidP="000350B0">
      <w:pPr>
        <w:numPr>
          <w:ilvl w:val="1"/>
          <w:numId w:val="12"/>
        </w:numPr>
        <w:rPr>
          <w:rFonts w:hint="eastAsia"/>
        </w:rPr>
      </w:pPr>
      <w:r>
        <w:rPr>
          <w:rFonts w:hint="eastAsia"/>
        </w:rPr>
        <w:t>离合器的安装方向与主机要求的旋转方向应一致；</w:t>
      </w:r>
    </w:p>
    <w:p w:rsidR="000350B0" w:rsidP="000350B0">
      <w:pPr>
        <w:numPr>
          <w:ilvl w:val="1"/>
          <w:numId w:val="12"/>
        </w:numPr>
        <w:rPr>
          <w:rFonts w:hint="eastAsia"/>
        </w:rPr>
      </w:pPr>
      <w:r>
        <w:rPr>
          <w:rFonts w:hint="eastAsia"/>
        </w:rPr>
        <w:t>楔块的装配方向应正确无误；</w:t>
      </w:r>
    </w:p>
    <w:p w:rsidR="000350B0" w:rsidP="000350B0">
      <w:pPr>
        <w:numPr>
          <w:ilvl w:val="1"/>
          <w:numId w:val="12"/>
        </w:numPr>
        <w:rPr>
          <w:rFonts w:hint="eastAsia"/>
        </w:rPr>
      </w:pPr>
      <w:r>
        <w:rPr>
          <w:rFonts w:hint="eastAsia"/>
        </w:rPr>
        <w:t>主、从动相对运动速度变化时，其离合动作应平稳，准确和可靠。</w:t>
      </w:r>
    </w:p>
    <w:p w:rsidR="000350B0" w:rsidP="000350B0">
      <w:pPr>
        <w:numPr>
          <w:ilvl w:val="0"/>
          <w:numId w:val="12"/>
        </w:numPr>
        <w:rPr>
          <w:rFonts w:hint="eastAsia"/>
        </w:rPr>
      </w:pPr>
      <w:r>
        <w:rPr>
          <w:rFonts w:hint="eastAsia"/>
        </w:rPr>
        <w:t>磁粉离合器的固定螺钉应联接牢固，应无松动现象；装配后主、从动转子与固定支撑部分之间应转动灵活、无卡滞现象及碰擦杂音，轴向位移应符合随机技术文件的规定。</w:t>
      </w:r>
    </w:p>
    <w:p w:rsidR="000350B0" w:rsidP="000350B0">
      <w:pPr>
        <w:numPr>
          <w:ilvl w:val="0"/>
          <w:numId w:val="12"/>
        </w:numPr>
        <w:rPr>
          <w:rFonts w:hint="eastAsia"/>
        </w:rPr>
      </w:pPr>
      <w:r>
        <w:rPr>
          <w:rFonts w:hint="eastAsia"/>
        </w:rPr>
        <w:t>盘式制动器装配，应符合下列要求：</w:t>
      </w:r>
    </w:p>
    <w:p w:rsidR="000350B0" w:rsidP="000350B0">
      <w:pPr>
        <w:numPr>
          <w:ilvl w:val="1"/>
          <w:numId w:val="12"/>
        </w:numPr>
        <w:rPr>
          <w:rFonts w:hint="eastAsia"/>
        </w:rPr>
      </w:pPr>
      <w:r>
        <w:rPr>
          <w:rFonts w:hint="eastAsia"/>
        </w:rPr>
        <w:t>制动盘的端面跳动，不应大于</w:t>
      </w:r>
      <w:smartTag w:uri="urn:schemas-microsoft-com:office:smarttags" w:element="chmetcnv">
        <w:smartTagPr>
          <w:attr w:name="HasSpace" w:val="False"/>
          <w:attr w:name="Negative" w:val="False"/>
          <w:attr w:name="NumberType" w:val="1"/>
          <w:attr w:name="SourceValue" w:val=".5"/>
          <w:attr w:name="TCSC" w:val="0"/>
          <w:attr w:name="UnitName" w:val="mm"/>
        </w:smartTagPr>
        <w:r>
          <w:rPr>
            <w:rFonts w:hint="eastAsia"/>
          </w:rPr>
          <w:t>0.5mm</w:t>
        </w:r>
      </w:smartTag>
      <w:r>
        <w:rPr>
          <w:rFonts w:hint="eastAsia"/>
        </w:rPr>
        <w:t>；</w:t>
      </w:r>
    </w:p>
    <w:p w:rsidR="000350B0" w:rsidP="000350B0">
      <w:pPr>
        <w:numPr>
          <w:ilvl w:val="1"/>
          <w:numId w:val="12"/>
        </w:numPr>
        <w:rPr>
          <w:rFonts w:hint="eastAsia"/>
        </w:rPr>
      </w:pPr>
      <w:r>
        <w:rPr>
          <w:rFonts w:hint="eastAsia"/>
        </w:rPr>
        <w:t>同一副制动器两闸瓦工作面的平行度偏差，不应大于</w:t>
      </w:r>
      <w:smartTag w:uri="urn:schemas-microsoft-com:office:smarttags" w:element="chmetcnv">
        <w:smartTagPr>
          <w:attr w:name="HasSpace" w:val="False"/>
          <w:attr w:name="Negative" w:val="False"/>
          <w:attr w:name="NumberType" w:val="1"/>
          <w:attr w:name="SourceValue" w:val=".5"/>
          <w:attr w:name="TCSC" w:val="0"/>
          <w:attr w:name="UnitName" w:val="mm"/>
        </w:smartTagPr>
        <w:r>
          <w:rPr>
            <w:rFonts w:hint="eastAsia"/>
          </w:rPr>
          <w:t>0.5mm</w:t>
        </w:r>
      </w:smartTag>
      <w:r>
        <w:rPr>
          <w:rFonts w:hint="eastAsia"/>
        </w:rPr>
        <w:t>：</w:t>
      </w:r>
    </w:p>
    <w:p w:rsidR="000350B0" w:rsidP="000350B0">
      <w:pPr>
        <w:numPr>
          <w:ilvl w:val="1"/>
          <w:numId w:val="12"/>
        </w:numPr>
        <w:rPr>
          <w:rFonts w:hint="eastAsia"/>
        </w:rPr>
      </w:pPr>
      <w:r>
        <w:rPr>
          <w:rFonts w:hint="eastAsia"/>
        </w:rPr>
        <w:t>同一副制动器的支架端面与制动盘中心平面间距的允许偏差为</w:t>
      </w:r>
      <w:r>
        <w:rPr>
          <w:rFonts w:hint="eastAsia"/>
        </w:rPr>
        <w:t>±</w:t>
      </w:r>
      <w:smartTag w:uri="urn:schemas-microsoft-com:office:smarttags" w:element="chmetcnv">
        <w:smartTagPr>
          <w:attr w:name="HasSpace" w:val="False"/>
          <w:attr w:name="Negative" w:val="False"/>
          <w:attr w:name="NumberType" w:val="1"/>
          <w:attr w:name="SourceValue" w:val=".5"/>
          <w:attr w:name="TCSC" w:val="0"/>
          <w:attr w:name="UnitName" w:val="mm"/>
        </w:smartTagPr>
        <w:r>
          <w:rPr>
            <w:rFonts w:hint="eastAsia"/>
          </w:rPr>
          <w:t>0.5mm</w:t>
        </w:r>
      </w:smartTag>
      <w:r>
        <w:rPr>
          <w:rFonts w:hint="eastAsia"/>
        </w:rPr>
        <w:t>；制动器支架端面与制动盘中心平面的平行度偏差，不应大于</w:t>
      </w:r>
      <w:smartTag w:uri="urn:schemas-microsoft-com:office:smarttags" w:element="chmetcnv">
        <w:smartTagPr>
          <w:attr w:name="HasSpace" w:val="False"/>
          <w:attr w:name="Negative" w:val="False"/>
          <w:attr w:name="NumberType" w:val="1"/>
          <w:attr w:name="SourceValue" w:val=".2"/>
          <w:attr w:name="TCSC" w:val="0"/>
          <w:attr w:name="UnitName" w:val="mm"/>
        </w:smartTagPr>
        <w:r>
          <w:rPr>
            <w:rFonts w:hint="eastAsia"/>
          </w:rPr>
          <w:t>0.2mm</w:t>
        </w:r>
      </w:smartTag>
      <w:r>
        <w:rPr>
          <w:rFonts w:hint="eastAsia"/>
        </w:rPr>
        <w:t>；</w:t>
      </w:r>
    </w:p>
    <w:p w:rsidR="000350B0" w:rsidP="000350B0">
      <w:pPr>
        <w:numPr>
          <w:ilvl w:val="1"/>
          <w:numId w:val="12"/>
        </w:numPr>
        <w:rPr>
          <w:rFonts w:hint="eastAsia"/>
        </w:rPr>
      </w:pPr>
      <w:r>
        <w:rPr>
          <w:rFonts w:hint="eastAsia"/>
        </w:rPr>
        <w:t>闸瓦与制动盘的间隙应均匀，其偏差宜为</w:t>
      </w:r>
      <w:smartTag w:uri="urn:schemas-microsoft-com:office:smarttags" w:element="chmetcnv">
        <w:smartTagPr>
          <w:attr w:name="HasSpace" w:val="False"/>
          <w:attr w:name="Negative" w:val="False"/>
          <w:attr w:name="NumberType" w:val="1"/>
          <w:attr w:name="SourceValue" w:val="1"/>
          <w:attr w:name="TCSC" w:val="0"/>
          <w:attr w:name="UnitName" w:val="mm"/>
        </w:smartTagPr>
        <w:r>
          <w:rPr>
            <w:rFonts w:hint="eastAsia"/>
          </w:rPr>
          <w:t>1mm</w:t>
        </w:r>
      </w:smartTag>
      <w:r>
        <w:rPr>
          <w:rFonts w:hint="eastAsia"/>
        </w:rPr>
        <w:t>；</w:t>
      </w:r>
    </w:p>
    <w:p w:rsidR="000350B0" w:rsidP="000350B0">
      <w:pPr>
        <w:numPr>
          <w:ilvl w:val="1"/>
          <w:numId w:val="12"/>
        </w:numPr>
        <w:rPr>
          <w:rFonts w:hint="eastAsia"/>
        </w:rPr>
      </w:pPr>
      <w:r>
        <w:rPr>
          <w:rFonts w:hint="eastAsia"/>
        </w:rPr>
        <w:t>各制动器制动缸的对称中心与主轴轴心在铅垂面内的位置度偏差，不应大于</w:t>
      </w:r>
      <w:smartTag w:uri="urn:schemas-microsoft-com:office:smarttags" w:element="chmetcnv">
        <w:smartTagPr>
          <w:attr w:name="HasSpace" w:val="False"/>
          <w:attr w:name="Negative" w:val="False"/>
          <w:attr w:name="NumberType" w:val="1"/>
          <w:attr w:name="SourceValue" w:val="3"/>
          <w:attr w:name="TCSC" w:val="0"/>
          <w:attr w:name="UnitName" w:val="mm"/>
        </w:smartTagPr>
        <w:r>
          <w:rPr>
            <w:rFonts w:hint="eastAsia"/>
          </w:rPr>
          <w:t>3mm</w:t>
        </w:r>
      </w:smartTag>
      <w:r>
        <w:rPr>
          <w:rFonts w:hint="eastAsia"/>
        </w:rPr>
        <w:t>；</w:t>
      </w:r>
    </w:p>
    <w:p w:rsidR="000350B0" w:rsidP="000350B0">
      <w:pPr>
        <w:numPr>
          <w:ilvl w:val="1"/>
          <w:numId w:val="12"/>
        </w:numPr>
        <w:rPr>
          <w:rFonts w:hint="eastAsia"/>
        </w:rPr>
      </w:pPr>
      <w:r>
        <w:rPr>
          <w:rFonts w:hint="eastAsia"/>
        </w:rPr>
        <w:t>制动器在制动时，每个制动衬垫与制动盘工作面的接触面积，不应小于有效摩擦面积的60%；</w:t>
      </w:r>
    </w:p>
    <w:p w:rsidR="000350B0" w:rsidP="000350B0">
      <w:pPr>
        <w:numPr>
          <w:ilvl w:val="1"/>
          <w:numId w:val="12"/>
        </w:numPr>
        <w:rPr>
          <w:rFonts w:hint="eastAsia"/>
        </w:rPr>
      </w:pPr>
      <w:r>
        <w:rPr>
          <w:rFonts w:hint="eastAsia"/>
        </w:rPr>
        <w:br/>
      </w:r>
      <w:r>
        <w:rPr>
          <w:rFonts w:hint="eastAsia"/>
        </w:rPr>
        <w:br/>
      </w:r>
    </w:p>
    <w:p>
      <w:pPr>
        <w:widowControl/>
        <w:spacing w:line="240" w:lineRule="auto"/>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https://d.book118.com/555224220003011123</w:t>
        </w:r>
      </w:hyperlink>
    </w:p>
    <w:p w:rsidR="000350B0" w:rsidP="000350B0">
      <w:pPr>
        <w:numPr>
          <w:ilvl w:val="1"/>
          <w:numId w:val="12"/>
        </w:numPr>
        <w:rPr>
          <w:rFonts w:hint="eastAsia"/>
        </w:rPr>
      </w:pPr>
    </w:p>
    <w:sectPr>
      <w:type w:val="nextPage"/>
      <w:pgSz w:w="11906" w:h="16838"/>
      <w:pgMar w:top="1440" w:right="1800" w:bottom="1440" w:left="1800" w:header="851" w:footer="992" w:gutter="0"/>
      <w:pgNumType w:start="15"/>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3459D"/>
    <w:multiLevelType w:val="multilevel"/>
    <w:tmpl w:val="644ADB3A"/>
    <w:numStyleLink w:val="1"/>
  </w:abstractNum>
  <w:abstractNum w:abstractNumId="1">
    <w:nsid w:val="068708E8"/>
    <w:multiLevelType w:val="multilevel"/>
    <w:tmpl w:val="644ADB3A"/>
    <w:numStyleLink w:val="1"/>
  </w:abstractNum>
  <w:abstractNum w:abstractNumId="2">
    <w:nsid w:val="078A3CED"/>
    <w:multiLevelType w:val="multilevel"/>
    <w:tmpl w:val="644ADB3A"/>
    <w:numStyleLink w:val="14"/>
  </w:abstractNum>
  <w:abstractNum w:abstractNumId="3">
    <w:nsid w:val="0E7F3FBE"/>
    <w:multiLevelType w:val="multilevel"/>
    <w:tmpl w:val="644ADB3A"/>
    <w:numStyleLink w:val="1"/>
  </w:abstractNum>
  <w:abstractNum w:abstractNumId="4">
    <w:nsid w:val="10FE0E8F"/>
    <w:multiLevelType w:val="multilevel"/>
    <w:tmpl w:val="644ADB3A"/>
    <w:numStyleLink w:val="1"/>
  </w:abstractNum>
  <w:abstractNum w:abstractNumId="5">
    <w:nsid w:val="12FF01BC"/>
    <w:multiLevelType w:val="multilevel"/>
    <w:tmpl w:val="644ADB3A"/>
    <w:numStyleLink w:val="1"/>
  </w:abstractNum>
  <w:abstractNum w:abstractNumId="6">
    <w:nsid w:val="187612AE"/>
    <w:multiLevelType w:val="multilevel"/>
    <w:tmpl w:val="644ADB3A"/>
    <w:numStyleLink w:val="1"/>
  </w:abstractNum>
  <w:abstractNum w:abstractNumId="7">
    <w:nsid w:val="1D5F05D5"/>
    <w:multiLevelType w:val="multilevel"/>
    <w:tmpl w:val="644ADB3A"/>
    <w:numStyleLink w:val="1"/>
  </w:abstractNum>
  <w:abstractNum w:abstractNumId="8">
    <w:nsid w:val="20D67AAF"/>
    <w:multiLevelType w:val="multilevel"/>
    <w:tmpl w:val="644ADB3A"/>
    <w:numStyleLink w:val="1"/>
  </w:abstractNum>
  <w:abstractNum w:abstractNumId="9">
    <w:nsid w:val="23EB1F5A"/>
    <w:multiLevelType w:val="multilevel"/>
    <w:tmpl w:val="F58236F8"/>
    <w:lvl w:ilvl="0">
      <w:start w:val="1"/>
      <w:numFmt w:val="chineseCountingThousand"/>
      <w:pStyle w:val="Heading1"/>
      <w:suff w:val="nothing"/>
      <w:lvlText w:val="第%1章 "/>
      <w:lvlJc w:val="left"/>
      <w:pPr>
        <w:ind w:left="0" w:firstLine="0"/>
      </w:pPr>
      <w:rPr>
        <w:rFonts w:hint="eastAsia"/>
        <w:color w:val="FF0000"/>
        <w:lang w:val="en-US"/>
      </w:rPr>
    </w:lvl>
    <w:lvl w:ilvl="1">
      <w:start w:val="1"/>
      <w:numFmt w:val="chineseCountingThousand"/>
      <w:pStyle w:val="Heading2"/>
      <w:suff w:val="nothing"/>
      <w:lvlText w:val="第%2节 "/>
      <w:lvlJc w:val="left"/>
      <w:pPr>
        <w:ind w:left="0" w:firstLine="0"/>
      </w:pPr>
      <w:rPr>
        <w:rFonts w:hint="eastAsia"/>
        <w:color w:val="FF0000"/>
        <w:lang w:val="en-US"/>
      </w:rPr>
    </w:lvl>
    <w:lvl w:ilvl="2">
      <w:start w:val="1"/>
      <w:numFmt w:val="chineseCountingThousand"/>
      <w:pStyle w:val="Heading3"/>
      <w:suff w:val="nothing"/>
      <w:lvlText w:val="第%3小节 "/>
      <w:lvlJc w:val="left"/>
      <w:pPr>
        <w:ind w:left="0" w:firstLine="0"/>
      </w:pPr>
      <w:rPr>
        <w:rFonts w:hint="eastAsia"/>
        <w:color w:val="FF0000"/>
      </w:rPr>
    </w:lvl>
    <w:lvl w:ilvl="3">
      <w:start w:val="1"/>
      <w:numFmt w:val="decimal"/>
      <w:pStyle w:val="Heading4"/>
      <w:suff w:val="nothing"/>
      <w:lvlText w:val="【%4】"/>
      <w:lvlJc w:val="left"/>
      <w:pPr>
        <w:ind w:left="0" w:firstLine="0"/>
      </w:pPr>
      <w:rPr>
        <w:rFonts w:hint="eastAsia"/>
        <w:color w:val="FF0000"/>
      </w:rPr>
    </w:lvl>
    <w:lvl w:ilvl="4">
      <w:start w:val="1"/>
      <w:numFmt w:val="decimal"/>
      <w:pStyle w:val="Heading5"/>
      <w:suff w:val="nothing"/>
      <w:lvlText w:val="【%4.%5】"/>
      <w:lvlJc w:val="left"/>
      <w:pPr>
        <w:ind w:left="0" w:firstLine="0"/>
      </w:pPr>
      <w:rPr>
        <w:rFonts w:hint="eastAsia"/>
        <w:color w:val="FF0000"/>
      </w:rPr>
    </w:lvl>
    <w:lvl w:ilvl="5">
      <w:start w:val="1"/>
      <w:numFmt w:val="decimal"/>
      <w:pStyle w:val="Heading6"/>
      <w:suff w:val="nothing"/>
      <w:lvlText w:val="【%4.%5.%6】"/>
      <w:lvlJc w:val="left"/>
      <w:pPr>
        <w:ind w:left="0" w:firstLine="0"/>
      </w:pPr>
      <w:rPr>
        <w:rFonts w:hint="eastAsia"/>
        <w:color w:val="FF0000"/>
      </w:rPr>
    </w:lvl>
    <w:lvl w:ilvl="6">
      <w:start w:val="1"/>
      <w:numFmt w:val="upperLetter"/>
      <w:pStyle w:val="Heading7"/>
      <w:suff w:val="nothing"/>
      <w:lvlText w:val="【%7】"/>
      <w:lvlJc w:val="left"/>
      <w:pPr>
        <w:ind w:left="0" w:firstLine="0"/>
      </w:pPr>
      <w:rPr>
        <w:rFonts w:hint="eastAsia"/>
        <w:color w:val="FF0000"/>
      </w:rPr>
    </w:lvl>
    <w:lvl w:ilvl="7">
      <w:start w:val="1"/>
      <w:numFmt w:val="decimal"/>
      <w:pStyle w:val="Heading8"/>
      <w:suff w:val="nothing"/>
      <w:lvlText w:val="【%7.%8】"/>
      <w:lvlJc w:val="left"/>
      <w:pPr>
        <w:ind w:left="0" w:firstLine="0"/>
      </w:pPr>
      <w:rPr>
        <w:rFonts w:hint="eastAsia"/>
        <w:color w:val="FF0000"/>
      </w:rPr>
    </w:lvl>
    <w:lvl w:ilvl="8">
      <w:start w:val="1"/>
      <w:numFmt w:val="decimal"/>
      <w:pStyle w:val="Heading9"/>
      <w:suff w:val="nothing"/>
      <w:lvlText w:val="【%7.%8.%9】"/>
      <w:lvlJc w:val="left"/>
      <w:pPr>
        <w:ind w:left="0" w:firstLine="0"/>
      </w:pPr>
      <w:rPr>
        <w:rFonts w:hint="eastAsia"/>
        <w:color w:val="FF0000"/>
      </w:rPr>
    </w:lvl>
  </w:abstractNum>
  <w:abstractNum w:abstractNumId="10">
    <w:nsid w:val="27B328F7"/>
    <w:multiLevelType w:val="multilevel"/>
    <w:tmpl w:val="644ADB3A"/>
    <w:numStyleLink w:val="1"/>
  </w:abstractNum>
  <w:abstractNum w:abstractNumId="11">
    <w:nsid w:val="2CB14FD2"/>
    <w:multiLevelType w:val="multilevel"/>
    <w:tmpl w:val="644ADB3A"/>
    <w:numStyleLink w:val="1"/>
  </w:abstractNum>
  <w:abstractNum w:abstractNumId="12">
    <w:nsid w:val="2D6D5FE2"/>
    <w:multiLevelType w:val="multilevel"/>
    <w:tmpl w:val="644ADB3A"/>
    <w:numStyleLink w:val="1"/>
  </w:abstractNum>
  <w:abstractNum w:abstractNumId="13">
    <w:nsid w:val="331E5181"/>
    <w:multiLevelType w:val="multilevel"/>
    <w:tmpl w:val="644ADB3A"/>
    <w:numStyleLink w:val="1"/>
  </w:abstractNum>
  <w:abstractNum w:abstractNumId="14">
    <w:nsid w:val="36C74BAF"/>
    <w:multiLevelType w:val="multilevel"/>
    <w:tmpl w:val="644ADB3A"/>
    <w:numStyleLink w:val="13"/>
  </w:abstractNum>
  <w:abstractNum w:abstractNumId="15">
    <w:nsid w:val="37672495"/>
    <w:multiLevelType w:val="multilevel"/>
    <w:tmpl w:val="644ADB3A"/>
    <w:numStyleLink w:val="1"/>
  </w:abstractNum>
  <w:abstractNum w:abstractNumId="16">
    <w:nsid w:val="3E876FB3"/>
    <w:multiLevelType w:val="multilevel"/>
    <w:tmpl w:val="644ADB3A"/>
    <w:numStyleLink w:val="1"/>
  </w:abstractNum>
  <w:abstractNum w:abstractNumId="17">
    <w:nsid w:val="4222083B"/>
    <w:multiLevelType w:val="multilevel"/>
    <w:tmpl w:val="644ADB3A"/>
    <w:numStyleLink w:val="15"/>
  </w:abstractNum>
  <w:abstractNum w:abstractNumId="18">
    <w:nsid w:val="44DA332A"/>
    <w:multiLevelType w:val="multilevel"/>
    <w:tmpl w:val="644ADB3A"/>
    <w:numStyleLink w:val="1"/>
  </w:abstractNum>
  <w:abstractNum w:abstractNumId="19">
    <w:nsid w:val="48AB1ECF"/>
    <w:multiLevelType w:val="multilevel"/>
    <w:tmpl w:val="644ADB3A"/>
    <w:numStyleLink w:val="1"/>
  </w:abstractNum>
  <w:abstractNum w:abstractNumId="20">
    <w:nsid w:val="4A7A7659"/>
    <w:multiLevelType w:val="multilevel"/>
    <w:tmpl w:val="644ADB3A"/>
    <w:numStyleLink w:val="10"/>
  </w:abstractNum>
  <w:abstractNum w:abstractNumId="21">
    <w:nsid w:val="4ACB23FD"/>
    <w:multiLevelType w:val="multilevel"/>
    <w:tmpl w:val="644ADB3A"/>
    <w:numStyleLink w:val="1"/>
  </w:abstractNum>
  <w:abstractNum w:abstractNumId="22">
    <w:nsid w:val="4CD37508"/>
    <w:multiLevelType w:val="multilevel"/>
    <w:tmpl w:val="644ADB3A"/>
    <w:numStyleLink w:val="1"/>
  </w:abstractNum>
  <w:abstractNum w:abstractNumId="23">
    <w:nsid w:val="53995142"/>
    <w:multiLevelType w:val="multilevel"/>
    <w:tmpl w:val="644ADB3A"/>
    <w:numStyleLink w:val="1"/>
  </w:abstractNum>
  <w:abstractNum w:abstractNumId="24">
    <w:nsid w:val="54B740DB"/>
    <w:multiLevelType w:val="multilevel"/>
    <w:tmpl w:val="644ADB3A"/>
    <w:numStyleLink w:val="1"/>
  </w:abstractNum>
  <w:abstractNum w:abstractNumId="25">
    <w:nsid w:val="576A46B0"/>
    <w:multiLevelType w:val="multilevel"/>
    <w:tmpl w:val="644ADB3A"/>
    <w:numStyleLink w:val="1"/>
  </w:abstractNum>
  <w:abstractNum w:abstractNumId="26">
    <w:nsid w:val="5E83053E"/>
    <w:multiLevelType w:val="multilevel"/>
    <w:tmpl w:val="644ADB3A"/>
    <w:numStyleLink w:val="1"/>
  </w:abstractNum>
  <w:abstractNum w:abstractNumId="27">
    <w:nsid w:val="5EC31832"/>
    <w:multiLevelType w:val="multilevel"/>
    <w:tmpl w:val="644ADB3A"/>
    <w:numStyleLink w:val="1"/>
  </w:abstractNum>
  <w:abstractNum w:abstractNumId="28">
    <w:nsid w:val="5F225C67"/>
    <w:multiLevelType w:val="multilevel"/>
    <w:tmpl w:val="644ADB3A"/>
    <w:numStyleLink w:val="1"/>
  </w:abstractNum>
  <w:abstractNum w:abstractNumId="29">
    <w:nsid w:val="5FA49697"/>
    <w:multiLevelType w:val="multilevel"/>
    <w:tmpl w:val="644ADB3A"/>
    <w:numStyleLink w:val="11"/>
  </w:abstractNum>
  <w:abstractNum w:abstractNumId="30">
    <w:nsid w:val="664A6A0C"/>
    <w:multiLevelType w:val="multilevel"/>
    <w:tmpl w:val="644ADB3A"/>
    <w:numStyleLink w:val="1"/>
  </w:abstractNum>
  <w:abstractNum w:abstractNumId="31">
    <w:nsid w:val="6A063526"/>
    <w:multiLevelType w:val="multilevel"/>
    <w:tmpl w:val="644ADB3A"/>
    <w:styleLink w:val="16"/>
    <w:lvl w:ilvl="0">
      <w:start w:val="1"/>
      <w:numFmt w:val="decimal"/>
      <w:suff w:val="nothing"/>
      <w:lvlText w:val="%1、"/>
      <w:lvlJc w:val="left"/>
      <w:pPr>
        <w:ind w:left="0" w:firstLine="482"/>
      </w:pPr>
      <w:rPr>
        <w:rFonts w:hint="eastAsia"/>
      </w:rPr>
    </w:lvl>
    <w:lvl w:ilvl="1">
      <w:start w:val="1"/>
      <w:numFmt w:val="decimal"/>
      <w:suff w:val="nothing"/>
      <w:lvlText w:val="（%2）"/>
      <w:lvlJc w:val="left"/>
      <w:pPr>
        <w:ind w:left="0" w:firstLine="482"/>
      </w:pPr>
      <w:rPr>
        <w:rFonts w:hint="eastAsia"/>
      </w:rPr>
    </w:lvl>
    <w:lvl w:ilvl="2">
      <w:start w:val="1"/>
      <w:numFmt w:val="decimal"/>
      <w:suff w:val="nothing"/>
      <w:lvlText w:val="%3）"/>
      <w:lvlJc w:val="left"/>
      <w:pPr>
        <w:ind w:left="0" w:firstLine="482"/>
      </w:pPr>
      <w:rPr>
        <w:rFonts w:hint="eastAsia"/>
      </w:rPr>
    </w:lvl>
    <w:lvl w:ilvl="3">
      <w:start w:val="1"/>
      <w:numFmt w:val="decimalEnclosedCircle"/>
      <w:suff w:val="nothing"/>
      <w:lvlText w:val="%4 "/>
      <w:lvlJc w:val="left"/>
      <w:pPr>
        <w:ind w:left="0" w:firstLine="482"/>
      </w:pPr>
      <w:rPr>
        <w:rFonts w:hint="eastAsia"/>
      </w:rPr>
    </w:lvl>
    <w:lvl w:ilvl="4">
      <w:start w:val="1"/>
      <w:numFmt w:val="lowerLetter"/>
      <w:suff w:val="nothing"/>
      <w:lvlText w:val="%5. "/>
      <w:lvlJc w:val="left"/>
      <w:pPr>
        <w:ind w:left="0" w:firstLine="482"/>
      </w:pPr>
      <w:rPr>
        <w:rFonts w:hint="eastAsia"/>
      </w:rPr>
    </w:lvl>
    <w:lvl w:ilvl="5">
      <w:start w:val="1"/>
      <w:numFmt w:val="lowerRoman"/>
      <w:suff w:val="nothing"/>
      <w:lvlText w:val="%6. "/>
      <w:lvlJc w:val="left"/>
      <w:pPr>
        <w:ind w:left="0" w:firstLine="482"/>
      </w:pPr>
      <w:rPr>
        <w:rFonts w:hint="eastAsia"/>
      </w:rPr>
    </w:lvl>
    <w:lvl w:ilvl="6">
      <w:start w:val="1"/>
      <w:numFmt w:val="bullet"/>
      <w:suff w:val="nothing"/>
      <w:lvlText w:val=""/>
      <w:lvlJc w:val="left"/>
      <w:pPr>
        <w:ind w:left="0" w:firstLine="482"/>
      </w:pPr>
      <w:rPr>
        <w:rFonts w:ascii="Symbol" w:hAnsi="Symbol" w:hint="default"/>
        <w:color w:val="auto"/>
      </w:rPr>
    </w:lvl>
    <w:lvl w:ilvl="7">
      <w:start w:val="1"/>
      <w:numFmt w:val="bullet"/>
      <w:suff w:val="nothing"/>
      <w:lvlText w:val=""/>
      <w:lvlJc w:val="left"/>
      <w:pPr>
        <w:ind w:left="0" w:firstLine="482"/>
      </w:pPr>
      <w:rPr>
        <w:rFonts w:ascii="Symbol" w:hAnsi="Symbol" w:hint="default"/>
        <w:color w:val="auto"/>
      </w:rPr>
    </w:lvl>
    <w:lvl w:ilvl="8">
      <w:start w:val="1"/>
      <w:numFmt w:val="bullet"/>
      <w:suff w:val="nothing"/>
      <w:lvlText w:val=""/>
      <w:lvlJc w:val="left"/>
      <w:pPr>
        <w:ind w:left="0" w:firstLine="482"/>
      </w:pPr>
      <w:rPr>
        <w:rFonts w:ascii="Symbol" w:hAnsi="Symbol" w:hint="default"/>
        <w:color w:val="auto"/>
      </w:rPr>
    </w:lvl>
  </w:abstractNum>
  <w:abstractNum w:abstractNumId="32">
    <w:nsid w:val="712C5A1F"/>
    <w:multiLevelType w:val="multilevel"/>
    <w:tmpl w:val="644ADB3A"/>
    <w:numStyleLink w:val="12"/>
  </w:abstractNum>
  <w:abstractNum w:abstractNumId="33">
    <w:nsid w:val="74323C30"/>
    <w:multiLevelType w:val="multilevel"/>
    <w:tmpl w:val="644ADB3A"/>
    <w:numStyleLink w:val="16"/>
  </w:abstractNum>
  <w:abstractNum w:abstractNumId="34">
    <w:nsid w:val="77C46BB2"/>
    <w:multiLevelType w:val="multilevel"/>
    <w:tmpl w:val="644ADB3A"/>
    <w:numStyleLink w:val="1"/>
  </w:abstractNum>
  <w:abstractNum w:abstractNumId="35">
    <w:nsid w:val="781B68ED"/>
    <w:multiLevelType w:val="multilevel"/>
    <w:tmpl w:val="644ADB3A"/>
    <w:numStyleLink w:val="1"/>
  </w:abstractNum>
  <w:abstractNum w:abstractNumId="36">
    <w:nsid w:val="7A5B40A5"/>
    <w:multiLevelType w:val="multilevel"/>
    <w:tmpl w:val="644ADB3A"/>
    <w:numStyleLink w:val="1"/>
  </w:abstractNum>
  <w:num w:numId="1">
    <w:abstractNumId w:val="31"/>
  </w:num>
  <w:num w:numId="2">
    <w:abstractNumId w:val="9"/>
  </w:num>
  <w:num w:numId="3">
    <w:abstractNumId w:val="19"/>
  </w:num>
  <w:num w:numId="4">
    <w:abstractNumId w:val="12"/>
  </w:num>
  <w:num w:numId="5">
    <w:abstractNumId w:val="16"/>
  </w:num>
  <w:num w:numId="6">
    <w:abstractNumId w:val="36"/>
  </w:num>
  <w:num w:numId="7">
    <w:abstractNumId w:val="13"/>
  </w:num>
  <w:num w:numId="8">
    <w:abstractNumId w:val="6"/>
  </w:num>
  <w:num w:numId="9">
    <w:abstractNumId w:val="22"/>
  </w:num>
  <w:num w:numId="10">
    <w:abstractNumId w:val="34"/>
  </w:num>
  <w:num w:numId="11">
    <w:abstractNumId w:val="21"/>
  </w:num>
  <w:num w:numId="12">
    <w:abstractNumId w:val="27"/>
  </w:num>
  <w:num w:numId="13">
    <w:abstractNumId w:val="35"/>
  </w:num>
  <w:num w:numId="14">
    <w:abstractNumId w:val="25"/>
  </w:num>
  <w:num w:numId="15">
    <w:abstractNumId w:val="8"/>
  </w:num>
  <w:num w:numId="16">
    <w:abstractNumId w:val="26"/>
  </w:num>
  <w:num w:numId="17">
    <w:abstractNumId w:val="24"/>
  </w:num>
  <w:num w:numId="18">
    <w:abstractNumId w:val="3"/>
  </w:num>
  <w:num w:numId="19">
    <w:abstractNumId w:val="10"/>
  </w:num>
  <w:num w:numId="20">
    <w:abstractNumId w:val="0"/>
  </w:num>
  <w:num w:numId="21">
    <w:abstractNumId w:val="23"/>
  </w:num>
  <w:num w:numId="22">
    <w:abstractNumId w:val="5"/>
  </w:num>
  <w:num w:numId="23">
    <w:abstractNumId w:val="15"/>
  </w:num>
  <w:num w:numId="24">
    <w:abstractNumId w:val="7"/>
  </w:num>
  <w:num w:numId="25">
    <w:abstractNumId w:val="30"/>
  </w:num>
  <w:num w:numId="26">
    <w:abstractNumId w:val="4"/>
  </w:num>
  <w:num w:numId="27">
    <w:abstractNumId w:val="18"/>
  </w:num>
  <w:num w:numId="28">
    <w:abstractNumId w:val="1"/>
  </w:num>
  <w:num w:numId="29">
    <w:abstractNumId w:val="28"/>
  </w:num>
  <w:num w:numId="30">
    <w:abstractNumId w:val="11"/>
  </w:num>
  <w:num w:numId="31">
    <w:abstractNumId w:val="20"/>
  </w:num>
  <w:num w:numId="32">
    <w:abstractNumId w:val="29"/>
  </w:num>
  <w:num w:numId="33">
    <w:abstractNumId w:val="32"/>
  </w:num>
  <w:num w:numId="34">
    <w:abstractNumId w:val="14"/>
  </w:num>
  <w:num w:numId="35">
    <w:abstractNumId w:val="2"/>
  </w:num>
  <w:num w:numId="36">
    <w:abstractNumId w:val="17"/>
  </w:num>
  <w:num w:numId="37">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350B0"/>
    <w:rsid w:val="000350B0"/>
    <w:rsid w:val="000858C8"/>
    <w:rsid w:val="00B8588B"/>
    <w:rsid w:val="00D00AD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350B0"/>
    <w:pPr>
      <w:widowControl w:val="0"/>
      <w:spacing w:line="360" w:lineRule="auto"/>
      <w:jc w:val="both"/>
    </w:pPr>
    <w:rPr>
      <w:kern w:val="2"/>
      <w:sz w:val="28"/>
      <w:szCs w:val="24"/>
      <w:lang w:val="en-US" w:eastAsia="zh-CN" w:bidi="ar-SA"/>
    </w:rPr>
  </w:style>
  <w:style w:type="paragraph" w:styleId="Heading1">
    <w:name w:val="heading 1"/>
    <w:basedOn w:val="Normal"/>
    <w:next w:val="Normal"/>
    <w:qFormat/>
    <w:rsid w:val="000350B0"/>
    <w:pPr>
      <w:keepNext/>
      <w:keepLines/>
      <w:numPr>
        <w:ilvl w:val="0"/>
        <w:numId w:val="2"/>
      </w:numPr>
      <w:spacing w:before="340" w:after="330" w:line="578" w:lineRule="auto"/>
      <w:outlineLvl w:val="0"/>
    </w:pPr>
    <w:rPr>
      <w:b/>
      <w:bCs/>
      <w:kern w:val="44"/>
      <w:sz w:val="44"/>
      <w:szCs w:val="44"/>
    </w:rPr>
  </w:style>
  <w:style w:type="paragraph" w:styleId="Heading2">
    <w:name w:val="heading 2"/>
    <w:basedOn w:val="Normal"/>
    <w:next w:val="Normal"/>
    <w:qFormat/>
    <w:rsid w:val="000350B0"/>
    <w:pPr>
      <w:keepNext/>
      <w:keepLines/>
      <w:numPr>
        <w:ilvl w:val="1"/>
        <w:numId w:val="2"/>
      </w:numPr>
      <w:spacing w:before="260" w:after="260" w:line="416" w:lineRule="auto"/>
      <w:outlineLvl w:val="1"/>
    </w:pPr>
    <w:rPr>
      <w:rFonts w:ascii="Arial" w:eastAsia="黑体" w:hAnsi="Arial"/>
      <w:b/>
      <w:bCs/>
      <w:sz w:val="32"/>
      <w:szCs w:val="32"/>
    </w:rPr>
  </w:style>
  <w:style w:type="paragraph" w:styleId="Heading3">
    <w:name w:val="heading 3"/>
    <w:basedOn w:val="Normal"/>
    <w:next w:val="Normal"/>
    <w:qFormat/>
    <w:rsid w:val="000350B0"/>
    <w:pPr>
      <w:keepNext/>
      <w:keepLines/>
      <w:numPr>
        <w:ilvl w:val="2"/>
        <w:numId w:val="2"/>
      </w:numPr>
      <w:spacing w:before="260" w:after="260" w:line="416" w:lineRule="auto"/>
      <w:outlineLvl w:val="2"/>
    </w:pPr>
    <w:rPr>
      <w:b/>
      <w:bCs/>
      <w:sz w:val="32"/>
      <w:szCs w:val="32"/>
    </w:rPr>
  </w:style>
  <w:style w:type="paragraph" w:styleId="Heading4">
    <w:name w:val="heading 4"/>
    <w:basedOn w:val="Normal"/>
    <w:next w:val="Normal"/>
    <w:qFormat/>
    <w:rsid w:val="000350B0"/>
    <w:pPr>
      <w:keepNext/>
      <w:keepLines/>
      <w:numPr>
        <w:ilvl w:val="3"/>
        <w:numId w:val="2"/>
      </w:numPr>
      <w:spacing w:before="280" w:after="290" w:line="376" w:lineRule="auto"/>
      <w:outlineLvl w:val="3"/>
    </w:pPr>
    <w:rPr>
      <w:rFonts w:ascii="Arial" w:eastAsia="黑体" w:hAnsi="Arial"/>
      <w:b/>
      <w:bCs/>
      <w:szCs w:val="28"/>
    </w:rPr>
  </w:style>
  <w:style w:type="paragraph" w:styleId="Heading5">
    <w:name w:val="heading 5"/>
    <w:basedOn w:val="Normal"/>
    <w:next w:val="Normal"/>
    <w:qFormat/>
    <w:rsid w:val="000350B0"/>
    <w:pPr>
      <w:keepNext/>
      <w:keepLines/>
      <w:numPr>
        <w:ilvl w:val="4"/>
        <w:numId w:val="2"/>
      </w:numPr>
      <w:spacing w:before="280" w:after="290" w:line="376" w:lineRule="auto"/>
      <w:outlineLvl w:val="4"/>
    </w:pPr>
    <w:rPr>
      <w:b/>
      <w:bCs/>
      <w:szCs w:val="28"/>
    </w:rPr>
  </w:style>
  <w:style w:type="paragraph" w:styleId="Heading6">
    <w:name w:val="heading 6"/>
    <w:basedOn w:val="Normal"/>
    <w:next w:val="Normal"/>
    <w:qFormat/>
    <w:rsid w:val="000350B0"/>
    <w:pPr>
      <w:keepNext/>
      <w:keepLines/>
      <w:numPr>
        <w:ilvl w:val="5"/>
        <w:numId w:val="2"/>
      </w:numPr>
      <w:spacing w:before="240" w:after="64" w:line="320" w:lineRule="auto"/>
      <w:outlineLvl w:val="5"/>
    </w:pPr>
    <w:rPr>
      <w:rFonts w:ascii="Arial" w:eastAsia="黑体" w:hAnsi="Arial"/>
      <w:b/>
      <w:bCs/>
      <w:sz w:val="24"/>
    </w:rPr>
  </w:style>
  <w:style w:type="paragraph" w:styleId="Heading7">
    <w:name w:val="heading 7"/>
    <w:basedOn w:val="Normal"/>
    <w:next w:val="Normal"/>
    <w:qFormat/>
    <w:rsid w:val="000350B0"/>
    <w:pPr>
      <w:keepNext/>
      <w:keepLines/>
      <w:numPr>
        <w:ilvl w:val="6"/>
        <w:numId w:val="2"/>
      </w:numPr>
      <w:spacing w:before="240" w:after="64" w:line="320" w:lineRule="auto"/>
      <w:outlineLvl w:val="6"/>
    </w:pPr>
    <w:rPr>
      <w:b/>
      <w:bCs/>
      <w:sz w:val="24"/>
    </w:rPr>
  </w:style>
  <w:style w:type="paragraph" w:styleId="Heading8">
    <w:name w:val="heading 8"/>
    <w:basedOn w:val="Normal"/>
    <w:next w:val="Normal"/>
    <w:qFormat/>
    <w:rsid w:val="000350B0"/>
    <w:pPr>
      <w:keepNext/>
      <w:keepLines/>
      <w:numPr>
        <w:ilvl w:val="7"/>
        <w:numId w:val="2"/>
      </w:numPr>
      <w:spacing w:before="240" w:after="64" w:line="320" w:lineRule="auto"/>
      <w:outlineLvl w:val="7"/>
    </w:pPr>
    <w:rPr>
      <w:rFonts w:ascii="Arial" w:eastAsia="黑体" w:hAnsi="Arial"/>
      <w:sz w:val="24"/>
    </w:rPr>
  </w:style>
  <w:style w:type="paragraph" w:styleId="Heading9">
    <w:name w:val="heading 9"/>
    <w:basedOn w:val="Normal"/>
    <w:next w:val="Normal"/>
    <w:qFormat/>
    <w:rsid w:val="000350B0"/>
    <w:pPr>
      <w:keepNext/>
      <w:keepLines/>
      <w:numPr>
        <w:ilvl w:val="8"/>
        <w:numId w:val="2"/>
      </w:numPr>
      <w:spacing w:before="240" w:after="64" w:line="320" w:lineRule="auto"/>
      <w:outlineLvl w:val="8"/>
    </w:pPr>
    <w:rPr>
      <w:rFonts w:ascii="Arial" w:eastAsia="黑体" w:hAnsi="Arial"/>
      <w:sz w:val="21"/>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numbering" w:customStyle="1" w:styleId="1">
    <w:name w:val="自动编号1"/>
    <w:rsid w:val="000350B0"/>
    <w:pPr>
      <w:numPr>
        <w:numId w:val="1"/>
      </w:numPr>
    </w:pPr>
  </w:style>
  <w:style w:type="numbering" w:customStyle="1" w:styleId="10">
    <w:name w:val="自动编号1_0"/>
    <w:rsid w:val="000350B0"/>
    <w:pPr>
      <w:numPr>
        <w:numId w:val="1"/>
      </w:numPr>
    </w:pPr>
  </w:style>
  <w:style w:type="numbering" w:customStyle="1" w:styleId="11">
    <w:name w:val="自动编号1_1"/>
    <w:rsid w:val="000350B0"/>
    <w:pPr>
      <w:numPr>
        <w:numId w:val="1"/>
      </w:numPr>
    </w:pPr>
  </w:style>
  <w:style w:type="numbering" w:customStyle="1" w:styleId="12">
    <w:name w:val="自动编号1_2"/>
    <w:rsid w:val="000350B0"/>
    <w:pPr>
      <w:numPr>
        <w:numId w:val="1"/>
      </w:numPr>
    </w:pPr>
  </w:style>
  <w:style w:type="numbering" w:customStyle="1" w:styleId="13">
    <w:name w:val="自动编号1_3"/>
    <w:rsid w:val="000350B0"/>
    <w:pPr>
      <w:numPr>
        <w:numId w:val="1"/>
      </w:numPr>
    </w:pPr>
  </w:style>
  <w:style w:type="numbering" w:customStyle="1" w:styleId="14">
    <w:name w:val="自动编号1_4"/>
    <w:rsid w:val="000350B0"/>
    <w:pPr>
      <w:numPr>
        <w:numId w:val="1"/>
      </w:numPr>
    </w:pPr>
  </w:style>
  <w:style w:type="numbering" w:customStyle="1" w:styleId="15">
    <w:name w:val="自动编号1_5"/>
    <w:rsid w:val="000350B0"/>
    <w:pPr>
      <w:numPr>
        <w:numId w:val="1"/>
      </w:numPr>
    </w:pPr>
  </w:style>
  <w:style w:type="numbering" w:customStyle="1" w:styleId="16">
    <w:name w:val="自动编号1_6"/>
    <w:rsid w:val="000350B0"/>
    <w:pPr>
      <w:numPr>
        <w:numId w:val="1"/>
      </w:numPr>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55224220003011123"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20</Pages>
  <Words>2295</Words>
  <Characters>13087</Characters>
  <Application>Microsoft Office Word</Application>
  <DocSecurity>0</DocSecurity>
  <Lines>109</Lines>
  <Paragraphs>30</Paragraphs>
  <ScaleCrop>false</ScaleCrop>
  <Company>Microsoft</Company>
  <LinksUpToDate>false</LinksUpToDate>
  <CharactersWithSpaces>15352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机械设备安装工程施工及验收</dc:title>
  <dc:creator>NEW</dc:creator>
  <cp:lastModifiedBy>NEW</cp:lastModifiedBy>
  <cp:revision>1</cp:revision>
  <dcterms:created xsi:type="dcterms:W3CDTF">2023-05-24T10:57:00Z</dcterms:created>
  <dcterms:modified xsi:type="dcterms:W3CDTF">2023-05-24T10:58:00Z</dcterms:modified>
</cp:coreProperties>
</file>