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2018-2023年仙桃职业学院高职单招（数学／语文／英语）历年常考试题库含答案解析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下列作品中，属于编年体历史著作的是（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A.被后人称作“三苏”的作家是苏洵、苏轼、苏辙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B.“济南二安”指的是李清照和辛弃疾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C.苍凉悲壮是曹操诗歌的主要艺术风格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D.曹雪芹是我国明代伟大的浪漫主义作家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“多行不义必自毙”“贻笑大方”“夙兴夜寐”三个成语依次出自（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A.《寡人之于国也》、《庄子·秋水》、《季氏将伐颛臾》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B.《郑伯克段于鄢》、《庄子·秋水》、《诗经·氓》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C.《陈情表》、《诗经·氓》、《郑伯克段于鄢》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D.《礼记·大同》、《寡人之于国也》、《庄子·秋水》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下列关于《种树郭橐驼传》的表述，不正确的一项是（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A.这是一篇寓言性质的传记。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B.柳宗元与韩愈，并称“韩柳”。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C.这是一篇真实的传记。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D.本文以种树为喻，阐发了顺应民心，使民休养生息的政治观点。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“茕茕孑立，形影相吊”一语出自（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A.李斯《谏逐客书》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B.李密《陈情表》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C.李清照《声声慢》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D.曹操《短歌行》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朱光潜的《选择与安排》是一篇（）。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B.说明文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C.记叙文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C.《礼记》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《故都的秋》一文是一篇（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C.游记散文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D.议论散文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艾青在哪个时间段曾被视为中国新诗的卓越代表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A.（1917—1927）第一个十年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B.（1928—1937）第二个十年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C.（1937—1949）第三个十年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D.20世纪80年代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孟子和孔子同属（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D.名家学派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“瀚海阑干百丈冰，愁云惨淡万里凝”，诗句中所用的修辞格是（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马致远的《天净沙·秋思》最突出的艺术特色是（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A.设景抒情、时空跳跃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B.设景抒情、多用比兴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C.借景抒情、寓情于景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https://d.book118.com/555341030330011112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555341030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