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清热解毒药品行业相关公司设立可行性研究报告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三、清热解毒药品项目概况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_Toc24482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(二)、清热解毒药品项目提出的理由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(三)、清热解毒药品项目选址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_Toc31202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(六)、清热解毒药品项目投资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eastAsia="zh-CN"/>
          </w:rPr>
          <w:t>(七)、清热解毒药品项目进度规划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(九)、清热解毒药品项目综合评价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(七)、清热解毒药品项目建设必要性分析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4" w:history="1">
        <w:r>
          <w:rPr>
            <w:rFonts w:ascii="仿宋" w:eastAsia="仿宋" w:hAnsi="仿宋" w:cs="仿宋" w:hint="eastAsia"/>
            <w:lang w:eastAsia="zh-CN"/>
          </w:rPr>
          <w:t>(一)、清热解毒药品项目选址原则</w:t>
        </w:r>
        <w:r>
          <w:tab/>
        </w:r>
        <w:r>
          <w:fldChar w:fldCharType="begin"/>
        </w:r>
        <w:r>
          <w:instrText xml:space="preserve"> PAGEREF _Toc3864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(五)、清热解毒药品项目选址综合评价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_Toc27794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_Toc32544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(一)、清热解毒药品项目背景分析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(二)、清热解毒药品项目建设必要性分析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八、清热解毒药品项目经济效益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(三)、清热解毒药品项目盈利能力分析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(一)、清热解毒药品项目进度安排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(二)、清热解毒药品项目实施保障措施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_Toc14147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7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https://d.book118.com/556013035231010035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清热解毒药品行业相关公司设立可行性研究报告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清热解毒药品行业相关公司设立可行性研究报告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清热解毒药品行业相关公司设立可行性研究报告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清热解毒药品行业相关公司设立可行性研究报告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清热解毒药品行业相关公司设立可行性研究报告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013035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2023-12-31T22:35:00Z</dcterms:created>
  <dcterms:modified xsi:type="dcterms:W3CDTF">2023-12-31T22:35:49Z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A02F717B2DE14A5DB364FD92CE37CDA0_11</vt:lpwstr>
  </property>
  <property fmtid="{D5CDD505-2E9C-101B-9397-08002B2CF9AE}" pid="3" name="KSOProductBuildVer">
    <vt:lpwstr>2052-12.1.0.16120</vt:lpwstr>
  </property>
</Properties>
</file>