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3BBD">
      <w:pPr>
        <w:widowControl/>
        <w:jc w:val="left"/>
        <w:rPr>
          <w:rFonts w:ascii="仿宋" w:eastAsia="仿宋" w:hAnsi="仿宋"/>
          <w:b/>
          <w:sz w:val="40"/>
        </w:rPr>
      </w:pPr>
      <w:bookmarkStart w:id="0" w:name="_GoBack"/>
      <w:bookmarkEnd w:id="0"/>
    </w:p>
    <w:p w:rsidR="00C23BBD">
      <w:pPr>
        <w:widowControl/>
        <w:jc w:val="left"/>
        <w:rPr>
          <w:rFonts w:ascii="仿宋" w:eastAsia="仿宋" w:hAnsi="仿宋"/>
          <w:b/>
          <w:sz w:val="40"/>
        </w:rPr>
      </w:pPr>
    </w:p>
    <w:p w:rsidR="00C23BBD">
      <w:pPr>
        <w:widowControl/>
        <w:jc w:val="left"/>
        <w:rPr>
          <w:rFonts w:ascii="仿宋" w:eastAsia="仿宋" w:hAnsi="仿宋"/>
          <w:b/>
          <w:sz w:val="40"/>
        </w:rPr>
      </w:pPr>
    </w:p>
    <w:p w:rsidR="00C23BBD" w:rsidRPr="00C23BB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23BBD">
        <w:rPr>
          <w:rFonts w:ascii="宋体" w:eastAsia="宋体" w:hAnsi="宋体" w:hint="eastAsia"/>
          <w:b/>
          <w:sz w:val="60"/>
        </w:rPr>
        <w:t>物理法处理设备投资回报分析报告</w:t>
      </w:r>
    </w:p>
    <w:p w:rsidR="00C23BBD" w:rsidP="00C23BBD">
      <w:pPr>
        <w:widowControl/>
        <w:jc w:val="center"/>
        <w:rPr>
          <w:rFonts w:ascii="仿宋" w:eastAsia="仿宋" w:hAnsi="仿宋" w:hint="eastAsia"/>
          <w:b/>
          <w:sz w:val="40"/>
        </w:rPr>
      </w:pPr>
      <w:r w:rsidRPr="00C23BBD">
        <w:rPr>
          <w:rFonts w:ascii="仿宋" w:eastAsia="仿宋" w:hAnsi="仿宋" w:hint="eastAsia"/>
          <w:b/>
          <w:sz w:val="40"/>
        </w:rPr>
        <w:t>目录</w:t>
      </w:r>
    </w:p>
    <w:p w:rsidR="00C23BB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_Toc161215769 \h </w:instrText>
      </w:r>
      <w:r>
        <w:rPr>
          <w:noProof/>
        </w:rPr>
        <w:fldChar w:fldCharType="separate"/>
      </w:r>
      <w:r>
        <w:rPr>
          <w:noProof/>
        </w:rPr>
        <w:t>3</w:t>
      </w:r>
      <w:r>
        <w:rPr>
          <w:noProof/>
        </w:rPr>
        <w:fldChar w:fldCharType="end"/>
      </w:r>
    </w:p>
    <w:p w:rsidR="00C23BBD">
      <w:pPr>
        <w:pStyle w:val="TOC1"/>
        <w:tabs>
          <w:tab w:val="right" w:leader="dot" w:pos="8296"/>
        </w:tabs>
        <w:rPr>
          <w:noProof/>
        </w:rPr>
      </w:pPr>
      <w:r>
        <w:rPr>
          <w:rFonts w:hint="eastAsia"/>
          <w:noProof/>
        </w:rPr>
        <w:t>一、物理法处理设备项目风险管理方案</w:t>
      </w:r>
      <w:r>
        <w:rPr>
          <w:noProof/>
        </w:rPr>
        <w:tab/>
      </w:r>
      <w:r>
        <w:rPr>
          <w:noProof/>
        </w:rPr>
        <w:fldChar w:fldCharType="begin"/>
      </w:r>
      <w:r>
        <w:rPr>
          <w:noProof/>
        </w:rPr>
        <w:instrText xml:space="preserve"> PAGEREF _Toc161215770 \h </w:instrText>
      </w:r>
      <w:r>
        <w:rPr>
          <w:noProof/>
        </w:rPr>
        <w:fldChar w:fldCharType="separate"/>
      </w:r>
      <w:r>
        <w:rPr>
          <w:noProof/>
        </w:rPr>
        <w:t>3</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_Toc161215771 \h </w:instrText>
      </w:r>
      <w:r>
        <w:rPr>
          <w:noProof/>
        </w:rPr>
        <w:fldChar w:fldCharType="separate"/>
      </w:r>
      <w:r>
        <w:rPr>
          <w:noProof/>
        </w:rPr>
        <w:t>3</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_Toc161215772 \h </w:instrText>
      </w:r>
      <w:r>
        <w:rPr>
          <w:noProof/>
        </w:rPr>
        <w:fldChar w:fldCharType="separate"/>
      </w:r>
      <w:r>
        <w:rPr>
          <w:noProof/>
        </w:rPr>
        <w:t>4</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_Toc161215773 \h </w:instrText>
      </w:r>
      <w:r>
        <w:rPr>
          <w:noProof/>
        </w:rPr>
        <w:fldChar w:fldCharType="separate"/>
      </w:r>
      <w:r>
        <w:rPr>
          <w:noProof/>
        </w:rPr>
        <w:t>7</w:t>
      </w:r>
      <w:r>
        <w:rPr>
          <w:noProof/>
        </w:rPr>
        <w:fldChar w:fldCharType="end"/>
      </w:r>
    </w:p>
    <w:p w:rsidR="00C23BB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_Toc161215774 \h </w:instrText>
      </w:r>
      <w:r>
        <w:rPr>
          <w:noProof/>
        </w:rPr>
        <w:fldChar w:fldCharType="separate"/>
      </w:r>
      <w:r>
        <w:rPr>
          <w:noProof/>
        </w:rPr>
        <w:t>8</w:t>
      </w:r>
      <w:r>
        <w:rPr>
          <w:noProof/>
        </w:rPr>
        <w:fldChar w:fldCharType="end"/>
      </w:r>
    </w:p>
    <w:p w:rsidR="00C23BB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_Toc161215775 \h </w:instrText>
      </w:r>
      <w:r>
        <w:rPr>
          <w:noProof/>
        </w:rPr>
        <w:fldChar w:fldCharType="separate"/>
      </w:r>
      <w:r>
        <w:rPr>
          <w:noProof/>
        </w:rPr>
        <w:t>10</w:t>
      </w:r>
      <w:r>
        <w:rPr>
          <w:noProof/>
        </w:rPr>
        <w:fldChar w:fldCharType="end"/>
      </w:r>
    </w:p>
    <w:p w:rsidR="00C23BB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_Toc161215776 \h </w:instrText>
      </w:r>
      <w:r>
        <w:rPr>
          <w:noProof/>
        </w:rPr>
        <w:fldChar w:fldCharType="separate"/>
      </w:r>
      <w:r>
        <w:rPr>
          <w:noProof/>
        </w:rPr>
        <w:t>14</w:t>
      </w:r>
      <w:r>
        <w:rPr>
          <w:noProof/>
        </w:rPr>
        <w:fldChar w:fldCharType="end"/>
      </w:r>
    </w:p>
    <w:p w:rsidR="00C23BBD">
      <w:pPr>
        <w:pStyle w:val="TOC1"/>
        <w:tabs>
          <w:tab w:val="right" w:leader="dot" w:pos="8296"/>
        </w:tabs>
        <w:rPr>
          <w:noProof/>
        </w:rPr>
      </w:pPr>
      <w:r>
        <w:rPr>
          <w:rFonts w:hint="eastAsia"/>
          <w:noProof/>
        </w:rPr>
        <w:t>二、物理法处理设备项目建筑工程方案</w:t>
      </w:r>
      <w:r>
        <w:rPr>
          <w:noProof/>
        </w:rPr>
        <w:tab/>
      </w:r>
      <w:r>
        <w:rPr>
          <w:noProof/>
        </w:rPr>
        <w:fldChar w:fldCharType="begin"/>
      </w:r>
      <w:r>
        <w:rPr>
          <w:noProof/>
        </w:rPr>
        <w:instrText xml:space="preserve"> PAGEREF _Toc161215777 \h </w:instrText>
      </w:r>
      <w:r>
        <w:rPr>
          <w:noProof/>
        </w:rPr>
        <w:fldChar w:fldCharType="separate"/>
      </w:r>
      <w:r>
        <w:rPr>
          <w:noProof/>
        </w:rPr>
        <w:t>16</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_Toc161215778 \h </w:instrText>
      </w:r>
      <w:r>
        <w:rPr>
          <w:noProof/>
        </w:rPr>
        <w:fldChar w:fldCharType="separate"/>
      </w:r>
      <w:r>
        <w:rPr>
          <w:noProof/>
        </w:rPr>
        <w:t>16</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_Toc161215779 \h </w:instrText>
      </w:r>
      <w:r>
        <w:rPr>
          <w:noProof/>
        </w:rPr>
        <w:fldChar w:fldCharType="separate"/>
      </w:r>
      <w:r>
        <w:rPr>
          <w:noProof/>
        </w:rPr>
        <w:t>17</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_Toc161215780 \h </w:instrText>
      </w:r>
      <w:r>
        <w:rPr>
          <w:noProof/>
        </w:rPr>
        <w:fldChar w:fldCharType="separate"/>
      </w:r>
      <w:r>
        <w:rPr>
          <w:noProof/>
        </w:rPr>
        <w:t>19</w:t>
      </w:r>
      <w:r>
        <w:rPr>
          <w:noProof/>
        </w:rPr>
        <w:fldChar w:fldCharType="end"/>
      </w:r>
    </w:p>
    <w:p w:rsidR="00C23BB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_Toc161215781 \h </w:instrText>
      </w:r>
      <w:r>
        <w:rPr>
          <w:noProof/>
        </w:rPr>
        <w:fldChar w:fldCharType="separate"/>
      </w:r>
      <w:r>
        <w:rPr>
          <w:noProof/>
        </w:rPr>
        <w:t>20</w:t>
      </w:r>
      <w:r>
        <w:rPr>
          <w:noProof/>
        </w:rPr>
        <w:fldChar w:fldCharType="end"/>
      </w:r>
    </w:p>
    <w:p w:rsidR="00C23BB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_Toc161215782 \h </w:instrText>
      </w:r>
      <w:r>
        <w:rPr>
          <w:noProof/>
        </w:rPr>
        <w:fldChar w:fldCharType="separate"/>
      </w:r>
      <w:r>
        <w:rPr>
          <w:noProof/>
        </w:rPr>
        <w:t>22</w:t>
      </w:r>
      <w:r>
        <w:rPr>
          <w:noProof/>
        </w:rPr>
        <w:fldChar w:fldCharType="end"/>
      </w:r>
    </w:p>
    <w:p w:rsidR="00C23BB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_Toc161215783 \h </w:instrText>
      </w:r>
      <w:r>
        <w:rPr>
          <w:noProof/>
        </w:rPr>
        <w:fldChar w:fldCharType="separate"/>
      </w:r>
      <w:r>
        <w:rPr>
          <w:noProof/>
        </w:rPr>
        <w:t>23</w:t>
      </w:r>
      <w:r>
        <w:rPr>
          <w:noProof/>
        </w:rPr>
        <w:fldChar w:fldCharType="end"/>
      </w:r>
    </w:p>
    <w:p w:rsidR="00C23BBD">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_Toc161215784 \h </w:instrText>
      </w:r>
      <w:r>
        <w:rPr>
          <w:noProof/>
        </w:rPr>
        <w:fldChar w:fldCharType="separate"/>
      </w:r>
      <w:r>
        <w:rPr>
          <w:noProof/>
        </w:rPr>
        <w:t>26</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_Toc161215785 \h </w:instrText>
      </w:r>
      <w:r>
        <w:rPr>
          <w:noProof/>
        </w:rPr>
        <w:fldChar w:fldCharType="separate"/>
      </w:r>
      <w:r>
        <w:rPr>
          <w:noProof/>
        </w:rPr>
        <w:t>26</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_Toc161215786 \h </w:instrText>
      </w:r>
      <w:r>
        <w:rPr>
          <w:noProof/>
        </w:rPr>
        <w:fldChar w:fldCharType="separate"/>
      </w:r>
      <w:r>
        <w:rPr>
          <w:noProof/>
        </w:rPr>
        <w:t>28</w:t>
      </w:r>
      <w:r>
        <w:rPr>
          <w:noProof/>
        </w:rPr>
        <w:fldChar w:fldCharType="end"/>
      </w:r>
    </w:p>
    <w:p w:rsidR="00C23BBD">
      <w:pPr>
        <w:pStyle w:val="TOC1"/>
        <w:tabs>
          <w:tab w:val="right" w:leader="dot" w:pos="8296"/>
        </w:tabs>
        <w:rPr>
          <w:noProof/>
        </w:rPr>
      </w:pPr>
      <w:r>
        <w:rPr>
          <w:rFonts w:hint="eastAsia"/>
          <w:noProof/>
        </w:rPr>
        <w:t>四、物理法处理设备项目质量管理方案</w:t>
      </w:r>
      <w:r>
        <w:rPr>
          <w:noProof/>
        </w:rPr>
        <w:tab/>
      </w:r>
      <w:r>
        <w:rPr>
          <w:noProof/>
        </w:rPr>
        <w:fldChar w:fldCharType="begin"/>
      </w:r>
      <w:r>
        <w:rPr>
          <w:noProof/>
        </w:rPr>
        <w:instrText xml:space="preserve"> PAGEREF _Toc161215787 \h </w:instrText>
      </w:r>
      <w:r>
        <w:rPr>
          <w:noProof/>
        </w:rPr>
        <w:fldChar w:fldCharType="separate"/>
      </w:r>
      <w:r>
        <w:rPr>
          <w:noProof/>
        </w:rPr>
        <w:t>31</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_Toc161215788 \h </w:instrText>
      </w:r>
      <w:r>
        <w:rPr>
          <w:noProof/>
        </w:rPr>
        <w:fldChar w:fldCharType="separate"/>
      </w:r>
      <w:r>
        <w:rPr>
          <w:noProof/>
        </w:rPr>
        <w:t>31</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_Toc161215789 \h </w:instrText>
      </w:r>
      <w:r>
        <w:rPr>
          <w:noProof/>
        </w:rPr>
        <w:fldChar w:fldCharType="separate"/>
      </w:r>
      <w:r>
        <w:rPr>
          <w:noProof/>
        </w:rPr>
        <w:t>35</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_Toc161215790 \h </w:instrText>
      </w:r>
      <w:r>
        <w:rPr>
          <w:noProof/>
        </w:rPr>
        <w:fldChar w:fldCharType="separate"/>
      </w:r>
      <w:r>
        <w:rPr>
          <w:noProof/>
        </w:rPr>
        <w:t>37</w:t>
      </w:r>
      <w:r>
        <w:rPr>
          <w:noProof/>
        </w:rPr>
        <w:fldChar w:fldCharType="end"/>
      </w:r>
    </w:p>
    <w:p w:rsidR="00C23BBD">
      <w:pPr>
        <w:pStyle w:val="TOC1"/>
        <w:tabs>
          <w:tab w:val="right" w:leader="dot" w:pos="8296"/>
        </w:tabs>
        <w:rPr>
          <w:noProof/>
        </w:rPr>
      </w:pPr>
      <w:r>
        <w:rPr>
          <w:rFonts w:hint="eastAsia"/>
          <w:noProof/>
        </w:rPr>
        <w:t>五、物理法处理设备项目市场营销方案</w:t>
      </w:r>
      <w:r>
        <w:rPr>
          <w:noProof/>
        </w:rPr>
        <w:tab/>
      </w:r>
      <w:r>
        <w:rPr>
          <w:noProof/>
        </w:rPr>
        <w:fldChar w:fldCharType="begin"/>
      </w:r>
      <w:r>
        <w:rPr>
          <w:noProof/>
        </w:rPr>
        <w:instrText xml:space="preserve"> PAGEREF _Toc161215791 \h </w:instrText>
      </w:r>
      <w:r>
        <w:rPr>
          <w:noProof/>
        </w:rPr>
        <w:fldChar w:fldCharType="separate"/>
      </w:r>
      <w:r>
        <w:rPr>
          <w:noProof/>
        </w:rPr>
        <w:t>38</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_Toc161215792 \h </w:instrText>
      </w:r>
      <w:r>
        <w:rPr>
          <w:noProof/>
        </w:rPr>
        <w:fldChar w:fldCharType="separate"/>
      </w:r>
      <w:r>
        <w:rPr>
          <w:noProof/>
        </w:rPr>
        <w:t>38</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_Toc161215793 \h </w:instrText>
      </w:r>
      <w:r>
        <w:rPr>
          <w:noProof/>
        </w:rPr>
        <w:fldChar w:fldCharType="separate"/>
      </w:r>
      <w:r>
        <w:rPr>
          <w:noProof/>
        </w:rPr>
        <w:t>40</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_Toc161215794 \h </w:instrText>
      </w:r>
      <w:r>
        <w:rPr>
          <w:noProof/>
        </w:rPr>
        <w:fldChar w:fldCharType="separate"/>
      </w:r>
      <w:r>
        <w:rPr>
          <w:noProof/>
        </w:rPr>
        <w:t>42</w:t>
      </w:r>
      <w:r>
        <w:rPr>
          <w:noProof/>
        </w:rPr>
        <w:fldChar w:fldCharType="end"/>
      </w:r>
    </w:p>
    <w:p w:rsidR="00C23BBD">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_Toc161215795 \h </w:instrText>
      </w:r>
      <w:r>
        <w:rPr>
          <w:noProof/>
        </w:rPr>
        <w:fldChar w:fldCharType="separate"/>
      </w:r>
      <w:r>
        <w:rPr>
          <w:noProof/>
        </w:rPr>
        <w:t>45</w:t>
      </w:r>
      <w:r>
        <w:rPr>
          <w:noProof/>
        </w:rPr>
        <w:fldChar w:fldCharType="end"/>
      </w:r>
    </w:p>
    <w:p w:rsidR="00C23BBD">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_Toc161215796 \h </w:instrText>
      </w:r>
      <w:r>
        <w:rPr>
          <w:noProof/>
        </w:rPr>
        <w:fldChar w:fldCharType="separate"/>
      </w:r>
      <w:r>
        <w:rPr>
          <w:noProof/>
        </w:rPr>
        <w:t>46</w:t>
      </w:r>
      <w:r>
        <w:rPr>
          <w:noProof/>
        </w:rPr>
        <w:fldChar w:fldCharType="end"/>
      </w:r>
    </w:p>
    <w:p w:rsidR="00C23BBD">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_Toc161215797 \h </w:instrText>
      </w:r>
      <w:r>
        <w:rPr>
          <w:noProof/>
        </w:rPr>
        <w:fldChar w:fldCharType="separate"/>
      </w:r>
      <w:r>
        <w:rPr>
          <w:noProof/>
        </w:rPr>
        <w:t>48</w:t>
      </w:r>
      <w:r>
        <w:rPr>
          <w:noProof/>
        </w:rPr>
        <w:fldChar w:fldCharType="end"/>
      </w:r>
    </w:p>
    <w:p w:rsidR="00C23BBD">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_Toc161215798 \h </w:instrText>
      </w:r>
      <w:r>
        <w:rPr>
          <w:noProof/>
        </w:rPr>
        <w:fldChar w:fldCharType="separate"/>
      </w:r>
      <w:r>
        <w:rPr>
          <w:noProof/>
        </w:rPr>
        <w:t>50</w:t>
      </w:r>
      <w:r>
        <w:rPr>
          <w:noProof/>
        </w:rPr>
        <w:fldChar w:fldCharType="end"/>
      </w:r>
    </w:p>
    <w:p w:rsidR="00C23BBD">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_Toc161215799 \h </w:instrText>
      </w:r>
      <w:r>
        <w:rPr>
          <w:noProof/>
        </w:rPr>
        <w:fldChar w:fldCharType="separate"/>
      </w:r>
      <w:r>
        <w:rPr>
          <w:noProof/>
        </w:rPr>
        <w:t>52</w:t>
      </w:r>
      <w:r>
        <w:rPr>
          <w:noProof/>
        </w:rPr>
        <w:fldChar w:fldCharType="end"/>
      </w:r>
    </w:p>
    <w:p w:rsidR="00C23BBD">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_Toc161215800 \h </w:instrText>
      </w:r>
      <w:r>
        <w:rPr>
          <w:noProof/>
        </w:rPr>
        <w:fldChar w:fldCharType="separate"/>
      </w:r>
      <w:r>
        <w:rPr>
          <w:noProof/>
        </w:rPr>
        <w:t>53</w:t>
      </w:r>
      <w:r>
        <w:rPr>
          <w:noProof/>
        </w:rPr>
        <w:fldChar w:fldCharType="end"/>
      </w:r>
    </w:p>
    <w:p w:rsidR="00C23BBD">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_Toc161215801 \h </w:instrText>
      </w:r>
      <w:r>
        <w:rPr>
          <w:noProof/>
        </w:rPr>
        <w:fldChar w:fldCharType="separate"/>
      </w:r>
      <w:r>
        <w:rPr>
          <w:noProof/>
        </w:rPr>
        <w:t>55</w:t>
      </w:r>
      <w:r>
        <w:rPr>
          <w:noProof/>
        </w:rPr>
        <w:fldChar w:fldCharType="end"/>
      </w:r>
    </w:p>
    <w:p w:rsidR="00C23BBD">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_Toc161215802 \h </w:instrText>
      </w:r>
      <w:r>
        <w:rPr>
          <w:noProof/>
        </w:rPr>
        <w:fldChar w:fldCharType="separate"/>
      </w:r>
      <w:r>
        <w:rPr>
          <w:noProof/>
        </w:rPr>
        <w:t>58</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、物理法处理设备项目选址原则</w:t>
      </w:r>
      <w:r>
        <w:rPr>
          <w:noProof/>
        </w:rPr>
        <w:tab/>
      </w:r>
      <w:r>
        <w:rPr>
          <w:noProof/>
        </w:rPr>
        <w:fldChar w:fldCharType="begin"/>
      </w:r>
      <w:r>
        <w:rPr>
          <w:noProof/>
        </w:rPr>
        <w:instrText xml:space="preserve"> PAGEREF _Toc161215803 \h </w:instrText>
      </w:r>
      <w:r>
        <w:rPr>
          <w:noProof/>
        </w:rPr>
        <w:fldChar w:fldCharType="separate"/>
      </w:r>
      <w:r>
        <w:rPr>
          <w:noProof/>
        </w:rPr>
        <w:t>58</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、物理法处理设备项目选址</w:t>
      </w:r>
      <w:r>
        <w:rPr>
          <w:noProof/>
        </w:rPr>
        <w:tab/>
      </w:r>
      <w:r>
        <w:rPr>
          <w:noProof/>
        </w:rPr>
        <w:fldChar w:fldCharType="begin"/>
      </w:r>
      <w:r>
        <w:rPr>
          <w:noProof/>
        </w:rPr>
        <w:instrText xml:space="preserve"> PAGEREF _Toc161215804 \h </w:instrText>
      </w:r>
      <w:r>
        <w:rPr>
          <w:noProof/>
        </w:rPr>
        <w:fldChar w:fldCharType="separate"/>
      </w:r>
      <w:r>
        <w:rPr>
          <w:noProof/>
        </w:rPr>
        <w:t>59</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_Toc161215805 \h </w:instrText>
      </w:r>
      <w:r>
        <w:rPr>
          <w:noProof/>
        </w:rPr>
        <w:fldChar w:fldCharType="separate"/>
      </w:r>
      <w:r>
        <w:rPr>
          <w:noProof/>
        </w:rPr>
        <w:t>61</w:t>
      </w:r>
      <w:r>
        <w:rPr>
          <w:noProof/>
        </w:rPr>
        <w:fldChar w:fldCharType="end"/>
      </w:r>
    </w:p>
    <w:p w:rsidR="00C23BB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_Toc161215806 \h </w:instrText>
      </w:r>
      <w:r>
        <w:rPr>
          <w:noProof/>
        </w:rPr>
        <w:fldChar w:fldCharType="separate"/>
      </w:r>
      <w:r>
        <w:rPr>
          <w:noProof/>
        </w:rPr>
        <w:t>62</w:t>
      </w:r>
      <w:r>
        <w:rPr>
          <w:noProof/>
        </w:rPr>
        <w:fldChar w:fldCharType="end"/>
      </w:r>
    </w:p>
    <w:p w:rsidR="00C23BB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_Toc161215807 \h </w:instrText>
      </w:r>
      <w:r>
        <w:rPr>
          <w:noProof/>
        </w:rPr>
        <w:fldChar w:fldCharType="separate"/>
      </w:r>
      <w:r>
        <w:rPr>
          <w:noProof/>
        </w:rPr>
        <w:t>63</w:t>
      </w:r>
      <w:r>
        <w:rPr>
          <w:noProof/>
        </w:rPr>
        <w:fldChar w:fldCharType="end"/>
      </w:r>
    </w:p>
    <w:p w:rsidR="00C23BB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_Toc161215808 \h </w:instrText>
      </w:r>
      <w:r>
        <w:rPr>
          <w:noProof/>
        </w:rPr>
        <w:fldChar w:fldCharType="separate"/>
      </w:r>
      <w:r>
        <w:rPr>
          <w:noProof/>
        </w:rPr>
        <w:t>65</w:t>
      </w:r>
      <w:r>
        <w:rPr>
          <w:noProof/>
        </w:rPr>
        <w:fldChar w:fldCharType="end"/>
      </w:r>
    </w:p>
    <w:p w:rsidR="00C23BB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_Toc161215809 \h </w:instrText>
      </w:r>
      <w:r>
        <w:rPr>
          <w:noProof/>
        </w:rPr>
        <w:fldChar w:fldCharType="separate"/>
      </w:r>
      <w:r>
        <w:rPr>
          <w:noProof/>
        </w:rPr>
        <w:t>66</w:t>
      </w:r>
      <w:r>
        <w:rPr>
          <w:noProof/>
        </w:rPr>
        <w:fldChar w:fldCharType="end"/>
      </w:r>
    </w:p>
    <w:p w:rsidR="00C23BB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七、工艺原则</w:t>
      </w:r>
      <w:r>
        <w:rPr>
          <w:noProof/>
        </w:rPr>
        <w:tab/>
      </w:r>
      <w:r>
        <w:rPr>
          <w:noProof/>
        </w:rPr>
        <w:fldChar w:fldCharType="begin"/>
      </w:r>
      <w:r>
        <w:rPr>
          <w:noProof/>
        </w:rPr>
        <w:instrText xml:space="preserve"> PAGEREF _Toc161215810 \h </w:instrText>
      </w:r>
      <w:r>
        <w:rPr>
          <w:noProof/>
        </w:rPr>
        <w:fldChar w:fldCharType="separate"/>
      </w:r>
      <w:r>
        <w:rPr>
          <w:noProof/>
        </w:rPr>
        <w:t>68</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_Toc161215811 \h </w:instrText>
      </w:r>
      <w:r>
        <w:rPr>
          <w:noProof/>
        </w:rPr>
        <w:fldChar w:fldCharType="separate"/>
      </w:r>
      <w:r>
        <w:rPr>
          <w:noProof/>
        </w:rPr>
        <w:t>68</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_Toc161215812 \h </w:instrText>
      </w:r>
      <w:r>
        <w:rPr>
          <w:noProof/>
        </w:rPr>
        <w:fldChar w:fldCharType="separate"/>
      </w:r>
      <w:r>
        <w:rPr>
          <w:noProof/>
        </w:rPr>
        <w:t>69</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、物理法处理设备项目工艺技术设计方案</w:t>
      </w:r>
      <w:r>
        <w:rPr>
          <w:noProof/>
        </w:rPr>
        <w:tab/>
      </w:r>
      <w:r>
        <w:rPr>
          <w:noProof/>
        </w:rPr>
        <w:fldChar w:fldCharType="begin"/>
      </w:r>
      <w:r>
        <w:rPr>
          <w:noProof/>
        </w:rPr>
        <w:instrText xml:space="preserve"> PAGEREF _Toc161215813 \h </w:instrText>
      </w:r>
      <w:r>
        <w:rPr>
          <w:noProof/>
        </w:rPr>
        <w:fldChar w:fldCharType="separate"/>
      </w:r>
      <w:r>
        <w:rPr>
          <w:noProof/>
        </w:rPr>
        <w:t>71</w:t>
      </w:r>
      <w:r>
        <w:rPr>
          <w:noProof/>
        </w:rPr>
        <w:fldChar w:fldCharType="end"/>
      </w:r>
    </w:p>
    <w:p w:rsidR="00C23BB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_Toc161215814 \h </w:instrText>
      </w:r>
      <w:r>
        <w:rPr>
          <w:noProof/>
        </w:rPr>
        <w:fldChar w:fldCharType="separate"/>
      </w:r>
      <w:r>
        <w:rPr>
          <w:noProof/>
        </w:rPr>
        <w:t>71</w:t>
      </w:r>
      <w:r>
        <w:rPr>
          <w:noProof/>
        </w:rPr>
        <w:fldChar w:fldCharType="end"/>
      </w:r>
    </w:p>
    <w:p w:rsidR="00C23BBD">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_Toc161215815 \h </w:instrText>
      </w:r>
      <w:r>
        <w:rPr>
          <w:noProof/>
        </w:rPr>
        <w:fldChar w:fldCharType="separate"/>
      </w:r>
      <w:r>
        <w:rPr>
          <w:noProof/>
        </w:rPr>
        <w:t>72</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_Toc161215816 \h </w:instrText>
      </w:r>
      <w:r>
        <w:rPr>
          <w:noProof/>
        </w:rPr>
        <w:fldChar w:fldCharType="separate"/>
      </w:r>
      <w:r>
        <w:rPr>
          <w:noProof/>
        </w:rPr>
        <w:t>72</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_Toc161215817 \h </w:instrText>
      </w:r>
      <w:r>
        <w:rPr>
          <w:noProof/>
        </w:rPr>
        <w:fldChar w:fldCharType="separate"/>
      </w:r>
      <w:r>
        <w:rPr>
          <w:noProof/>
        </w:rPr>
        <w:t>73</w:t>
      </w:r>
      <w:r>
        <w:rPr>
          <w:noProof/>
        </w:rPr>
        <w:fldChar w:fldCharType="end"/>
      </w:r>
    </w:p>
    <w:p w:rsidR="00C23BBD">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_Toc161215818 \h </w:instrText>
      </w:r>
      <w:r>
        <w:rPr>
          <w:noProof/>
        </w:rPr>
        <w:fldChar w:fldCharType="separate"/>
      </w:r>
      <w:r>
        <w:rPr>
          <w:noProof/>
        </w:rPr>
        <w:t>74</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_Toc161215819 \h </w:instrText>
      </w:r>
      <w:r>
        <w:rPr>
          <w:noProof/>
        </w:rPr>
        <w:fldChar w:fldCharType="separate"/>
      </w:r>
      <w:r>
        <w:rPr>
          <w:noProof/>
        </w:rPr>
        <w:t>74</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_Toc161215820 \h </w:instrText>
      </w:r>
      <w:r>
        <w:rPr>
          <w:noProof/>
        </w:rPr>
        <w:fldChar w:fldCharType="separate"/>
      </w:r>
      <w:r>
        <w:rPr>
          <w:noProof/>
        </w:rPr>
        <w:t>77</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_Toc161215821 \h </w:instrText>
      </w:r>
      <w:r>
        <w:rPr>
          <w:noProof/>
        </w:rPr>
        <w:fldChar w:fldCharType="separate"/>
      </w:r>
      <w:r>
        <w:rPr>
          <w:noProof/>
        </w:rPr>
        <w:t>79</w:t>
      </w:r>
      <w:r>
        <w:rPr>
          <w:noProof/>
        </w:rPr>
        <w:fldChar w:fldCharType="end"/>
      </w:r>
    </w:p>
    <w:p w:rsidR="00C23BB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_Toc161215822 \h </w:instrText>
      </w:r>
      <w:r>
        <w:rPr>
          <w:noProof/>
        </w:rPr>
        <w:fldChar w:fldCharType="separate"/>
      </w:r>
      <w:r>
        <w:rPr>
          <w:noProof/>
        </w:rPr>
        <w:t>81</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_Toc161215823 \h </w:instrText>
      </w:r>
      <w:r>
        <w:rPr>
          <w:noProof/>
        </w:rPr>
        <w:fldChar w:fldCharType="separate"/>
      </w:r>
      <w:r>
        <w:rPr>
          <w:noProof/>
        </w:rPr>
        <w:t>81</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_Toc161215824 \h </w:instrText>
      </w:r>
      <w:r>
        <w:rPr>
          <w:noProof/>
        </w:rPr>
        <w:fldChar w:fldCharType="separate"/>
      </w:r>
      <w:r>
        <w:rPr>
          <w:noProof/>
        </w:rPr>
        <w:t>81</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_Toc161215825 \h </w:instrText>
      </w:r>
      <w:r>
        <w:rPr>
          <w:noProof/>
        </w:rPr>
        <w:fldChar w:fldCharType="separate"/>
      </w:r>
      <w:r>
        <w:rPr>
          <w:noProof/>
        </w:rPr>
        <w:t>82</w:t>
      </w:r>
      <w:r>
        <w:rPr>
          <w:noProof/>
        </w:rPr>
        <w:fldChar w:fldCharType="end"/>
      </w:r>
    </w:p>
    <w:p w:rsidR="00C23BBD">
      <w:pPr>
        <w:pStyle w:val="TOC1"/>
        <w:tabs>
          <w:tab w:val="right" w:leader="dot" w:pos="8296"/>
        </w:tabs>
        <w:rPr>
          <w:noProof/>
        </w:rPr>
      </w:pPr>
      <w:r>
        <w:rPr>
          <w:rFonts w:hint="eastAsia"/>
          <w:noProof/>
        </w:rPr>
        <w:t>十一、物理法处理设备项目执行风险与应对策略</w:t>
      </w:r>
      <w:r>
        <w:rPr>
          <w:noProof/>
        </w:rPr>
        <w:tab/>
      </w:r>
      <w:r>
        <w:rPr>
          <w:noProof/>
        </w:rPr>
        <w:fldChar w:fldCharType="begin"/>
      </w:r>
      <w:r>
        <w:rPr>
          <w:noProof/>
        </w:rPr>
        <w:instrText xml:space="preserve"> PAGEREF _Toc161215826 \h </w:instrText>
      </w:r>
      <w:r>
        <w:rPr>
          <w:noProof/>
        </w:rPr>
        <w:fldChar w:fldCharType="separate"/>
      </w:r>
      <w:r>
        <w:rPr>
          <w:noProof/>
        </w:rPr>
        <w:t>83</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、物理法处理设备项目执行风险识别</w:t>
      </w:r>
      <w:r>
        <w:rPr>
          <w:noProof/>
        </w:rPr>
        <w:tab/>
      </w:r>
      <w:r>
        <w:rPr>
          <w:noProof/>
        </w:rPr>
        <w:fldChar w:fldCharType="begin"/>
      </w:r>
      <w:r>
        <w:rPr>
          <w:noProof/>
        </w:rPr>
        <w:instrText xml:space="preserve"> PAGEREF _Toc161215827 \h </w:instrText>
      </w:r>
      <w:r>
        <w:rPr>
          <w:noProof/>
        </w:rPr>
        <w:fldChar w:fldCharType="separate"/>
      </w:r>
      <w:r>
        <w:rPr>
          <w:noProof/>
        </w:rPr>
        <w:t>83</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_Toc161215828 \h </w:instrText>
      </w:r>
      <w:r>
        <w:rPr>
          <w:noProof/>
        </w:rPr>
        <w:fldChar w:fldCharType="separate"/>
      </w:r>
      <w:r>
        <w:rPr>
          <w:noProof/>
        </w:rPr>
        <w:t>84</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_Toc161215829 \h </w:instrText>
      </w:r>
      <w:r>
        <w:rPr>
          <w:noProof/>
        </w:rPr>
        <w:fldChar w:fldCharType="separate"/>
      </w:r>
      <w:r>
        <w:rPr>
          <w:noProof/>
        </w:rPr>
        <w:t>85</w:t>
      </w:r>
      <w:r>
        <w:rPr>
          <w:noProof/>
        </w:rPr>
        <w:fldChar w:fldCharType="end"/>
      </w:r>
    </w:p>
    <w:p w:rsidR="00C23BBD">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_Toc161215830 \h </w:instrText>
      </w:r>
      <w:r>
        <w:rPr>
          <w:noProof/>
        </w:rPr>
        <w:fldChar w:fldCharType="separate"/>
      </w:r>
      <w:r>
        <w:rPr>
          <w:noProof/>
        </w:rPr>
        <w:t>87</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_Toc161215831 \h </w:instrText>
      </w:r>
      <w:r>
        <w:rPr>
          <w:noProof/>
        </w:rPr>
        <w:fldChar w:fldCharType="separate"/>
      </w:r>
      <w:r>
        <w:rPr>
          <w:noProof/>
        </w:rPr>
        <w:t>87</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_Toc161215832 \h </w:instrText>
      </w:r>
      <w:r>
        <w:rPr>
          <w:noProof/>
        </w:rPr>
        <w:fldChar w:fldCharType="separate"/>
      </w:r>
      <w:r>
        <w:rPr>
          <w:noProof/>
        </w:rPr>
        <w:t>88</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_Toc161215833 \h </w:instrText>
      </w:r>
      <w:r>
        <w:rPr>
          <w:noProof/>
        </w:rPr>
        <w:fldChar w:fldCharType="separate"/>
      </w:r>
      <w:r>
        <w:rPr>
          <w:noProof/>
        </w:rPr>
        <w:t>89</w:t>
      </w:r>
      <w:r>
        <w:rPr>
          <w:noProof/>
        </w:rPr>
        <w:fldChar w:fldCharType="end"/>
      </w:r>
    </w:p>
    <w:p w:rsidR="00C23BBD">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_Toc161215834 \h </w:instrText>
      </w:r>
      <w:r>
        <w:rPr>
          <w:noProof/>
        </w:rPr>
        <w:fldChar w:fldCharType="separate"/>
      </w:r>
      <w:r>
        <w:rPr>
          <w:noProof/>
        </w:rPr>
        <w:t>91</w:t>
      </w:r>
      <w:r>
        <w:rPr>
          <w:noProof/>
        </w:rPr>
        <w:fldChar w:fldCharType="end"/>
      </w:r>
    </w:p>
    <w:p w:rsidR="00C23BB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_Toc161215835 \h </w:instrText>
      </w:r>
      <w:r>
        <w:rPr>
          <w:noProof/>
        </w:rPr>
        <w:fldChar w:fldCharType="separate"/>
      </w:r>
      <w:r>
        <w:rPr>
          <w:noProof/>
        </w:rPr>
        <w:t>91</w:t>
      </w:r>
      <w:r>
        <w:rPr>
          <w:noProof/>
        </w:rPr>
        <w:fldChar w:fldCharType="end"/>
      </w:r>
    </w:p>
    <w:p w:rsidR="00C23BB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_Toc161215836 \h </w:instrText>
      </w:r>
      <w:r>
        <w:rPr>
          <w:noProof/>
        </w:rPr>
        <w:fldChar w:fldCharType="separate"/>
      </w:r>
      <w:r>
        <w:rPr>
          <w:noProof/>
        </w:rPr>
        <w:t>92</w:t>
      </w:r>
      <w:r>
        <w:rPr>
          <w:noProof/>
        </w:rPr>
        <w:fldChar w:fldCharType="end"/>
      </w:r>
    </w:p>
    <w:p w:rsidR="00C23BB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_Toc161215837 \h </w:instrText>
      </w:r>
      <w:r>
        <w:rPr>
          <w:noProof/>
        </w:rPr>
        <w:fldChar w:fldCharType="separate"/>
      </w:r>
      <w:r>
        <w:rPr>
          <w:noProof/>
        </w:rPr>
        <w:t>94</w:t>
      </w:r>
      <w:r>
        <w:rPr>
          <w:noProof/>
        </w:rPr>
        <w:fldChar w:fldCharType="end"/>
      </w:r>
    </w:p>
    <w:p w:rsidR="00C23BBD" w:rsidP="00C23BB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23BBD" w:rsidP="00C23BBD">
      <w:pPr>
        <w:pStyle w:val="Heading1"/>
        <w:jc w:val="center"/>
        <w:rPr>
          <w:rFonts w:hint="eastAsia"/>
        </w:rPr>
      </w:pPr>
      <w:bookmarkStart w:id="1" w:name="_Toc161215769"/>
      <w:r w:rsidRPr="00C23BBD">
        <w:rPr>
          <w:rFonts w:hint="eastAsia"/>
        </w:rPr>
        <w:t>序言</w:t>
      </w:r>
      <w:bookmarkEnd w:id="1"/>
    </w:p>
    <w:p w:rsidR="00C23BBD" w:rsidP="00C23BBD">
      <w:pPr>
        <w:ind w:firstLine="560" w:firstLineChars="200"/>
        <w:rPr>
          <w:rFonts w:ascii="仿宋" w:eastAsia="仿宋" w:hAnsi="仿宋" w:hint="eastAsia"/>
          <w:sz w:val="28"/>
        </w:rPr>
      </w:pPr>
      <w:r w:rsidRPr="00C23BB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23BBD" w:rsidP="00C23BBD">
      <w:pPr>
        <w:pStyle w:val="Heading1"/>
        <w:rPr>
          <w:rFonts w:hint="eastAsia"/>
        </w:rPr>
      </w:pPr>
      <w:bookmarkStart w:id="2" w:name="_Toc161215770"/>
      <w:r w:rsidRPr="00C23BBD">
        <w:rPr>
          <w:rFonts w:hint="eastAsia"/>
        </w:rPr>
        <w:t>一、物理法处理设备项目风险管理方案</w:t>
      </w:r>
      <w:bookmarkEnd w:id="2"/>
    </w:p>
    <w:p w:rsidR="00C23BBD" w:rsidP="00C23BBD">
      <w:pPr>
        <w:pStyle w:val="Heading2"/>
        <w:rPr>
          <w:rFonts w:hint="eastAsia"/>
        </w:rPr>
      </w:pPr>
      <w:bookmarkStart w:id="3" w:name="_Toc161215771"/>
      <w:r w:rsidRPr="00C23BBD">
        <w:rPr>
          <w:rFonts w:hint="eastAsia"/>
        </w:rPr>
        <w:t>(</w:t>
      </w:r>
      <w:r w:rsidRPr="00C23BBD">
        <w:rPr>
          <w:rFonts w:hint="eastAsia"/>
        </w:rPr>
        <w:t>一</w:t>
      </w:r>
      <w:r w:rsidRPr="00C23BBD">
        <w:rPr>
          <w:rFonts w:hint="eastAsia"/>
        </w:rPr>
        <w:t>)</w:t>
      </w:r>
      <w:r w:rsidRPr="00C23BBD">
        <w:rPr>
          <w:rFonts w:hint="eastAsia"/>
        </w:rPr>
        <w:t>、风险管理概述</w:t>
      </w:r>
      <w:bookmarkEnd w:id="3"/>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当前政策环境下，风险管理的关键性日益凸显，尤其在物理法处理设备项目实施中扮演着不可或缺的角色。政策的不断调整和变化可能带来新的挑战，因此物理法处理设备项目团队需要更加敏锐地识别、评估和应对各种潜在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物理法处理设备项目可能产生的潜在影响。</w:t>
      </w:r>
    </w:p>
    <w:p w:rsidR="00C23BBD" w:rsidRPr="00C23BBD" w:rsidP="00C23BB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23BBD">
        <w:rPr>
          <w:rFonts w:ascii="仿宋" w:eastAsia="仿宋" w:hAnsi="仿宋" w:hint="eastAsia"/>
          <w:sz w:val="28"/>
        </w:rPr>
        <w:t>其次，风险评估的过程需要更具前瞻性，物理法处理设备项目团队应当通过定性和定量分析，充分评估政策变化对物理法处理设备项</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目目标的可能影响。这一过程的关键在于科学合理地量化潜在风险的概率和影响程度，从而有针对性地采取相应的风险应对措施。</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面对政策层面的风险时，风险应对措施需要更加灵活。除了常规的避免、减轻、转移和接受策略外，物理法处理设备项目团队还应考虑制定专门的政策应对计划，包括密切关注政策变化、及时调整物理法处理设备项目实施方案等。例如，加强与相关政府部门的沟通，获取政策解读，及时调整物理法处理设备项目策略以确保物理法处理设备项目不受不确定性的过大影响。</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最后，风险监控的过程也需要更具前瞻性。物理法处理设备项目团队在监控风险的同时，应当随时关注政策环境的变化，确保物理法处理设备项目能够灵活适应新的政策要求。这可能涉及到对物理法处理设备项目计划的及时调整、政策培训和物理法处理设备项目团队的更新等方面，以保持物理法处理设备项目在复杂多变的政策环境中的稳定推进。</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在当前政策背景下，风险管理需要更具前瞻性、灵活性和战略性，以确保物理法处理设备项目能够在不断变化的政策环境中保持成功实施的稳定性。通过全面考虑政策层面的风险，并采取相应的战略性风险管理措施，物理法处理设备项目团队将更有信心和能力应对潜在的挑战，确保物理法处理设备项目的成功推进。</w:t>
      </w:r>
    </w:p>
    <w:p w:rsidR="00C23BBD" w:rsidP="00C23BBD">
      <w:pPr>
        <w:pStyle w:val="Heading2"/>
      </w:pPr>
      <w:bookmarkStart w:id="4" w:name="_Toc161215772"/>
      <w:r w:rsidRPr="00C23BBD">
        <w:t>(</w:t>
      </w:r>
      <w:r w:rsidRPr="00C23BBD">
        <w:t>二</w:t>
      </w:r>
      <w:r w:rsidRPr="00C23BBD">
        <w:t>)</w:t>
      </w:r>
      <w:r w:rsidRPr="00C23BBD">
        <w:t>、企业面临的风险</w:t>
      </w:r>
      <w:bookmarkEnd w:id="4"/>
    </w:p>
    <w:p w:rsidR="00C23BBD" w:rsidRPr="00C23BBD" w:rsidP="00C23BB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23BBD">
        <w:rPr>
          <w:rFonts w:ascii="仿宋" w:eastAsia="仿宋" w:hAnsi="仿宋" w:hint="eastAsia"/>
          <w:sz w:val="28"/>
        </w:rPr>
        <w:t>在物理法处理设备项目领域，企业在运营过程中面临着多层次的</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风险，这些风险源于内部操作、外部环境变化以及激烈的市场竞争。为了确保企业的成功，有效的风险管理显得尤为关键。下面将详细探讨物理法处理设备项目中可能出现的各类风险，并提出相应的应对措施，以保障企业的可持续发展。</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一、市场需求波动风险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市场变化带来的需求波动风险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竞争对手的市场份额侵蚀风险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二、供应链风险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原材料供应不稳定风险</w:t>
      </w:r>
    </w:p>
    <w:p w:rsidR="00C23BBD" w:rsidRPr="00C23BBD" w:rsidP="00C23BB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23BB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供应链环节的质量风险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三、技术与生产风险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生产设备故障风险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生产工艺变革风险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四、法律与政策风险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环保政策风险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知识产权风险</w:t>
      </w:r>
    </w:p>
    <w:p w:rsidR="00C23BBD" w:rsidRPr="00C23BBD" w:rsidP="00C23BB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23BBD">
        <w:rPr>
          <w:rFonts w:ascii="仿宋" w:eastAsia="仿宋" w:hAnsi="仿宋" w:hint="eastAsia"/>
          <w:sz w:val="28"/>
        </w:rPr>
        <w:t>在物理法处理设备项目中，知识产权的保护至关重要。企业需防范知识产权被侵犯的风险，加强专利申请、技术保密等工作，以避免知识产权纠纷导致的市场排斥和法律诉讼风险。</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通过采取上述措施，企业可以更全面、系统地管理各类风险，提高对不确定性的应对能力，从而确保物理法处理设备项目的顺利进行和企业的可持续发展。</w:t>
      </w:r>
    </w:p>
    <w:p w:rsidR="00C23BBD" w:rsidP="00C23BBD">
      <w:pPr>
        <w:pStyle w:val="Heading2"/>
      </w:pPr>
      <w:bookmarkStart w:id="5" w:name="_Toc161215773"/>
      <w:r w:rsidRPr="00C23BBD">
        <w:t>(</w:t>
      </w:r>
      <w:r w:rsidRPr="00C23BBD">
        <w:t>三</w:t>
      </w:r>
      <w:r w:rsidRPr="00C23BBD">
        <w:t>)</w:t>
      </w:r>
      <w:r w:rsidRPr="00C23BBD">
        <w:t>、风险成本与风险管理的目标</w:t>
      </w:r>
      <w:bookmarkEnd w:id="5"/>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风险管理一直是任何物理法处理设备项目成功实施的关键因素之一。在物理法处理设备项目中，风险管理的目标是通过系统性的方法识别、评估和应对可能影响物理法处理设备项目目标的潜在风险。为了降低物理法处理设备项目失败的风险，提高物理法处理设备项目的成功率，物理法处理设备项目团队需要在整个物理法处理设备项目生命周期中采取一系列有效的风险管理措施。</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风险成本作为风险管理的一个关键概念，在物理法处理设备项目中显得尤为重要。这指的是由于风险事件的发生可能导致的经济损失和其他负面影响所带来的费用。这些成本涵盖了直接和间接的损失，以及为了应对风险而采取的各种措施所产生的费用。考虑到物理法处理设备项目通常涉及大量资金投入，合理评估和控制风险成本对物理法处理设备项目的成功至关重要，直接影响物理法处理设备项目的资金流动和盈利能力。</w:t>
      </w:r>
    </w:p>
    <w:p w:rsidR="00C23BBD" w:rsidRPr="00C23BBD" w:rsidP="00C23BB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23BBD">
        <w:rPr>
          <w:rFonts w:ascii="仿宋" w:eastAsia="仿宋" w:hAnsi="仿宋" w:hint="eastAsia"/>
          <w:sz w:val="28"/>
        </w:rPr>
        <w:t>风险管理的目标之一是在物理法处理设备项目启动阶段就能预测和识别潜在风险。通过建立完善的风险识别和分析体系，物理法处理设备项目团队可以提前评估可能出现的风险，为物理法处理设备项目决策提供科学依据。评估和量化风险同样重要，通过对风险事件的</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发生概率和影响程度进行评估，可以为物理法处理设备项目制定合适的风险应对策略提供基础。将风险以数字形式量化有助于物理法处理设备项目管理者更好地理解整体风险影响，并作出相应决策。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控制和减少风险是风险管理的核心目标。通过建立完善的风险控制体系，物理法处理设备项目团队能够制定详细的风险控制计划，并实施有效的措施，以降低物理法处理设备项目的风险水平，提高物理法处理设备项目的成功率。应对和处理风险同样重要，特别是在风险事件发生时，能够及时采取措施最大程度减少损失。</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监控和反馈风险是风险管理的最终目标。通过不断监控物理法处理设备项目的风险状态，及时反馈风险信息，物理法处理设备项目管理者能够做出及时决策，快速调整风险应对策略，确保物理法处理设备项目按计划进行。这有效地建立了物理法处理设备项目的风险监控和反馈机制，有助于物理法处理设备项目在变化的环境中保持灵活性和应变能力。</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在物理法处理设备项目中，综合考虑风险成本和风险管理的各物理法处理设备项目标，物理法处理设备项目团队能够更好地应对不确定性，提高物理法处理设备项目的成功率。通过合理的风险管理，物理法处理设备项目可以更顺利、更有效地达成预定的时间、成本和质量目标。</w:t>
      </w:r>
    </w:p>
    <w:p w:rsidR="00C23BBD" w:rsidP="00C23BBD">
      <w:pPr>
        <w:pStyle w:val="Heading2"/>
      </w:pPr>
      <w:bookmarkStart w:id="6" w:name="_Toc161215774"/>
      <w:r w:rsidRPr="00C23BBD">
        <w:t>(</w:t>
      </w:r>
      <w:r w:rsidRPr="00C23BBD">
        <w:t>四</w:t>
      </w:r>
      <w:r w:rsidRPr="00C23BBD">
        <w:t>)</w:t>
      </w:r>
      <w:r w:rsidRPr="00C23BBD">
        <w:t>、人力资本风险分析</w:t>
      </w:r>
      <w:bookmarkEnd w:id="6"/>
    </w:p>
    <w:p w:rsidR="00C23BBD" w:rsidRPr="00C23BBD" w:rsidP="00C23BB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23BBD">
        <w:rPr>
          <w:rFonts w:ascii="仿宋" w:eastAsia="仿宋" w:hAnsi="仿宋" w:hint="eastAsia"/>
          <w:sz w:val="28"/>
        </w:rPr>
        <w:t>一、人力资本风险的界定与总览</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物理法处理设备项目中，人力资本风险指的是由于不当的人力资源管理、员工素质欠缺或者员工频繁流动等因素引发的可能性风险。这些潜在的风险直接关系到企业的关键指标，如生产效率、产品质量以及物理法处理设备项目进展。人力资本风险分析的主要目的在于识别和评估这些风险，以帮助企业采取相应措施来降低或避免对物理法处理设备项目的不利影响。</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二、内部人力资本风险的深度分析</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员工素质风险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员工流动风险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高离职率和频繁流动可能带来物理法处理设备项目延误、生产线断档以及知识流失等问题。为了缓解这种风险，企业可通过建立健全的员工关系、提供发展空间和培训机会，增强员工的归属感和忠诚度。</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管理能力风险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管理层在物理法处理设备项目过程中的决策、协调和沟通能力不足可能导致物理法处理设备项目进展缓慢、资源浪费以及团队合作不畅。为规避这一风险，企业需强化管理层的培训和能力提升，提高他们的领导力和组织能力。</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三、外部人力资本风险的综合分析</w:t>
      </w:r>
    </w:p>
    <w:p w:rsidR="00C23BBD" w:rsidRPr="00C23BBD" w:rsidP="00C23BB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23BBD">
        <w:rPr>
          <w:rFonts w:ascii="仿宋" w:eastAsia="仿宋" w:hAnsi="仿宋" w:hint="eastAsia"/>
          <w:sz w:val="28"/>
        </w:rPr>
        <w:t>1. 市场竞争风险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法律法规风险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技术变革风险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通过全面分析内外部人力资本风险，企业能够识别潜在的问题因素，并采取相应措施来降低或避免这些风险对物理法处理设备项目的负面影响。科学合理的人力资本管理有助于提高生产效率、确保产品质量，并确保物理法处理设备项目的顺利推进。</w:t>
      </w:r>
    </w:p>
    <w:p w:rsidR="00C23BBD" w:rsidP="00C23BBD">
      <w:pPr>
        <w:pStyle w:val="Heading2"/>
      </w:pPr>
      <w:bookmarkStart w:id="7" w:name="_Toc161215775"/>
      <w:r w:rsidRPr="00C23BBD">
        <w:t>(</w:t>
      </w:r>
      <w:r w:rsidRPr="00C23BBD">
        <w:t>五</w:t>
      </w:r>
      <w:r w:rsidRPr="00C23BBD">
        <w:t>)</w:t>
      </w:r>
      <w:r w:rsidRPr="00C23BBD">
        <w:t>、风险识别</w:t>
      </w:r>
      <w:bookmarkEnd w:id="7"/>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1. 人才招聘与储备风险</w:t>
      </w:r>
    </w:p>
    <w:p w:rsidR="00C23BBD" w:rsidRPr="00C23BBD" w:rsidP="00C23BB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23BBD">
        <w:rPr>
          <w:rFonts w:ascii="仿宋" w:eastAsia="仿宋" w:hAnsi="仿宋" w:hint="eastAsia"/>
          <w:sz w:val="28"/>
        </w:rPr>
        <w:t>在物理法处理设备项目进行中，人才招聘与储备是关键的环节。如果企业无法及时找到合适的人才填补空缺，可能导致物理法处理设备项目推进受阻，增加其他员工工作负担。建议企业建立健全的招聘渠道，同时进行人才储备，以确保在关键时刻能够迅速找到合适的替</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补人员。</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2. 培训与继续教育风险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物理法处理设备项目质量。</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3. 沟通与团队协作风险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物理法处理设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4. 福利与激励风险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5. 外部劳动力市场风险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23BBD" w:rsidRPr="00C23BBD" w:rsidP="00C23BB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23BBD">
        <w:rPr>
          <w:rFonts w:ascii="仿宋" w:eastAsia="仿宋" w:hAnsi="仿宋" w:hint="eastAsia"/>
          <w:sz w:val="28"/>
        </w:rPr>
        <w:t>风险识别的建议与对策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1. 建立健全的招聘渠道与人才储备计划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2. 实施持续的培训与教育计划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3. 加强沟通培训与团队建设</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 xml:space="preserve"> 4. 调整灵活的福利政策和激励机制</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5. 持续关注外部劳动力市场动态</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23BBD" w:rsidRPr="00C23BBD" w:rsidP="00C23BB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23BBD">
        <w:rPr>
          <w:rFonts w:ascii="仿宋" w:eastAsia="仿宋" w:hAnsi="仿宋" w:hint="eastAsia"/>
          <w:sz w:val="28"/>
        </w:rPr>
        <w:t>6. 制定危机管理计划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建立完善的危机管理计划，明确各类风险发生时的应急预案和决策流程。包括人才流失、技能短缺、管理层变动等情况的具体处理方案，以应对突发情况，保障物理法处理设备项目的平稳进行。</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7. 强化绩效评估和激励机制</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8. 持续改进企业文化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营造积极向上的企业文化，加强员工归属感和凝聚力。通过团队活动、文化建设等方式，培养员工对企业的认同感，减少员工流失风险。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9. 制定法律合规标准</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风险识别的综合管理</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23BBD" w:rsidRPr="00C23BBD" w:rsidP="00C23BB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23BBD">
        <w:rPr>
          <w:rFonts w:ascii="仿宋" w:eastAsia="仿宋" w:hAnsi="仿宋" w:hint="eastAsia"/>
          <w:sz w:val="28"/>
        </w:rPr>
        <w:t>风险识别是一个动态过程，需要不断地跟踪和调整。企业在物理法处理设备项目中应当持续关注内外部环境的变化，及时调整风险识</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别策略，以确保物理法处理设备项目的持续稳定推进。通过科学的风险识别和有效的应对措施，企业可以更好地规避潜在风险，保障物理法处理设备项目的成功实施。</w:t>
      </w:r>
    </w:p>
    <w:p w:rsidR="00C23BBD" w:rsidP="00C23BBD">
      <w:pPr>
        <w:ind w:firstLine="560" w:firstLineChars="200"/>
        <w:rPr>
          <w:rFonts w:ascii="仿宋" w:eastAsia="仿宋" w:hAnsi="仿宋"/>
          <w:sz w:val="28"/>
        </w:rPr>
      </w:pPr>
    </w:p>
    <w:p w:rsidR="00C23BBD" w:rsidP="00C23BBD">
      <w:pPr>
        <w:pStyle w:val="Heading2"/>
      </w:pPr>
      <w:bookmarkStart w:id="8" w:name="_Toc161215776"/>
      <w:r w:rsidRPr="00C23BBD">
        <w:t>(</w:t>
      </w:r>
      <w:r w:rsidRPr="00C23BBD">
        <w:t>六</w:t>
      </w:r>
      <w:r w:rsidRPr="00C23BBD">
        <w:t>)</w:t>
      </w:r>
      <w:r w:rsidRPr="00C23BBD">
        <w:t>、风险管理的措施</w:t>
      </w:r>
      <w:bookmarkEnd w:id="8"/>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制定全面的风险管理计划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在物理法处理设备项目启动阶段，制定一份全面的风险管理计划，明确风险的识别、评估、监测和应对流程。确保团队对计划的理解，并定期审查和更新以适应物理法处理设备项目的变化。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建立专业的风险管理团队</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定期进行风险评估</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4. 强化沟通与团队合作</w:t>
      </w:r>
    </w:p>
    <w:p w:rsidR="00C23BBD" w:rsidRPr="00C23BBD" w:rsidP="00C23BB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23BBD">
        <w:rPr>
          <w:rFonts w:ascii="仿宋" w:eastAsia="仿宋" w:hAnsi="仿宋" w:hint="eastAsia"/>
          <w:sz w:val="28"/>
        </w:rPr>
        <w:t>建立畅通的沟通渠道，鼓励团队成员分享风险信息。强化团队的协作能力，确保物理法处理设备项目各阶段的协同工作，以减缓因沟通不畅导致的风险。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5. 制定风险应对策略</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6. 建立紧急响应机制</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制定紧急响应计划，确保在风险发生时能够快速、有序地做出反应。明确责任人，提前准备好必要的资源和工具，以降低风险事件对物理法处理设备项目的不利影响。</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7. 风险监测和追踪</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8. 制度化的经验总结</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在物理法处理设备项目结束后，进行全面的风险经验总结。总结成功的风险管理实践和教训，形成制度化的经验库，为未来物理法处理设备项目提供有力的参考和借鉴。</w:t>
      </w:r>
    </w:p>
    <w:p w:rsidR="00C23BBD" w:rsidP="00C23BB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23BBD">
        <w:rPr>
          <w:rFonts w:ascii="仿宋" w:eastAsia="仿宋" w:hAnsi="仿宋" w:hint="eastAsia"/>
          <w:sz w:val="28"/>
        </w:rPr>
        <w:t>通过采取以上风险管理的措施，企业可以更好地识别、评估和应对潜在的风险，确保物理法处理设备项目能够在不确定的环境中取得成功。风险管理不仅仅是问题的解决，更是对未知因素的有序应对，为物理法处理设备项目的可持续发展提供有力支持。</w:t>
      </w:r>
    </w:p>
    <w:p w:rsidR="00C23BBD" w:rsidP="00C23BBD">
      <w:pPr>
        <w:pStyle w:val="Heading1"/>
        <w:rPr>
          <w:rFonts w:hint="eastAsia"/>
        </w:rPr>
      </w:pPr>
      <w:bookmarkStart w:id="9" w:name="_Toc161215777"/>
      <w:r w:rsidRPr="00C23BBD">
        <w:rPr>
          <w:rFonts w:hint="eastAsia"/>
        </w:rPr>
        <w:t>二、物理法处理设备项目建筑工程方案</w:t>
      </w:r>
      <w:bookmarkEnd w:id="9"/>
    </w:p>
    <w:p w:rsidR="00C23BBD" w:rsidP="00C23BBD">
      <w:pPr>
        <w:pStyle w:val="Heading2"/>
        <w:rPr>
          <w:rFonts w:hint="eastAsia"/>
        </w:rPr>
      </w:pPr>
      <w:bookmarkStart w:id="10" w:name="_Toc161215778"/>
      <w:r w:rsidRPr="00C23BBD">
        <w:rPr>
          <w:rFonts w:hint="eastAsia"/>
        </w:rPr>
        <w:t>(</w:t>
      </w:r>
      <w:r w:rsidRPr="00C23BBD">
        <w:rPr>
          <w:rFonts w:hint="eastAsia"/>
        </w:rPr>
        <w:t>一</w:t>
      </w:r>
      <w:r w:rsidRPr="00C23BBD">
        <w:rPr>
          <w:rFonts w:hint="eastAsia"/>
        </w:rPr>
        <w:t>)</w:t>
      </w:r>
      <w:r w:rsidRPr="00C23BBD">
        <w:rPr>
          <w:rFonts w:hint="eastAsia"/>
        </w:rPr>
        <w:t>、土建工程方案</w:t>
      </w:r>
      <w:bookmarkEnd w:id="10"/>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土建工程方案是为实现建设物理法处理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工程设计</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物理法处理设备项目具备良好的结构和功能。同时，遵循相关法规和标准，保障设计的合法性和可行性。</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施工组织</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材料选择</w:t>
      </w:r>
    </w:p>
    <w:p w:rsidR="00C23BBD" w:rsidRPr="00C23BBD" w:rsidP="00C23BB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23BB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合考虑多个因素，确保选择的材料符合质量标准和成本控制。</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4. 工期安排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土建工程方案的制定和实施对于物理法处理设备项目的成功推进至关重要。只有通过科学合理的规划和有序实施，物理法处理设备项目才能确保高效、安全、经济地完成，达到预期的建设目标。因此，在进行土建工程物理法处理设备项目时，应充分关注土建工程方案的编制和执行，不断总结经验教训，不断提升管理和技术水平，以适应不断变化的建设需求。</w:t>
      </w:r>
    </w:p>
    <w:p w:rsidR="00C23BBD" w:rsidP="00C23BBD">
      <w:pPr>
        <w:pStyle w:val="Heading2"/>
      </w:pPr>
      <w:bookmarkStart w:id="11" w:name="_Toc161215779"/>
      <w:r w:rsidRPr="00C23BBD">
        <w:t>(</w:t>
      </w:r>
      <w:r w:rsidRPr="00C23BBD">
        <w:t>二</w:t>
      </w:r>
      <w:r w:rsidRPr="00C23BBD">
        <w:t>)</w:t>
      </w:r>
      <w:r w:rsidRPr="00C23BBD">
        <w:t>、厂房建设方案</w:t>
      </w:r>
      <w:bookmarkEnd w:id="11"/>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结构设计</w:t>
      </w:r>
    </w:p>
    <w:p w:rsidR="00C23BBD" w:rsidRPr="00C23BBD" w:rsidP="00C23BB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23BB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虑地质条件、气候影响、生产设备等因素，以满足生产运作的需要。</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施工组织</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材料选择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4. 工期安排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5. 设备配置</w:t>
      </w:r>
    </w:p>
    <w:p w:rsidR="00C23BBD" w:rsidRPr="00C23BBD" w:rsidP="00C23BB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23BB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的可能性，以保障厂房的可持续发展。</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23BBD" w:rsidP="00C23BBD">
      <w:pPr>
        <w:pStyle w:val="Heading2"/>
      </w:pPr>
      <w:bookmarkStart w:id="12" w:name="_Toc161215780"/>
      <w:r w:rsidRPr="00C23BBD">
        <w:t>(</w:t>
      </w:r>
      <w:r w:rsidRPr="00C23BBD">
        <w:t>三</w:t>
      </w:r>
      <w:r w:rsidRPr="00C23BBD">
        <w:t>)</w:t>
      </w:r>
      <w:r w:rsidRPr="00C23BBD">
        <w:t>、仓库建设方案</w:t>
      </w:r>
      <w:bookmarkEnd w:id="12"/>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结构设计</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施工组织</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23BBD" w:rsidRPr="00C23BBD" w:rsidP="00C23BB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23BBD">
        <w:rPr>
          <w:rFonts w:ascii="仿宋" w:eastAsia="仿宋" w:hAnsi="仿宋" w:hint="eastAsia"/>
          <w:sz w:val="28"/>
        </w:rPr>
        <w:t>3. 材料选择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4. 设备配置</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5. 环境规划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23BBD" w:rsidP="00C23BBD">
      <w:pPr>
        <w:pStyle w:val="Heading2"/>
      </w:pPr>
      <w:bookmarkStart w:id="13" w:name="_Toc161215781"/>
      <w:r w:rsidRPr="00C23BBD">
        <w:t>(</w:t>
      </w:r>
      <w:r w:rsidRPr="00C23BBD">
        <w:t>四</w:t>
      </w:r>
      <w:r w:rsidRPr="00C23BBD">
        <w:t>)</w:t>
      </w:r>
      <w:r w:rsidRPr="00C23BBD">
        <w:t>、办公及生活服务设施建设方案</w:t>
      </w:r>
      <w:bookmarkEnd w:id="13"/>
    </w:p>
    <w:p w:rsidR="00C23BBD" w:rsidRPr="00C23BBD" w:rsidP="00C23BB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23BBD">
        <w:rPr>
          <w:rFonts w:ascii="仿宋" w:eastAsia="仿宋" w:hAnsi="仿宋" w:hint="eastAsia"/>
          <w:sz w:val="28"/>
        </w:rPr>
        <w:t>1. 办公空间设计： 确保合理的布局，考虑通风、采光、隔音等因素，提高员工的工作效率和舒适度。</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生活服务设施规划： 设计食堂、休息区、健身房等设施，满足员工在工作间隙和下班后的各种需求。</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信息技术设备： 规划网络设施、计算设备以及公司业务相关的软硬件工具，确保员工高效完成工作。</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4. 安全与环保设施： 考虑消防设备、安全通道、紧急疏散计划，以及环保设施，创造安全可持续的工作环境。</w:t>
      </w:r>
    </w:p>
    <w:p w:rsidR="00C23BBD" w:rsidRPr="00C23BBD" w:rsidP="00C23BBD">
      <w:pPr>
        <w:ind w:firstLine="560" w:firstLineChars="200"/>
        <w:rPr>
          <w:rFonts w:ascii="仿宋" w:eastAsia="仿宋" w:hAnsi="仿宋"/>
          <w:sz w:val="28"/>
        </w:rPr>
      </w:pPr>
      <w:r w:rsidRPr="00C23BBD">
        <w:rPr>
          <w:rFonts w:ascii="仿宋" w:eastAsia="仿宋" w:hAnsi="仿宋" w:hint="eastAsia"/>
          <w:sz w:val="28"/>
        </w:rPr>
        <w:t>5. 员工培训和发展设施： 设计培训室、图书馆、在线学习平台等，提供学习和发展的机会，促进员工专业素养和职业发展。</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6. 工位设置与布局： 通过科学的工位设置和布局，提高员工之间的协作效率，创造良好的工作氛围。</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7. 会议室规划： 设计合适大小和设备齐全的会议室，以支持各类内外部会议和团队协作。</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8. 休息区设计： 创造宜人的休息环境，为员工提供放松身心的空间，提高工作效能。</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9. 饮食服务设施： 提供多样化的饮食选择，满足员工口味，促进团队交流和员工满意度。</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10. 健康管理设施： 设计健身房、健康检测区等，关注员工身心健康，提高整体团队健康水平。</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11. 员工社交空间： 创建社交区域，促进员工之间的交流，增进团队凝聚力和合作精神。</w:t>
      </w:r>
    </w:p>
    <w:p w:rsidR="00C23BBD" w:rsidP="00C23BB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23BBD">
        <w:rPr>
          <w:rFonts w:ascii="仿宋" w:eastAsia="仿宋" w:hAnsi="仿宋" w:hint="eastAsia"/>
          <w:sz w:val="28"/>
        </w:rPr>
        <w:t>12. 绿色建筑和可持续设施： 采用环保材料，设计节能照明系统，倡导绿色出行，助力企业可持续发展。</w:t>
      </w:r>
    </w:p>
    <w:p w:rsidR="00C23BBD" w:rsidP="00C23BBD">
      <w:pPr>
        <w:pStyle w:val="Heading2"/>
      </w:pPr>
      <w:bookmarkStart w:id="14" w:name="_Toc161215782"/>
      <w:r w:rsidRPr="00C23BBD">
        <w:t>(</w:t>
      </w:r>
      <w:r w:rsidRPr="00C23BBD">
        <w:t>五</w:t>
      </w:r>
      <w:r w:rsidRPr="00C23BBD">
        <w:t>)</w:t>
      </w:r>
      <w:r w:rsidRPr="00C23BBD">
        <w:t>、总图布置方案</w:t>
      </w:r>
      <w:bookmarkEnd w:id="14"/>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整体规划考虑因素： 在确定总体布局方案时，需要充分考虑地理位置、物理法处理设备项目规模、市场需求和人力资源等关键因素，确保科学合理。</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成本节约策略： 通过优化物流运输和产品流通，合理利用现有设施，降低成本，确保物理法处理设备项目经济可行性。</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生产效率提升： 通过科学运营和管理，提高生产效率和产品质量，确保物理法处理设备项目能够顺利运行并满足市场需求。</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详细布局设计</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生产线布局规划： 确保生产线的合理布局，考虑生产线长度、机器设备配置、工人数量和空间要求等因素，优化生产流程。</w:t>
      </w:r>
    </w:p>
    <w:p w:rsidR="00C23BBD" w:rsidRPr="00C23BBD" w:rsidP="00C23BBD">
      <w:pPr>
        <w:ind w:firstLine="560" w:firstLineChars="200"/>
        <w:rPr>
          <w:rFonts w:ascii="仿宋" w:eastAsia="仿宋" w:hAnsi="仿宋" w:hint="eastAsia"/>
          <w:sz w:val="28"/>
        </w:rPr>
      </w:pPr>
      <w:r w:rsidRPr="00C23BBD">
        <w:rPr>
          <w:rFonts w:ascii="仿宋" w:eastAsia="仿宋" w:hAnsi="仿宋"/>
          <w:sz w:val="28"/>
        </w:rPr>
        <w:t xml:space="preserve">2. </w:t>
      </w:r>
      <w:r w:rsidRPr="00C23BBD">
        <w:rPr>
          <w:rFonts w:ascii="仿宋" w:eastAsia="仿宋" w:hAnsi="仿宋" w:hint="eastAsia"/>
          <w:sz w:val="28"/>
        </w:rPr>
        <w:t>储存设施合理布局： 设计原材料、半成品和成品储存区的合理布局，方便物流运输和库存管理，确保供应链畅通。</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办公室和员工区域设计： 打造符合现代标准的办公室和员工区域布局，提升员工的工作和生活体验。</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4. 能源供应设施规划： 设计合理的能源供应设施布局，确保电力、燃气和水等能源的有效供应，满足生产需求。</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实施与管理方案</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技术管理策略： 通过不断改进和优化技术流程，提高生产效率和产品质量，保持技术领先地位。</w:t>
      </w:r>
    </w:p>
    <w:p w:rsidR="00C23BBD" w:rsidRPr="00C23BBD" w:rsidP="00C23BB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23BBD">
        <w:rPr>
          <w:rFonts w:ascii="仿宋" w:eastAsia="仿宋" w:hAnsi="仿宋" w:hint="eastAsia"/>
          <w:sz w:val="28"/>
        </w:rPr>
        <w:t>2. 人力资源管理计划： 招聘、培训员工，并建立有效的人力资源管理体系，提高员工工作效率和满意度。</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物理法处理设备项目管理体系建设： 制定科学的物理法处理设备项目计划、预算和资源分配，确保物理法处理设备项目按时完成，达到预期效果。</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4. 质量管理体系实施： 建立质量控制系统，进行质量检查，确保产品符合标准和顾客需求，提高产品竞争力。</w:t>
      </w:r>
    </w:p>
    <w:p w:rsidR="00C23BBD" w:rsidP="00C23BBD">
      <w:pPr>
        <w:ind w:firstLine="560" w:firstLineChars="200"/>
        <w:rPr>
          <w:rFonts w:ascii="仿宋" w:eastAsia="仿宋" w:hAnsi="仿宋" w:hint="eastAsia"/>
          <w:sz w:val="28"/>
        </w:rPr>
      </w:pPr>
      <w:r w:rsidRPr="00C23BBD">
        <w:rPr>
          <w:rFonts w:ascii="仿宋" w:eastAsia="仿宋" w:hAnsi="仿宋" w:hint="eastAsia"/>
          <w:sz w:val="28"/>
        </w:rPr>
        <w:t>综合考虑总体布局方案、详细布局设计和实施与管理方案，确保物理法处理设备项目全面成功实现。</w:t>
      </w:r>
    </w:p>
    <w:p w:rsidR="00C23BBD" w:rsidP="00C23BBD">
      <w:pPr>
        <w:pStyle w:val="Heading2"/>
      </w:pPr>
      <w:bookmarkStart w:id="15" w:name="_Toc161215783"/>
      <w:r w:rsidRPr="00C23BBD">
        <w:t>(</w:t>
      </w:r>
      <w:r w:rsidRPr="00C23BBD">
        <w:t>六</w:t>
      </w:r>
      <w:r w:rsidRPr="00C23BBD">
        <w:t>)</w:t>
      </w:r>
      <w:r w:rsidRPr="00C23BBD">
        <w:t>、建筑工程数字化方案</w:t>
      </w:r>
      <w:bookmarkEnd w:id="15"/>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（一）数字化方案规划</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物理法处理设备项目背景分析</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在构建数字化方案之前，对物理法处理设备项目规模、性质以及可用预算进行深入分析，确保方案的制定与物理法处理设备项目的实际需求相契合。</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技术现状评估</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深入了解建筑工程领域的数字化技术现状，关注行业最新趋势，以确保选择的数字化方案在技术上保持领先地位。</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利益相关方沟通</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与物理法处理设备项目中的各利益相关方进行充分沟通，包括业主、设计师、施工方等，以了解各方需求和期望，使得数字化方案更加贴近实际应用。</w:t>
      </w:r>
    </w:p>
    <w:p w:rsidR="00C23BBD" w:rsidRPr="00C23BBD" w:rsidP="00C23BB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23BBD">
        <w:rPr>
          <w:rFonts w:ascii="仿宋" w:eastAsia="仿宋" w:hAnsi="仿宋" w:hint="eastAsia"/>
          <w:sz w:val="28"/>
        </w:rPr>
        <w:t>（二）数字化工具选择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建模软件选择</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选择适用于建筑工程的三维建模软件，如XXX等，以提高设计效率和精度，从而推动数字化设计的实施。</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物理法处理设备项目管理工具</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采用专业的物理法处理设备项目管理工具，例如XXX，以确保物理法处理设备项目计划、进度追踪和资源管理的高效执行。</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BIM技术应用</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引入BIM技术，全面实现建筑设计、施工和运营的数字化管理，以促进信息共享和提高协同效率，从而推动物理法处理设备项目数字化的全面实施。</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（三）数字化流程优化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设计协同优化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通过数字化工具实现设计团队的高效协同工作，提高设计效率，减少信息流失和误差，确保设计的高质量完成。</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2. 施工过程数字化</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引入数字化施工管理系统，实现施工计划、进度监控、质量检查等过程的数字化管理，以提高施工效率和质量控制水平。</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3. 数据集成与共享</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建立数据集成平台，实现各个环节数据的无缝传递和共享，以减少信息孤岛，提高整体工程效益，推动数字化流程的顺畅实施。</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（四）技术培训与支持</w:t>
      </w:r>
    </w:p>
    <w:p w:rsidR="00C23BBD" w:rsidRPr="00C23BBD" w:rsidP="00C23BBD">
      <w:pPr>
        <w:ind w:firstLine="560" w:firstLineChars="200"/>
        <w:rPr>
          <w:rFonts w:ascii="仿宋" w:eastAsia="仿宋" w:hAnsi="仿宋" w:hint="eastAsia"/>
          <w:sz w:val="28"/>
        </w:rPr>
      </w:pPr>
      <w:r w:rsidRPr="00C23BBD">
        <w:rPr>
          <w:rFonts w:ascii="仿宋" w:eastAsia="仿宋" w:hAnsi="仿宋" w:hint="eastAsia"/>
          <w:sz w:val="28"/>
        </w:rPr>
        <w:t>1. 团队培训计划</w:t>
      </w:r>
      <w:r w:rsidRPr="00C23BBD">
        <w:rPr>
          <w:rFonts w:ascii="仿宋" w:eastAsia="仿宋" w:hAnsi="仿宋" w:hint="eastAsia"/>
          <w:sz w:val="28"/>
        </w:rPr>
        <w:br/>
      </w:r>
      <w:r w:rsidRPr="00C23BB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https://d.book118.com/556052204132010102</w:t>
        </w:r>
      </w:hyperlink>
    </w:p>
    <w:p w:rsidR="00C23BBD" w:rsidRPr="00C23BBD" w:rsidP="00C23BB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23B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23BB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23BB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3BB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3BB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23BB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23BB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23BB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23BB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23BB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23BB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23BB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23BB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23BB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23BB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23BB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23BB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23BB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23BB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23BB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23BB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23BB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23BB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23BB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3BB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P="00E853E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23BB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rsidRPr="00C23BBD" w:rsidP="00C23BBD">
    <w:pPr>
      <w:pStyle w:val="Header"/>
      <w:rPr>
        <w:rFonts w:ascii="仿宋" w:eastAsia="仿宋" w:hAnsi="仿宋"/>
      </w:rPr>
    </w:pPr>
    <w:r w:rsidRPr="00C23BBD">
      <w:rPr>
        <w:rFonts w:ascii="仿宋" w:eastAsia="仿宋" w:hAnsi="仿宋" w:hint="eastAsia"/>
      </w:rPr>
      <w:t>物理法处理设备投资回报分析报告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3B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BBD"/>
    <w:rsid w:val="00883E19"/>
    <w:rsid w:val="009B05B4"/>
    <w:rsid w:val="00C23BBD"/>
    <w:rsid w:val="00E366F8"/>
    <w:rsid w:val="00E853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23BB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23B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23BBD"/>
    <w:rPr>
      <w:b/>
      <w:bCs/>
      <w:kern w:val="44"/>
      <w:sz w:val="44"/>
      <w:szCs w:val="44"/>
    </w:rPr>
  </w:style>
  <w:style w:type="character" w:customStyle="1" w:styleId="2Char">
    <w:name w:val="标题 2 Char"/>
    <w:basedOn w:val="DefaultParagraphFont"/>
    <w:link w:val="Heading2"/>
    <w:uiPriority w:val="9"/>
    <w:rsid w:val="00C23BB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23B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23BBD"/>
    <w:rPr>
      <w:sz w:val="18"/>
      <w:szCs w:val="18"/>
    </w:rPr>
  </w:style>
  <w:style w:type="paragraph" w:styleId="Footer">
    <w:name w:val="footer"/>
    <w:basedOn w:val="Normal"/>
    <w:link w:val="Char0"/>
    <w:uiPriority w:val="99"/>
    <w:unhideWhenUsed/>
    <w:rsid w:val="00C23BB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23BBD"/>
    <w:rPr>
      <w:sz w:val="18"/>
      <w:szCs w:val="18"/>
    </w:rPr>
  </w:style>
  <w:style w:type="character" w:styleId="PageNumber">
    <w:name w:val="page number"/>
    <w:basedOn w:val="DefaultParagraphFont"/>
    <w:uiPriority w:val="99"/>
    <w:semiHidden/>
    <w:unhideWhenUsed/>
    <w:rsid w:val="00C23BBD"/>
  </w:style>
  <w:style w:type="paragraph" w:styleId="TOC1">
    <w:name w:val="toc 1"/>
    <w:basedOn w:val="Normal"/>
    <w:next w:val="Normal"/>
    <w:autoRedefine/>
    <w:uiPriority w:val="39"/>
    <w:unhideWhenUsed/>
    <w:rsid w:val="00C23BBD"/>
  </w:style>
  <w:style w:type="paragraph" w:styleId="TOC2">
    <w:name w:val="toc 2"/>
    <w:basedOn w:val="Normal"/>
    <w:next w:val="Normal"/>
    <w:autoRedefine/>
    <w:uiPriority w:val="39"/>
    <w:unhideWhenUsed/>
    <w:rsid w:val="00C23BB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56052204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7169</Words>
  <Characters>40864</Characters>
  <Application>Microsoft Office Word</Application>
  <DocSecurity>0</DocSecurity>
  <Lines>340</Lines>
  <Paragraphs>95</Paragraphs>
  <ScaleCrop>false</ScaleCrop>
  <Company>Microsoft</Company>
  <LinksUpToDate>false</LinksUpToDate>
  <CharactersWithSpaces>47938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2024-03-13T01:48:00Z</dcterms:created>
  <dcterms:modified xsi:type="dcterms:W3CDTF">2024-03-13T01:49:00Z</dcterms:modified>
</cp:coreProperties>
</file>