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宋体" w:eastAsia="宋体" w:hAnsi="宋体" w:cs="宋体"/>
          <w:b/>
          <w:bCs/>
          <w:sz w:val="52"/>
          <w:szCs w:val="52"/>
        </w:rPr>
      </w:pPr>
    </w:p>
    <w:p>
      <w:pPr>
        <w:spacing w:line="360" w:lineRule="auto"/>
        <w:jc w:val="center"/>
        <w:rPr>
          <w:rFonts w:ascii="宋体" w:eastAsia="宋体" w:hAnsi="宋体" w:cs="宋体"/>
          <w:sz w:val="32"/>
          <w:szCs w:val="32"/>
        </w:rPr>
      </w:pPr>
      <w:r>
        <w:rPr>
          <w:rFonts w:ascii="宋体" w:eastAsia="宋体" w:hAnsi="宋体" w:cs="宋体" w:hint="eastAsia"/>
          <w:b/>
          <w:bCs/>
          <w:sz w:val="52"/>
          <w:szCs w:val="52"/>
        </w:rPr>
        <w:t>楚雄医药高等专科学校药学系高纯氢气发生器采购项目</w:t>
      </w:r>
    </w:p>
    <w:p>
      <w:pPr>
        <w:spacing w:line="360" w:lineRule="auto"/>
        <w:jc w:val="center"/>
        <w:rPr>
          <w:rFonts w:ascii="宋体" w:eastAsia="宋体" w:hAnsi="宋体" w:cs="宋体"/>
          <w:sz w:val="32"/>
          <w:szCs w:val="32"/>
        </w:rPr>
      </w:pPr>
    </w:p>
    <w:p>
      <w:pPr>
        <w:spacing w:line="360" w:lineRule="auto"/>
        <w:jc w:val="center"/>
        <w:rPr>
          <w:rFonts w:ascii="宋体" w:eastAsia="宋体" w:hAnsi="宋体" w:cs="宋体"/>
          <w:sz w:val="32"/>
          <w:szCs w:val="32"/>
        </w:rPr>
      </w:pPr>
    </w:p>
    <w:p>
      <w:pPr>
        <w:spacing w:line="360" w:lineRule="auto"/>
        <w:jc w:val="center"/>
        <w:rPr>
          <w:rFonts w:ascii="宋体" w:eastAsia="宋体" w:hAnsi="宋体" w:cs="宋体"/>
          <w:sz w:val="32"/>
          <w:szCs w:val="32"/>
        </w:rPr>
      </w:pPr>
    </w:p>
    <w:p>
      <w:pPr>
        <w:spacing w:line="360" w:lineRule="auto"/>
        <w:jc w:val="center"/>
        <w:rPr>
          <w:rFonts w:ascii="宋体" w:eastAsia="宋体" w:hAnsi="宋体" w:cs="宋体"/>
          <w:sz w:val="32"/>
          <w:szCs w:val="32"/>
        </w:rPr>
      </w:pPr>
    </w:p>
    <w:p>
      <w:pPr>
        <w:spacing w:line="360" w:lineRule="auto"/>
        <w:jc w:val="center"/>
        <w:rPr>
          <w:rFonts w:ascii="宋体" w:eastAsia="宋体" w:hAnsi="宋体" w:cs="宋体"/>
          <w:sz w:val="32"/>
          <w:szCs w:val="32"/>
        </w:rPr>
      </w:pPr>
    </w:p>
    <w:p>
      <w:pPr>
        <w:spacing w:line="360" w:lineRule="auto"/>
        <w:jc w:val="center"/>
        <w:rPr>
          <w:rFonts w:ascii="宋体" w:eastAsia="宋体" w:hAnsi="宋体" w:cs="宋体"/>
          <w:sz w:val="32"/>
          <w:szCs w:val="32"/>
        </w:rPr>
      </w:pPr>
      <w:r>
        <w:rPr>
          <w:rFonts w:ascii="宋体" w:eastAsia="宋体" w:hAnsi="宋体" w:cs="宋体" w:hint="eastAsia"/>
          <w:b/>
          <w:bCs/>
          <w:sz w:val="52"/>
          <w:szCs w:val="52"/>
        </w:rPr>
        <w:t>竞争性谈判文件</w:t>
      </w:r>
    </w:p>
    <w:p>
      <w:pPr>
        <w:spacing w:line="360" w:lineRule="auto"/>
        <w:jc w:val="center"/>
        <w:rPr>
          <w:rFonts w:ascii="宋体" w:eastAsia="宋体" w:hAnsi="宋体" w:cs="宋体"/>
          <w:b/>
          <w:bCs/>
          <w:sz w:val="32"/>
          <w:szCs w:val="32"/>
        </w:rPr>
      </w:pPr>
      <w:r>
        <w:rPr>
          <w:rFonts w:ascii="宋体" w:eastAsia="宋体" w:hAnsi="宋体" w:cs="宋体" w:hint="eastAsia"/>
          <w:b/>
          <w:bCs/>
          <w:sz w:val="32"/>
          <w:szCs w:val="32"/>
        </w:rPr>
        <w:t>项目编号：CXY</w:t>
      </w:r>
      <w:r>
        <w:rPr>
          <w:rFonts w:ascii="宋体" w:eastAsia="宋体" w:hAnsi="宋体" w:cs="宋体"/>
          <w:b/>
          <w:bCs/>
          <w:sz w:val="32"/>
          <w:szCs w:val="32"/>
        </w:rPr>
        <w:t>ZPH</w:t>
      </w:r>
      <w:r>
        <w:rPr>
          <w:rFonts w:ascii="宋体" w:eastAsia="宋体" w:hAnsi="宋体" w:cs="宋体" w:hint="eastAsia"/>
          <w:b/>
          <w:bCs/>
          <w:sz w:val="32"/>
          <w:szCs w:val="32"/>
        </w:rPr>
        <w:t>【2022】第</w:t>
      </w:r>
      <w:r>
        <w:rPr>
          <w:rFonts w:ascii="宋体" w:eastAsia="宋体" w:hAnsi="宋体" w:cs="宋体"/>
          <w:b/>
          <w:bCs/>
          <w:sz w:val="32"/>
          <w:szCs w:val="32"/>
        </w:rPr>
        <w:t>1</w:t>
      </w:r>
      <w:r>
        <w:rPr>
          <w:rFonts w:ascii="宋体" w:eastAsia="宋体" w:hAnsi="宋体" w:cs="宋体" w:hint="eastAsia"/>
          <w:b/>
          <w:bCs/>
          <w:sz w:val="32"/>
          <w:szCs w:val="32"/>
        </w:rPr>
        <w:t>号</w:t>
      </w:r>
    </w:p>
    <w:p>
      <w:pPr>
        <w:spacing w:line="360" w:lineRule="auto"/>
        <w:jc w:val="center"/>
        <w:rPr>
          <w:rFonts w:ascii="宋体" w:eastAsia="宋体" w:hAnsi="宋体" w:cs="宋体"/>
          <w:sz w:val="32"/>
          <w:szCs w:val="32"/>
        </w:rPr>
      </w:pPr>
    </w:p>
    <w:p>
      <w:pPr>
        <w:spacing w:line="360" w:lineRule="auto"/>
        <w:rPr>
          <w:rFonts w:ascii="宋体" w:eastAsia="宋体" w:hAnsi="宋体" w:cs="宋体"/>
          <w:szCs w:val="20"/>
        </w:rPr>
      </w:pPr>
    </w:p>
    <w:p>
      <w:pPr>
        <w:spacing w:line="360" w:lineRule="auto"/>
        <w:rPr>
          <w:rFonts w:ascii="宋体" w:eastAsia="宋体" w:hAnsi="宋体" w:cs="宋体"/>
          <w:szCs w:val="20"/>
        </w:rPr>
      </w:pPr>
    </w:p>
    <w:p>
      <w:pPr>
        <w:spacing w:line="360" w:lineRule="auto"/>
        <w:rPr>
          <w:rFonts w:ascii="宋体" w:eastAsia="宋体" w:hAnsi="宋体" w:cs="宋体"/>
          <w:szCs w:val="20"/>
        </w:rPr>
      </w:pPr>
    </w:p>
    <w:p>
      <w:pPr>
        <w:spacing w:line="360" w:lineRule="auto"/>
        <w:rPr>
          <w:rFonts w:ascii="宋体" w:eastAsia="宋体" w:hAnsi="宋体" w:cs="宋体"/>
          <w:szCs w:val="20"/>
        </w:rPr>
      </w:pPr>
    </w:p>
    <w:p>
      <w:pPr>
        <w:spacing w:line="360" w:lineRule="auto"/>
        <w:rPr>
          <w:rFonts w:ascii="宋体" w:eastAsia="宋体" w:hAnsi="宋体" w:cs="宋体"/>
          <w:szCs w:val="20"/>
        </w:rPr>
      </w:pPr>
    </w:p>
    <w:p>
      <w:pPr>
        <w:spacing w:line="360" w:lineRule="auto"/>
        <w:rPr>
          <w:rFonts w:ascii="宋体" w:eastAsia="宋体" w:hAnsi="宋体" w:cs="宋体"/>
          <w:szCs w:val="20"/>
        </w:rPr>
      </w:pPr>
    </w:p>
    <w:p>
      <w:pPr>
        <w:spacing w:line="360" w:lineRule="auto"/>
        <w:rPr>
          <w:rFonts w:ascii="宋体" w:eastAsia="宋体" w:hAnsi="宋体" w:cs="宋体"/>
          <w:b/>
          <w:bCs/>
          <w:sz w:val="32"/>
          <w:szCs w:val="20"/>
        </w:rPr>
      </w:pPr>
    </w:p>
    <w:p>
      <w:pPr>
        <w:spacing w:line="360" w:lineRule="auto"/>
        <w:ind w:firstLine="2240" w:firstLineChars="700"/>
        <w:rPr>
          <w:rFonts w:ascii="宋体" w:eastAsia="宋体" w:hAnsi="宋体" w:cs="宋体"/>
          <w:b/>
          <w:bCs/>
          <w:sz w:val="32"/>
          <w:szCs w:val="32"/>
        </w:rPr>
      </w:pPr>
      <w:r>
        <w:rPr>
          <w:rFonts w:ascii="宋体" w:eastAsia="宋体" w:hAnsi="宋体" w:cs="宋体" w:hint="eastAsia"/>
          <w:b/>
          <w:bCs/>
          <w:sz w:val="32"/>
          <w:szCs w:val="32"/>
        </w:rPr>
        <w:t>采购人：楚雄医药高等专科学校</w:t>
      </w:r>
    </w:p>
    <w:p>
      <w:pPr>
        <w:spacing w:line="360" w:lineRule="auto"/>
        <w:jc w:val="center"/>
        <w:rPr>
          <w:rFonts w:ascii="宋体" w:eastAsia="宋体" w:hAnsi="宋体" w:cs="宋体"/>
          <w:b/>
          <w:bCs/>
          <w:sz w:val="32"/>
          <w:szCs w:val="32"/>
        </w:rPr>
      </w:pPr>
    </w:p>
    <w:p>
      <w:pPr>
        <w:spacing w:line="360" w:lineRule="auto"/>
        <w:jc w:val="center"/>
        <w:rPr>
          <w:rFonts w:ascii="宋体" w:eastAsia="宋体" w:hAnsi="宋体" w:cs="宋体"/>
          <w:b/>
          <w:bCs/>
          <w:sz w:val="32"/>
          <w:szCs w:val="32"/>
        </w:rPr>
      </w:pPr>
      <w:r>
        <w:rPr>
          <w:rFonts w:ascii="宋体" w:eastAsia="宋体" w:hAnsi="宋体" w:cs="宋体" w:hint="eastAsia"/>
          <w:b/>
          <w:bCs/>
          <w:sz w:val="32"/>
          <w:szCs w:val="32"/>
        </w:rPr>
        <w:t>2022年</w:t>
      </w:r>
      <w:r>
        <w:rPr>
          <w:rFonts w:ascii="宋体" w:eastAsia="宋体" w:hAnsi="宋体" w:cs="宋体"/>
          <w:b/>
          <w:bCs/>
          <w:sz w:val="32"/>
          <w:szCs w:val="32"/>
        </w:rPr>
        <w:t>3</w:t>
      </w:r>
      <w:r>
        <w:rPr>
          <w:rFonts w:ascii="宋体" w:eastAsia="宋体" w:hAnsi="宋体" w:cs="宋体" w:hint="eastAsia"/>
          <w:b/>
          <w:bCs/>
          <w:sz w:val="32"/>
          <w:szCs w:val="32"/>
        </w:rPr>
        <w:t>月</w:t>
      </w:r>
    </w:p>
    <w:p>
      <w:pPr>
        <w:spacing w:line="360" w:lineRule="auto"/>
        <w:jc w:val="center"/>
        <w:rPr>
          <w:rFonts w:ascii="宋体" w:eastAsia="宋体" w:hAnsi="宋体" w:cs="宋体"/>
          <w:b/>
          <w:bCs/>
          <w:sz w:val="32"/>
          <w:szCs w:val="32"/>
        </w:rPr>
        <w:sectPr>
          <w:footerReference w:type="even" r:id="rId5"/>
          <w:footerReference w:type="default" r:id="rId6"/>
          <w:headerReference w:type="first" r:id="rId7"/>
          <w:pgSz w:w="11906" w:h="16838"/>
          <w:pgMar w:top="1418" w:right="1134" w:bottom="1134" w:left="1417" w:header="779" w:footer="720" w:gutter="0"/>
          <w:pgNumType w:start="1"/>
          <w:cols w:num="1" w:space="720"/>
          <w:titlePg/>
          <w:docGrid w:linePitch="331" w:charSpace="0"/>
        </w:sectPr>
      </w:pPr>
    </w:p>
    <w:p>
      <w:pPr>
        <w:keepNext/>
        <w:keepLines/>
        <w:widowControl/>
        <w:tabs>
          <w:tab w:val="left" w:pos="360"/>
        </w:tabs>
        <w:spacing w:before="240" w:line="259" w:lineRule="auto"/>
        <w:jc w:val="center"/>
        <w:rPr>
          <w:rFonts w:ascii="宋体" w:eastAsia="宋体" w:hAnsi="宋体" w:cs="宋体"/>
          <w:b/>
          <w:kern w:val="0"/>
          <w:sz w:val="44"/>
          <w:szCs w:val="44"/>
        </w:rPr>
      </w:pPr>
      <w:r>
        <w:rPr>
          <w:rFonts w:ascii="宋体" w:eastAsia="宋体" w:hAnsi="宋体" w:cs="宋体" w:hint="eastAsia"/>
          <w:b/>
          <w:kern w:val="0"/>
          <w:sz w:val="44"/>
          <w:szCs w:val="44"/>
          <w:lang w:val="zh-CN"/>
        </w:rPr>
        <w:t>目录</w:t>
      </w:r>
    </w:p>
    <w:p>
      <w:pPr>
        <w:pStyle w:val="TOC1"/>
        <w:tabs>
          <w:tab w:val="right" w:leader="dot" w:pos="9355"/>
        </w:tabs>
        <w:rPr>
          <w:rFonts w:ascii="Times New Roman" w:hAnsi="Times New Roman" w:cs="Times New Roman" w:hint="default"/>
        </w:rPr>
      </w:pPr>
      <w:r>
        <w:rPr>
          <w:rFonts w:ascii="Times New Roman" w:eastAsia="宋体" w:hAnsi="Times New Roman" w:cs="Times New Roman" w:hint="default"/>
          <w:bCs/>
          <w:caps/>
          <w:szCs w:val="20"/>
        </w:rPr>
        <w:fldChar w:fldCharType="begin"/>
      </w:r>
      <w:r>
        <w:rPr>
          <w:rFonts w:ascii="Times New Roman" w:eastAsia="宋体" w:hAnsi="Times New Roman" w:cs="Times New Roman" w:hint="default"/>
          <w:bCs/>
          <w:caps/>
          <w:szCs w:val="20"/>
        </w:rPr>
        <w:instrText xml:space="preserve">TOC \o "1-3" \h \u </w:instrText>
      </w:r>
      <w:r>
        <w:rPr>
          <w:rFonts w:ascii="Times New Roman" w:eastAsia="宋体" w:hAnsi="Times New Roman" w:cs="Times New Roman" w:hint="default"/>
          <w:bCs/>
          <w:caps/>
          <w:szCs w:val="20"/>
        </w:rPr>
        <w:fldChar w:fldCharType="separate"/>
      </w:r>
      <w:hyperlink w:anchor="_Toc32435" w:history="1">
        <w:r>
          <w:rPr>
            <w:rFonts w:ascii="Times New Roman" w:hAnsi="Times New Roman" w:cs="Times New Roman" w:hint="default"/>
          </w:rPr>
          <w:t>第一章   竞争性谈判公告</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_Toc32435 \h </w:instrText>
        </w:r>
        <w:r>
          <w:rPr>
            <w:rFonts w:ascii="Times New Roman" w:hAnsi="Times New Roman" w:cs="Times New Roman" w:hint="default"/>
          </w:rPr>
          <w:fldChar w:fldCharType="separate"/>
        </w:r>
        <w:r>
          <w:rPr>
            <w:rFonts w:ascii="Times New Roman" w:hAnsi="Times New Roman" w:cs="Times New Roman" w:hint="default"/>
          </w:rPr>
          <w:t>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4229" w:history="1">
        <w:r>
          <w:rPr>
            <w:rFonts w:ascii="Times New Roman" w:eastAsia="宋体" w:hAnsi="Times New Roman" w:cs="Times New Roman" w:hint="default"/>
          </w:rPr>
          <w:t>1.1 项目基本情况</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_Toc14229 \h </w:instrText>
        </w:r>
        <w:r>
          <w:rPr>
            <w:rFonts w:ascii="Times New Roman" w:hAnsi="Times New Roman" w:cs="Times New Roman" w:hint="default"/>
          </w:rPr>
          <w:fldChar w:fldCharType="separate"/>
        </w:r>
        <w:r>
          <w:rPr>
            <w:rFonts w:ascii="Times New Roman" w:hAnsi="Times New Roman" w:cs="Times New Roman" w:hint="default"/>
          </w:rPr>
          <w:t>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9404" w:history="1">
        <w:r>
          <w:rPr>
            <w:rFonts w:ascii="Times New Roman" w:eastAsia="宋体" w:hAnsi="Times New Roman" w:cs="Times New Roman" w:hint="default"/>
          </w:rPr>
          <w:t>1.2 申请人的资格要求</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_Toc19404 \h </w:instrText>
        </w:r>
        <w:r>
          <w:rPr>
            <w:rFonts w:ascii="Times New Roman" w:hAnsi="Times New Roman" w:cs="Times New Roman" w:hint="default"/>
          </w:rPr>
          <w:fldChar w:fldCharType="separate"/>
        </w:r>
        <w:r>
          <w:rPr>
            <w:rFonts w:ascii="Times New Roman" w:hAnsi="Times New Roman" w:cs="Times New Roman" w:hint="default"/>
          </w:rPr>
          <w:t>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7027" w:history="1">
        <w:r>
          <w:rPr>
            <w:rFonts w:ascii="Times New Roman" w:eastAsia="宋体" w:hAnsi="Times New Roman" w:cs="Times New Roman" w:hint="default"/>
          </w:rPr>
          <w:t>1.3 获取采购文件</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_Toc17027 \h </w:instrText>
        </w:r>
        <w:r>
          <w:rPr>
            <w:rFonts w:ascii="Times New Roman" w:hAnsi="Times New Roman" w:cs="Times New Roman" w:hint="default"/>
          </w:rPr>
          <w:fldChar w:fldCharType="separate"/>
        </w:r>
        <w:r>
          <w:rPr>
            <w:rFonts w:ascii="Times New Roman" w:hAnsi="Times New Roman" w:cs="Times New Roman" w:hint="default"/>
          </w:rPr>
          <w:t>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3428" w:history="1">
        <w:r>
          <w:rPr>
            <w:rFonts w:ascii="Times New Roman" w:eastAsia="宋体" w:hAnsi="Times New Roman" w:cs="Times New Roman" w:hint="default"/>
          </w:rPr>
          <w:t>1.4 响应文件提交</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_Toc13428 \h </w:instrText>
        </w:r>
        <w:r>
          <w:rPr>
            <w:rFonts w:ascii="Times New Roman" w:hAnsi="Times New Roman" w:cs="Times New Roman" w:hint="default"/>
          </w:rPr>
          <w:fldChar w:fldCharType="separate"/>
        </w:r>
        <w:r>
          <w:rPr>
            <w:rFonts w:ascii="Times New Roman" w:hAnsi="Times New Roman" w:cs="Times New Roman" w:hint="default"/>
          </w:rPr>
          <w:t>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9411" w:history="1">
        <w:r>
          <w:rPr>
            <w:rFonts w:ascii="Times New Roman" w:eastAsia="宋体" w:hAnsi="Times New Roman" w:cs="Times New Roman" w:hint="default"/>
          </w:rPr>
          <w:t>1.5 开启</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_Toc19411 \h </w:instrText>
        </w:r>
        <w:r>
          <w:rPr>
            <w:rFonts w:ascii="Times New Roman" w:hAnsi="Times New Roman" w:cs="Times New Roman" w:hint="default"/>
          </w:rPr>
          <w:fldChar w:fldCharType="separate"/>
        </w:r>
        <w:r>
          <w:rPr>
            <w:rFonts w:ascii="Times New Roman" w:hAnsi="Times New Roman" w:cs="Times New Roman" w:hint="default"/>
          </w:rPr>
          <w:t>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2242" w:history="1">
        <w:r>
          <w:rPr>
            <w:rFonts w:ascii="Times New Roman" w:eastAsia="宋体" w:hAnsi="Times New Roman" w:cs="Times New Roman" w:hint="default"/>
          </w:rPr>
          <w:t>1.6 其他补充事宜</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_Toc12242 \h </w:instrText>
        </w:r>
        <w:r>
          <w:rPr>
            <w:rFonts w:ascii="Times New Roman" w:hAnsi="Times New Roman" w:cs="Times New Roman" w:hint="default"/>
          </w:rPr>
          <w:fldChar w:fldCharType="separate"/>
        </w:r>
        <w:r>
          <w:rPr>
            <w:rFonts w:ascii="Times New Roman" w:hAnsi="Times New Roman" w:cs="Times New Roman" w:hint="default"/>
          </w:rPr>
          <w:t>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8779" w:history="1">
        <w:r>
          <w:rPr>
            <w:rFonts w:ascii="Times New Roman" w:eastAsia="宋体" w:hAnsi="Times New Roman" w:cs="Times New Roman" w:hint="default"/>
          </w:rPr>
          <w:t>1.7 谈判保证金</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_Toc28779 \h </w:instrText>
        </w:r>
        <w:r>
          <w:rPr>
            <w:rFonts w:ascii="Times New Roman" w:hAnsi="Times New Roman" w:cs="Times New Roman" w:hint="default"/>
          </w:rPr>
          <w:fldChar w:fldCharType="separate"/>
        </w:r>
        <w:r>
          <w:rPr>
            <w:rFonts w:ascii="Times New Roman" w:hAnsi="Times New Roman" w:cs="Times New Roman" w:hint="default"/>
          </w:rPr>
          <w:t>4</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6640" w:history="1">
        <w:r>
          <w:rPr>
            <w:rFonts w:ascii="Times New Roman" w:eastAsia="宋体" w:hAnsi="Times New Roman" w:cs="Times New Roman" w:hint="default"/>
          </w:rPr>
          <w:t>1.8 疫情防控要求</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_Toc26640 \h </w:instrText>
        </w:r>
        <w:r>
          <w:rPr>
            <w:rFonts w:ascii="Times New Roman" w:hAnsi="Times New Roman" w:cs="Times New Roman" w:hint="default"/>
          </w:rPr>
          <w:fldChar w:fldCharType="separate"/>
        </w:r>
        <w:r>
          <w:rPr>
            <w:rFonts w:ascii="Times New Roman" w:hAnsi="Times New Roman" w:cs="Times New Roman" w:hint="default"/>
          </w:rPr>
          <w:t>4</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5960" w:history="1">
        <w:r>
          <w:rPr>
            <w:rFonts w:ascii="Times New Roman" w:eastAsia="宋体" w:hAnsi="Times New Roman" w:cs="Times New Roman" w:hint="default"/>
          </w:rPr>
          <w:t>1.9 联系方式</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_Toc5960 \h </w:instrText>
        </w:r>
        <w:r>
          <w:rPr>
            <w:rFonts w:ascii="Times New Roman" w:hAnsi="Times New Roman" w:cs="Times New Roman" w:hint="default"/>
          </w:rPr>
          <w:fldChar w:fldCharType="separate"/>
        </w:r>
        <w:r>
          <w:rPr>
            <w:rFonts w:ascii="Times New Roman" w:hAnsi="Times New Roman" w:cs="Times New Roman" w:hint="default"/>
          </w:rPr>
          <w:t>4</w:t>
        </w:r>
        <w:r>
          <w:rPr>
            <w:rFonts w:ascii="Times New Roman" w:hAnsi="Times New Roman" w:cs="Times New Roman" w:hint="default"/>
          </w:rPr>
          <w:fldChar w:fldCharType="end"/>
        </w:r>
      </w:hyperlink>
    </w:p>
    <w:p>
      <w:pPr>
        <w:pStyle w:val="TOC1"/>
        <w:tabs>
          <w:tab w:val="right" w:leader="dot" w:pos="9355"/>
        </w:tabs>
        <w:rPr>
          <w:rFonts w:ascii="Times New Roman" w:hAnsi="Times New Roman" w:cs="Times New Roman" w:hint="default"/>
        </w:rPr>
      </w:pPr>
      <w:hyperlink w:anchor="_Toc16347" w:history="1">
        <w:r>
          <w:rPr>
            <w:rFonts w:ascii="Times New Roman" w:eastAsia="宋体" w:hAnsi="Times New Roman" w:cs="Times New Roman" w:hint="default"/>
          </w:rPr>
          <w:t>第二章   供应商须知</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_Toc16347 \h </w:instrText>
        </w:r>
        <w:r>
          <w:rPr>
            <w:rFonts w:ascii="Times New Roman" w:hAnsi="Times New Roman" w:cs="Times New Roman" w:hint="default"/>
          </w:rPr>
          <w:fldChar w:fldCharType="separate"/>
        </w:r>
        <w:r>
          <w:rPr>
            <w:rFonts w:ascii="Times New Roman" w:hAnsi="Times New Roman" w:cs="Times New Roman" w:hint="default"/>
          </w:rPr>
          <w:t>5</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31068" w:history="1">
        <w:r>
          <w:rPr>
            <w:rFonts w:ascii="Times New Roman" w:eastAsia="宋体" w:hAnsi="Times New Roman" w:cs="Times New Roman" w:hint="default"/>
          </w:rPr>
          <w:t>2.1 总则</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_Toc31068 \h </w:instrText>
        </w:r>
        <w:r>
          <w:rPr>
            <w:rFonts w:ascii="Times New Roman" w:hAnsi="Times New Roman" w:cs="Times New Roman" w:hint="default"/>
          </w:rPr>
          <w:fldChar w:fldCharType="separate"/>
        </w:r>
        <w:r>
          <w:rPr>
            <w:rFonts w:ascii="Times New Roman" w:hAnsi="Times New Roman" w:cs="Times New Roman" w:hint="default"/>
          </w:rPr>
          <w:t>7</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9020" w:history="1">
        <w:r>
          <w:rPr>
            <w:rFonts w:ascii="Times New Roman" w:eastAsia="宋体" w:hAnsi="Times New Roman" w:cs="Times New Roman" w:hint="default"/>
          </w:rPr>
          <w:t>2.2 谈判文件</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_Toc29020 \h </w:instrText>
        </w:r>
        <w:r>
          <w:rPr>
            <w:rFonts w:ascii="Times New Roman" w:hAnsi="Times New Roman" w:cs="Times New Roman" w:hint="default"/>
          </w:rPr>
          <w:fldChar w:fldCharType="separate"/>
        </w:r>
        <w:r>
          <w:rPr>
            <w:rFonts w:ascii="Times New Roman" w:hAnsi="Times New Roman" w:cs="Times New Roman" w:hint="default"/>
          </w:rPr>
          <w:t>9</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8515" w:history="1">
        <w:r>
          <w:rPr>
            <w:rFonts w:ascii="Times New Roman" w:eastAsia="宋体" w:hAnsi="Times New Roman" w:cs="Times New Roman" w:hint="default"/>
          </w:rPr>
          <w:t>2.3 响应文件的编制</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_Toc8515 \h </w:instrText>
        </w:r>
        <w:r>
          <w:rPr>
            <w:rFonts w:ascii="Times New Roman" w:hAnsi="Times New Roman" w:cs="Times New Roman" w:hint="default"/>
          </w:rPr>
          <w:fldChar w:fldCharType="separate"/>
        </w:r>
        <w:r>
          <w:rPr>
            <w:rFonts w:ascii="Times New Roman" w:hAnsi="Times New Roman" w:cs="Times New Roman" w:hint="default"/>
          </w:rPr>
          <w:t>10</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31111" w:history="1">
        <w:r>
          <w:rPr>
            <w:rFonts w:ascii="Times New Roman" w:eastAsia="宋体" w:hAnsi="Times New Roman" w:cs="Times New Roman" w:hint="default"/>
          </w:rPr>
          <w:t>2.4 响应文件的提交</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_Toc31111 \h </w:instrText>
        </w:r>
        <w:r>
          <w:rPr>
            <w:rFonts w:ascii="Times New Roman" w:hAnsi="Times New Roman" w:cs="Times New Roman" w:hint="default"/>
          </w:rPr>
          <w:fldChar w:fldCharType="separate"/>
        </w:r>
        <w:r>
          <w:rPr>
            <w:rFonts w:ascii="Times New Roman" w:hAnsi="Times New Roman" w:cs="Times New Roman" w:hint="default"/>
          </w:rPr>
          <w:t>12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7075" w:history="1">
        <w:r>
          <w:rPr>
            <w:rFonts w:ascii="Times New Roman" w:eastAsia="宋体" w:hAnsi="Times New Roman" w:cs="Times New Roman" w:hint="default"/>
          </w:rPr>
          <w:t>2.5 响应文件开启</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_Toc27075 \h </w:instrText>
        </w:r>
        <w:r>
          <w:rPr>
            <w:rFonts w:ascii="Times New Roman" w:hAnsi="Times New Roman" w:cs="Times New Roman" w:hint="default"/>
          </w:rPr>
          <w:fldChar w:fldCharType="separate"/>
        </w:r>
        <w:r>
          <w:rPr>
            <w:rFonts w:ascii="Times New Roman" w:hAnsi="Times New Roman" w:cs="Times New Roman" w:hint="default"/>
          </w:rPr>
          <w:t>12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3332" w:history="1">
        <w:r>
          <w:rPr>
            <w:rFonts w:ascii="Times New Roman" w:eastAsia="宋体" w:hAnsi="Times New Roman" w:cs="Times New Roman" w:hint="default"/>
          </w:rPr>
          <w:t>2.6 响应文件的评审与谈判</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_Toc23332 \h </w:instrText>
        </w:r>
        <w:r>
          <w:rPr>
            <w:rFonts w:ascii="Times New Roman" w:hAnsi="Times New Roman" w:cs="Times New Roman" w:hint="default"/>
          </w:rPr>
          <w:fldChar w:fldCharType="separate"/>
        </w:r>
        <w:r>
          <w:rPr>
            <w:rFonts w:ascii="Times New Roman" w:hAnsi="Times New Roman" w:cs="Times New Roman" w:hint="default"/>
          </w:rPr>
          <w:t>13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31030" w:history="1">
        <w:r>
          <w:rPr>
            <w:rFonts w:ascii="Times New Roman" w:eastAsia="宋体" w:hAnsi="Times New Roman" w:cs="Times New Roman" w:hint="default"/>
          </w:rPr>
          <w:t>2.7 成交结果</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_Toc31030 \h </w:instrText>
        </w:r>
        <w:r>
          <w:rPr>
            <w:rFonts w:ascii="Times New Roman" w:hAnsi="Times New Roman" w:cs="Times New Roman" w:hint="default"/>
          </w:rPr>
          <w:fldChar w:fldCharType="separate"/>
        </w:r>
        <w:r>
          <w:rPr>
            <w:rFonts w:ascii="Times New Roman" w:hAnsi="Times New Roman" w:cs="Times New Roman" w:hint="default"/>
          </w:rPr>
          <w:t>16</w:t>
        </w:r>
        <w:r>
          <w:rPr>
            <w:rFonts w:ascii="Times New Roman" w:hAnsi="Times New Roman" w:cs="Times New Roman" w:hint="default"/>
          </w:rPr>
          <w:fldChar w:fldCharType="end"/>
        </w:r>
      </w:hyperlink>
    </w:p>
    <w:p>
      <w:pPr>
        <w:pStyle w:val="TOC1"/>
        <w:tabs>
          <w:tab w:val="right" w:leader="dot" w:pos="9355"/>
        </w:tabs>
        <w:rPr>
          <w:rFonts w:ascii="Times New Roman" w:hAnsi="Times New Roman" w:cs="Times New Roman" w:hint="default"/>
        </w:rPr>
      </w:pPr>
      <w:hyperlink w:anchor="_Toc24335" w:history="1">
        <w:r>
          <w:rPr>
            <w:rFonts w:ascii="Times New Roman" w:hAnsi="Times New Roman" w:cs="Times New Roman" w:hint="default"/>
          </w:rPr>
          <w:t>第三章   合同书样式</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_Toc24335 \h </w:instrText>
        </w:r>
        <w:r>
          <w:rPr>
            <w:rFonts w:ascii="Times New Roman" w:hAnsi="Times New Roman" w:cs="Times New Roman" w:hint="default"/>
          </w:rPr>
          <w:fldChar w:fldCharType="separate"/>
        </w:r>
        <w:r>
          <w:rPr>
            <w:rFonts w:ascii="Times New Roman" w:hAnsi="Times New Roman" w:cs="Times New Roman" w:hint="default"/>
          </w:rPr>
          <w:t>18</w:t>
        </w:r>
        <w:r>
          <w:rPr>
            <w:rFonts w:ascii="Times New Roman" w:hAnsi="Times New Roman" w:cs="Times New Roman" w:hint="default"/>
          </w:rPr>
          <w:fldChar w:fldCharType="end"/>
        </w:r>
      </w:hyperlink>
    </w:p>
    <w:p>
      <w:pPr>
        <w:pStyle w:val="TOC1"/>
        <w:tabs>
          <w:tab w:val="right" w:leader="dot" w:pos="9355"/>
        </w:tabs>
        <w:rPr>
          <w:rFonts w:ascii="Times New Roman" w:hAnsi="Times New Roman" w:cs="Times New Roman" w:hint="default"/>
        </w:rPr>
      </w:pPr>
      <w:hyperlink w:anchor="_Toc26954" w:history="1">
        <w:r>
          <w:rPr>
            <w:rFonts w:ascii="Times New Roman" w:hAnsi="Times New Roman" w:cs="Times New Roman" w:hint="default"/>
          </w:rPr>
          <w:t>第四章  响应文件格式</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_Toc26954 \h </w:instrText>
        </w:r>
        <w:r>
          <w:rPr>
            <w:rFonts w:ascii="Times New Roman" w:hAnsi="Times New Roman" w:cs="Times New Roman" w:hint="default"/>
          </w:rPr>
          <w:fldChar w:fldCharType="separate"/>
        </w:r>
        <w:r>
          <w:rPr>
            <w:rFonts w:ascii="Times New Roman" w:hAnsi="Times New Roman" w:cs="Times New Roman" w:hint="default"/>
          </w:rPr>
          <w:t>23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5465" w:history="1">
        <w:r>
          <w:rPr>
            <w:rFonts w:ascii="Times New Roman" w:eastAsia="宋体" w:hAnsi="Times New Roman" w:cs="Times New Roman" w:hint="default"/>
          </w:rPr>
          <w:t>4.1 谈判响应函</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_Toc25465 \h </w:instrText>
        </w:r>
        <w:r>
          <w:rPr>
            <w:rFonts w:ascii="Times New Roman" w:hAnsi="Times New Roman" w:cs="Times New Roman" w:hint="default"/>
          </w:rPr>
          <w:fldChar w:fldCharType="separate"/>
        </w:r>
        <w:r>
          <w:rPr>
            <w:rFonts w:ascii="Times New Roman" w:hAnsi="Times New Roman" w:cs="Times New Roman" w:hint="default"/>
          </w:rPr>
          <w:t>24</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468" w:history="1">
        <w:r>
          <w:rPr>
            <w:rFonts w:ascii="Times New Roman" w:eastAsia="宋体" w:hAnsi="Times New Roman" w:cs="Times New Roman" w:hint="default"/>
          </w:rPr>
          <w:t>4.2 竞争性谈判报价一览表</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_Toc1468 \h </w:instrText>
        </w:r>
        <w:r>
          <w:rPr>
            <w:rFonts w:ascii="Times New Roman" w:hAnsi="Times New Roman" w:cs="Times New Roman" w:hint="default"/>
          </w:rPr>
          <w:fldChar w:fldCharType="separate"/>
        </w:r>
        <w:r>
          <w:rPr>
            <w:rFonts w:ascii="Times New Roman" w:hAnsi="Times New Roman" w:cs="Times New Roman" w:hint="default"/>
          </w:rPr>
          <w:t>25</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6706" w:history="1">
        <w:r>
          <w:rPr>
            <w:rFonts w:ascii="Times New Roman" w:eastAsia="宋体" w:hAnsi="Times New Roman" w:cs="Times New Roman" w:hint="default"/>
          </w:rPr>
          <w:t>4.3 分项报价表</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_Toc6706 \h </w:instrText>
        </w:r>
        <w:r>
          <w:rPr>
            <w:rFonts w:ascii="Times New Roman" w:hAnsi="Times New Roman" w:cs="Times New Roman" w:hint="default"/>
          </w:rPr>
          <w:fldChar w:fldCharType="separate"/>
        </w:r>
        <w:r>
          <w:rPr>
            <w:rFonts w:ascii="Times New Roman" w:hAnsi="Times New Roman" w:cs="Times New Roman" w:hint="default"/>
          </w:rPr>
          <w:t>26</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8700" w:history="1">
        <w:r>
          <w:rPr>
            <w:rFonts w:ascii="Times New Roman" w:eastAsia="宋体" w:hAnsi="Times New Roman" w:cs="Times New Roman" w:hint="default"/>
          </w:rPr>
          <w:t>4.4 资格证明文件</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_Toc8700 \h </w:instrText>
        </w:r>
        <w:r>
          <w:rPr>
            <w:rFonts w:ascii="Times New Roman" w:hAnsi="Times New Roman" w:cs="Times New Roman" w:hint="default"/>
          </w:rPr>
          <w:fldChar w:fldCharType="separate"/>
        </w:r>
        <w:r>
          <w:rPr>
            <w:rFonts w:ascii="Times New Roman" w:hAnsi="Times New Roman" w:cs="Times New Roman" w:hint="default"/>
          </w:rPr>
          <w:t>27</w:t>
        </w:r>
        <w:r>
          <w:rPr>
            <w:rFonts w:ascii="Times New Roman" w:hAnsi="Times New Roman" w:cs="Times New Roman" w:hint="default"/>
          </w:rPr>
          <w:fldChar w:fldCharType="end"/>
        </w:r>
      </w:hyperlink>
    </w:p>
    <w:p>
      <w:pPr>
        <w:pStyle w:val="TOC3"/>
        <w:tabs>
          <w:tab w:val="right" w:leader="dot" w:pos="9355"/>
        </w:tabs>
        <w:rPr>
          <w:rFonts w:ascii="Times New Roman" w:hAnsi="Times New Roman" w:cs="Times New Roman" w:hint="default"/>
        </w:rPr>
      </w:pPr>
      <w:hyperlink w:anchor="_Toc22088" w:history="1">
        <w:r>
          <w:rPr>
            <w:rFonts w:ascii="Times New Roman" w:eastAsia="宋体" w:hAnsi="Times New Roman" w:cs="Times New Roman" w:hint="default"/>
          </w:rPr>
          <w:t>4.4.1 营业执照</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_Toc22088 \h </w:instrText>
        </w:r>
        <w:r>
          <w:rPr>
            <w:rFonts w:ascii="Times New Roman" w:hAnsi="Times New Roman" w:cs="Times New Roman" w:hint="default"/>
          </w:rPr>
          <w:fldChar w:fldCharType="separate"/>
        </w:r>
        <w:r>
          <w:rPr>
            <w:rFonts w:ascii="Times New Roman" w:hAnsi="Times New Roman" w:cs="Times New Roman" w:hint="default"/>
          </w:rPr>
          <w:t>27</w:t>
        </w:r>
        <w:r>
          <w:rPr>
            <w:rFonts w:ascii="Times New Roman" w:hAnsi="Times New Roman" w:cs="Times New Roman" w:hint="default"/>
          </w:rPr>
          <w:fldChar w:fldCharType="end"/>
        </w:r>
      </w:hyperlink>
    </w:p>
    <w:p>
      <w:pPr>
        <w:pStyle w:val="TOC3"/>
        <w:tabs>
          <w:tab w:val="right" w:leader="dot" w:pos="9355"/>
        </w:tabs>
        <w:rPr>
          <w:rFonts w:ascii="Times New Roman" w:hAnsi="Times New Roman" w:cs="Times New Roman" w:hint="default"/>
        </w:rPr>
      </w:pPr>
      <w:hyperlink w:anchor="_Toc17626" w:history="1">
        <w:r>
          <w:rPr>
            <w:rFonts w:ascii="Times New Roman" w:eastAsia="宋体" w:hAnsi="Times New Roman" w:cs="Times New Roman" w:hint="default"/>
          </w:rPr>
          <w:t>4.4.2 法定代表人资格证明书</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_Toc17626 \h </w:instrText>
        </w:r>
        <w:r>
          <w:rPr>
            <w:rFonts w:ascii="Times New Roman" w:hAnsi="Times New Roman" w:cs="Times New Roman" w:hint="default"/>
          </w:rPr>
          <w:fldChar w:fldCharType="separate"/>
        </w:r>
        <w:r>
          <w:rPr>
            <w:rFonts w:ascii="Times New Roman" w:hAnsi="Times New Roman" w:cs="Times New Roman" w:hint="default"/>
          </w:rPr>
          <w:t>28</w:t>
        </w:r>
        <w:r>
          <w:rPr>
            <w:rFonts w:ascii="Times New Roman" w:hAnsi="Times New Roman" w:cs="Times New Roman" w:hint="default"/>
          </w:rPr>
          <w:fldChar w:fldCharType="end"/>
        </w:r>
      </w:hyperlink>
    </w:p>
    <w:p>
      <w:pPr>
        <w:pStyle w:val="TOC3"/>
        <w:tabs>
          <w:tab w:val="right" w:leader="dot" w:pos="9355"/>
        </w:tabs>
        <w:rPr>
          <w:rFonts w:ascii="Times New Roman" w:hAnsi="Times New Roman" w:cs="Times New Roman" w:hint="default"/>
        </w:rPr>
      </w:pPr>
      <w:hyperlink w:anchor="_Toc19315" w:history="1">
        <w:r>
          <w:rPr>
            <w:rFonts w:ascii="Times New Roman" w:eastAsia="宋体" w:hAnsi="Times New Roman" w:cs="Times New Roman" w:hint="default"/>
          </w:rPr>
          <w:t>4.4.3 法定代表人授权委托书</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_Toc19315 \h </w:instrText>
        </w:r>
        <w:r>
          <w:rPr>
            <w:rFonts w:ascii="Times New Roman" w:hAnsi="Times New Roman" w:cs="Times New Roman" w:hint="default"/>
          </w:rPr>
          <w:fldChar w:fldCharType="separate"/>
        </w:r>
        <w:r>
          <w:rPr>
            <w:rFonts w:ascii="Times New Roman" w:hAnsi="Times New Roman" w:cs="Times New Roman" w:hint="default"/>
          </w:rPr>
          <w:t>29</w:t>
        </w:r>
        <w:r>
          <w:rPr>
            <w:rFonts w:ascii="Times New Roman" w:hAnsi="Times New Roman" w:cs="Times New Roman" w:hint="default"/>
          </w:rPr>
          <w:fldChar w:fldCharType="end"/>
        </w:r>
      </w:hyperlink>
    </w:p>
    <w:p>
      <w:pPr>
        <w:pStyle w:val="TOC3"/>
        <w:tabs>
          <w:tab w:val="right" w:leader="dot" w:pos="9355"/>
        </w:tabs>
        <w:rPr>
          <w:rFonts w:ascii="Times New Roman" w:hAnsi="Times New Roman" w:cs="Times New Roman" w:hint="default"/>
        </w:rPr>
      </w:pPr>
      <w:hyperlink w:anchor="_Toc8874" w:history="1">
        <w:r>
          <w:rPr>
            <w:rFonts w:ascii="Times New Roman" w:eastAsia="宋体" w:hAnsi="Times New Roman" w:cs="Times New Roman" w:hint="default"/>
          </w:rPr>
          <w:t>4.4.4 书面声明</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_Toc8874 \h </w:instrText>
        </w:r>
        <w:r>
          <w:rPr>
            <w:rFonts w:ascii="Times New Roman" w:hAnsi="Times New Roman" w:cs="Times New Roman" w:hint="default"/>
          </w:rPr>
          <w:fldChar w:fldCharType="separate"/>
        </w:r>
        <w:r>
          <w:rPr>
            <w:rFonts w:ascii="Times New Roman" w:hAnsi="Times New Roman" w:cs="Times New Roman" w:hint="default"/>
          </w:rPr>
          <w:t>30</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30257" w:history="1">
        <w:r>
          <w:rPr>
            <w:rFonts w:ascii="Times New Roman" w:eastAsia="宋体" w:hAnsi="Times New Roman" w:cs="Times New Roman" w:hint="default"/>
          </w:rPr>
          <w:t>4.5 构成响应文件的其他资料</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_Toc30257 \h </w:instrText>
        </w:r>
        <w:r>
          <w:rPr>
            <w:rFonts w:ascii="Times New Roman" w:hAnsi="Times New Roman" w:cs="Times New Roman" w:hint="default"/>
          </w:rPr>
          <w:fldChar w:fldCharType="separate"/>
        </w:r>
        <w:r>
          <w:rPr>
            <w:rFonts w:ascii="Times New Roman" w:hAnsi="Times New Roman" w:cs="Times New Roman" w:hint="default"/>
          </w:rPr>
          <w:t>31</w:t>
        </w:r>
        <w:r>
          <w:rPr>
            <w:rFonts w:ascii="Times New Roman" w:hAnsi="Times New Roman" w:cs="Times New Roman" w:hint="default"/>
          </w:rPr>
          <w:fldChar w:fldCharType="end"/>
        </w:r>
      </w:hyperlink>
    </w:p>
    <w:p>
      <w:pPr>
        <w:pStyle w:val="TOC1"/>
        <w:tabs>
          <w:tab w:val="right" w:leader="dot" w:pos="9355"/>
        </w:tabs>
        <w:rPr>
          <w:rFonts w:ascii="Times New Roman" w:hAnsi="Times New Roman" w:cs="Times New Roman" w:hint="default"/>
        </w:rPr>
      </w:pPr>
      <w:hyperlink w:anchor="_Toc24965" w:history="1">
        <w:r>
          <w:rPr>
            <w:rFonts w:ascii="Times New Roman" w:hAnsi="Times New Roman" w:cs="Times New Roman" w:hint="default"/>
          </w:rPr>
          <w:t>第五章  采购需求</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_Toc24965 \h </w:instrText>
        </w:r>
        <w:r>
          <w:rPr>
            <w:rFonts w:ascii="Times New Roman" w:hAnsi="Times New Roman" w:cs="Times New Roman" w:hint="default"/>
          </w:rPr>
          <w:fldChar w:fldCharType="separate"/>
        </w:r>
        <w:r>
          <w:rPr>
            <w:rFonts w:ascii="Times New Roman" w:hAnsi="Times New Roman" w:cs="Times New Roman" w:hint="default"/>
          </w:rPr>
          <w:t>32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2913" w:history="1">
        <w:r>
          <w:rPr>
            <w:rFonts w:ascii="Times New Roman" w:eastAsia="宋体" w:hAnsi="Times New Roman" w:cs="Times New Roman" w:hint="default"/>
          </w:rPr>
          <w:t>5.1 计划采购清单</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_Toc22913 \h </w:instrText>
        </w:r>
        <w:r>
          <w:rPr>
            <w:rFonts w:ascii="Times New Roman" w:hAnsi="Times New Roman" w:cs="Times New Roman" w:hint="default"/>
          </w:rPr>
          <w:fldChar w:fldCharType="separate"/>
        </w:r>
        <w:r>
          <w:rPr>
            <w:rFonts w:ascii="Times New Roman" w:hAnsi="Times New Roman" w:cs="Times New Roman" w:hint="default"/>
          </w:rPr>
          <w:t>32</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16526" w:history="1">
        <w:r>
          <w:rPr>
            <w:rFonts w:ascii="Times New Roman" w:eastAsia="宋体" w:hAnsi="Times New Roman" w:cs="Times New Roman" w:hint="default"/>
          </w:rPr>
          <w:t>5.2 交货要求</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_Toc16526 \h </w:instrText>
        </w:r>
        <w:r>
          <w:rPr>
            <w:rFonts w:ascii="Times New Roman" w:hAnsi="Times New Roman" w:cs="Times New Roman" w:hint="default"/>
          </w:rPr>
          <w:fldChar w:fldCharType="separate"/>
        </w:r>
        <w:r>
          <w:rPr>
            <w:rFonts w:ascii="Times New Roman" w:hAnsi="Times New Roman" w:cs="Times New Roman" w:hint="default"/>
          </w:rPr>
          <w:t>33</w:t>
        </w:r>
        <w:r>
          <w:rPr>
            <w:rFonts w:ascii="Times New Roman" w:hAnsi="Times New Roman" w:cs="Times New Roman" w:hint="default"/>
          </w:rPr>
          <w:fldChar w:fldCharType="end"/>
        </w:r>
      </w:hyperlink>
    </w:p>
    <w:p>
      <w:pPr>
        <w:pStyle w:val="TOC2"/>
        <w:tabs>
          <w:tab w:val="right" w:leader="dot" w:pos="9355"/>
        </w:tabs>
        <w:rPr>
          <w:rFonts w:ascii="Times New Roman" w:hAnsi="Times New Roman" w:cs="Times New Roman" w:hint="default"/>
        </w:rPr>
      </w:pPr>
      <w:hyperlink w:anchor="_Toc26517" w:history="1">
        <w:r>
          <w:rPr>
            <w:rFonts w:ascii="Times New Roman" w:eastAsia="宋体" w:hAnsi="Times New Roman" w:cs="Times New Roman" w:hint="default"/>
          </w:rPr>
          <w:t>5.3 验收标准和方法</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_Toc26517 \h </w:instrText>
        </w:r>
        <w:r>
          <w:rPr>
            <w:rFonts w:ascii="Times New Roman" w:hAnsi="Times New Roman" w:cs="Times New Roman" w:hint="default"/>
          </w:rPr>
          <w:fldChar w:fldCharType="separate"/>
        </w:r>
        <w:r>
          <w:rPr>
            <w:rFonts w:ascii="Times New Roman" w:hAnsi="Times New Roman" w:cs="Times New Roman" w:hint="default"/>
          </w:rPr>
          <w:t>33</w:t>
        </w:r>
        <w:r>
          <w:rPr>
            <w:rFonts w:ascii="Times New Roman" w:hAnsi="Times New Roman" w:cs="Times New Roman" w:hint="default"/>
          </w:rPr>
          <w:fldChar w:fldCharType="end"/>
        </w:r>
      </w:hyperlink>
    </w:p>
    <w:p>
      <w:pPr>
        <w:pStyle w:val="TOC1"/>
        <w:tabs>
          <w:tab w:val="right" w:leader="dot" w:pos="9355"/>
        </w:tabs>
        <w:rPr>
          <w:rFonts w:ascii="Times New Roman" w:hAnsi="Times New Roman" w:cs="Times New Roman" w:hint="default"/>
        </w:rPr>
      </w:pPr>
      <w:hyperlink w:anchor="_Toc16997" w:history="1">
        <w:r>
          <w:rPr>
            <w:rFonts w:ascii="Times New Roman" w:eastAsia="宋体" w:hAnsi="Times New Roman" w:cs="Times New Roman" w:hint="default"/>
            <w:bCs/>
            <w:kern w:val="44"/>
            <w:szCs w:val="32"/>
          </w:rPr>
          <w:t>第六章  评审办法</w:t>
        </w:r>
        <w:r>
          <w:rPr>
            <w:rFonts w:ascii="Times New Roman" w:hAnsi="Times New Roman" w:cs="Times New Roman" w:hint="default"/>
          </w:rPr>
          <w:tab/>
        </w:r>
        <w:r>
          <w:rPr>
            <w:rFonts w:ascii="Times New Roman" w:hAnsi="Times New Roman" w:cs="Times New Roman" w:hint="default"/>
          </w:rPr>
          <w:fldChar w:fldCharType="begin"/>
        </w:r>
        <w:r>
          <w:rPr>
            <w:rFonts w:ascii="Times New Roman" w:hAnsi="Times New Roman" w:cs="Times New Roman" w:hint="default"/>
          </w:rPr>
          <w:instrText xml:space="preserve"> PAGEREF _Toc16997 \h </w:instrText>
        </w:r>
        <w:r>
          <w:rPr>
            <w:rFonts w:ascii="Times New Roman" w:hAnsi="Times New Roman" w:cs="Times New Roman" w:hint="default"/>
          </w:rPr>
          <w:fldChar w:fldCharType="separate"/>
        </w:r>
        <w:r>
          <w:rPr>
            <w:rFonts w:ascii="Times New Roman" w:hAnsi="Times New Roman" w:cs="Times New Roman" w:hint="default"/>
          </w:rPr>
          <w:t>34</w:t>
        </w:r>
        <w:r>
          <w:rPr>
            <w:rFonts w:ascii="Times New Roman" w:hAnsi="Times New Roman" w:cs="Times New Roman" w:hint="default"/>
          </w:rPr>
          <w:fldChar w:fldCharType="end"/>
        </w:r>
      </w:hyperlink>
    </w:p>
    <w:p>
      <w:pPr>
        <w:spacing w:line="360" w:lineRule="auto"/>
        <w:jc w:val="center"/>
        <w:rPr>
          <w:rFonts w:ascii="宋体" w:eastAsia="宋体" w:hAnsi="宋体" w:cs="宋体"/>
          <w:b/>
          <w:bCs/>
          <w:sz w:val="32"/>
          <w:szCs w:val="32"/>
        </w:rPr>
        <w:sectPr>
          <w:footerReference w:type="even" r:id="rId8"/>
          <w:footerReference w:type="default" r:id="rId9"/>
          <w:headerReference w:type="first" r:id="rId10"/>
          <w:pgSz w:w="11906" w:h="16838"/>
          <w:pgMar w:top="1418" w:right="1134" w:bottom="1134" w:left="1417" w:header="779" w:footer="720" w:gutter="0"/>
          <w:pgNumType w:start="1"/>
          <w:cols w:num="1" w:space="720"/>
          <w:titlePg/>
          <w:docGrid w:linePitch="331" w:charSpace="0"/>
        </w:sectPr>
      </w:pPr>
      <w:r>
        <w:rPr>
          <w:rFonts w:ascii="Times New Roman" w:eastAsia="宋体" w:hAnsi="Times New Roman" w:cs="Times New Roman" w:hint="default"/>
          <w:szCs w:val="20"/>
        </w:rPr>
        <w:fldChar w:fldCharType="end"/>
      </w:r>
    </w:p>
    <w:p>
      <w:pPr>
        <w:pStyle w:val="Heading1"/>
        <w:jc w:val="center"/>
        <w:rPr>
          <w:rFonts w:ascii="宋体" w:eastAsia="宋体" w:hAnsi="宋体" w:cs="宋体"/>
        </w:rPr>
      </w:pPr>
      <w:bookmarkStart w:id="0" w:name="_Toc60996674"/>
      <w:bookmarkStart w:id="1" w:name="_第一章__招标公告"/>
      <w:bookmarkStart w:id="2" w:name="_Toc20587_WPSOffice_Level1"/>
      <w:bookmarkStart w:id="3" w:name="_Toc32435"/>
      <w:r>
        <w:rPr>
          <w:rFonts w:ascii="Times New Roman" w:hAnsi="Times New Roman" w:cs="Times New Roman"/>
        </w:rPr>
        <w:t>第一章   竞争性谈判公告</w:t>
      </w:r>
      <w:bookmarkEnd w:id="0"/>
      <w:bookmarkEnd w:id="1"/>
      <w:bookmarkEnd w:id="2"/>
      <w:bookmarkEnd w:id="3"/>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hint="eastAsia"/>
          <w:sz w:val="24"/>
        </w:rPr>
        <w:t>为满足</w:t>
      </w:r>
      <w:r>
        <w:rPr>
          <w:rFonts w:ascii="Times New Roman" w:eastAsia="宋体" w:hAnsi="Times New Roman" w:cs="Times New Roman" w:hint="eastAsia"/>
          <w:sz w:val="24"/>
          <w:lang w:val="en-GB"/>
        </w:rPr>
        <w:t>药学系气相色谱氢气使用安全性考虑的</w:t>
      </w:r>
      <w:r>
        <w:rPr>
          <w:rFonts w:ascii="Times New Roman" w:eastAsia="宋体" w:hAnsi="Times New Roman" w:cs="Times New Roman" w:hint="eastAsia"/>
          <w:sz w:val="24"/>
        </w:rPr>
        <w:t>需求，我校药学系拟采购高纯氢气发生器</w:t>
      </w:r>
      <w:r>
        <w:rPr>
          <w:rFonts w:ascii="Times New Roman" w:eastAsia="宋体" w:hAnsi="Times New Roman" w:cs="Times New Roman"/>
          <w:sz w:val="24"/>
        </w:rPr>
        <w:t>。参照《政府采购法》及我校采购管理相关规定，本次</w:t>
      </w:r>
      <w:r>
        <w:rPr>
          <w:rFonts w:ascii="Times New Roman" w:eastAsia="宋体" w:hAnsi="Times New Roman" w:cs="Times New Roman" w:hint="eastAsia"/>
          <w:sz w:val="24"/>
        </w:rPr>
        <w:t>药学高纯氢气发生器</w:t>
      </w:r>
      <w:r>
        <w:rPr>
          <w:rFonts w:ascii="Times New Roman" w:eastAsia="宋体" w:hAnsi="Times New Roman" w:cs="Times New Roman"/>
          <w:sz w:val="24"/>
        </w:rPr>
        <w:t>采购采用竞争性谈判的方式进行。</w:t>
      </w:r>
      <w:r>
        <w:rPr>
          <w:rFonts w:ascii="Times New Roman" w:eastAsia="宋体" w:hAnsi="Times New Roman" w:cs="Times New Roman" w:hint="eastAsia"/>
          <w:sz w:val="24"/>
        </w:rPr>
        <w:t>欢迎</w:t>
      </w:r>
      <w:r>
        <w:rPr>
          <w:rFonts w:ascii="Times New Roman" w:eastAsia="宋体" w:hAnsi="Times New Roman" w:cs="Times New Roman"/>
          <w:sz w:val="24"/>
        </w:rPr>
        <w:t>具有相应资格及具有完成本项目能力的</w:t>
      </w:r>
      <w:r>
        <w:rPr>
          <w:rFonts w:ascii="Times New Roman" w:eastAsia="宋体" w:hAnsi="Times New Roman" w:cs="Times New Roman" w:hint="eastAsia"/>
          <w:sz w:val="24"/>
        </w:rPr>
        <w:t>潜在</w:t>
      </w:r>
      <w:r>
        <w:rPr>
          <w:rFonts w:ascii="Times New Roman" w:eastAsia="宋体" w:hAnsi="Times New Roman" w:cs="Times New Roman"/>
          <w:sz w:val="24"/>
        </w:rPr>
        <w:t>供应商参加。</w:t>
      </w:r>
    </w:p>
    <w:p>
      <w:pPr>
        <w:pStyle w:val="Heading2"/>
        <w:rPr>
          <w:rFonts w:ascii="宋体" w:eastAsia="宋体" w:hAnsi="宋体" w:cs="宋体"/>
          <w:szCs w:val="28"/>
        </w:rPr>
      </w:pPr>
      <w:bookmarkStart w:id="4" w:name="_Toc28359002"/>
      <w:bookmarkStart w:id="5" w:name="_Toc35393621"/>
      <w:bookmarkStart w:id="6" w:name="_Toc28359079"/>
      <w:bookmarkStart w:id="7" w:name="_Toc44621995"/>
      <w:bookmarkStart w:id="8" w:name="_Toc35393790"/>
      <w:bookmarkStart w:id="9" w:name="_Toc29731_WPSOffice_Level2"/>
      <w:bookmarkStart w:id="10" w:name="_Toc14229"/>
      <w:bookmarkStart w:id="11" w:name="_Hlk24379207"/>
      <w:r>
        <w:rPr>
          <w:rFonts w:ascii="Times New Roman" w:eastAsia="宋体" w:hAnsi="Times New Roman" w:cs="Times New Roman"/>
        </w:rPr>
        <w:t>1.1 项目基本情况</w:t>
      </w:r>
      <w:bookmarkEnd w:id="4"/>
      <w:bookmarkEnd w:id="5"/>
      <w:bookmarkEnd w:id="6"/>
      <w:bookmarkEnd w:id="7"/>
      <w:bookmarkEnd w:id="8"/>
      <w:bookmarkEnd w:id="9"/>
      <w:bookmarkEnd w:id="10"/>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1、项目编号：CXYZPH【2022】第1号</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2、项目名称：楚雄医药高等专科学校</w:t>
      </w:r>
      <w:r>
        <w:rPr>
          <w:rFonts w:ascii="Times New Roman" w:eastAsia="宋体" w:hAnsi="Times New Roman" w:cs="Times New Roman" w:hint="eastAsia"/>
          <w:sz w:val="24"/>
          <w:lang w:val="en-GB"/>
        </w:rPr>
        <w:t>药学系高纯氢气发生器</w:t>
      </w:r>
      <w:r>
        <w:rPr>
          <w:rFonts w:ascii="Times New Roman" w:eastAsia="宋体" w:hAnsi="Times New Roman" w:cs="Times New Roman"/>
          <w:sz w:val="24"/>
        </w:rPr>
        <w:t>采购项目</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3、</w:t>
      </w:r>
      <w:r>
        <w:rPr>
          <w:rFonts w:ascii="Times New Roman" w:eastAsia="宋体" w:hAnsi="Times New Roman" w:cs="Times New Roman"/>
          <w:sz w:val="24"/>
        </w:rPr>
        <w:t>采购方式：竞争性谈判</w:t>
      </w:r>
    </w:p>
    <w:bookmarkEnd w:id="11"/>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4、</w:t>
      </w:r>
      <w:r>
        <w:rPr>
          <w:rFonts w:ascii="Times New Roman" w:eastAsia="宋体" w:hAnsi="Times New Roman" w:cs="Times New Roman"/>
          <w:sz w:val="24"/>
        </w:rPr>
        <w:t>预算金额：11000.00</w:t>
      </w:r>
      <w:r>
        <w:rPr>
          <w:rFonts w:ascii="Times New Roman" w:eastAsia="宋体" w:hAnsi="Times New Roman" w:cs="Times New Roman" w:hint="eastAsia"/>
          <w:sz w:val="24"/>
        </w:rPr>
        <w:t>元</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5、</w:t>
      </w:r>
      <w:r>
        <w:rPr>
          <w:rFonts w:ascii="Times New Roman" w:eastAsia="宋体" w:hAnsi="Times New Roman" w:cs="Times New Roman"/>
          <w:sz w:val="24"/>
        </w:rPr>
        <w:t>最高限价：11000.00</w:t>
      </w:r>
      <w:r>
        <w:rPr>
          <w:rFonts w:ascii="Times New Roman" w:eastAsia="宋体" w:hAnsi="Times New Roman" w:cs="Times New Roman" w:hint="eastAsia"/>
          <w:sz w:val="24"/>
        </w:rPr>
        <w:t>元</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6、</w:t>
      </w:r>
      <w:r>
        <w:rPr>
          <w:rFonts w:ascii="Times New Roman" w:eastAsia="宋体" w:hAnsi="Times New Roman" w:cs="Times New Roman"/>
          <w:sz w:val="24"/>
        </w:rPr>
        <w:t>采购需求：</w:t>
      </w:r>
      <w:r>
        <w:rPr>
          <w:rFonts w:ascii="Times New Roman" w:eastAsia="宋体" w:hAnsi="Times New Roman" w:cs="Times New Roman" w:hint="eastAsia"/>
          <w:sz w:val="24"/>
        </w:rPr>
        <w:t>采购高纯氢气发生器2台，仪器应能完全满足气相色谱仪对氢气纯度（9</w:t>
      </w:r>
      <w:r>
        <w:rPr>
          <w:rFonts w:ascii="Times New Roman" w:eastAsia="宋体" w:hAnsi="Times New Roman" w:cs="Times New Roman"/>
          <w:sz w:val="24"/>
        </w:rPr>
        <w:t>9.999%</w:t>
      </w:r>
      <w:r>
        <w:rPr>
          <w:rFonts w:ascii="Times New Roman" w:eastAsia="宋体" w:hAnsi="Times New Roman" w:cs="Times New Roman" w:hint="eastAsia"/>
          <w:sz w:val="24"/>
        </w:rPr>
        <w:t>）及氢气气体流量的需求。</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7、</w:t>
      </w:r>
      <w:r>
        <w:rPr>
          <w:rFonts w:ascii="Times New Roman" w:eastAsia="宋体" w:hAnsi="Times New Roman" w:cs="Times New Roman"/>
          <w:sz w:val="24"/>
        </w:rPr>
        <w:t>合同履行期限：</w:t>
      </w:r>
      <w:r>
        <w:rPr>
          <w:rFonts w:ascii="Times New Roman" w:eastAsia="宋体" w:hAnsi="Times New Roman" w:cs="Times New Roman" w:hint="eastAsia"/>
          <w:sz w:val="24"/>
        </w:rPr>
        <w:t>根据采购方要求供货，供货时间为合同签订后15个日历天内。</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8、</w:t>
      </w:r>
      <w:r>
        <w:rPr>
          <w:rFonts w:ascii="Times New Roman" w:eastAsia="宋体" w:hAnsi="Times New Roman" w:cs="Times New Roman"/>
          <w:sz w:val="24"/>
        </w:rPr>
        <w:t>本项目不接受联合体投标。</w:t>
      </w:r>
    </w:p>
    <w:p>
      <w:pPr>
        <w:pStyle w:val="Heading2"/>
        <w:rPr>
          <w:rFonts w:ascii="Times New Roman" w:eastAsia="宋体" w:hAnsi="Times New Roman" w:cs="Times New Roman"/>
        </w:rPr>
      </w:pPr>
      <w:bookmarkStart w:id="12" w:name="_Toc28359003"/>
      <w:bookmarkStart w:id="13" w:name="_Toc35393791"/>
      <w:bookmarkStart w:id="14" w:name="_Toc28359080"/>
      <w:bookmarkStart w:id="15" w:name="_Toc19404"/>
      <w:bookmarkStart w:id="16" w:name="_Toc31955_WPSOffice_Level2"/>
      <w:bookmarkStart w:id="17" w:name="_Toc44621996"/>
      <w:bookmarkStart w:id="18" w:name="_Toc35393622"/>
      <w:r>
        <w:rPr>
          <w:rFonts w:ascii="Times New Roman" w:eastAsia="宋体" w:hAnsi="Times New Roman" w:cs="Times New Roman"/>
        </w:rPr>
        <w:t>1.2 申请人的资格要求</w:t>
      </w:r>
      <w:bookmarkEnd w:id="12"/>
      <w:bookmarkEnd w:id="13"/>
      <w:bookmarkEnd w:id="14"/>
      <w:bookmarkEnd w:id="15"/>
      <w:bookmarkEnd w:id="16"/>
      <w:bookmarkEnd w:id="17"/>
      <w:bookmarkEnd w:id="18"/>
    </w:p>
    <w:p>
      <w:pPr>
        <w:spacing w:line="460" w:lineRule="exact"/>
        <w:ind w:firstLine="480" w:firstLineChars="200"/>
        <w:rPr>
          <w:rFonts w:ascii="Times New Roman" w:eastAsia="宋体" w:hAnsi="Times New Roman" w:cs="Times New Roman"/>
          <w:sz w:val="24"/>
        </w:rPr>
      </w:pPr>
      <w:bookmarkStart w:id="19" w:name="_Toc29731_WPSOffice_Level3"/>
      <w:r>
        <w:rPr>
          <w:rFonts w:ascii="Times New Roman" w:eastAsia="宋体" w:hAnsi="Times New Roman" w:cs="Times New Roman"/>
          <w:sz w:val="24"/>
        </w:rPr>
        <w:t>1</w:t>
      </w:r>
      <w:r>
        <w:rPr>
          <w:rFonts w:ascii="Times New Roman" w:eastAsia="宋体" w:hAnsi="Times New Roman" w:cs="Times New Roman" w:hint="eastAsia"/>
          <w:sz w:val="24"/>
        </w:rPr>
        <w:t>、</w:t>
      </w:r>
      <w:r>
        <w:rPr>
          <w:rFonts w:ascii="Times New Roman" w:eastAsia="宋体" w:hAnsi="Times New Roman" w:cs="Times New Roman"/>
          <w:sz w:val="24"/>
        </w:rPr>
        <w:t>满足《中华人民共和国政府采购法》第二十二条规定</w:t>
      </w:r>
      <w:bookmarkEnd w:id="19"/>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1）具有独立承担民事责任的能力；</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2）具有良好的商业信誉和健全的财务会计制度；</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3）具有履行合同所必需的设备和专业技术能力；</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4）有依法缴纳税收和社会保障资金的良好记录；</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5）参加政府采购活动前三年内，在经营活动中没有重大违法记录；</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6）法律、行政法规规定的其他条件。</w:t>
      </w:r>
    </w:p>
    <w:p>
      <w:pPr>
        <w:spacing w:line="460" w:lineRule="exact"/>
        <w:ind w:firstLine="480" w:firstLineChars="200"/>
        <w:rPr>
          <w:rFonts w:ascii="Times New Roman" w:eastAsia="宋体" w:hAnsi="Times New Roman" w:cs="Times New Roman"/>
          <w:sz w:val="24"/>
        </w:rPr>
      </w:pPr>
      <w:bookmarkStart w:id="20" w:name="_Toc31955_WPSOffice_Level3"/>
      <w:bookmarkStart w:id="21" w:name="_Toc28359004"/>
      <w:bookmarkStart w:id="22" w:name="_Toc28359081"/>
      <w:r>
        <w:rPr>
          <w:rFonts w:ascii="Times New Roman" w:eastAsia="宋体" w:hAnsi="Times New Roman" w:cs="Times New Roman"/>
          <w:sz w:val="24"/>
        </w:rPr>
        <w:t>2</w:t>
      </w:r>
      <w:r>
        <w:rPr>
          <w:rFonts w:ascii="Times New Roman" w:eastAsia="宋体" w:hAnsi="Times New Roman" w:cs="Times New Roman" w:hint="eastAsia"/>
          <w:sz w:val="24"/>
        </w:rPr>
        <w:t>、</w:t>
      </w:r>
      <w:r>
        <w:rPr>
          <w:rFonts w:ascii="Times New Roman" w:eastAsia="宋体" w:hAnsi="Times New Roman" w:cs="Times New Roman"/>
          <w:sz w:val="24"/>
        </w:rPr>
        <w:t>落实政府采购政策需满足的资格要求：</w:t>
      </w:r>
      <w:bookmarkEnd w:id="20"/>
      <w:r>
        <w:rPr>
          <w:rFonts w:ascii="Times New Roman" w:eastAsia="宋体" w:hAnsi="Times New Roman" w:cs="Times New Roman"/>
          <w:sz w:val="24"/>
        </w:rPr>
        <w:t>无</w:t>
      </w:r>
    </w:p>
    <w:p>
      <w:pPr>
        <w:tabs>
          <w:tab w:val="left" w:pos="426"/>
        </w:tabs>
        <w:adjustRightInd w:val="0"/>
        <w:snapToGrid w:val="0"/>
        <w:spacing w:line="500" w:lineRule="exact"/>
        <w:ind w:firstLine="480" w:firstLineChars="200"/>
        <w:rPr>
          <w:rFonts w:ascii="Times New Roman" w:eastAsia="宋体" w:hAnsi="Times New Roman" w:cs="Times New Roman"/>
          <w:kern w:val="0"/>
          <w:sz w:val="24"/>
        </w:rPr>
        <w:sectPr>
          <w:headerReference w:type="default" r:id="rId11"/>
          <w:footerReference w:type="even" r:id="rId12"/>
          <w:footerReference w:type="default" r:id="rId13"/>
          <w:headerReference w:type="first" r:id="rId14"/>
          <w:pgSz w:w="11906" w:h="16838"/>
          <w:pgMar w:top="1418" w:right="1134" w:bottom="1134" w:left="1417" w:header="936" w:footer="720" w:gutter="0"/>
          <w:pgNumType w:start="2"/>
          <w:cols w:num="1" w:space="720"/>
          <w:docGrid w:linePitch="331" w:charSpace="0"/>
        </w:sectPr>
      </w:pPr>
      <w:bookmarkStart w:id="23" w:name="_Toc20584_WPSOffice_Level3"/>
      <w:r>
        <w:rPr>
          <w:rFonts w:ascii="Times New Roman" w:eastAsia="宋体" w:hAnsi="Times New Roman" w:cs="Times New Roman"/>
          <w:sz w:val="24"/>
        </w:rPr>
        <w:t>3</w:t>
      </w:r>
      <w:r>
        <w:rPr>
          <w:rFonts w:ascii="Times New Roman" w:eastAsia="宋体" w:hAnsi="Times New Roman" w:cs="Times New Roman" w:hint="eastAsia"/>
          <w:sz w:val="24"/>
        </w:rPr>
        <w:t>、</w:t>
      </w:r>
      <w:r>
        <w:rPr>
          <w:rFonts w:ascii="Times New Roman" w:eastAsia="宋体" w:hAnsi="Times New Roman" w:cs="Times New Roman"/>
          <w:sz w:val="24"/>
        </w:rPr>
        <w:t>本项目的特定资格要求：</w:t>
      </w:r>
      <w:bookmarkEnd w:id="23"/>
    </w:p>
    <w:p>
      <w:pPr>
        <w:spacing w:line="460" w:lineRule="exact"/>
        <w:ind w:firstLine="480" w:firstLineChars="200"/>
        <w:rPr>
          <w:rFonts w:ascii="Times New Roman" w:eastAsia="宋体" w:hAnsi="Times New Roman" w:cs="Times New Roman" w:hint="eastAsia"/>
          <w:sz w:val="24"/>
        </w:rPr>
      </w:pPr>
      <w:r>
        <w:rPr>
          <w:rFonts w:ascii="Times New Roman" w:eastAsia="宋体" w:hAnsi="Times New Roman" w:cs="Times New Roman" w:hint="eastAsia"/>
          <w:sz w:val="24"/>
        </w:rPr>
        <w:t>（1）</w:t>
      </w:r>
      <w:r>
        <w:rPr>
          <w:rFonts w:ascii="Times New Roman" w:eastAsia="宋体" w:hAnsi="Times New Roman" w:cs="Times New Roman" w:hint="eastAsia"/>
          <w:sz w:val="24"/>
          <w:lang w:eastAsia="zh-CN"/>
        </w:rPr>
        <w:t>须提供</w:t>
      </w:r>
      <w:r>
        <w:rPr>
          <w:rFonts w:ascii="Times New Roman" w:eastAsia="宋体" w:hAnsi="Times New Roman" w:cs="Times New Roman" w:hint="eastAsia"/>
          <w:sz w:val="24"/>
        </w:rPr>
        <w:t>有效的营业执照、企业税务登记证、组织机构代码证或三证合一的营业执照</w:t>
      </w:r>
      <w:r>
        <w:rPr>
          <w:rFonts w:ascii="Times New Roman" w:eastAsia="宋体" w:hAnsi="Times New Roman" w:cs="Times New Roman" w:hint="eastAsia"/>
          <w:sz w:val="24"/>
          <w:lang w:eastAsia="zh-CN"/>
        </w:rPr>
        <w:t>，具备完成本项目所必须的能力。</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2）供应商在投标截止时间前未被列入“信用中国”网站（www.creditchina.gov.cn）失信被执行人、重大税收违法案件当事人名单、政府采购严重违法失信行为记录名单及中国政府采购网（www.ccgp.gov.cn）“政府采购严重违法失信行为信息记录”（提供查询截图）。若为失信企业，将取消成交资格。</w:t>
      </w:r>
    </w:p>
    <w:p>
      <w:pPr>
        <w:pStyle w:val="Heading2"/>
        <w:rPr>
          <w:rFonts w:ascii="Times New Roman" w:eastAsia="宋体" w:hAnsi="Times New Roman" w:cs="Times New Roman"/>
        </w:rPr>
      </w:pPr>
      <w:bookmarkStart w:id="24" w:name="_Toc17027"/>
      <w:bookmarkStart w:id="25" w:name="_Toc20584_WPSOffice_Level2"/>
      <w:bookmarkStart w:id="26" w:name="_Toc35393792"/>
      <w:bookmarkStart w:id="27" w:name="_Toc44621997"/>
      <w:bookmarkStart w:id="28" w:name="_Toc35393623"/>
      <w:r>
        <w:rPr>
          <w:rFonts w:ascii="Times New Roman" w:eastAsia="宋体" w:hAnsi="Times New Roman" w:cs="Times New Roman"/>
        </w:rPr>
        <w:t>1.3 获取采购文件</w:t>
      </w:r>
      <w:bookmarkEnd w:id="21"/>
      <w:bookmarkEnd w:id="22"/>
      <w:bookmarkEnd w:id="24"/>
      <w:bookmarkEnd w:id="25"/>
      <w:bookmarkEnd w:id="26"/>
      <w:bookmarkEnd w:id="27"/>
      <w:bookmarkEnd w:id="28"/>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时间：202</w:t>
      </w:r>
      <w:r>
        <w:rPr>
          <w:rFonts w:ascii="Times New Roman" w:eastAsia="宋体" w:hAnsi="Times New Roman" w:cs="Times New Roman" w:hint="eastAsia"/>
          <w:sz w:val="24"/>
        </w:rPr>
        <w:t>2</w:t>
      </w:r>
      <w:r>
        <w:rPr>
          <w:rFonts w:ascii="Times New Roman" w:eastAsia="宋体" w:hAnsi="Times New Roman" w:cs="Times New Roman"/>
          <w:sz w:val="24"/>
        </w:rPr>
        <w:t>年3月2</w:t>
      </w:r>
      <w:r>
        <w:rPr>
          <w:rFonts w:ascii="Times New Roman" w:eastAsia="宋体" w:hAnsi="Times New Roman" w:cs="Times New Roman" w:hint="eastAsia"/>
          <w:sz w:val="24"/>
          <w:lang w:val="en-US" w:eastAsia="zh-CN"/>
        </w:rPr>
        <w:t>3</w:t>
      </w:r>
      <w:r>
        <w:rPr>
          <w:rFonts w:ascii="Times New Roman" w:eastAsia="宋体" w:hAnsi="Times New Roman" w:cs="Times New Roman"/>
          <w:sz w:val="24"/>
        </w:rPr>
        <w:t>至202</w:t>
      </w:r>
      <w:r>
        <w:rPr>
          <w:rFonts w:ascii="Times New Roman" w:eastAsia="宋体" w:hAnsi="Times New Roman" w:cs="Times New Roman" w:hint="eastAsia"/>
          <w:sz w:val="24"/>
        </w:rPr>
        <w:t>2</w:t>
      </w:r>
      <w:r>
        <w:rPr>
          <w:rFonts w:ascii="Times New Roman" w:eastAsia="宋体" w:hAnsi="Times New Roman" w:cs="Times New Roman"/>
          <w:sz w:val="24"/>
        </w:rPr>
        <w:t>年4月</w:t>
      </w:r>
      <w:r>
        <w:rPr>
          <w:rFonts w:ascii="Times New Roman" w:eastAsia="宋体" w:hAnsi="Times New Roman" w:cs="Times New Roman" w:hint="eastAsia"/>
          <w:sz w:val="24"/>
        </w:rPr>
        <w:t>1</w:t>
      </w:r>
      <w:r>
        <w:rPr>
          <w:rFonts w:ascii="Times New Roman" w:eastAsia="宋体" w:hAnsi="Times New Roman" w:cs="Times New Roman" w:hint="eastAsia"/>
          <w:sz w:val="24"/>
          <w:lang w:val="en-US" w:eastAsia="zh-CN"/>
        </w:rPr>
        <w:t>3</w:t>
      </w:r>
      <w:r>
        <w:rPr>
          <w:rFonts w:ascii="Times New Roman" w:eastAsia="宋体" w:hAnsi="Times New Roman" w:cs="Times New Roman"/>
          <w:sz w:val="24"/>
        </w:rPr>
        <w:t>日</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地点：</w:t>
      </w:r>
      <w:r>
        <w:rPr>
          <w:rFonts w:ascii="Times New Roman" w:eastAsia="宋体" w:hAnsi="Times New Roman" w:cs="Times New Roman"/>
          <w:color w:val="auto"/>
          <w:sz w:val="24"/>
          <w:lang w:val="zh-CN"/>
        </w:rPr>
        <w:t>楚雄医药高等专科学校</w:t>
      </w:r>
      <w:r>
        <w:rPr>
          <w:rFonts w:ascii="Times New Roman" w:eastAsia="宋体" w:hAnsi="Times New Roman" w:cs="Times New Roman"/>
          <w:color w:val="auto"/>
          <w:sz w:val="24"/>
        </w:rPr>
        <w:t>保卫处招标信息</w:t>
      </w:r>
      <w:r>
        <w:rPr>
          <w:rFonts w:ascii="Times New Roman" w:eastAsia="宋体" w:hAnsi="Times New Roman" w:cs="Times New Roman"/>
          <w:color w:val="auto"/>
          <w:sz w:val="24"/>
          <w:lang w:val="zh-CN"/>
        </w:rPr>
        <w:t>栏下载</w:t>
      </w:r>
      <w:r>
        <w:rPr>
          <w:rFonts w:ascii="Times New Roman" w:eastAsia="宋体" w:hAnsi="Times New Roman" w:cs="Times New Roman"/>
          <w:color w:val="auto"/>
          <w:sz w:val="24"/>
        </w:rPr>
        <w:t>（</w:t>
      </w:r>
      <w:r>
        <w:rPr>
          <w:rFonts w:ascii="Times New Roman" w:eastAsia="宋体" w:hAnsi="Times New Roman" w:cs="Times New Roman"/>
          <w:color w:val="auto"/>
          <w:sz w:val="24"/>
          <w:lang w:val="zh-CN"/>
        </w:rPr>
        <w:t>网址</w:t>
      </w:r>
      <w:r>
        <w:rPr>
          <w:rFonts w:ascii="Times New Roman" w:eastAsia="宋体" w:hAnsi="Times New Roman" w:cs="Times New Roman"/>
          <w:color w:val="auto"/>
          <w:sz w:val="24"/>
        </w:rPr>
        <w:t>：</w:t>
      </w:r>
      <w:hyperlink r:id="rId15" w:history="1">
        <w:r>
          <w:rPr>
            <w:rFonts w:ascii="Times New Roman" w:eastAsia="宋体" w:hAnsi="Times New Roman" w:cs="Times New Roman"/>
            <w:color w:val="auto"/>
            <w:sz w:val="24"/>
          </w:rPr>
          <w:t>http://www.cxmtc.net/list/cnhqcPc/38/1055/auto/12/0.html）</w:t>
        </w:r>
      </w:hyperlink>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sz w:val="24"/>
        </w:rPr>
        <w:t>3、</w:t>
      </w:r>
      <w:r>
        <w:rPr>
          <w:rFonts w:ascii="Times New Roman" w:eastAsia="宋体" w:hAnsi="Times New Roman" w:cs="Times New Roman"/>
          <w:sz w:val="24"/>
        </w:rPr>
        <w:t>方式：网上自行下载</w:t>
      </w:r>
    </w:p>
    <w:p>
      <w:pPr>
        <w:pStyle w:val="Heading2"/>
        <w:rPr>
          <w:rFonts w:ascii="Times New Roman" w:eastAsia="宋体" w:hAnsi="Times New Roman" w:cs="Times New Roman"/>
        </w:rPr>
      </w:pPr>
      <w:bookmarkStart w:id="29" w:name="_Toc13428"/>
      <w:bookmarkStart w:id="30" w:name="_Toc26790_WPSOffice_Level2"/>
      <w:bookmarkStart w:id="31" w:name="_Toc44621998"/>
      <w:bookmarkStart w:id="32" w:name="_Toc35393624"/>
      <w:bookmarkStart w:id="33" w:name="_Toc35393793"/>
      <w:r>
        <w:rPr>
          <w:rFonts w:ascii="Times New Roman" w:eastAsia="宋体" w:hAnsi="Times New Roman" w:cs="Times New Roman"/>
        </w:rPr>
        <w:t>1.4 响应文件提交</w:t>
      </w:r>
      <w:bookmarkEnd w:id="29"/>
    </w:p>
    <w:p>
      <w:pPr>
        <w:spacing w:line="460" w:lineRule="exact"/>
        <w:ind w:left="424" w:leftChars="202"/>
        <w:rPr>
          <w:rFonts w:ascii="Times New Roman" w:eastAsia="宋体" w:hAnsi="Times New Roman" w:cs="Times New Roman"/>
          <w:sz w:val="24"/>
          <w:highlight w:val="yellow"/>
        </w:rPr>
      </w:pPr>
      <w:r>
        <w:rPr>
          <w:rFonts w:ascii="Times New Roman" w:eastAsia="宋体" w:hAnsi="Times New Roman" w:cs="Times New Roman" w:hint="eastAsia"/>
          <w:sz w:val="24"/>
        </w:rPr>
        <w:t>1、</w:t>
      </w:r>
      <w:r>
        <w:rPr>
          <w:rFonts w:ascii="Times New Roman" w:eastAsia="宋体" w:hAnsi="Times New Roman" w:cs="Times New Roman"/>
          <w:sz w:val="24"/>
        </w:rPr>
        <w:t>截止时间</w:t>
      </w:r>
      <w:bookmarkEnd w:id="30"/>
      <w:bookmarkEnd w:id="31"/>
      <w:bookmarkEnd w:id="32"/>
      <w:bookmarkEnd w:id="33"/>
      <w:r>
        <w:rPr>
          <w:rFonts w:ascii="Times New Roman" w:eastAsia="宋体" w:hAnsi="Times New Roman" w:cs="Times New Roman"/>
          <w:sz w:val="24"/>
        </w:rPr>
        <w:t>：202</w:t>
      </w:r>
      <w:r>
        <w:rPr>
          <w:rFonts w:ascii="Times New Roman" w:eastAsia="宋体" w:hAnsi="Times New Roman" w:cs="Times New Roman" w:hint="eastAsia"/>
          <w:sz w:val="24"/>
        </w:rPr>
        <w:t>2</w:t>
      </w:r>
      <w:r>
        <w:rPr>
          <w:rFonts w:ascii="Times New Roman" w:eastAsia="宋体" w:hAnsi="Times New Roman" w:cs="Times New Roman"/>
          <w:sz w:val="24"/>
        </w:rPr>
        <w:t>年</w:t>
      </w:r>
      <w:r>
        <w:rPr>
          <w:rFonts w:ascii="Times New Roman" w:eastAsia="宋体" w:hAnsi="Times New Roman" w:cs="Times New Roman" w:hint="eastAsia"/>
          <w:sz w:val="24"/>
          <w:lang w:val="en-US" w:eastAsia="zh-CN"/>
        </w:rPr>
        <w:t>4</w:t>
      </w:r>
      <w:r>
        <w:rPr>
          <w:rFonts w:ascii="Times New Roman" w:eastAsia="宋体" w:hAnsi="Times New Roman" w:cs="Times New Roman"/>
          <w:sz w:val="24"/>
        </w:rPr>
        <w:t>月</w:t>
      </w:r>
      <w:r>
        <w:rPr>
          <w:rFonts w:ascii="Times New Roman" w:eastAsia="宋体" w:hAnsi="Times New Roman" w:cs="Times New Roman" w:hint="eastAsia"/>
          <w:sz w:val="24"/>
        </w:rPr>
        <w:t>1</w:t>
      </w:r>
      <w:r>
        <w:rPr>
          <w:rFonts w:ascii="Times New Roman" w:eastAsia="宋体" w:hAnsi="Times New Roman" w:cs="Times New Roman" w:hint="eastAsia"/>
          <w:sz w:val="24"/>
          <w:lang w:val="en-US" w:eastAsia="zh-CN"/>
        </w:rPr>
        <w:t>4</w:t>
      </w:r>
      <w:r>
        <w:rPr>
          <w:rFonts w:ascii="Times New Roman" w:eastAsia="宋体" w:hAnsi="Times New Roman" w:cs="Times New Roman"/>
          <w:sz w:val="24"/>
        </w:rPr>
        <w:t>日</w:t>
      </w:r>
      <w:r>
        <w:rPr>
          <w:rFonts w:ascii="Times New Roman" w:eastAsia="宋体" w:hAnsi="Times New Roman" w:cs="Times New Roman" w:hint="eastAsia"/>
          <w:sz w:val="24"/>
        </w:rPr>
        <w:t>14</w:t>
      </w:r>
      <w:r>
        <w:rPr>
          <w:rFonts w:ascii="Times New Roman" w:eastAsia="宋体" w:hAnsi="Times New Roman" w:cs="Times New Roman"/>
          <w:sz w:val="24"/>
        </w:rPr>
        <w:t>点 00 分至</w:t>
      </w:r>
      <w:r>
        <w:rPr>
          <w:rFonts w:ascii="Times New Roman" w:eastAsia="宋体" w:hAnsi="Times New Roman" w:cs="Times New Roman" w:hint="eastAsia"/>
          <w:sz w:val="24"/>
        </w:rPr>
        <w:t>14</w:t>
      </w:r>
      <w:r>
        <w:rPr>
          <w:rFonts w:ascii="Times New Roman" w:eastAsia="宋体" w:hAnsi="Times New Roman" w:cs="Times New Roman"/>
          <w:sz w:val="24"/>
        </w:rPr>
        <w:t>点30 分（北京时间）</w:t>
      </w:r>
    </w:p>
    <w:p>
      <w:pPr>
        <w:spacing w:line="460" w:lineRule="exact"/>
        <w:ind w:left="424" w:firstLine="2" w:leftChars="202"/>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地点：楚雄医药高等专科学校</w:t>
      </w:r>
      <w:r>
        <w:rPr>
          <w:rFonts w:ascii="Times New Roman" w:eastAsia="宋体" w:hAnsi="Times New Roman" w:cs="Times New Roman" w:hint="eastAsia"/>
          <w:sz w:val="24"/>
        </w:rPr>
        <w:t>勤业楼</w:t>
      </w:r>
      <w:r>
        <w:rPr>
          <w:rFonts w:ascii="Times New Roman" w:eastAsia="宋体" w:hAnsi="Times New Roman" w:cs="Times New Roman"/>
          <w:sz w:val="24"/>
        </w:rPr>
        <w:t>会议室</w:t>
      </w:r>
    </w:p>
    <w:p>
      <w:pPr>
        <w:pStyle w:val="Heading2"/>
        <w:rPr>
          <w:rFonts w:ascii="Times New Roman" w:eastAsia="宋体" w:hAnsi="Times New Roman" w:cs="Times New Roman"/>
        </w:rPr>
      </w:pPr>
      <w:bookmarkStart w:id="34" w:name="_Toc19411"/>
      <w:r>
        <w:rPr>
          <w:rFonts w:ascii="Times New Roman" w:eastAsia="宋体" w:hAnsi="Times New Roman" w:cs="Times New Roman"/>
        </w:rPr>
        <w:t>1.5 开启</w:t>
      </w:r>
      <w:bookmarkEnd w:id="34"/>
    </w:p>
    <w:p>
      <w:pPr>
        <w:spacing w:line="460" w:lineRule="exact"/>
        <w:ind w:firstLine="425" w:firstLineChars="177"/>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时间：202</w:t>
      </w:r>
      <w:r>
        <w:rPr>
          <w:rFonts w:ascii="Times New Roman" w:eastAsia="宋体" w:hAnsi="Times New Roman" w:cs="Times New Roman" w:hint="eastAsia"/>
          <w:sz w:val="24"/>
        </w:rPr>
        <w:t>2</w:t>
      </w:r>
      <w:r>
        <w:rPr>
          <w:rFonts w:ascii="Times New Roman" w:eastAsia="宋体" w:hAnsi="Times New Roman" w:cs="Times New Roman"/>
          <w:sz w:val="24"/>
        </w:rPr>
        <w:t>年4月</w:t>
      </w:r>
      <w:r>
        <w:rPr>
          <w:rFonts w:ascii="Times New Roman" w:eastAsia="宋体" w:hAnsi="Times New Roman" w:cs="Times New Roman" w:hint="eastAsia"/>
          <w:sz w:val="24"/>
        </w:rPr>
        <w:t>1</w:t>
      </w:r>
      <w:r>
        <w:rPr>
          <w:rFonts w:ascii="Times New Roman" w:eastAsia="宋体" w:hAnsi="Times New Roman" w:cs="Times New Roman" w:hint="eastAsia"/>
          <w:sz w:val="24"/>
          <w:lang w:val="en-US" w:eastAsia="zh-CN"/>
        </w:rPr>
        <w:t>4</w:t>
      </w:r>
      <w:r>
        <w:rPr>
          <w:rFonts w:ascii="Times New Roman" w:eastAsia="宋体" w:hAnsi="Times New Roman" w:cs="Times New Roman"/>
          <w:sz w:val="24"/>
        </w:rPr>
        <w:t>日</w:t>
      </w:r>
      <w:r>
        <w:rPr>
          <w:rFonts w:ascii="Times New Roman" w:eastAsia="宋体" w:hAnsi="Times New Roman" w:cs="Times New Roman" w:hint="eastAsia"/>
          <w:sz w:val="24"/>
        </w:rPr>
        <w:t>14</w:t>
      </w:r>
      <w:r>
        <w:rPr>
          <w:rFonts w:ascii="Times New Roman" w:eastAsia="宋体" w:hAnsi="Times New Roman" w:cs="Times New Roman"/>
          <w:sz w:val="24"/>
        </w:rPr>
        <w:t>点30 分（北京时间）</w:t>
      </w:r>
    </w:p>
    <w:p>
      <w:pPr>
        <w:spacing w:line="460" w:lineRule="exact"/>
        <w:ind w:firstLine="425" w:firstLineChars="177"/>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地点：</w:t>
      </w:r>
      <w:bookmarkStart w:id="35" w:name="_Toc4901_WPSOffice_Level2"/>
      <w:r>
        <w:rPr>
          <w:rFonts w:ascii="Times New Roman" w:eastAsia="宋体" w:hAnsi="Times New Roman" w:cs="Times New Roman"/>
          <w:sz w:val="24"/>
        </w:rPr>
        <w:t>楚雄医药高等专科学校</w:t>
      </w:r>
      <w:r>
        <w:rPr>
          <w:rFonts w:ascii="Times New Roman" w:eastAsia="宋体" w:hAnsi="Times New Roman" w:cs="Times New Roman" w:hint="eastAsia"/>
          <w:sz w:val="24"/>
        </w:rPr>
        <w:t>勤业楼</w:t>
      </w:r>
      <w:r>
        <w:rPr>
          <w:rFonts w:ascii="Times New Roman" w:eastAsia="宋体" w:hAnsi="Times New Roman" w:cs="Times New Roman"/>
          <w:sz w:val="24"/>
        </w:rPr>
        <w:t>会议室</w:t>
      </w:r>
    </w:p>
    <w:bookmarkEnd w:id="35"/>
    <w:p>
      <w:pPr>
        <w:pStyle w:val="Heading2"/>
        <w:rPr>
          <w:rFonts w:ascii="Times New Roman" w:eastAsia="宋体" w:hAnsi="Times New Roman" w:cs="Times New Roman"/>
        </w:rPr>
      </w:pPr>
      <w:bookmarkStart w:id="36" w:name="_Toc30065_WPSOffice_Level2"/>
      <w:bookmarkStart w:id="37" w:name="_Toc44622000"/>
      <w:bookmarkStart w:id="38" w:name="_Toc35393626"/>
      <w:bookmarkStart w:id="39" w:name="_Toc35393795"/>
      <w:bookmarkStart w:id="40" w:name="_Toc12242"/>
      <w:r>
        <w:rPr>
          <w:rFonts w:ascii="Times New Roman" w:eastAsia="宋体" w:hAnsi="Times New Roman" w:cs="Times New Roman"/>
        </w:rPr>
        <w:t>1.6 其他补充事宜</w:t>
      </w:r>
      <w:bookmarkEnd w:id="36"/>
      <w:bookmarkEnd w:id="37"/>
      <w:bookmarkEnd w:id="38"/>
      <w:bookmarkEnd w:id="39"/>
      <w:bookmarkEnd w:id="40"/>
    </w:p>
    <w:p>
      <w:pPr>
        <w:spacing w:line="460" w:lineRule="exact"/>
        <w:ind w:firstLine="425" w:firstLineChars="177"/>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本项目采用纸质评标，在规定的响应文件递交的时间现场报名并递交响应文件。</w:t>
      </w:r>
    </w:p>
    <w:p>
      <w:pPr>
        <w:spacing w:line="460" w:lineRule="exact"/>
        <w:ind w:firstLine="425" w:firstLineChars="177"/>
        <w:rPr>
          <w:rFonts w:ascii="Times New Roman" w:eastAsia="宋体" w:hAnsi="Times New Roman" w:cs="Times New Roman"/>
          <w:sz w:val="24"/>
        </w:rPr>
      </w:pPr>
      <w:r>
        <w:rPr>
          <w:rFonts w:ascii="Times New Roman" w:eastAsia="宋体" w:hAnsi="Times New Roman" w:cs="Times New Roman" w:hint="eastAsia"/>
          <w:sz w:val="24"/>
        </w:rPr>
        <w:t>2、</w:t>
      </w:r>
      <w:r>
        <w:rPr>
          <w:rFonts w:ascii="Times New Roman" w:eastAsia="宋体" w:hAnsi="Times New Roman" w:cs="Times New Roman"/>
          <w:sz w:val="24"/>
        </w:rPr>
        <w:t>递交响应文件截止时间到，仍未按谈判文件的要求到达，视为自动放弃投标。</w:t>
      </w:r>
    </w:p>
    <w:p>
      <w:pPr>
        <w:spacing w:line="460" w:lineRule="exact"/>
        <w:ind w:firstLine="425" w:firstLineChars="177"/>
        <w:rPr>
          <w:rFonts w:ascii="Times New Roman" w:eastAsia="宋体" w:hAnsi="Times New Roman" w:cs="Times New Roman"/>
          <w:color w:val="000000"/>
          <w:sz w:val="24"/>
        </w:rPr>
        <w:sectPr>
          <w:headerReference w:type="default" r:id="rId16"/>
          <w:footerReference w:type="even" r:id="rId17"/>
          <w:footerReference w:type="default" r:id="rId18"/>
          <w:headerReference w:type="first" r:id="rId19"/>
          <w:type w:val="nextPage"/>
          <w:pgSz w:w="11906" w:h="16838"/>
          <w:pgMar w:top="1418" w:right="1134" w:bottom="1134" w:left="1417" w:header="936" w:footer="720" w:gutter="0"/>
          <w:pgNumType w:start="3"/>
          <w:cols w:num="1" w:space="720"/>
          <w:titlePg w:val="0"/>
          <w:docGrid w:linePitch="331" w:charSpace="0"/>
        </w:sectPr>
      </w:pPr>
      <w:bookmarkStart w:id="41" w:name="_Toc35393796"/>
      <w:bookmarkStart w:id="42" w:name="_Toc14054_WPSOffice_Level2"/>
      <w:bookmarkStart w:id="43" w:name="_Toc28359085"/>
      <w:bookmarkStart w:id="44" w:name="_Toc28359008"/>
      <w:bookmarkStart w:id="45" w:name="_Toc44622001"/>
      <w:bookmarkStart w:id="46" w:name="_Toc35393627"/>
      <w:r>
        <w:rPr>
          <w:rFonts w:ascii="Times New Roman" w:eastAsia="宋体" w:hAnsi="Times New Roman" w:cs="Times New Roman" w:hint="eastAsia"/>
          <w:sz w:val="24"/>
        </w:rPr>
        <w:t>3、</w:t>
      </w:r>
      <w:r>
        <w:rPr>
          <w:rFonts w:ascii="Times New Roman" w:eastAsia="宋体" w:hAnsi="Times New Roman" w:cs="Times New Roman"/>
          <w:kern w:val="0"/>
          <w:sz w:val="24"/>
        </w:rPr>
        <w:t>法人代表或授权代表须准时到会，出示身份证原件并签名以示出席；否则，其谈判将被拒绝。</w:t>
      </w:r>
    </w:p>
    <w:p>
      <w:pPr>
        <w:pStyle w:val="Heading2"/>
        <w:rPr>
          <w:rFonts w:ascii="Times New Roman" w:eastAsia="宋体" w:hAnsi="Times New Roman" w:cs="Times New Roman"/>
        </w:rPr>
      </w:pPr>
      <w:bookmarkStart w:id="47" w:name="_Toc28779"/>
      <w:r>
        <w:rPr>
          <w:rFonts w:ascii="Times New Roman" w:eastAsia="宋体" w:hAnsi="Times New Roman" w:cs="Times New Roman"/>
        </w:rPr>
        <w:t>1.7 谈判保证金</w:t>
      </w:r>
      <w:bookmarkEnd w:id="47"/>
    </w:p>
    <w:p>
      <w:pPr>
        <w:spacing w:line="460" w:lineRule="exact"/>
        <w:ind w:firstLine="480" w:firstLineChars="200"/>
        <w:rPr>
          <w:rFonts w:ascii="Times New Roman" w:eastAsia="宋体" w:hAnsi="Times New Roman" w:cs="Times New Roman"/>
          <w:color w:val="000000"/>
          <w:kern w:val="0"/>
          <w:sz w:val="24"/>
        </w:rPr>
      </w:pPr>
      <w:r>
        <w:rPr>
          <w:rFonts w:ascii="Times New Roman" w:eastAsia="宋体" w:hAnsi="Times New Roman" w:cs="Times New Roman"/>
          <w:sz w:val="24"/>
        </w:rPr>
        <w:t>保证金的形式：现金，保证金的金额：</w:t>
      </w:r>
      <w:r>
        <w:rPr>
          <w:rFonts w:ascii="Times New Roman" w:eastAsia="宋体" w:hAnsi="Times New Roman" w:cs="Times New Roman" w:hint="eastAsia"/>
          <w:color w:val="000000"/>
          <w:kern w:val="0"/>
          <w:sz w:val="24"/>
        </w:rPr>
        <w:t>2</w:t>
      </w:r>
      <w:r>
        <w:rPr>
          <w:rFonts w:ascii="Times New Roman" w:eastAsia="宋体" w:hAnsi="Times New Roman" w:cs="Times New Roman"/>
          <w:color w:val="000000"/>
          <w:kern w:val="0"/>
          <w:sz w:val="24"/>
        </w:rPr>
        <w:t>00.00（大写：人民币</w:t>
      </w:r>
      <w:r>
        <w:rPr>
          <w:rFonts w:ascii="Times New Roman" w:eastAsia="宋体" w:hAnsi="Times New Roman" w:cs="Times New Roman" w:hint="eastAsia"/>
          <w:color w:val="000000"/>
          <w:kern w:val="0"/>
          <w:sz w:val="24"/>
        </w:rPr>
        <w:t>贰佰</w:t>
      </w:r>
      <w:r>
        <w:rPr>
          <w:rFonts w:ascii="Times New Roman" w:eastAsia="宋体" w:hAnsi="Times New Roman" w:cs="Times New Roman"/>
          <w:color w:val="000000"/>
          <w:kern w:val="0"/>
          <w:sz w:val="24"/>
        </w:rPr>
        <w:t>元整）。请自备信封，当场清点密封后递交。未成交供应商的保证金在评标结束后当场退还，成交供应商的保证金在合同签订后无息退还。未提交保证金不得参加本项目谈判。</w:t>
      </w:r>
    </w:p>
    <w:p>
      <w:pPr>
        <w:pStyle w:val="Heading2"/>
        <w:rPr>
          <w:rFonts w:ascii="Times New Roman" w:eastAsia="宋体" w:hAnsi="Times New Roman" w:cs="Times New Roman"/>
        </w:rPr>
      </w:pPr>
      <w:bookmarkStart w:id="48" w:name="_Toc26640"/>
      <w:r>
        <w:rPr>
          <w:rFonts w:ascii="Times New Roman" w:eastAsia="宋体" w:hAnsi="Times New Roman" w:cs="Times New Roman"/>
        </w:rPr>
        <w:t xml:space="preserve">1.8 </w:t>
      </w:r>
      <w:bookmarkEnd w:id="41"/>
      <w:bookmarkEnd w:id="42"/>
      <w:bookmarkEnd w:id="43"/>
      <w:bookmarkEnd w:id="44"/>
      <w:bookmarkEnd w:id="45"/>
      <w:bookmarkEnd w:id="46"/>
      <w:r>
        <w:rPr>
          <w:rFonts w:ascii="Times New Roman" w:eastAsia="宋体" w:hAnsi="Times New Roman" w:cs="Times New Roman" w:hint="eastAsia"/>
        </w:rPr>
        <w:t>疫情防控要求</w:t>
      </w:r>
      <w:bookmarkEnd w:id="48"/>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hint="eastAsia"/>
          <w:color w:val="000000"/>
          <w:kern w:val="0"/>
          <w:sz w:val="24"/>
        </w:rPr>
        <w:t>响应供应商入校参与谈判时，应严格按照楚雄市及学校新冠疫情防控要求应主动出示健康码绿码、行程卡绿码、已接种新冠疫苗、体温低于37.3℃，并按要求佩戴口罩，如14天内有州外旅居史的还需出示48小时以内的核酸检测阴性报告。</w:t>
      </w:r>
    </w:p>
    <w:p>
      <w:pPr>
        <w:pStyle w:val="Heading2"/>
        <w:rPr>
          <w:rFonts w:ascii="Times New Roman" w:eastAsia="宋体" w:hAnsi="Times New Roman" w:cs="Times New Roman"/>
        </w:rPr>
      </w:pPr>
      <w:bookmarkStart w:id="49" w:name="_Toc5960"/>
      <w:r>
        <w:rPr>
          <w:rFonts w:ascii="Times New Roman" w:eastAsia="宋体" w:hAnsi="Times New Roman" w:cs="Times New Roman"/>
        </w:rPr>
        <w:t>1.9 联系方式</w:t>
      </w:r>
      <w:bookmarkEnd w:id="49"/>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名 称：楚雄医药高等专科学校</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地 址：楚雄市东瓜镇</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联系方式：</w:t>
      </w:r>
      <w:bookmarkStart w:id="50" w:name="_Toc28359086"/>
      <w:bookmarkStart w:id="51" w:name="_Toc28359009"/>
      <w:r>
        <w:rPr>
          <w:rFonts w:ascii="Times New Roman" w:eastAsia="宋体" w:hAnsi="Times New Roman" w:cs="Times New Roman" w:hint="default"/>
          <w:sz w:val="24"/>
        </w:rPr>
        <w:t>18987832376</w:t>
      </w:r>
    </w:p>
    <w:bookmarkEnd w:id="50"/>
    <w:bookmarkEnd w:id="51"/>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联系人：</w:t>
      </w:r>
      <w:r>
        <w:rPr>
          <w:rFonts w:ascii="Times New Roman" w:eastAsia="宋体" w:hAnsi="Times New Roman" w:cs="Times New Roman" w:hint="eastAsia"/>
          <w:sz w:val="24"/>
          <w:lang w:eastAsia="zh-CN"/>
        </w:rPr>
        <w:t>邹</w:t>
      </w:r>
      <w:r>
        <w:rPr>
          <w:rFonts w:ascii="Times New Roman" w:eastAsia="宋体" w:hAnsi="Times New Roman" w:cs="Times New Roman"/>
          <w:sz w:val="24"/>
        </w:rPr>
        <w:t xml:space="preserve">老师   </w:t>
      </w:r>
    </w:p>
    <w:p>
      <w:pPr>
        <w:spacing w:line="460" w:lineRule="exact"/>
        <w:ind w:firstLine="480" w:firstLineChars="200"/>
        <w:rPr>
          <w:rFonts w:ascii="Times New Roman" w:eastAsia="宋体" w:hAnsi="Times New Roman" w:cs="Times New Roman"/>
          <w:sz w:val="24"/>
        </w:rPr>
      </w:pPr>
    </w:p>
    <w:p>
      <w:pPr>
        <w:spacing w:line="460" w:lineRule="exact"/>
        <w:ind w:firstLine="480" w:firstLineChars="200"/>
        <w:rPr>
          <w:rFonts w:ascii="Times New Roman" w:eastAsia="宋体" w:hAnsi="Times New Roman" w:cs="Times New Roman"/>
          <w:sz w:val="24"/>
        </w:rPr>
      </w:pPr>
    </w:p>
    <w:p>
      <w:pPr>
        <w:spacing w:line="460" w:lineRule="exact"/>
        <w:ind w:firstLine="480" w:firstLineChars="200"/>
        <w:jc w:val="center"/>
        <w:rPr>
          <w:rFonts w:ascii="Times New Roman" w:eastAsia="宋体" w:hAnsi="Times New Roman" w:cs="Times New Roman" w:hint="eastAsia"/>
          <w:sz w:val="24"/>
        </w:rPr>
      </w:pPr>
      <w:bookmarkStart w:id="52" w:name="_GoBack"/>
      <w:bookmarkEnd w:id="52"/>
      <w:r>
        <w:rPr>
          <w:rFonts w:ascii="Times New Roman" w:eastAsia="宋体" w:hAnsi="Times New Roman" w:cs="Times New Roman" w:hint="eastAsia"/>
          <w:sz w:val="24"/>
          <w:lang w:eastAsia="zh-CN"/>
        </w:rPr>
        <w:t>楚雄医药高等专科学校</w:t>
      </w:r>
    </w:p>
    <w:p>
      <w:pPr>
        <w:spacing w:line="460" w:lineRule="exact"/>
        <w:ind w:firstLine="480" w:firstLineChars="200"/>
        <w:jc w:val="center"/>
        <w:rPr>
          <w:rFonts w:ascii="Times New Roman" w:eastAsia="宋体" w:hAnsi="Times New Roman" w:cs="Times New Roman" w:hint="default"/>
          <w:sz w:val="24"/>
        </w:rPr>
      </w:pPr>
      <w:r>
        <w:rPr>
          <w:rFonts w:ascii="Times New Roman" w:eastAsia="宋体" w:hAnsi="Times New Roman" w:cs="Times New Roman" w:hint="eastAsia"/>
          <w:sz w:val="24"/>
          <w:lang w:val="en-US" w:eastAsia="zh-CN"/>
        </w:rPr>
        <w:t>2022年3月23日</w:t>
      </w:r>
    </w:p>
    <w:p>
      <w:pPr>
        <w:spacing w:line="460" w:lineRule="exact"/>
        <w:ind w:firstLine="480" w:firstLineChars="200"/>
        <w:rPr>
          <w:rFonts w:ascii="Times New Roman" w:eastAsia="宋体" w:hAnsi="Times New Roman" w:cs="Times New Roman"/>
          <w:sz w:val="24"/>
        </w:rPr>
      </w:pPr>
    </w:p>
    <w:p>
      <w:pPr>
        <w:spacing w:line="460" w:lineRule="exact"/>
        <w:ind w:firstLine="480" w:firstLineChars="200"/>
        <w:rPr>
          <w:rFonts w:ascii="Times New Roman" w:eastAsia="宋体" w:hAnsi="Times New Roman" w:cs="Times New Roman"/>
          <w:sz w:val="24"/>
        </w:rPr>
        <w:sectPr>
          <w:headerReference w:type="default" r:id="rId20"/>
          <w:footerReference w:type="even" r:id="rId21"/>
          <w:footerReference w:type="default" r:id="rId22"/>
          <w:headerReference w:type="first" r:id="rId23"/>
          <w:type w:val="nextPage"/>
          <w:pgSz w:w="11906" w:h="16838"/>
          <w:pgMar w:top="1418" w:right="1134" w:bottom="1134" w:left="1417" w:header="936" w:footer="720" w:gutter="0"/>
          <w:pgNumType w:start="4"/>
          <w:cols w:num="1" w:space="720"/>
          <w:titlePg w:val="0"/>
          <w:docGrid w:linePitch="331" w:charSpace="0"/>
        </w:sectPr>
      </w:pPr>
    </w:p>
    <w:p>
      <w:pPr>
        <w:pStyle w:val="Heading1"/>
        <w:jc w:val="center"/>
        <w:rPr>
          <w:rFonts w:ascii="宋体" w:eastAsia="宋体" w:hAnsi="宋体" w:cs="宋体"/>
        </w:rPr>
      </w:pPr>
      <w:bookmarkStart w:id="53" w:name="_Toc60996675"/>
      <w:bookmarkStart w:id="54" w:name="_Toc25948_WPSOffice_Level1"/>
      <w:bookmarkStart w:id="55" w:name="_Toc16347"/>
      <w:bookmarkStart w:id="56" w:name="_第二章__投标人须知"/>
      <w:r>
        <w:rPr>
          <w:rFonts w:ascii="Times New Roman" w:eastAsia="宋体" w:hAnsi="Times New Roman" w:cs="Times New Roman"/>
        </w:rPr>
        <w:t>第二章</w:t>
      </w:r>
      <w:bookmarkEnd w:id="53"/>
      <w:bookmarkEnd w:id="54"/>
      <w:r>
        <w:rPr>
          <w:rFonts w:ascii="Times New Roman" w:eastAsia="宋体" w:hAnsi="Times New Roman" w:cs="Times New Roman"/>
        </w:rPr>
        <w:t xml:space="preserve">   供应商须知</w:t>
      </w:r>
      <w:bookmarkEnd w:id="55"/>
    </w:p>
    <w:p>
      <w:pPr>
        <w:rPr>
          <w:rFonts w:ascii="宋体" w:eastAsia="宋体" w:hAnsi="宋体" w:cs="宋体"/>
          <w:kern w:val="0"/>
          <w:sz w:val="24"/>
        </w:rPr>
      </w:pPr>
      <w:r>
        <w:rPr>
          <w:rFonts w:ascii="宋体" w:eastAsia="宋体" w:hAnsi="宋体" w:cs="宋体" w:hint="eastAsia"/>
          <w:kern w:val="0"/>
          <w:sz w:val="24"/>
        </w:rPr>
        <w:t xml:space="preserve">                            供应商须知前附表</w:t>
      </w:r>
    </w:p>
    <w:tbl>
      <w:tblPr>
        <w:tblStyle w:val="TableNormal"/>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1985"/>
        <w:gridCol w:w="6378"/>
      </w:tblGrid>
      <w:tr>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6"/>
          <w:tblHeader/>
        </w:trPr>
        <w:tc>
          <w:tcPr>
            <w:tcW w:w="709" w:type="dxa"/>
            <w:tcBorders>
              <w:top w:val="thinThickSmallGap" w:sz="18" w:space="0" w:color="auto"/>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序号</w:t>
            </w:r>
          </w:p>
        </w:tc>
        <w:tc>
          <w:tcPr>
            <w:tcW w:w="1985" w:type="dxa"/>
            <w:tcBorders>
              <w:top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项目名称</w:t>
            </w:r>
          </w:p>
        </w:tc>
        <w:tc>
          <w:tcPr>
            <w:tcW w:w="6378" w:type="dxa"/>
            <w:tcBorders>
              <w:top w:val="thinThickSmallGap" w:sz="18" w:space="0" w:color="auto"/>
              <w:right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内　　　　容</w:t>
            </w:r>
          </w:p>
        </w:tc>
      </w:tr>
      <w:tr>
        <w:tblPrEx>
          <w:tblW w:w="9072" w:type="dxa"/>
          <w:tblInd w:w="108" w:type="dxa"/>
          <w:tblLayout w:type="fixed"/>
          <w:tblCellMar>
            <w:top w:w="0" w:type="dxa"/>
            <w:left w:w="108" w:type="dxa"/>
            <w:bottom w:w="0" w:type="dxa"/>
            <w:right w:w="108" w:type="dxa"/>
          </w:tblCellMar>
        </w:tblPrEx>
        <w:trPr>
          <w:trHeight w:val="818"/>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采购单位</w:t>
            </w:r>
          </w:p>
        </w:tc>
        <w:tc>
          <w:tcPr>
            <w:tcW w:w="6378" w:type="dxa"/>
            <w:tcBorders>
              <w:right w:val="thickThinSmallGap" w:sz="18" w:space="0" w:color="auto"/>
            </w:tcBorders>
            <w:noWrap/>
            <w:vAlign w:val="center"/>
          </w:tcPr>
          <w:p>
            <w:pPr>
              <w:adjustRightInd w:val="0"/>
              <w:snapToGrid w:val="0"/>
              <w:spacing w:before="120" w:beforeLines="50" w:line="360" w:lineRule="auto"/>
              <w:rPr>
                <w:rFonts w:ascii="Times New Roman" w:eastAsia="宋体" w:hAnsi="Times New Roman" w:cs="Times New Roman"/>
                <w:szCs w:val="21"/>
              </w:rPr>
            </w:pPr>
            <w:r>
              <w:rPr>
                <w:rFonts w:ascii="Times New Roman" w:eastAsia="宋体" w:hAnsi="Times New Roman" w:cs="Times New Roman"/>
                <w:szCs w:val="21"/>
              </w:rPr>
              <w:t>名称：楚雄医药高等专科学校</w:t>
            </w:r>
          </w:p>
          <w:p>
            <w:pPr>
              <w:adjustRightInd w:val="0"/>
              <w:snapToGrid w:val="0"/>
              <w:spacing w:before="120" w:beforeLines="50" w:line="360" w:lineRule="auto"/>
              <w:rPr>
                <w:rFonts w:ascii="Times New Roman" w:eastAsia="宋体" w:hAnsi="Times New Roman" w:cs="Times New Roman"/>
                <w:szCs w:val="21"/>
              </w:rPr>
            </w:pPr>
            <w:r>
              <w:rPr>
                <w:rFonts w:ascii="Times New Roman" w:eastAsia="宋体" w:hAnsi="Times New Roman" w:cs="Times New Roman"/>
                <w:szCs w:val="21"/>
              </w:rPr>
              <w:t>地址：楚雄市东瓜镇</w:t>
            </w:r>
          </w:p>
          <w:p>
            <w:pPr>
              <w:adjustRightInd w:val="0"/>
              <w:snapToGrid w:val="0"/>
              <w:spacing w:before="120" w:beforeLines="50" w:line="360" w:lineRule="auto"/>
              <w:rPr>
                <w:rFonts w:ascii="Times New Roman" w:eastAsia="宋体" w:hAnsi="Times New Roman" w:cs="Times New Roman"/>
                <w:szCs w:val="21"/>
              </w:rPr>
            </w:pPr>
            <w:r>
              <w:rPr>
                <w:rFonts w:ascii="Times New Roman" w:eastAsia="宋体" w:hAnsi="Times New Roman" w:cs="Times New Roman"/>
                <w:szCs w:val="21"/>
              </w:rPr>
              <w:t>联系方式：</w:t>
            </w:r>
            <w:r>
              <w:rPr>
                <w:rFonts w:ascii="Times New Roman" w:eastAsia="宋体" w:hAnsi="Times New Roman" w:cs="Times New Roman" w:hint="default"/>
                <w:szCs w:val="21"/>
              </w:rPr>
              <w:t>18987832376</w:t>
            </w:r>
          </w:p>
          <w:p>
            <w:pPr>
              <w:adjustRightInd w:val="0"/>
              <w:snapToGrid w:val="0"/>
              <w:spacing w:before="120" w:beforeLines="50" w:line="360" w:lineRule="auto"/>
              <w:rPr>
                <w:rFonts w:ascii="Times New Roman" w:eastAsia="宋体" w:hAnsi="Times New Roman" w:cs="Times New Roman"/>
                <w:szCs w:val="21"/>
              </w:rPr>
            </w:pPr>
            <w:r>
              <w:rPr>
                <w:rFonts w:ascii="Times New Roman" w:eastAsia="宋体" w:hAnsi="Times New Roman" w:cs="Times New Roman"/>
                <w:szCs w:val="21"/>
              </w:rPr>
              <w:t>联系人：</w:t>
            </w:r>
            <w:r>
              <w:rPr>
                <w:rFonts w:ascii="Times New Roman" w:eastAsia="宋体" w:hAnsi="Times New Roman" w:cs="Times New Roman" w:hint="eastAsia"/>
                <w:szCs w:val="21"/>
                <w:lang w:eastAsia="zh-CN"/>
              </w:rPr>
              <w:t>邹</w:t>
            </w:r>
            <w:r>
              <w:rPr>
                <w:rFonts w:ascii="Times New Roman" w:eastAsia="宋体" w:hAnsi="Times New Roman" w:cs="Times New Roman"/>
                <w:szCs w:val="21"/>
              </w:rPr>
              <w:t>老师</w:t>
            </w:r>
          </w:p>
        </w:tc>
      </w:tr>
      <w:tr>
        <w:tblPrEx>
          <w:tblW w:w="9072" w:type="dxa"/>
          <w:tblInd w:w="108" w:type="dxa"/>
          <w:tblLayout w:type="fixed"/>
          <w:tblCellMar>
            <w:top w:w="0" w:type="dxa"/>
            <w:left w:w="108" w:type="dxa"/>
            <w:bottom w:w="0" w:type="dxa"/>
            <w:right w:w="108" w:type="dxa"/>
          </w:tblCellMar>
        </w:tblPrEx>
        <w:trPr>
          <w:trHeight w:val="440"/>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采购代理机构</w:t>
            </w:r>
          </w:p>
        </w:tc>
        <w:tc>
          <w:tcPr>
            <w:tcW w:w="6378" w:type="dxa"/>
            <w:tcBorders>
              <w:right w:val="thickThinSmallGap" w:sz="18" w:space="0" w:color="auto"/>
            </w:tcBorders>
            <w:noWrap/>
            <w:vAlign w:val="center"/>
          </w:tcPr>
          <w:p>
            <w:pPr>
              <w:spacing w:line="460" w:lineRule="exact"/>
              <w:ind w:firstLine="420" w:firstLineChars="200"/>
              <w:rPr>
                <w:rFonts w:ascii="Times New Roman" w:eastAsia="宋体" w:hAnsi="Times New Roman" w:cs="Times New Roman"/>
                <w:szCs w:val="21"/>
              </w:rPr>
            </w:pPr>
            <w:r>
              <w:rPr>
                <w:rFonts w:ascii="Times New Roman" w:eastAsia="宋体" w:hAnsi="Times New Roman" w:cs="Times New Roman"/>
                <w:szCs w:val="21"/>
              </w:rPr>
              <w:t>无</w:t>
            </w:r>
          </w:p>
        </w:tc>
      </w:tr>
      <w:tr>
        <w:tblPrEx>
          <w:tblW w:w="9072" w:type="dxa"/>
          <w:tblInd w:w="108" w:type="dxa"/>
          <w:tblLayout w:type="fixed"/>
          <w:tblCellMar>
            <w:top w:w="0" w:type="dxa"/>
            <w:left w:w="108" w:type="dxa"/>
            <w:bottom w:w="0" w:type="dxa"/>
            <w:right w:w="108" w:type="dxa"/>
          </w:tblCellMar>
        </w:tblPrEx>
        <w:trPr>
          <w:cantSplit/>
          <w:trHeight w:val="425"/>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3</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项目名称</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hint="eastAsia"/>
                <w:sz w:val="24"/>
              </w:rPr>
              <w:t>楚</w:t>
            </w:r>
            <w:r>
              <w:rPr>
                <w:rFonts w:ascii="Times New Roman" w:eastAsia="宋体" w:hAnsi="Times New Roman" w:cs="Times New Roman"/>
                <w:sz w:val="24"/>
              </w:rPr>
              <w:t>雄医药高等专科学校</w:t>
            </w:r>
            <w:r>
              <w:rPr>
                <w:rFonts w:ascii="Times New Roman" w:eastAsia="宋体" w:hAnsi="Times New Roman" w:cs="Times New Roman" w:hint="eastAsia"/>
                <w:sz w:val="24"/>
                <w:lang w:val="en-GB"/>
              </w:rPr>
              <w:t>药学系高纯氢气发生器</w:t>
            </w:r>
            <w:r>
              <w:rPr>
                <w:rFonts w:ascii="Times New Roman" w:eastAsia="宋体" w:hAnsi="Times New Roman" w:cs="Times New Roman"/>
                <w:sz w:val="24"/>
              </w:rPr>
              <w:t>采购项目</w:t>
            </w:r>
          </w:p>
        </w:tc>
      </w:tr>
      <w:tr>
        <w:tblPrEx>
          <w:tblW w:w="9072" w:type="dxa"/>
          <w:tblInd w:w="108" w:type="dxa"/>
          <w:tblLayout w:type="fixed"/>
          <w:tblCellMar>
            <w:top w:w="0" w:type="dxa"/>
            <w:left w:w="108" w:type="dxa"/>
            <w:bottom w:w="0" w:type="dxa"/>
            <w:right w:w="108" w:type="dxa"/>
          </w:tblCellMar>
        </w:tblPrEx>
        <w:trPr>
          <w:cantSplit/>
          <w:trHeight w:val="425"/>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4</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项目编号</w:t>
            </w:r>
          </w:p>
        </w:tc>
        <w:tc>
          <w:tcPr>
            <w:tcW w:w="6378" w:type="dxa"/>
            <w:tcBorders>
              <w:right w:val="thickThinSmallGap" w:sz="18" w:space="0" w:color="auto"/>
            </w:tcBorders>
            <w:noWrap/>
            <w:vAlign w:val="center"/>
          </w:tcPr>
          <w:p>
            <w:pPr>
              <w:spacing w:line="460" w:lineRule="exact"/>
              <w:rPr>
                <w:rFonts w:ascii="Times New Roman" w:eastAsia="宋体" w:hAnsi="Times New Roman" w:cs="Times New Roman"/>
                <w:szCs w:val="21"/>
              </w:rPr>
            </w:pPr>
            <w:r>
              <w:rPr>
                <w:rFonts w:ascii="Times New Roman" w:eastAsia="宋体" w:hAnsi="Times New Roman" w:cs="Times New Roman"/>
                <w:szCs w:val="21"/>
              </w:rPr>
              <w:t>CXYZPH【2022】第1号</w:t>
            </w:r>
          </w:p>
        </w:tc>
      </w:tr>
      <w:tr>
        <w:tblPrEx>
          <w:tblW w:w="9072" w:type="dxa"/>
          <w:tblInd w:w="108" w:type="dxa"/>
          <w:tblLayout w:type="fixed"/>
          <w:tblCellMar>
            <w:top w:w="0" w:type="dxa"/>
            <w:left w:w="108" w:type="dxa"/>
            <w:bottom w:w="0" w:type="dxa"/>
            <w:right w:w="108" w:type="dxa"/>
          </w:tblCellMar>
        </w:tblPrEx>
        <w:trPr>
          <w:cantSplit/>
          <w:trHeight w:val="90"/>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5</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采购预算</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11000.00元</w:t>
            </w:r>
          </w:p>
        </w:tc>
      </w:tr>
      <w:tr>
        <w:tblPrEx>
          <w:tblW w:w="9072" w:type="dxa"/>
          <w:tblInd w:w="108" w:type="dxa"/>
          <w:tblLayout w:type="fixed"/>
          <w:tblCellMar>
            <w:top w:w="0" w:type="dxa"/>
            <w:left w:w="108" w:type="dxa"/>
            <w:bottom w:w="0" w:type="dxa"/>
            <w:right w:w="108" w:type="dxa"/>
          </w:tblCellMar>
        </w:tblPrEx>
        <w:trPr>
          <w:cantSplit/>
          <w:trHeight w:val="425"/>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6</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采购内容</w:t>
            </w:r>
          </w:p>
        </w:tc>
        <w:tc>
          <w:tcPr>
            <w:tcW w:w="6378" w:type="dxa"/>
            <w:tcBorders>
              <w:right w:val="thickThinSmallGap" w:sz="18" w:space="0" w:color="auto"/>
            </w:tcBorders>
            <w:noWrap/>
            <w:vAlign w:val="center"/>
          </w:tcPr>
          <w:p>
            <w:pPr>
              <w:spacing w:line="460" w:lineRule="exact"/>
              <w:jc w:val="left"/>
              <w:rPr>
                <w:rFonts w:ascii="Times New Roman" w:eastAsia="宋体" w:hAnsi="Times New Roman" w:cs="Times New Roman"/>
                <w:szCs w:val="21"/>
              </w:rPr>
            </w:pPr>
            <w:r>
              <w:rPr>
                <w:rFonts w:ascii="Times New Roman" w:eastAsia="宋体" w:hAnsi="Times New Roman" w:cs="Times New Roman"/>
                <w:szCs w:val="21"/>
              </w:rPr>
              <w:t>采购</w:t>
            </w:r>
            <w:r>
              <w:rPr>
                <w:rFonts w:ascii="Times New Roman" w:eastAsia="宋体" w:hAnsi="Times New Roman" w:cs="Times New Roman" w:hint="eastAsia"/>
                <w:szCs w:val="21"/>
                <w:lang w:val="en-GB"/>
              </w:rPr>
              <w:t>高纯氢气发生器2台</w:t>
            </w:r>
            <w:r>
              <w:rPr>
                <w:rFonts w:ascii="Times New Roman" w:eastAsia="宋体" w:hAnsi="Times New Roman" w:cs="Times New Roman"/>
                <w:szCs w:val="21"/>
              </w:rPr>
              <w:t>，采购清单及样品要求，详见“第五章 采购需求”。</w:t>
            </w:r>
          </w:p>
        </w:tc>
      </w:tr>
      <w:tr>
        <w:tblPrEx>
          <w:tblW w:w="9072" w:type="dxa"/>
          <w:tblInd w:w="108" w:type="dxa"/>
          <w:tblLayout w:type="fixed"/>
          <w:tblCellMar>
            <w:top w:w="0" w:type="dxa"/>
            <w:left w:w="108" w:type="dxa"/>
            <w:bottom w:w="0" w:type="dxa"/>
            <w:right w:w="108" w:type="dxa"/>
          </w:tblCellMar>
        </w:tblPrEx>
        <w:trPr>
          <w:cantSplit/>
          <w:trHeight w:val="425"/>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7</w:t>
            </w:r>
          </w:p>
        </w:tc>
        <w:tc>
          <w:tcPr>
            <w:tcW w:w="1985" w:type="dxa"/>
            <w:noWrap/>
            <w:vAlign w:val="center"/>
          </w:tcPr>
          <w:p>
            <w:pPr>
              <w:spacing w:line="300" w:lineRule="exact"/>
              <w:jc w:val="center"/>
              <w:rPr>
                <w:rFonts w:ascii="Times New Roman" w:eastAsia="宋体" w:hAnsi="Times New Roman" w:cs="Times New Roman"/>
                <w:szCs w:val="21"/>
              </w:rPr>
            </w:pPr>
            <w:r>
              <w:rPr>
                <w:rFonts w:ascii="Times New Roman" w:eastAsia="宋体" w:hAnsi="Times New Roman" w:cs="Times New Roman"/>
                <w:szCs w:val="21"/>
              </w:rPr>
              <w:t>交货期限</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根据采购方要求</w:t>
            </w:r>
            <w:r>
              <w:rPr>
                <w:rFonts w:ascii="Times New Roman" w:eastAsia="宋体" w:hAnsi="Times New Roman" w:cs="Times New Roman" w:hint="eastAsia"/>
                <w:szCs w:val="21"/>
              </w:rPr>
              <w:t>供货</w:t>
            </w:r>
            <w:r>
              <w:rPr>
                <w:rFonts w:ascii="Times New Roman" w:eastAsia="宋体" w:hAnsi="Times New Roman" w:cs="Times New Roman"/>
                <w:szCs w:val="21"/>
              </w:rPr>
              <w:t>，供货时间为合同签订后15个日历天内。</w:t>
            </w:r>
          </w:p>
        </w:tc>
      </w:tr>
      <w:tr>
        <w:tblPrEx>
          <w:tblW w:w="9072" w:type="dxa"/>
          <w:tblInd w:w="108" w:type="dxa"/>
          <w:tblLayout w:type="fixed"/>
          <w:tblCellMar>
            <w:top w:w="0" w:type="dxa"/>
            <w:left w:w="108" w:type="dxa"/>
            <w:bottom w:w="0" w:type="dxa"/>
            <w:right w:w="108" w:type="dxa"/>
          </w:tblCellMar>
        </w:tblPrEx>
        <w:trPr>
          <w:cantSplit/>
          <w:trHeight w:val="425"/>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8</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供应商资格要求</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1.基本资格条件：供应商需具备《中华人民共和国政府采购法》第二十二条规定的基本资格条件，并提供以下资格证明文件：</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（1）法人或者其他组织的营业执照等证明文件，自然人的身份证明；</w:t>
            </w:r>
            <w:r>
              <w:rPr>
                <w:rFonts w:ascii="Times New Roman" w:eastAsia="宋体" w:hAnsi="Times New Roman" w:cs="Times New Roman"/>
                <w:szCs w:val="21"/>
              </w:rPr>
              <w:br/>
            </w:r>
            <w:r>
              <w:rPr>
                <w:rFonts w:ascii="Times New Roman" w:eastAsia="宋体" w:hAnsi="Times New Roman" w:cs="Times New Roman"/>
                <w:szCs w:val="21"/>
              </w:rPr>
              <w:t>（2）依法缴纳税收的相关材料；</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3</w:t>
            </w:r>
            <w:r>
              <w:rPr>
                <w:rFonts w:ascii="Times New Roman" w:eastAsia="宋体" w:hAnsi="Times New Roman" w:cs="Times New Roman"/>
                <w:szCs w:val="21"/>
              </w:rPr>
              <w:t>）参加政府采购活动前3年内在经营活动中没有重大违法记录的书面声明</w:t>
            </w:r>
            <w:r>
              <w:rPr>
                <w:rFonts w:ascii="Times New Roman" w:eastAsia="宋体" w:hAnsi="Times New Roman" w:cs="Times New Roman" w:hint="eastAsia"/>
                <w:szCs w:val="21"/>
              </w:rPr>
              <w:t>。</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4</w:t>
            </w:r>
            <w:r>
              <w:rPr>
                <w:rFonts w:ascii="Times New Roman" w:eastAsia="宋体" w:hAnsi="Times New Roman" w:cs="Times New Roman"/>
                <w:szCs w:val="21"/>
              </w:rPr>
              <w:t>）具备法律、行政法规规定的其他条件的证明材料。</w:t>
            </w:r>
          </w:p>
        </w:tc>
      </w:tr>
    </w:tbl>
    <w:p>
      <w:pPr>
        <w:sectPr>
          <w:headerReference w:type="default" r:id="rId24"/>
          <w:footerReference w:type="even" r:id="rId25"/>
          <w:footerReference w:type="default" r:id="rId26"/>
          <w:headerReference w:type="first" r:id="rId27"/>
          <w:pgSz w:w="11906" w:h="16838"/>
          <w:pgMar w:top="1418" w:right="1134" w:bottom="1134" w:left="1417" w:header="936" w:footer="720" w:gutter="0"/>
          <w:pgNumType w:start="5"/>
          <w:cols w:num="1" w:space="720"/>
          <w:docGrid w:linePitch="331" w:charSpace="0"/>
        </w:sectPr>
      </w:pPr>
    </w:p>
    <w:tbl>
      <w:tblPr>
        <w:tblStyle w:val="TableNormal"/>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1985"/>
        <w:gridCol w:w="6378"/>
      </w:tblGrid>
      <w:tr>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val="90"/>
        </w:trPr>
        <w:tc>
          <w:tcPr>
            <w:tcW w:w="709" w:type="dxa"/>
            <w:tcBorders>
              <w:left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p>
        </w:tc>
        <w:tc>
          <w:tcPr>
            <w:tcW w:w="1985" w:type="dxa"/>
            <w:tcBorders>
              <w:bottom w:val="single" w:sz="4" w:space="0" w:color="auto"/>
            </w:tcBorders>
            <w:noWrap/>
            <w:vAlign w:val="center"/>
          </w:tcPr>
          <w:p>
            <w:pPr>
              <w:spacing w:line="300" w:lineRule="exact"/>
              <w:jc w:val="center"/>
              <w:rPr>
                <w:rFonts w:ascii="Times New Roman" w:eastAsia="宋体" w:hAnsi="Times New Roman" w:cs="Times New Roman"/>
                <w:kern w:val="0"/>
                <w:szCs w:val="21"/>
              </w:rPr>
            </w:pPr>
          </w:p>
        </w:tc>
        <w:tc>
          <w:tcPr>
            <w:tcW w:w="6378" w:type="dxa"/>
            <w:tcBorders>
              <w:bottom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2.特定资格条件：</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hint="eastAsia"/>
                <w:szCs w:val="21"/>
                <w:lang w:eastAsia="zh-CN"/>
              </w:rPr>
              <w:t>须提供</w:t>
            </w:r>
            <w:r>
              <w:rPr>
                <w:rFonts w:ascii="Times New Roman" w:eastAsia="宋体" w:hAnsi="Times New Roman" w:cs="Times New Roman" w:hint="eastAsia"/>
                <w:szCs w:val="21"/>
              </w:rPr>
              <w:t>有效的营业执照、企业税务登记证、组织机构代码证或三证合一的营业执照</w:t>
            </w:r>
            <w:r>
              <w:rPr>
                <w:rFonts w:ascii="Times New Roman" w:eastAsia="宋体" w:hAnsi="Times New Roman" w:cs="Times New Roman" w:hint="eastAsia"/>
                <w:szCs w:val="21"/>
                <w:lang w:eastAsia="zh-CN"/>
              </w:rPr>
              <w:t>，具备完成本项目所必须的能力。</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2）供应商在投标截止时间前未被列入“信用中国”网站（www.creditchina.gov.cn）失信被执行人、重大税收违法案件当事人名单、政府采购严重违法失信行为记录名单及中国政府采购网（www.ccgp.gov.cn）“政府采购严重违法失信行为信息记录”（提供查询截图）。若为失信企业，将取消成交资格。</w:t>
            </w:r>
          </w:p>
        </w:tc>
      </w:tr>
      <w:tr>
        <w:tblPrEx>
          <w:tblW w:w="9072" w:type="dxa"/>
          <w:tblInd w:w="108" w:type="dxa"/>
          <w:tblLayout w:type="fixed"/>
          <w:tblCellMar>
            <w:top w:w="0" w:type="dxa"/>
            <w:left w:w="108" w:type="dxa"/>
            <w:bottom w:w="0" w:type="dxa"/>
            <w:right w:w="108" w:type="dxa"/>
          </w:tblCellMar>
        </w:tblPrEx>
        <w:trPr>
          <w:cantSplit/>
          <w:trHeight w:val="534"/>
        </w:trPr>
        <w:tc>
          <w:tcPr>
            <w:tcW w:w="709" w:type="dxa"/>
            <w:tcBorders>
              <w:top w:val="single" w:sz="4" w:space="0" w:color="auto"/>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9</w:t>
            </w:r>
          </w:p>
        </w:tc>
        <w:tc>
          <w:tcPr>
            <w:tcW w:w="1985" w:type="dxa"/>
            <w:tcBorders>
              <w:top w:val="single" w:sz="4"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联合体投标</w:t>
            </w:r>
          </w:p>
        </w:tc>
        <w:tc>
          <w:tcPr>
            <w:tcW w:w="6378" w:type="dxa"/>
            <w:tcBorders>
              <w:top w:val="single" w:sz="4" w:space="0" w:color="auto"/>
              <w:bottom w:val="thickThinSmallGap" w:sz="18" w:space="0" w:color="auto"/>
              <w:right w:val="thickThinSmallGap" w:sz="18" w:space="0" w:color="auto"/>
            </w:tcBorders>
            <w:noWrap/>
            <w:vAlign w:val="center"/>
          </w:tcPr>
          <w:p>
            <w:pPr>
              <w:spacing w:line="300" w:lineRule="exact"/>
              <w:jc w:val="left"/>
              <w:rPr>
                <w:rFonts w:ascii="Times New Roman" w:eastAsia="宋体" w:hAnsi="Times New Roman" w:cs="Times New Roman"/>
                <w:kern w:val="0"/>
                <w:szCs w:val="21"/>
              </w:rPr>
            </w:pPr>
            <w:r>
              <w:rPr>
                <w:rFonts w:ascii="Times New Roman" w:eastAsia="宋体" w:hAnsi="Times New Roman" w:cs="Times New Roman"/>
                <w:kern w:val="0"/>
                <w:szCs w:val="21"/>
              </w:rPr>
              <w:t>不接受</w:t>
            </w:r>
          </w:p>
        </w:tc>
      </w:tr>
      <w:tr>
        <w:tblPrEx>
          <w:tblW w:w="9072" w:type="dxa"/>
          <w:tblInd w:w="108" w:type="dxa"/>
          <w:tblLayout w:type="fixed"/>
          <w:tblCellMar>
            <w:top w:w="0" w:type="dxa"/>
            <w:left w:w="108" w:type="dxa"/>
            <w:bottom w:w="0" w:type="dxa"/>
            <w:right w:w="108" w:type="dxa"/>
          </w:tblCellMar>
        </w:tblPrEx>
        <w:trPr>
          <w:cantSplit/>
          <w:trHeight w:val="732"/>
        </w:trPr>
        <w:tc>
          <w:tcPr>
            <w:tcW w:w="709" w:type="dxa"/>
            <w:tcBorders>
              <w:top w:val="single" w:sz="4" w:space="0" w:color="auto"/>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10</w:t>
            </w:r>
          </w:p>
        </w:tc>
        <w:tc>
          <w:tcPr>
            <w:tcW w:w="1985" w:type="dxa"/>
            <w:tcBorders>
              <w:top w:val="single" w:sz="4"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现场踏勘</w:t>
            </w:r>
          </w:p>
        </w:tc>
        <w:tc>
          <w:tcPr>
            <w:tcW w:w="6378" w:type="dxa"/>
            <w:tcBorders>
              <w:top w:val="single" w:sz="4" w:space="0" w:color="auto"/>
              <w:bottom w:val="thickThinSmallGap" w:sz="18" w:space="0" w:color="auto"/>
              <w:right w:val="thickThinSmallGap" w:sz="18" w:space="0" w:color="auto"/>
            </w:tcBorders>
            <w:noWrap/>
            <w:vAlign w:val="center"/>
          </w:tcPr>
          <w:p>
            <w:pPr>
              <w:spacing w:line="300" w:lineRule="exact"/>
              <w:jc w:val="left"/>
              <w:rPr>
                <w:rFonts w:ascii="Times New Roman" w:eastAsia="宋体" w:hAnsi="Times New Roman" w:cs="Times New Roman"/>
                <w:kern w:val="0"/>
                <w:szCs w:val="21"/>
              </w:rPr>
            </w:pPr>
            <w:r>
              <w:rPr>
                <w:rFonts w:ascii="Times New Roman" w:eastAsia="宋体" w:hAnsi="Times New Roman" w:cs="Times New Roman"/>
                <w:kern w:val="0"/>
                <w:szCs w:val="21"/>
              </w:rPr>
              <w:t>不组织</w:t>
            </w:r>
          </w:p>
        </w:tc>
      </w:tr>
      <w:tr>
        <w:tblPrEx>
          <w:tblW w:w="9072" w:type="dxa"/>
          <w:tblInd w:w="108" w:type="dxa"/>
          <w:tblLayout w:type="fixed"/>
          <w:tblCellMar>
            <w:top w:w="0" w:type="dxa"/>
            <w:left w:w="108" w:type="dxa"/>
            <w:bottom w:w="0" w:type="dxa"/>
            <w:right w:w="108" w:type="dxa"/>
          </w:tblCellMar>
        </w:tblPrEx>
        <w:trPr>
          <w:cantSplit/>
          <w:trHeight w:val="732"/>
        </w:trPr>
        <w:tc>
          <w:tcPr>
            <w:tcW w:w="709" w:type="dxa"/>
            <w:tcBorders>
              <w:top w:val="single" w:sz="4" w:space="0" w:color="auto"/>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11</w:t>
            </w:r>
          </w:p>
        </w:tc>
        <w:tc>
          <w:tcPr>
            <w:tcW w:w="1985" w:type="dxa"/>
            <w:tcBorders>
              <w:top w:val="single" w:sz="4"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样品</w:t>
            </w:r>
          </w:p>
        </w:tc>
        <w:tc>
          <w:tcPr>
            <w:tcW w:w="6378" w:type="dxa"/>
            <w:tcBorders>
              <w:top w:val="single" w:sz="4" w:space="0" w:color="auto"/>
              <w:bottom w:val="thickThinSmallGap" w:sz="18" w:space="0" w:color="auto"/>
              <w:right w:val="thickThinSmallGap" w:sz="18" w:space="0" w:color="auto"/>
            </w:tcBorders>
            <w:noWrap/>
            <w:vAlign w:val="center"/>
          </w:tcPr>
          <w:p>
            <w:pPr>
              <w:spacing w:line="300" w:lineRule="exact"/>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需要提供样品，详见“第五章 采购需求”中的样品要求条款。</w:t>
            </w:r>
          </w:p>
        </w:tc>
      </w:tr>
      <w:tr>
        <w:tblPrEx>
          <w:tblW w:w="9072" w:type="dxa"/>
          <w:tblInd w:w="108" w:type="dxa"/>
          <w:tblLayout w:type="fixed"/>
          <w:tblCellMar>
            <w:top w:w="0" w:type="dxa"/>
            <w:left w:w="108" w:type="dxa"/>
            <w:bottom w:w="0" w:type="dxa"/>
            <w:right w:w="108" w:type="dxa"/>
          </w:tblCellMar>
        </w:tblPrEx>
        <w:trPr>
          <w:cantSplit/>
          <w:trHeight w:val="732"/>
        </w:trPr>
        <w:tc>
          <w:tcPr>
            <w:tcW w:w="709" w:type="dxa"/>
            <w:tcBorders>
              <w:top w:val="single" w:sz="4" w:space="0" w:color="auto"/>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12</w:t>
            </w:r>
          </w:p>
        </w:tc>
        <w:tc>
          <w:tcPr>
            <w:tcW w:w="1985" w:type="dxa"/>
            <w:tcBorders>
              <w:top w:val="single" w:sz="4"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一般条款允许偏离的最高项数</w:t>
            </w:r>
          </w:p>
        </w:tc>
        <w:tc>
          <w:tcPr>
            <w:tcW w:w="6378" w:type="dxa"/>
            <w:tcBorders>
              <w:top w:val="single" w:sz="4" w:space="0" w:color="auto"/>
              <w:bottom w:val="thickThinSmallGap" w:sz="18" w:space="0" w:color="auto"/>
              <w:right w:val="thickThinSmallGap" w:sz="18" w:space="0" w:color="auto"/>
            </w:tcBorders>
            <w:noWrap/>
            <w:vAlign w:val="center"/>
          </w:tcPr>
          <w:p>
            <w:pPr>
              <w:adjustRightInd w:val="0"/>
              <w:snapToGrid w:val="0"/>
              <w:spacing w:before="120" w:beforeLines="50"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一般商务和技术条款（参数），偏离项数之和</w:t>
            </w:r>
            <w:r>
              <w:rPr>
                <w:rFonts w:ascii="楷体" w:eastAsia="楷体" w:hAnsi="楷体" w:cs="Times New Roman" w:hint="eastAsia"/>
                <w:kern w:val="0"/>
                <w:szCs w:val="21"/>
                <w:u w:val="single"/>
              </w:rPr>
              <w:t>≤</w:t>
            </w:r>
            <w:r>
              <w:rPr>
                <w:rFonts w:ascii="Times New Roman" w:eastAsia="宋体" w:hAnsi="Times New Roman" w:cs="Times New Roman"/>
                <w:kern w:val="0"/>
                <w:szCs w:val="21"/>
                <w:u w:val="single"/>
              </w:rPr>
              <w:t xml:space="preserve"> 0 </w:t>
            </w:r>
            <w:r>
              <w:rPr>
                <w:rFonts w:ascii="Times New Roman" w:eastAsia="宋体" w:hAnsi="Times New Roman" w:cs="Times New Roman"/>
                <w:kern w:val="0"/>
                <w:szCs w:val="21"/>
              </w:rPr>
              <w:t>项，否则将导致无效谈判。</w:t>
            </w:r>
          </w:p>
          <w:p>
            <w:pPr>
              <w:spacing w:line="300" w:lineRule="exact"/>
              <w:jc w:val="left"/>
              <w:rPr>
                <w:rFonts w:ascii="Times New Roman" w:eastAsia="宋体" w:hAnsi="Times New Roman" w:cs="Times New Roman"/>
                <w:kern w:val="0"/>
                <w:szCs w:val="21"/>
              </w:rPr>
            </w:pPr>
            <w:r>
              <w:rPr>
                <w:rFonts w:ascii="Times New Roman" w:eastAsia="宋体" w:hAnsi="Times New Roman" w:cs="Times New Roman"/>
                <w:kern w:val="0"/>
                <w:szCs w:val="21"/>
              </w:rPr>
              <w:t>（条款数（最高项数）的统计方法：相同内容的条款不重复计算项数）</w:t>
            </w:r>
          </w:p>
        </w:tc>
      </w:tr>
      <w:tr>
        <w:tblPrEx>
          <w:tblW w:w="9072" w:type="dxa"/>
          <w:tblInd w:w="108" w:type="dxa"/>
          <w:tblLayout w:type="fixed"/>
          <w:tblCellMar>
            <w:top w:w="0" w:type="dxa"/>
            <w:left w:w="108" w:type="dxa"/>
            <w:bottom w:w="0" w:type="dxa"/>
            <w:right w:w="108" w:type="dxa"/>
          </w:tblCellMar>
        </w:tblPrEx>
        <w:trPr>
          <w:cantSplit/>
          <w:trHeight w:val="1261"/>
        </w:trPr>
        <w:tc>
          <w:tcPr>
            <w:tcW w:w="709" w:type="dxa"/>
            <w:tcBorders>
              <w:top w:val="single" w:sz="4" w:space="0" w:color="auto"/>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13</w:t>
            </w:r>
          </w:p>
        </w:tc>
        <w:tc>
          <w:tcPr>
            <w:tcW w:w="1985" w:type="dxa"/>
            <w:tcBorders>
              <w:top w:val="single" w:sz="4"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供应商提出问题的截止时间</w:t>
            </w:r>
          </w:p>
        </w:tc>
        <w:tc>
          <w:tcPr>
            <w:tcW w:w="6378" w:type="dxa"/>
            <w:tcBorders>
              <w:top w:val="single" w:sz="4" w:space="0" w:color="auto"/>
              <w:bottom w:val="thickThinSmallGap" w:sz="18"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202</w:t>
            </w:r>
            <w:r>
              <w:rPr>
                <w:rFonts w:ascii="Times New Roman" w:eastAsia="宋体" w:hAnsi="Times New Roman" w:cs="Times New Roman" w:hint="eastAsia"/>
                <w:szCs w:val="21"/>
              </w:rPr>
              <w:t>2</w:t>
            </w:r>
            <w:r>
              <w:rPr>
                <w:rFonts w:ascii="Times New Roman" w:eastAsia="宋体" w:hAnsi="Times New Roman" w:cs="Times New Roman"/>
                <w:szCs w:val="21"/>
              </w:rPr>
              <w:t>年4月</w:t>
            </w:r>
            <w:r>
              <w:rPr>
                <w:rFonts w:ascii="Times New Roman" w:eastAsia="宋体" w:hAnsi="Times New Roman" w:cs="Times New Roman" w:hint="eastAsia"/>
                <w:szCs w:val="21"/>
                <w:lang w:val="en-US" w:eastAsia="zh-CN"/>
              </w:rPr>
              <w:t>9</w:t>
            </w:r>
            <w:r>
              <w:rPr>
                <w:rFonts w:ascii="Times New Roman" w:eastAsia="宋体" w:hAnsi="Times New Roman" w:cs="Times New Roman"/>
                <w:szCs w:val="21"/>
              </w:rPr>
              <w:t>日17：00时前，所有获取了谈判文件的潜在供应商以书面的形式向学校中心提问。</w:t>
            </w:r>
          </w:p>
        </w:tc>
      </w:tr>
      <w:tr>
        <w:tblPrEx>
          <w:tblW w:w="9072" w:type="dxa"/>
          <w:tblInd w:w="108" w:type="dxa"/>
          <w:tblLayout w:type="fixed"/>
          <w:tblCellMar>
            <w:top w:w="0" w:type="dxa"/>
            <w:left w:w="108" w:type="dxa"/>
            <w:bottom w:w="0" w:type="dxa"/>
            <w:right w:w="108" w:type="dxa"/>
          </w:tblCellMar>
        </w:tblPrEx>
        <w:trPr>
          <w:cantSplit/>
          <w:trHeight w:val="30"/>
        </w:trPr>
        <w:tc>
          <w:tcPr>
            <w:tcW w:w="709" w:type="dxa"/>
            <w:tcBorders>
              <w:top w:val="thinThickSmallGap" w:sz="18" w:space="0" w:color="auto"/>
              <w:left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14</w:t>
            </w:r>
          </w:p>
        </w:tc>
        <w:tc>
          <w:tcPr>
            <w:tcW w:w="1985" w:type="dxa"/>
            <w:tcBorders>
              <w:top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谈判文件澄清截止时间</w:t>
            </w:r>
          </w:p>
        </w:tc>
        <w:tc>
          <w:tcPr>
            <w:tcW w:w="6378" w:type="dxa"/>
            <w:tcBorders>
              <w:top w:val="thinThickSmallGap" w:sz="18" w:space="0" w:color="auto"/>
              <w:bottom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202</w:t>
            </w:r>
            <w:r>
              <w:rPr>
                <w:rFonts w:ascii="Times New Roman" w:eastAsia="宋体" w:hAnsi="Times New Roman" w:cs="Times New Roman" w:hint="eastAsia"/>
                <w:szCs w:val="21"/>
              </w:rPr>
              <w:t>2</w:t>
            </w:r>
            <w:r>
              <w:rPr>
                <w:rFonts w:ascii="Times New Roman" w:eastAsia="宋体" w:hAnsi="Times New Roman" w:cs="Times New Roman"/>
                <w:szCs w:val="21"/>
              </w:rPr>
              <w:t>年4月</w:t>
            </w:r>
            <w:r>
              <w:rPr>
                <w:rFonts w:ascii="Times New Roman" w:eastAsia="宋体" w:hAnsi="Times New Roman" w:cs="Times New Roman" w:hint="eastAsia"/>
                <w:szCs w:val="21"/>
                <w:lang w:val="en-US" w:eastAsia="zh-CN"/>
              </w:rPr>
              <w:t>9</w:t>
            </w:r>
            <w:r>
              <w:rPr>
                <w:rFonts w:ascii="Times New Roman" w:eastAsia="宋体" w:hAnsi="Times New Roman" w:cs="Times New Roman"/>
                <w:szCs w:val="21"/>
              </w:rPr>
              <w:t>日18：00时前</w:t>
            </w:r>
          </w:p>
        </w:tc>
      </w:tr>
      <w:tr>
        <w:tblPrEx>
          <w:tblW w:w="9072" w:type="dxa"/>
          <w:tblInd w:w="108" w:type="dxa"/>
          <w:tblLayout w:type="fixed"/>
          <w:tblCellMar>
            <w:top w:w="0" w:type="dxa"/>
            <w:left w:w="108" w:type="dxa"/>
            <w:bottom w:w="0" w:type="dxa"/>
            <w:right w:w="108" w:type="dxa"/>
          </w:tblCellMar>
        </w:tblPrEx>
        <w:trPr>
          <w:cantSplit/>
          <w:trHeight w:val="90"/>
        </w:trPr>
        <w:tc>
          <w:tcPr>
            <w:tcW w:w="709" w:type="dxa"/>
            <w:tcBorders>
              <w:top w:val="single" w:sz="4" w:space="0" w:color="auto"/>
              <w:left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15</w:t>
            </w:r>
          </w:p>
        </w:tc>
        <w:tc>
          <w:tcPr>
            <w:tcW w:w="1985" w:type="dxa"/>
            <w:tcBorders>
              <w:top w:val="single" w:sz="4"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构成谈判文件的其他资料</w:t>
            </w:r>
          </w:p>
        </w:tc>
        <w:tc>
          <w:tcPr>
            <w:tcW w:w="6378" w:type="dxa"/>
            <w:tcBorders>
              <w:top w:val="single" w:sz="4" w:space="0" w:color="auto"/>
              <w:bottom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谈判文件的澄清或修改</w:t>
            </w:r>
          </w:p>
        </w:tc>
      </w:tr>
      <w:tr>
        <w:tblPrEx>
          <w:tblW w:w="9072" w:type="dxa"/>
          <w:tblInd w:w="108" w:type="dxa"/>
          <w:tblLayout w:type="fixed"/>
          <w:tblCellMar>
            <w:top w:w="0" w:type="dxa"/>
            <w:left w:w="108" w:type="dxa"/>
            <w:bottom w:w="0" w:type="dxa"/>
            <w:right w:w="108" w:type="dxa"/>
          </w:tblCellMar>
        </w:tblPrEx>
        <w:trPr>
          <w:cantSplit/>
          <w:trHeight w:val="514"/>
        </w:trPr>
        <w:tc>
          <w:tcPr>
            <w:tcW w:w="709" w:type="dxa"/>
            <w:tcBorders>
              <w:top w:val="single" w:sz="4" w:space="0" w:color="auto"/>
              <w:left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16</w:t>
            </w:r>
          </w:p>
        </w:tc>
        <w:tc>
          <w:tcPr>
            <w:tcW w:w="1985" w:type="dxa"/>
            <w:tcBorders>
              <w:top w:val="single" w:sz="4"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投标有效期</w:t>
            </w:r>
          </w:p>
        </w:tc>
        <w:tc>
          <w:tcPr>
            <w:tcW w:w="6378" w:type="dxa"/>
            <w:tcBorders>
              <w:top w:val="single" w:sz="4" w:space="0" w:color="auto"/>
              <w:bottom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60日历天（从提交首次响应文件截止时间之日起计算）</w:t>
            </w:r>
          </w:p>
        </w:tc>
      </w:tr>
      <w:tr>
        <w:tblPrEx>
          <w:tblW w:w="9072" w:type="dxa"/>
          <w:tblInd w:w="108" w:type="dxa"/>
          <w:tblLayout w:type="fixed"/>
          <w:tblCellMar>
            <w:top w:w="0" w:type="dxa"/>
            <w:left w:w="108" w:type="dxa"/>
            <w:bottom w:w="0" w:type="dxa"/>
            <w:right w:w="108" w:type="dxa"/>
          </w:tblCellMar>
        </w:tblPrEx>
        <w:trPr>
          <w:cantSplit/>
          <w:trHeight w:val="841"/>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17</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谈判保证金</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保证金的形式：现金，保证金的金额：</w:t>
            </w:r>
            <w:r>
              <w:rPr>
                <w:rFonts w:ascii="Times New Roman" w:eastAsia="宋体" w:hAnsi="Times New Roman" w:cs="Times New Roman" w:hint="eastAsia"/>
                <w:szCs w:val="21"/>
              </w:rPr>
              <w:t>2</w:t>
            </w:r>
            <w:r>
              <w:rPr>
                <w:rFonts w:ascii="Times New Roman" w:eastAsia="宋体" w:hAnsi="Times New Roman" w:cs="Times New Roman"/>
                <w:szCs w:val="21"/>
              </w:rPr>
              <w:t>00.00（大写：人民币</w:t>
            </w:r>
            <w:r>
              <w:rPr>
                <w:rFonts w:ascii="Times New Roman" w:eastAsia="宋体" w:hAnsi="Times New Roman" w:cs="Times New Roman" w:hint="eastAsia"/>
                <w:szCs w:val="21"/>
              </w:rPr>
              <w:t>贰佰</w:t>
            </w:r>
            <w:r>
              <w:rPr>
                <w:rFonts w:ascii="Times New Roman" w:eastAsia="宋体" w:hAnsi="Times New Roman" w:cs="Times New Roman"/>
                <w:szCs w:val="21"/>
              </w:rPr>
              <w:t>元整）。请自备信封，当场清点密封后递交。未成交供应商的保证金在评标结束后当场退还，成交供应商的保证金在合同签订后无息退还。未提交保证金不得参加本项目谈判。</w:t>
            </w:r>
          </w:p>
        </w:tc>
      </w:tr>
      <w:tr>
        <w:tblPrEx>
          <w:tblW w:w="9072" w:type="dxa"/>
          <w:tblInd w:w="108" w:type="dxa"/>
          <w:tblLayout w:type="fixed"/>
          <w:tblCellMar>
            <w:top w:w="0" w:type="dxa"/>
            <w:left w:w="108" w:type="dxa"/>
            <w:bottom w:w="0" w:type="dxa"/>
            <w:right w:w="108" w:type="dxa"/>
          </w:tblCellMar>
        </w:tblPrEx>
        <w:trPr>
          <w:cantSplit/>
          <w:trHeight w:val="1126"/>
        </w:trPr>
        <w:tc>
          <w:tcPr>
            <w:tcW w:w="709" w:type="dxa"/>
            <w:tcBorders>
              <w:left w:val="thinThickSmallGap" w:sz="18" w:space="0" w:color="auto"/>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18</w:t>
            </w:r>
          </w:p>
        </w:tc>
        <w:tc>
          <w:tcPr>
            <w:tcW w:w="1985" w:type="dxa"/>
            <w:tcBorders>
              <w:bottom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签字和盖章要求</w:t>
            </w:r>
          </w:p>
        </w:tc>
        <w:tc>
          <w:tcPr>
            <w:tcW w:w="6378" w:type="dxa"/>
            <w:tcBorders>
              <w:bottom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按照谈判文件格式在需要盖单位章或签字的地方进行签章和签名。</w:t>
            </w:r>
          </w:p>
        </w:tc>
      </w:tr>
      <w:tr>
        <w:tblPrEx>
          <w:tblW w:w="9072" w:type="dxa"/>
          <w:tblInd w:w="108" w:type="dxa"/>
          <w:tblLayout w:type="fixed"/>
          <w:tblCellMar>
            <w:top w:w="0" w:type="dxa"/>
            <w:left w:w="108" w:type="dxa"/>
            <w:bottom w:w="0" w:type="dxa"/>
            <w:right w:w="108" w:type="dxa"/>
          </w:tblCellMar>
        </w:tblPrEx>
        <w:trPr>
          <w:cantSplit/>
          <w:trHeight w:val="581"/>
        </w:trPr>
        <w:tc>
          <w:tcPr>
            <w:tcW w:w="709" w:type="dxa"/>
            <w:tcBorders>
              <w:top w:val="single" w:sz="4" w:space="0" w:color="auto"/>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19</w:t>
            </w:r>
          </w:p>
        </w:tc>
        <w:tc>
          <w:tcPr>
            <w:tcW w:w="1985" w:type="dxa"/>
            <w:tcBorders>
              <w:top w:val="single"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响应文件份数</w:t>
            </w:r>
          </w:p>
        </w:tc>
        <w:tc>
          <w:tcPr>
            <w:tcW w:w="6378" w:type="dxa"/>
            <w:tcBorders>
              <w:top w:val="single"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纸质响应文件一正一副</w:t>
            </w:r>
          </w:p>
        </w:tc>
      </w:tr>
    </w:tbl>
    <w:p>
      <w:pPr>
        <w:sectPr>
          <w:headerReference w:type="default" r:id="rId28"/>
          <w:footerReference w:type="even" r:id="rId29"/>
          <w:footerReference w:type="default" r:id="rId30"/>
          <w:headerReference w:type="first" r:id="rId31"/>
          <w:type w:val="nextPage"/>
          <w:pgSz w:w="11906" w:h="16838"/>
          <w:pgMar w:top="1418" w:right="1134" w:bottom="1134" w:left="1417" w:header="936" w:footer="720" w:gutter="0"/>
          <w:pgNumType w:start="6"/>
          <w:cols w:num="1" w:space="720"/>
          <w:titlePg w:val="0"/>
          <w:docGrid w:linePitch="331" w:charSpace="0"/>
        </w:sectPr>
      </w:pPr>
    </w:p>
    <w:tbl>
      <w:tblPr>
        <w:tblStyle w:val="TableNormal"/>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1985"/>
        <w:gridCol w:w="6378"/>
      </w:tblGrid>
      <w:tr>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val="35"/>
        </w:trPr>
        <w:tc>
          <w:tcPr>
            <w:tcW w:w="709" w:type="dxa"/>
            <w:tcBorders>
              <w:top w:val="dotted" w:sz="4" w:space="0" w:color="auto"/>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20</w:t>
            </w:r>
          </w:p>
        </w:tc>
        <w:tc>
          <w:tcPr>
            <w:tcW w:w="1985" w:type="dxa"/>
            <w:tcBorders>
              <w:top w:val="dotted" w:sz="4"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提交响应文件</w:t>
            </w:r>
          </w:p>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递交及截止时间</w:t>
            </w:r>
          </w:p>
        </w:tc>
        <w:tc>
          <w:tcPr>
            <w:tcW w:w="6378" w:type="dxa"/>
            <w:tcBorders>
              <w:top w:val="dotted" w:sz="4" w:space="0" w:color="auto"/>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响应文件递交时间：202</w:t>
            </w:r>
            <w:r>
              <w:rPr>
                <w:rFonts w:ascii="Times New Roman" w:eastAsia="宋体" w:hAnsi="Times New Roman" w:cs="Times New Roman" w:hint="eastAsia"/>
                <w:szCs w:val="21"/>
              </w:rPr>
              <w:t>2</w:t>
            </w:r>
            <w:r>
              <w:rPr>
                <w:rFonts w:ascii="Times New Roman" w:eastAsia="宋体" w:hAnsi="Times New Roman" w:cs="Times New Roman"/>
                <w:szCs w:val="21"/>
              </w:rPr>
              <w:t>年4月</w:t>
            </w:r>
            <w:r>
              <w:rPr>
                <w:rFonts w:ascii="Times New Roman" w:eastAsia="宋体" w:hAnsi="Times New Roman" w:cs="Times New Roman" w:hint="eastAsia"/>
                <w:szCs w:val="21"/>
              </w:rPr>
              <w:t>1</w:t>
            </w:r>
            <w:r>
              <w:rPr>
                <w:rFonts w:ascii="Times New Roman" w:eastAsia="宋体" w:hAnsi="Times New Roman" w:cs="Times New Roman" w:hint="eastAsia"/>
                <w:szCs w:val="21"/>
                <w:lang w:val="en-US" w:eastAsia="zh-CN"/>
              </w:rPr>
              <w:t>4</w:t>
            </w:r>
            <w:r>
              <w:rPr>
                <w:rFonts w:ascii="Times New Roman" w:eastAsia="宋体" w:hAnsi="Times New Roman" w:cs="Times New Roman"/>
                <w:szCs w:val="21"/>
              </w:rPr>
              <w:t>日</w:t>
            </w:r>
            <w:r>
              <w:rPr>
                <w:rFonts w:ascii="Times New Roman" w:eastAsia="宋体" w:hAnsi="Times New Roman" w:cs="Times New Roman" w:hint="eastAsia"/>
                <w:szCs w:val="21"/>
              </w:rPr>
              <w:t>14</w:t>
            </w:r>
            <w:r>
              <w:rPr>
                <w:rFonts w:ascii="Times New Roman" w:eastAsia="宋体" w:hAnsi="Times New Roman" w:cs="Times New Roman"/>
                <w:szCs w:val="21"/>
              </w:rPr>
              <w:t>:00时至</w:t>
            </w:r>
            <w:r>
              <w:rPr>
                <w:rFonts w:ascii="Times New Roman" w:eastAsia="宋体" w:hAnsi="Times New Roman" w:cs="Times New Roman" w:hint="eastAsia"/>
                <w:szCs w:val="21"/>
              </w:rPr>
              <w:t>14</w:t>
            </w:r>
            <w:r>
              <w:rPr>
                <w:rFonts w:ascii="Times New Roman" w:eastAsia="宋体" w:hAnsi="Times New Roman" w:cs="Times New Roman"/>
                <w:szCs w:val="21"/>
              </w:rPr>
              <w:t>:30时(北京时间)</w:t>
            </w:r>
          </w:p>
          <w:p>
            <w:pPr>
              <w:spacing w:line="400" w:lineRule="exact"/>
              <w:rPr>
                <w:rFonts w:ascii="Times New Roman" w:eastAsia="宋体" w:hAnsi="Times New Roman" w:cs="Times New Roman"/>
                <w:szCs w:val="21"/>
              </w:rPr>
            </w:pPr>
            <w:r>
              <w:rPr>
                <w:rFonts w:ascii="Times New Roman" w:eastAsia="宋体" w:hAnsi="Times New Roman" w:cs="Times New Roman"/>
                <w:szCs w:val="21"/>
              </w:rPr>
              <w:t>响应文件截止时间：202</w:t>
            </w:r>
            <w:r>
              <w:rPr>
                <w:rFonts w:ascii="Times New Roman" w:eastAsia="宋体" w:hAnsi="Times New Roman" w:cs="Times New Roman" w:hint="eastAsia"/>
                <w:szCs w:val="21"/>
              </w:rPr>
              <w:t>2</w:t>
            </w:r>
            <w:r>
              <w:rPr>
                <w:rFonts w:ascii="Times New Roman" w:eastAsia="宋体" w:hAnsi="Times New Roman" w:cs="Times New Roman"/>
                <w:szCs w:val="21"/>
              </w:rPr>
              <w:t>年4月</w:t>
            </w:r>
            <w:r>
              <w:rPr>
                <w:rFonts w:ascii="Times New Roman" w:eastAsia="宋体" w:hAnsi="Times New Roman" w:cs="Times New Roman" w:hint="eastAsia"/>
                <w:szCs w:val="21"/>
              </w:rPr>
              <w:t>1</w:t>
            </w:r>
            <w:r>
              <w:rPr>
                <w:rFonts w:ascii="Times New Roman" w:eastAsia="宋体" w:hAnsi="Times New Roman" w:cs="Times New Roman" w:hint="eastAsia"/>
                <w:szCs w:val="21"/>
                <w:lang w:val="en-US" w:eastAsia="zh-CN"/>
              </w:rPr>
              <w:t>4</w:t>
            </w:r>
            <w:r>
              <w:rPr>
                <w:rFonts w:ascii="Times New Roman" w:eastAsia="宋体" w:hAnsi="Times New Roman" w:cs="Times New Roman"/>
                <w:szCs w:val="21"/>
              </w:rPr>
              <w:t>日</w:t>
            </w:r>
            <w:r>
              <w:rPr>
                <w:rFonts w:ascii="Times New Roman" w:eastAsia="宋体" w:hAnsi="Times New Roman" w:cs="Times New Roman" w:hint="eastAsia"/>
                <w:szCs w:val="21"/>
              </w:rPr>
              <w:t>14</w:t>
            </w:r>
            <w:r>
              <w:rPr>
                <w:rFonts w:ascii="Times New Roman" w:eastAsia="宋体" w:hAnsi="Times New Roman" w:cs="Times New Roman"/>
                <w:szCs w:val="21"/>
              </w:rPr>
              <w:t>时30分（北京时间）</w:t>
            </w:r>
          </w:p>
        </w:tc>
      </w:tr>
      <w:tr>
        <w:tblPrEx>
          <w:tblW w:w="9072" w:type="dxa"/>
          <w:tblInd w:w="108" w:type="dxa"/>
          <w:tblLayout w:type="fixed"/>
          <w:tblCellMar>
            <w:top w:w="0" w:type="dxa"/>
            <w:left w:w="108" w:type="dxa"/>
            <w:bottom w:w="0" w:type="dxa"/>
            <w:right w:w="108" w:type="dxa"/>
          </w:tblCellMar>
        </w:tblPrEx>
        <w:trPr>
          <w:cantSplit/>
          <w:trHeight w:val="671"/>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21</w:t>
            </w:r>
          </w:p>
        </w:tc>
        <w:tc>
          <w:tcPr>
            <w:tcW w:w="1985" w:type="dxa"/>
            <w:noWrap/>
            <w:vAlign w:val="center"/>
          </w:tcPr>
          <w:p>
            <w:pPr>
              <w:spacing w:line="300" w:lineRule="exact"/>
              <w:jc w:val="center"/>
              <w:rPr>
                <w:rFonts w:ascii="Times New Roman" w:eastAsia="宋体" w:hAnsi="Times New Roman" w:cs="Times New Roman"/>
                <w:szCs w:val="21"/>
              </w:rPr>
            </w:pPr>
            <w:r>
              <w:rPr>
                <w:rFonts w:ascii="Times New Roman" w:eastAsia="宋体" w:hAnsi="Times New Roman" w:cs="Times New Roman"/>
                <w:szCs w:val="21"/>
              </w:rPr>
              <w:t>响应文件开启地点</w:t>
            </w:r>
          </w:p>
        </w:tc>
        <w:tc>
          <w:tcPr>
            <w:tcW w:w="6378" w:type="dxa"/>
            <w:tcBorders>
              <w:right w:val="thickThinSmallGap" w:sz="18" w:space="0" w:color="auto"/>
            </w:tcBorders>
            <w:noWrap/>
            <w:vAlign w:val="center"/>
          </w:tcPr>
          <w:p>
            <w:pPr>
              <w:spacing w:line="460" w:lineRule="exact"/>
              <w:rPr>
                <w:rFonts w:ascii="Times New Roman" w:eastAsia="宋体" w:hAnsi="Times New Roman" w:cs="Times New Roman"/>
                <w:szCs w:val="21"/>
              </w:rPr>
            </w:pPr>
            <w:r>
              <w:rPr>
                <w:rFonts w:ascii="Times New Roman" w:eastAsia="宋体" w:hAnsi="Times New Roman" w:cs="Times New Roman"/>
                <w:szCs w:val="21"/>
              </w:rPr>
              <w:t>楚雄医药高等专科学校</w:t>
            </w:r>
            <w:r>
              <w:rPr>
                <w:rFonts w:ascii="Times New Roman" w:eastAsia="宋体" w:hAnsi="Times New Roman" w:cs="Times New Roman" w:hint="eastAsia"/>
                <w:szCs w:val="21"/>
              </w:rPr>
              <w:t>勤业楼</w:t>
            </w:r>
            <w:r>
              <w:rPr>
                <w:rFonts w:ascii="Times New Roman" w:eastAsia="宋体" w:hAnsi="Times New Roman" w:cs="Times New Roman"/>
                <w:szCs w:val="21"/>
              </w:rPr>
              <w:t>会议室</w:t>
            </w:r>
          </w:p>
        </w:tc>
      </w:tr>
      <w:tr>
        <w:tblPrEx>
          <w:tblW w:w="9072" w:type="dxa"/>
          <w:tblInd w:w="108" w:type="dxa"/>
          <w:tblLayout w:type="fixed"/>
          <w:tblCellMar>
            <w:top w:w="0" w:type="dxa"/>
            <w:left w:w="108" w:type="dxa"/>
            <w:bottom w:w="0" w:type="dxa"/>
            <w:right w:w="108" w:type="dxa"/>
          </w:tblCellMar>
        </w:tblPrEx>
        <w:trPr>
          <w:cantSplit/>
          <w:trHeight w:val="746"/>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22</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谈判小组</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谈判小组的构成：3人及以上单数。</w:t>
            </w:r>
          </w:p>
        </w:tc>
      </w:tr>
      <w:tr>
        <w:tblPrEx>
          <w:tblW w:w="9072" w:type="dxa"/>
          <w:tblInd w:w="108" w:type="dxa"/>
          <w:tblLayout w:type="fixed"/>
          <w:tblCellMar>
            <w:top w:w="0" w:type="dxa"/>
            <w:left w:w="108" w:type="dxa"/>
            <w:bottom w:w="0" w:type="dxa"/>
            <w:right w:w="108" w:type="dxa"/>
          </w:tblCellMar>
        </w:tblPrEx>
        <w:trPr>
          <w:cantSplit/>
          <w:trHeight w:val="522"/>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hint="eastAsia"/>
                <w:kern w:val="0"/>
                <w:szCs w:val="21"/>
              </w:rPr>
              <w:t>3</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评审方法</w:t>
            </w:r>
          </w:p>
        </w:tc>
        <w:tc>
          <w:tcPr>
            <w:tcW w:w="6378" w:type="dxa"/>
            <w:tcBorders>
              <w:right w:val="thickThinSmallGap" w:sz="18" w:space="0" w:color="auto"/>
            </w:tcBorders>
            <w:noWrap/>
            <w:vAlign w:val="center"/>
          </w:tcPr>
          <w:p>
            <w:pPr>
              <w:spacing w:line="400" w:lineRule="exact"/>
              <w:rPr>
                <w:rFonts w:ascii="Times New Roman" w:eastAsia="宋体" w:hAnsi="Times New Roman" w:cs="Times New Roman"/>
                <w:szCs w:val="21"/>
              </w:rPr>
            </w:pPr>
            <w:r>
              <w:rPr>
                <w:rFonts w:ascii="Times New Roman" w:eastAsia="宋体" w:hAnsi="Times New Roman" w:cs="Times New Roman"/>
                <w:szCs w:val="21"/>
              </w:rPr>
              <w:t>最低评标价法</w:t>
            </w:r>
          </w:p>
        </w:tc>
      </w:tr>
      <w:tr>
        <w:tblPrEx>
          <w:tblW w:w="9072" w:type="dxa"/>
          <w:tblInd w:w="108" w:type="dxa"/>
          <w:tblLayout w:type="fixed"/>
          <w:tblCellMar>
            <w:top w:w="0" w:type="dxa"/>
            <w:left w:w="108" w:type="dxa"/>
            <w:bottom w:w="0" w:type="dxa"/>
            <w:right w:w="108" w:type="dxa"/>
          </w:tblCellMar>
        </w:tblPrEx>
        <w:trPr>
          <w:cantSplit/>
          <w:trHeight w:val="451"/>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hint="eastAsia"/>
                <w:kern w:val="0"/>
                <w:szCs w:val="21"/>
              </w:rPr>
              <w:t>4</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推荐的成交候选人数量</w:t>
            </w:r>
          </w:p>
        </w:tc>
        <w:tc>
          <w:tcPr>
            <w:tcW w:w="6378" w:type="dxa"/>
            <w:tcBorders>
              <w:right w:val="thickThinSmallGap" w:sz="18" w:space="0" w:color="auto"/>
            </w:tcBorders>
            <w:noWrap/>
            <w:vAlign w:val="center"/>
          </w:tcPr>
          <w:p>
            <w:pPr>
              <w:spacing w:line="300" w:lineRule="exact"/>
              <w:rPr>
                <w:rFonts w:ascii="Times New Roman" w:eastAsia="宋体" w:hAnsi="Times New Roman" w:cs="Times New Roman"/>
                <w:kern w:val="0"/>
                <w:szCs w:val="21"/>
              </w:rPr>
            </w:pPr>
            <w:r>
              <w:rPr>
                <w:rFonts w:ascii="Times New Roman" w:eastAsia="宋体" w:hAnsi="Times New Roman" w:cs="Times New Roman"/>
                <w:kern w:val="0"/>
                <w:szCs w:val="21"/>
              </w:rPr>
              <w:t>1名</w:t>
            </w:r>
          </w:p>
        </w:tc>
      </w:tr>
      <w:tr>
        <w:tblPrEx>
          <w:tblW w:w="9072" w:type="dxa"/>
          <w:tblInd w:w="108" w:type="dxa"/>
          <w:tblLayout w:type="fixed"/>
          <w:tblCellMar>
            <w:top w:w="0" w:type="dxa"/>
            <w:left w:w="108" w:type="dxa"/>
            <w:bottom w:w="0" w:type="dxa"/>
            <w:right w:w="108" w:type="dxa"/>
          </w:tblCellMar>
        </w:tblPrEx>
        <w:trPr>
          <w:cantSplit/>
          <w:trHeight w:val="451"/>
        </w:trPr>
        <w:tc>
          <w:tcPr>
            <w:tcW w:w="709" w:type="dxa"/>
            <w:tcBorders>
              <w:left w:val="thinThick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hint="eastAsia"/>
                <w:kern w:val="0"/>
                <w:szCs w:val="21"/>
              </w:rPr>
              <w:t>5</w:t>
            </w:r>
          </w:p>
        </w:tc>
        <w:tc>
          <w:tcPr>
            <w:tcW w:w="1985" w:type="dxa"/>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履约保证金</w:t>
            </w:r>
          </w:p>
        </w:tc>
        <w:tc>
          <w:tcPr>
            <w:tcW w:w="6378" w:type="dxa"/>
            <w:tcBorders>
              <w:right w:val="thickThinSmallGap" w:sz="18" w:space="0" w:color="auto"/>
            </w:tcBorders>
            <w:noWrap/>
            <w:vAlign w:val="center"/>
          </w:tcPr>
          <w:p>
            <w:pPr>
              <w:rPr>
                <w:rFonts w:ascii="Times New Roman" w:eastAsia="宋体" w:hAnsi="Times New Roman" w:cs="Times New Roman"/>
                <w:kern w:val="0"/>
                <w:szCs w:val="21"/>
              </w:rPr>
            </w:pPr>
            <w:r>
              <w:rPr>
                <w:rFonts w:ascii="Times New Roman" w:eastAsia="宋体" w:hAnsi="Times New Roman" w:cs="Times New Roman"/>
                <w:kern w:val="0"/>
                <w:szCs w:val="21"/>
              </w:rPr>
              <w:t>合同签订之前，供应商按合同金额的3%向采购人交纳履约保证金，履约保证金在供应商按合同约定交货验收合格后转为质量保证金，</w:t>
            </w:r>
            <w:r>
              <w:rPr>
                <w:rFonts w:ascii="Times New Roman" w:eastAsia="宋体" w:hAnsi="Times New Roman" w:cs="Times New Roman" w:hint="eastAsia"/>
                <w:kern w:val="0"/>
                <w:szCs w:val="21"/>
              </w:rPr>
              <w:t>非人为损坏</w:t>
            </w:r>
            <w:r>
              <w:rPr>
                <w:rFonts w:ascii="Times New Roman" w:eastAsia="宋体" w:hAnsi="Times New Roman" w:cs="Times New Roman"/>
                <w:kern w:val="0"/>
                <w:szCs w:val="21"/>
              </w:rPr>
              <w:t>满</w:t>
            </w:r>
            <w:r>
              <w:rPr>
                <w:rFonts w:ascii="Times New Roman" w:eastAsia="宋体" w:hAnsi="Times New Roman" w:cs="Times New Roman" w:hint="eastAsia"/>
                <w:kern w:val="0"/>
                <w:szCs w:val="21"/>
              </w:rPr>
              <w:t>1年</w:t>
            </w:r>
            <w:r>
              <w:rPr>
                <w:rFonts w:ascii="Times New Roman" w:eastAsia="宋体" w:hAnsi="Times New Roman" w:cs="Times New Roman"/>
                <w:kern w:val="0"/>
                <w:szCs w:val="21"/>
              </w:rPr>
              <w:t>在20个工作日内甲方一次性无息退还乙方。</w:t>
            </w:r>
          </w:p>
        </w:tc>
      </w:tr>
      <w:tr>
        <w:tblPrEx>
          <w:tblW w:w="9072" w:type="dxa"/>
          <w:tblInd w:w="108" w:type="dxa"/>
          <w:tblLayout w:type="fixed"/>
          <w:tblCellMar>
            <w:top w:w="0" w:type="dxa"/>
            <w:left w:w="108" w:type="dxa"/>
            <w:bottom w:w="0" w:type="dxa"/>
            <w:right w:w="108" w:type="dxa"/>
          </w:tblCellMar>
        </w:tblPrEx>
        <w:trPr>
          <w:cantSplit/>
          <w:trHeight w:val="451"/>
        </w:trPr>
        <w:tc>
          <w:tcPr>
            <w:tcW w:w="709" w:type="dxa"/>
            <w:tcBorders>
              <w:left w:val="thinThickSmallGap" w:sz="18" w:space="0" w:color="auto"/>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hint="eastAsia"/>
                <w:kern w:val="0"/>
                <w:szCs w:val="21"/>
              </w:rPr>
              <w:t>26</w:t>
            </w:r>
          </w:p>
        </w:tc>
        <w:tc>
          <w:tcPr>
            <w:tcW w:w="1985" w:type="dxa"/>
            <w:tcBorders>
              <w:bottom w:val="thickThinSmallGap" w:sz="18" w:space="0" w:color="auto"/>
            </w:tcBorders>
            <w:noWrap/>
            <w:vAlign w:val="center"/>
          </w:tcPr>
          <w:p>
            <w:pPr>
              <w:spacing w:line="300" w:lineRule="exact"/>
              <w:jc w:val="center"/>
              <w:rPr>
                <w:rFonts w:ascii="Times New Roman" w:eastAsia="宋体" w:hAnsi="Times New Roman" w:cs="Times New Roman"/>
                <w:kern w:val="0"/>
                <w:szCs w:val="21"/>
              </w:rPr>
            </w:pPr>
            <w:r>
              <w:rPr>
                <w:rFonts w:ascii="Times New Roman" w:eastAsia="宋体" w:hAnsi="Times New Roman" w:cs="Times New Roman"/>
                <w:kern w:val="0"/>
                <w:szCs w:val="21"/>
              </w:rPr>
              <w:t>其他要求</w:t>
            </w:r>
          </w:p>
        </w:tc>
        <w:tc>
          <w:tcPr>
            <w:tcW w:w="6378" w:type="dxa"/>
            <w:tcBorders>
              <w:bottom w:val="thickThinSmallGap" w:sz="18" w:space="0" w:color="auto"/>
              <w:right w:val="thickThinSmallGap" w:sz="18" w:space="0" w:color="auto"/>
            </w:tcBorders>
            <w:noWrap/>
          </w:tcPr>
          <w:p>
            <w:pPr>
              <w:spacing w:line="400" w:lineRule="exact"/>
              <w:rPr>
                <w:rFonts w:ascii="Times New Roman" w:eastAsia="宋体" w:hAnsi="Times New Roman" w:cs="Times New Roman"/>
                <w:szCs w:val="21"/>
              </w:rPr>
            </w:pPr>
            <w:r>
              <w:rPr>
                <w:rFonts w:ascii="Times New Roman" w:eastAsia="宋体" w:hAnsi="Times New Roman" w:cs="Times New Roman"/>
                <w:szCs w:val="21"/>
              </w:rPr>
              <w:t>无</w:t>
            </w:r>
          </w:p>
        </w:tc>
      </w:tr>
      <w:bookmarkEnd w:id="56"/>
    </w:tbl>
    <w:p>
      <w:pPr>
        <w:keepNext/>
        <w:tabs>
          <w:tab w:val="left" w:pos="360"/>
          <w:tab w:val="left" w:pos="1021"/>
        </w:tabs>
        <w:adjustRightInd w:val="0"/>
        <w:spacing w:line="240" w:lineRule="atLeast"/>
        <w:textAlignment w:val="baseline"/>
        <w:outlineLvl w:val="1"/>
        <w:rPr>
          <w:rStyle w:val="2"/>
          <w:rFonts w:ascii="Times New Roman" w:eastAsia="宋体" w:hAnsi="Times New Roman" w:cs="Times New Roman"/>
        </w:rPr>
      </w:pPr>
      <w:bookmarkStart w:id="57" w:name="_Toc25948_WPSOffice_Level2"/>
      <w:bookmarkStart w:id="58" w:name="_Toc60996677"/>
      <w:bookmarkStart w:id="59" w:name="_Toc9300_WPSOffice_Level1"/>
      <w:bookmarkStart w:id="60" w:name="_Toc24244_WPSOffice_Level1"/>
      <w:bookmarkStart w:id="61" w:name="_Toc31068"/>
      <w:bookmarkStart w:id="62" w:name="__x000F_一、总__则"/>
      <w:r>
        <w:rPr>
          <w:rStyle w:val="2"/>
          <w:rFonts w:ascii="Times New Roman" w:eastAsia="宋体" w:hAnsi="Times New Roman" w:cs="Times New Roman"/>
        </w:rPr>
        <w:t>2.1 总则</w:t>
      </w:r>
      <w:bookmarkEnd w:id="57"/>
      <w:bookmarkEnd w:id="58"/>
      <w:bookmarkEnd w:id="59"/>
      <w:bookmarkEnd w:id="60"/>
      <w:bookmarkEnd w:id="61"/>
    </w:p>
    <w:bookmarkEnd w:id="62"/>
    <w:p>
      <w:pPr>
        <w:spacing w:line="360" w:lineRule="auto"/>
        <w:ind w:firstLine="480" w:firstLineChars="200"/>
        <w:rPr>
          <w:rFonts w:ascii="Times New Roman" w:eastAsia="宋体" w:hAnsi="Times New Roman" w:cs="Times New Roman"/>
          <w:sz w:val="24"/>
        </w:rPr>
      </w:pPr>
      <w:bookmarkStart w:id="63" w:name="_Toc28341"/>
      <w:r>
        <w:rPr>
          <w:rFonts w:ascii="Times New Roman" w:eastAsia="宋体" w:hAnsi="Times New Roman" w:cs="Times New Roman"/>
          <w:sz w:val="24"/>
        </w:rPr>
        <w:t>1、项目概况</w:t>
      </w:r>
      <w:bookmarkEnd w:id="63"/>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为满足</w:t>
      </w:r>
      <w:r>
        <w:rPr>
          <w:rFonts w:ascii="Times New Roman" w:eastAsia="宋体" w:hAnsi="Times New Roman" w:cs="Times New Roman" w:hint="eastAsia"/>
          <w:sz w:val="24"/>
        </w:rPr>
        <w:t>药学系气相色谱仪使用氢气安全性的</w:t>
      </w:r>
      <w:r>
        <w:rPr>
          <w:rFonts w:ascii="Times New Roman" w:eastAsia="宋体" w:hAnsi="Times New Roman" w:cs="Times New Roman"/>
          <w:sz w:val="24"/>
        </w:rPr>
        <w:t>需求，我校</w:t>
      </w:r>
      <w:r>
        <w:rPr>
          <w:rFonts w:ascii="Times New Roman" w:eastAsia="宋体" w:hAnsi="Times New Roman" w:cs="Times New Roman" w:hint="eastAsia"/>
          <w:sz w:val="24"/>
        </w:rPr>
        <w:t>药学系采购高纯氢气发生器</w:t>
      </w:r>
      <w:r>
        <w:rPr>
          <w:rFonts w:ascii="Times New Roman" w:eastAsia="宋体" w:hAnsi="Times New Roman" w:cs="Times New Roman"/>
          <w:sz w:val="24"/>
        </w:rPr>
        <w:t>。参照《政府采购法》及我校采购管理相关规定，本次</w:t>
      </w:r>
      <w:r>
        <w:rPr>
          <w:rFonts w:ascii="Times New Roman" w:eastAsia="宋体" w:hAnsi="Times New Roman" w:cs="Times New Roman" w:hint="eastAsia"/>
          <w:sz w:val="24"/>
        </w:rPr>
        <w:t>药学系高纯氢气发生器</w:t>
      </w:r>
      <w:r>
        <w:rPr>
          <w:rFonts w:ascii="Times New Roman" w:eastAsia="宋体" w:hAnsi="Times New Roman" w:cs="Times New Roman"/>
          <w:sz w:val="24"/>
        </w:rPr>
        <w:t>采购采用竞争性谈判的方式进行。</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2、本项目采购人、采购代理机构、项目名称、项目编号、项目预算及最高限价：见“供应商须知前附表”。</w:t>
      </w:r>
    </w:p>
    <w:p>
      <w:pPr>
        <w:spacing w:line="360" w:lineRule="auto"/>
        <w:ind w:firstLine="480" w:firstLineChars="200"/>
        <w:rPr>
          <w:rFonts w:ascii="Times New Roman" w:eastAsia="宋体" w:hAnsi="Times New Roman" w:cs="Times New Roman"/>
          <w:sz w:val="24"/>
        </w:rPr>
      </w:pPr>
      <w:bookmarkStart w:id="64" w:name="_Toc10402"/>
      <w:r>
        <w:rPr>
          <w:rFonts w:ascii="Times New Roman" w:eastAsia="宋体" w:hAnsi="Times New Roman" w:cs="Times New Roman"/>
          <w:sz w:val="24"/>
        </w:rPr>
        <w:t>3、采购内容及交货期</w:t>
      </w:r>
      <w:bookmarkEnd w:id="64"/>
    </w:p>
    <w:p>
      <w:pPr>
        <w:spacing w:line="360" w:lineRule="auto"/>
        <w:ind w:firstLine="480" w:firstLineChars="200"/>
        <w:rPr>
          <w:rFonts w:ascii="Times New Roman" w:eastAsia="宋体" w:hAnsi="Times New Roman" w:cs="Times New Roman"/>
          <w:sz w:val="24"/>
        </w:rPr>
      </w:pPr>
      <w:bookmarkStart w:id="65" w:name="_Toc29818_WPSOffice_Level2"/>
      <w:bookmarkStart w:id="66" w:name="_Toc14054_WPSOffice_Level3"/>
      <w:bookmarkStart w:id="67" w:name="_Toc17687_WPSOffice_Level2"/>
      <w:r>
        <w:rPr>
          <w:rFonts w:ascii="Times New Roman" w:eastAsia="宋体" w:hAnsi="Times New Roman" w:cs="Times New Roman"/>
          <w:sz w:val="24"/>
        </w:rPr>
        <w:t>（1）本项目采购内容：见“供应商须知前附表”。</w:t>
      </w:r>
      <w:bookmarkEnd w:id="65"/>
      <w:bookmarkEnd w:id="66"/>
      <w:bookmarkEnd w:id="67"/>
    </w:p>
    <w:p>
      <w:pPr>
        <w:spacing w:line="360" w:lineRule="auto"/>
        <w:ind w:firstLine="480" w:firstLineChars="200"/>
        <w:rPr>
          <w:rFonts w:ascii="Times New Roman" w:eastAsia="宋体" w:hAnsi="Times New Roman" w:cs="Times New Roman"/>
          <w:sz w:val="24"/>
        </w:rPr>
      </w:pPr>
      <w:bookmarkStart w:id="68" w:name="_Toc20587_WPSOffice_Level3"/>
      <w:bookmarkStart w:id="69" w:name="_Toc22352_WPSOffice_Level2"/>
      <w:bookmarkStart w:id="70" w:name="_Toc23972_WPSOffice_Level2"/>
      <w:r>
        <w:rPr>
          <w:rFonts w:ascii="Times New Roman" w:eastAsia="宋体" w:hAnsi="Times New Roman" w:cs="Times New Roman"/>
          <w:sz w:val="24"/>
        </w:rPr>
        <w:t>（2）本项目交货期：见“供应商须知前附表”。</w:t>
      </w:r>
      <w:bookmarkEnd w:id="68"/>
      <w:bookmarkEnd w:id="69"/>
      <w:bookmarkEnd w:id="70"/>
    </w:p>
    <w:p>
      <w:pPr>
        <w:spacing w:line="360" w:lineRule="auto"/>
        <w:ind w:firstLine="480" w:firstLineChars="200"/>
        <w:rPr>
          <w:rFonts w:ascii="Times New Roman" w:eastAsia="宋体" w:hAnsi="Times New Roman" w:cs="Times New Roman"/>
          <w:sz w:val="24"/>
        </w:rPr>
      </w:pPr>
      <w:bookmarkStart w:id="71" w:name="_Toc10248"/>
      <w:r>
        <w:rPr>
          <w:rFonts w:ascii="Times New Roman" w:eastAsia="宋体" w:hAnsi="Times New Roman" w:cs="Times New Roman"/>
          <w:sz w:val="24"/>
        </w:rPr>
        <w:t>4、供应商资格要求</w:t>
      </w:r>
      <w:bookmarkEnd w:id="71"/>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（1）供应商应当符合《中华人民共和国政府采购法》第二十二条规定的条件。</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（2）采购人根据本项目的特殊要求规定供应商应具备的特定条件：</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sz w:val="24"/>
        </w:rPr>
        <w:t>投标人具有</w:t>
      </w:r>
      <w:r>
        <w:rPr>
          <w:rFonts w:ascii="Times New Roman" w:eastAsia="宋体" w:hAnsi="Times New Roman" w:cs="Times New Roman" w:hint="eastAsia"/>
          <w:sz w:val="24"/>
        </w:rPr>
        <w:t>办公用品</w:t>
      </w:r>
      <w:r>
        <w:rPr>
          <w:rFonts w:ascii="Times New Roman" w:eastAsia="宋体" w:hAnsi="Times New Roman" w:cs="Times New Roman"/>
          <w:sz w:val="24"/>
        </w:rPr>
        <w:t>经营企业许可证或经营备案凭证，并有相应经营范围（提供相对应许可证）。</w:t>
      </w:r>
    </w:p>
    <w:p>
      <w:pPr>
        <w:adjustRightInd w:val="0"/>
        <w:snapToGrid w:val="0"/>
        <w:spacing w:before="120" w:beforeLines="50" w:line="360" w:lineRule="auto"/>
        <w:ind w:firstLine="720" w:firstLineChars="300"/>
        <w:rPr>
          <w:rFonts w:ascii="Times New Roman" w:eastAsia="宋体" w:hAnsi="Times New Roman" w:cs="Times New Roman"/>
          <w:sz w:val="24"/>
        </w:rPr>
        <w:sectPr>
          <w:headerReference w:type="default" r:id="rId32"/>
          <w:footerReference w:type="even" r:id="rId33"/>
          <w:footerReference w:type="default" r:id="rId34"/>
          <w:headerReference w:type="first" r:id="rId35"/>
          <w:type w:val="nextPage"/>
          <w:pgSz w:w="11906" w:h="16838"/>
          <w:pgMar w:top="1418" w:right="1134" w:bottom="1134" w:left="1417" w:header="936" w:footer="720" w:gutter="0"/>
          <w:pgNumType w:start="7"/>
          <w:cols w:num="1" w:space="720"/>
          <w:titlePg w:val="0"/>
          <w:docGrid w:linePitch="331" w:charSpace="0"/>
        </w:sectPr>
      </w:pPr>
      <w:r>
        <w:rPr>
          <w:rFonts w:ascii="Times New Roman" w:eastAsia="宋体" w:hAnsi="Times New Roman" w:cs="Times New Roman" w:hint="eastAsia"/>
          <w:sz w:val="24"/>
        </w:rPr>
        <w:t>2）供应商在投标截止时间前未被列入“信用中国”网站（www.creditchina.gov.cn）失信被执行人、重大税收违法案件当事人名单、政府采购严重违法失信行为记录名单及中国政府采购网（www.ccgp.gov.cn）“政府采购严重违法失信行为信息记录”（提供查询截图）。若为失信企业，将取消成交资格。</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（3）供应商不得存在下列情形之一：</w:t>
      </w:r>
    </w:p>
    <w:p>
      <w:pPr>
        <w:spacing w:line="360" w:lineRule="auto"/>
        <w:ind w:firstLine="720" w:firstLineChars="300"/>
        <w:rPr>
          <w:rFonts w:ascii="Times New Roman" w:eastAsia="宋体" w:hAnsi="Times New Roman" w:cs="Times New Roman"/>
          <w:sz w:val="24"/>
        </w:rPr>
      </w:pPr>
      <w:bookmarkStart w:id="72" w:name="_Toc29818_WPSOffice_Level3"/>
      <w:bookmarkStart w:id="73" w:name="_Toc17687_WPSOffice_Level3"/>
      <w:r>
        <w:rPr>
          <w:rFonts w:ascii="Times New Roman" w:eastAsia="宋体" w:hAnsi="Times New Roman" w:cs="Times New Roman"/>
          <w:sz w:val="24"/>
        </w:rPr>
        <w:t>①与采购人或采购代理机构存在隶属关系或者其他利害关系；</w:t>
      </w:r>
      <w:bookmarkEnd w:id="72"/>
      <w:bookmarkEnd w:id="73"/>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②供应商或者其法定代表人、董事、监事、高级管理人员因经营活动中的违法行为受到行政处罚，但警告和罚款额在三万元以下的行政处罚除外；</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③供应商或者其法定代表人、董事、监事、高级管理人员因经营活动中的违法行为受到刑事处罚。</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5、投标费用</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本项目不收取任何费用。供应商应自行承担所有参与投标的相关费用，不论投标的结果如何，采购人无义务和责任承担这些费用。</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6、联合体投标</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本次招标不接受联合体投标。</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7、采购进口产品</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本采购项目拒绝进口产品参加投标。</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8、现场踏勘</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本采购项目不组织现场踏勘。</w:t>
      </w:r>
    </w:p>
    <w:p>
      <w:pPr>
        <w:spacing w:line="360" w:lineRule="auto"/>
        <w:ind w:firstLine="480" w:firstLineChars="200"/>
        <w:rPr>
          <w:rFonts w:ascii="Times New Roman" w:eastAsia="宋体" w:hAnsi="Times New Roman" w:cs="Times New Roman"/>
          <w:sz w:val="24"/>
        </w:rPr>
      </w:pPr>
      <w:bookmarkStart w:id="74" w:name="_Toc20858"/>
      <w:r>
        <w:rPr>
          <w:rFonts w:ascii="Times New Roman" w:eastAsia="宋体" w:hAnsi="Times New Roman" w:cs="Times New Roman"/>
          <w:sz w:val="24"/>
        </w:rPr>
        <w:t>9、质疑</w:t>
      </w:r>
      <w:bookmarkEnd w:id="74"/>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1）供应商认为谈判文件、招标过程和成交结果使自己的合法权益受到损害的，可以在知道或者应知其权益受到损害之日起七个工作日内，以书面形式（纸质原件）向下列部门或采购人提出质疑。提出质疑的供应商应当是参与所质疑项目采购活动的供应商，供应商针对同一采购程序环节的质疑应当在法定质疑期内一次性提出，提出质疑时应当有明确的请求和必要的证明材料。</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受理质疑部门：采购单位。</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2）供应商可以委托代理人进行质疑。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应当提交供应商签署的授权委托书。</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（3）供应商提出质疑应当提交质疑函和必要的证明材料（如材料中有外文资料应同时附上中文译本）。质疑函应当包括下列内容：</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1）供应商的姓名或者名称、地址、邮编、联系人及联系电话；</w:t>
      </w:r>
    </w:p>
    <w:p>
      <w:pPr>
        <w:spacing w:line="360" w:lineRule="auto"/>
        <w:ind w:firstLine="720" w:firstLineChars="300"/>
        <w:rPr>
          <w:rFonts w:ascii="Times New Roman" w:eastAsia="宋体" w:hAnsi="Times New Roman" w:cs="Times New Roman"/>
          <w:sz w:val="24"/>
        </w:rPr>
        <w:sectPr>
          <w:headerReference w:type="default" r:id="rId36"/>
          <w:footerReference w:type="even" r:id="rId37"/>
          <w:footerReference w:type="default" r:id="rId38"/>
          <w:headerReference w:type="first" r:id="rId39"/>
          <w:type w:val="nextPage"/>
          <w:pgSz w:w="11906" w:h="16838"/>
          <w:pgMar w:top="1418" w:right="1134" w:bottom="1134" w:left="1417" w:header="936" w:footer="720" w:gutter="0"/>
          <w:pgNumType w:start="8"/>
          <w:cols w:num="1" w:space="720"/>
          <w:titlePg w:val="0"/>
          <w:docGrid w:linePitch="331" w:charSpace="0"/>
        </w:sectPr>
      </w:pPr>
      <w:r>
        <w:rPr>
          <w:rFonts w:ascii="Times New Roman" w:eastAsia="宋体" w:hAnsi="Times New Roman" w:cs="Times New Roman"/>
          <w:sz w:val="24"/>
        </w:rPr>
        <w:t>2）质疑项目的名称、编号；</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3）具体、明确的质疑事项和与质疑事项相关的请求；</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4）事实依据；</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5）必要的法律依据；</w:t>
      </w:r>
    </w:p>
    <w:p>
      <w:pPr>
        <w:spacing w:line="360" w:lineRule="auto"/>
        <w:ind w:firstLine="720" w:firstLineChars="300"/>
        <w:rPr>
          <w:rFonts w:ascii="Times New Roman" w:eastAsia="宋体" w:hAnsi="Times New Roman" w:cs="Times New Roman"/>
          <w:sz w:val="24"/>
        </w:rPr>
      </w:pPr>
      <w:r>
        <w:rPr>
          <w:rFonts w:ascii="Times New Roman" w:eastAsia="宋体" w:hAnsi="Times New Roman" w:cs="Times New Roman"/>
          <w:sz w:val="24"/>
        </w:rPr>
        <w:t>6）提出质疑的日期。</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供应商为自然人的，应当由本人签字；供应商为法人或者其他组织的，应当由法定代表人、主要负责人，或者其授权代表签字或者盖章，并加盖公章。</w:t>
      </w:r>
    </w:p>
    <w:p>
      <w:pPr>
        <w:spacing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（4）采购人、采购代理机构将在收到供应商的书面质疑后七个工作日内作出答复，并以书面形式通知质疑供应商和其他有关供应商，但答复的内容不涉及商业秘密。</w:t>
      </w:r>
    </w:p>
    <w:p>
      <w:pPr>
        <w:spacing w:line="360" w:lineRule="auto"/>
        <w:ind w:firstLine="480" w:firstLineChars="200"/>
        <w:rPr>
          <w:rFonts w:ascii="Times New Roman" w:eastAsia="宋体" w:hAnsi="Times New Roman" w:cs="Times New Roman"/>
          <w:sz w:val="24"/>
        </w:rPr>
      </w:pPr>
      <w:bookmarkStart w:id="75" w:name="_Toc18210"/>
      <w:r>
        <w:rPr>
          <w:rFonts w:ascii="Times New Roman" w:eastAsia="宋体" w:hAnsi="Times New Roman" w:cs="Times New Roman"/>
          <w:sz w:val="24"/>
        </w:rPr>
        <w:t>10、投诉</w:t>
      </w:r>
      <w:bookmarkEnd w:id="75"/>
    </w:p>
    <w:p>
      <w:pPr>
        <w:spacing w:line="360" w:lineRule="auto"/>
        <w:ind w:firstLine="480" w:firstLineChars="200"/>
        <w:rPr>
          <w:rFonts w:ascii="宋体" w:eastAsia="宋体" w:hAnsi="宋体" w:cs="宋体"/>
          <w:sz w:val="24"/>
        </w:rPr>
      </w:pPr>
      <w:r>
        <w:rPr>
          <w:rFonts w:ascii="Times New Roman" w:eastAsia="宋体" w:hAnsi="Times New Roman" w:cs="Times New Roman"/>
          <w:sz w:val="24"/>
        </w:rPr>
        <w:t>投诉必须首先经过质疑程序。质疑供应商对采购人、采购代理机构的答复不满意，或者采购人、采购代理机构未在规定的时间内做出答复的，可以在答复期满后十五个工作日内书面向政府采购管理处提起投诉。</w:t>
      </w:r>
    </w:p>
    <w:p>
      <w:pPr>
        <w:pStyle w:val="Heading2"/>
        <w:rPr>
          <w:rFonts w:ascii="Times New Roman" w:eastAsia="宋体" w:hAnsi="Times New Roman" w:cs="Times New Roman"/>
        </w:rPr>
      </w:pPr>
      <w:bookmarkStart w:id="76" w:name="_Toc29818_WPSOffice_Level1"/>
      <w:bookmarkStart w:id="77" w:name="_Toc20599_WPSOffice_Level2"/>
      <w:bookmarkStart w:id="78" w:name="_Toc5468"/>
      <w:bookmarkStart w:id="79" w:name="_Toc60996678"/>
      <w:bookmarkStart w:id="80" w:name="_Toc17687_WPSOffice_Level1"/>
      <w:bookmarkStart w:id="81" w:name="_Toc29020"/>
      <w:bookmarkStart w:id="82" w:name="_二、招标文件"/>
      <w:r>
        <w:rPr>
          <w:rFonts w:ascii="Times New Roman" w:eastAsia="宋体" w:hAnsi="Times New Roman" w:cs="Times New Roman"/>
        </w:rPr>
        <w:t>2.2 谈判文件</w:t>
      </w:r>
      <w:bookmarkEnd w:id="76"/>
      <w:bookmarkEnd w:id="77"/>
      <w:bookmarkEnd w:id="78"/>
      <w:bookmarkEnd w:id="79"/>
      <w:bookmarkEnd w:id="80"/>
      <w:bookmarkEnd w:id="81"/>
    </w:p>
    <w:bookmarkEnd w:id="82"/>
    <w:p>
      <w:pPr>
        <w:spacing w:line="460" w:lineRule="exact"/>
        <w:ind w:firstLine="480" w:firstLineChars="200"/>
        <w:rPr>
          <w:rFonts w:ascii="Times New Roman" w:eastAsia="宋体" w:hAnsi="Times New Roman" w:cs="Times New Roman"/>
          <w:sz w:val="24"/>
        </w:rPr>
      </w:pPr>
      <w:bookmarkStart w:id="83" w:name="_Toc19852"/>
      <w:r>
        <w:rPr>
          <w:rFonts w:ascii="Times New Roman" w:eastAsia="宋体" w:hAnsi="Times New Roman" w:cs="Times New Roman"/>
          <w:sz w:val="24"/>
        </w:rPr>
        <w:t>1、谈判文件构成</w:t>
      </w:r>
      <w:bookmarkEnd w:id="83"/>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要求提供的货物、采购过程及合同条款在谈判文件中均有说明，谈判文件共</w:t>
      </w:r>
      <w:r>
        <w:rPr>
          <w:rFonts w:ascii="Times New Roman" w:eastAsia="宋体" w:hAnsi="Times New Roman" w:cs="Times New Roman" w:hint="eastAsia"/>
          <w:sz w:val="24"/>
        </w:rPr>
        <w:t>六</w:t>
      </w:r>
      <w:r>
        <w:rPr>
          <w:rFonts w:ascii="Times New Roman" w:eastAsia="宋体" w:hAnsi="Times New Roman" w:cs="Times New Roman"/>
          <w:sz w:val="24"/>
        </w:rPr>
        <w:t>章，各章的内容如下：</w:t>
      </w:r>
    </w:p>
    <w:p>
      <w:pPr>
        <w:spacing w:line="460" w:lineRule="exact"/>
        <w:ind w:firstLine="480" w:firstLineChars="200"/>
        <w:rPr>
          <w:rFonts w:ascii="Times New Roman" w:eastAsia="宋体" w:hAnsi="Times New Roman" w:cs="Times New Roman"/>
          <w:sz w:val="24"/>
        </w:rPr>
      </w:pPr>
      <w:bookmarkStart w:id="84" w:name="_Toc20599_WPSOffice_Level1"/>
      <w:bookmarkStart w:id="85" w:name="_Toc19285_WPSOffice_Level2"/>
      <w:bookmarkStart w:id="86" w:name="_Toc17346_WPSOffice_Level2"/>
      <w:r>
        <w:rPr>
          <w:rFonts w:ascii="Times New Roman" w:eastAsia="宋体" w:hAnsi="Times New Roman" w:cs="Times New Roman"/>
          <w:sz w:val="24"/>
        </w:rPr>
        <w:t>第一章 竞争性谈判公告</w:t>
      </w:r>
      <w:bookmarkEnd w:id="84"/>
      <w:bookmarkEnd w:id="85"/>
      <w:bookmarkEnd w:id="86"/>
    </w:p>
    <w:p>
      <w:pPr>
        <w:spacing w:line="460" w:lineRule="exact"/>
        <w:ind w:firstLine="480" w:firstLineChars="200"/>
        <w:rPr>
          <w:rFonts w:ascii="Times New Roman" w:eastAsia="宋体" w:hAnsi="Times New Roman" w:cs="Times New Roman"/>
          <w:sz w:val="24"/>
        </w:rPr>
      </w:pPr>
      <w:bookmarkStart w:id="87" w:name="_Toc23365_WPSOffice_Level2"/>
      <w:bookmarkStart w:id="88" w:name="_Toc26127_WPSOffice_Level1"/>
      <w:bookmarkStart w:id="89" w:name="_Toc16744_WPSOffice_Level2"/>
      <w:r>
        <w:rPr>
          <w:rFonts w:ascii="Times New Roman" w:eastAsia="宋体" w:hAnsi="Times New Roman" w:cs="Times New Roman"/>
          <w:sz w:val="24"/>
        </w:rPr>
        <w:t>第二章 供应商须知</w:t>
      </w:r>
      <w:bookmarkEnd w:id="87"/>
      <w:bookmarkEnd w:id="88"/>
      <w:bookmarkEnd w:id="89"/>
    </w:p>
    <w:p>
      <w:pPr>
        <w:spacing w:line="460" w:lineRule="exact"/>
        <w:ind w:firstLine="480" w:firstLineChars="200"/>
        <w:rPr>
          <w:rFonts w:ascii="Times New Roman" w:eastAsia="宋体" w:hAnsi="Times New Roman" w:cs="Times New Roman"/>
          <w:sz w:val="24"/>
        </w:rPr>
      </w:pPr>
      <w:bookmarkStart w:id="90" w:name="_Toc27417_WPSOffice_Level2"/>
      <w:bookmarkStart w:id="91" w:name="_Toc25217_WPSOffice_Level1"/>
      <w:bookmarkStart w:id="92" w:name="_Toc12853_WPSOffice_Level2"/>
      <w:r>
        <w:rPr>
          <w:rFonts w:ascii="Times New Roman" w:eastAsia="宋体" w:hAnsi="Times New Roman" w:cs="Times New Roman"/>
          <w:sz w:val="24"/>
        </w:rPr>
        <w:t>第三章 合同书样式</w:t>
      </w:r>
      <w:bookmarkEnd w:id="90"/>
      <w:bookmarkEnd w:id="91"/>
      <w:bookmarkEnd w:id="92"/>
    </w:p>
    <w:p>
      <w:pPr>
        <w:spacing w:line="460" w:lineRule="exact"/>
        <w:ind w:firstLine="480" w:firstLineChars="200"/>
        <w:rPr>
          <w:rFonts w:ascii="Times New Roman" w:eastAsia="宋体" w:hAnsi="Times New Roman" w:cs="Times New Roman"/>
          <w:sz w:val="24"/>
        </w:rPr>
      </w:pPr>
      <w:bookmarkStart w:id="93" w:name="_Toc23738_WPSOffice_Level2"/>
      <w:bookmarkStart w:id="94" w:name="_Toc19055_WPSOffice_Level2"/>
      <w:bookmarkStart w:id="95" w:name="_Toc12208_WPSOffice_Level1"/>
      <w:r>
        <w:rPr>
          <w:rFonts w:ascii="Times New Roman" w:eastAsia="宋体" w:hAnsi="Times New Roman" w:cs="Times New Roman"/>
          <w:sz w:val="24"/>
        </w:rPr>
        <w:t>第四章 响应文件格式</w:t>
      </w:r>
      <w:bookmarkEnd w:id="93"/>
      <w:bookmarkEnd w:id="94"/>
      <w:bookmarkEnd w:id="95"/>
    </w:p>
    <w:p>
      <w:pPr>
        <w:spacing w:line="460" w:lineRule="exact"/>
        <w:ind w:firstLine="480" w:firstLineChars="200"/>
        <w:rPr>
          <w:rFonts w:ascii="Times New Roman" w:eastAsia="宋体" w:hAnsi="Times New Roman" w:cs="Times New Roman"/>
          <w:sz w:val="24"/>
        </w:rPr>
      </w:pPr>
      <w:bookmarkStart w:id="96" w:name="_Toc22224_WPSOffice_Level2"/>
      <w:bookmarkStart w:id="97" w:name="_Toc30699_WPSOffice_Level2"/>
      <w:bookmarkStart w:id="98" w:name="_Toc20995_WPSOffice_Level1"/>
      <w:r>
        <w:rPr>
          <w:rFonts w:ascii="Times New Roman" w:eastAsia="宋体" w:hAnsi="Times New Roman" w:cs="Times New Roman"/>
          <w:sz w:val="24"/>
        </w:rPr>
        <w:t xml:space="preserve">第五章 </w:t>
      </w:r>
      <w:bookmarkEnd w:id="96"/>
      <w:bookmarkEnd w:id="97"/>
      <w:bookmarkEnd w:id="98"/>
      <w:r>
        <w:rPr>
          <w:rFonts w:ascii="Times New Roman" w:eastAsia="宋体" w:hAnsi="Times New Roman" w:cs="Times New Roman"/>
          <w:sz w:val="24"/>
        </w:rPr>
        <w:t>采购需求</w:t>
      </w:r>
    </w:p>
    <w:p>
      <w:pPr>
        <w:spacing w:line="460" w:lineRule="exact"/>
        <w:ind w:firstLine="480" w:firstLineChars="200"/>
        <w:rPr>
          <w:rFonts w:ascii="Times New Roman" w:eastAsia="宋体" w:hAnsi="Times New Roman" w:cs="Times New Roman"/>
          <w:sz w:val="24"/>
        </w:rPr>
      </w:pPr>
      <w:bookmarkStart w:id="99" w:name="_Toc6428_WPSOffice_Level1"/>
      <w:bookmarkStart w:id="100" w:name="_Toc7113_WPSOffice_Level2"/>
      <w:bookmarkStart w:id="101" w:name="_Toc13234_WPSOffice_Level2"/>
      <w:r>
        <w:rPr>
          <w:rFonts w:ascii="Times New Roman" w:eastAsia="宋体" w:hAnsi="Times New Roman" w:cs="Times New Roman"/>
          <w:sz w:val="24"/>
        </w:rPr>
        <w:t>第六章</w:t>
      </w:r>
      <w:bookmarkEnd w:id="99"/>
      <w:bookmarkEnd w:id="100"/>
      <w:bookmarkEnd w:id="101"/>
      <w:r>
        <w:rPr>
          <w:rFonts w:ascii="Times New Roman" w:eastAsia="宋体" w:hAnsi="Times New Roman" w:cs="Times New Roman"/>
          <w:sz w:val="24"/>
        </w:rPr>
        <w:t xml:space="preserve"> 评审办法</w:t>
      </w:r>
    </w:p>
    <w:p>
      <w:pPr>
        <w:spacing w:line="460" w:lineRule="exact"/>
        <w:ind w:firstLine="480" w:firstLineChars="200"/>
        <w:rPr>
          <w:rFonts w:ascii="Times New Roman" w:eastAsia="宋体" w:hAnsi="Times New Roman" w:cs="Times New Roman"/>
          <w:sz w:val="24"/>
        </w:rPr>
      </w:pPr>
      <w:bookmarkStart w:id="102" w:name="_Toc27416"/>
      <w:r>
        <w:rPr>
          <w:rFonts w:ascii="Times New Roman" w:eastAsia="宋体" w:hAnsi="Times New Roman" w:cs="Times New Roman"/>
          <w:sz w:val="24"/>
        </w:rPr>
        <w:t>2、谈判文件的澄清</w:t>
      </w:r>
      <w:bookmarkEnd w:id="102"/>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（1）供应商应认真审核第五章“</w:t>
      </w:r>
      <w:r>
        <w:rPr>
          <w:rFonts w:ascii="Times New Roman" w:eastAsia="宋体" w:hAnsi="Times New Roman" w:cs="Times New Roman" w:hint="eastAsia"/>
          <w:sz w:val="24"/>
        </w:rPr>
        <w:t>采购需求</w:t>
      </w:r>
      <w:r>
        <w:rPr>
          <w:rFonts w:ascii="Times New Roman" w:eastAsia="宋体" w:hAnsi="Times New Roman" w:cs="Times New Roman"/>
          <w:sz w:val="24"/>
        </w:rPr>
        <w:t>”中的要求，如发现</w:t>
      </w:r>
      <w:r>
        <w:rPr>
          <w:rFonts w:ascii="Times New Roman" w:eastAsia="宋体" w:hAnsi="Times New Roman" w:cs="Times New Roman" w:hint="eastAsia"/>
          <w:sz w:val="24"/>
        </w:rPr>
        <w:t>要求</w:t>
      </w:r>
      <w:r>
        <w:rPr>
          <w:rFonts w:ascii="Times New Roman" w:eastAsia="宋体" w:hAnsi="Times New Roman" w:cs="Times New Roman"/>
          <w:sz w:val="24"/>
        </w:rPr>
        <w:t>有误或要求不合理的，供应商必须在“供应商须知前附表”规定截止时间前以书面形式（加盖公章）要求采购单位澄清，截止时间后送达的澄清要求概不接受，由此产生的后果由供应商自行负责。</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（2）采购单位将以书面或网上发布公告形式（发布媒体详见</w:t>
      </w:r>
      <w:r>
        <w:rPr>
          <w:rFonts w:ascii="Times New Roman" w:eastAsia="宋体" w:hAnsi="Times New Roman" w:cs="Times New Roman" w:hint="eastAsia"/>
          <w:sz w:val="24"/>
        </w:rPr>
        <w:t>采购</w:t>
      </w:r>
      <w:r>
        <w:rPr>
          <w:rFonts w:ascii="Times New Roman" w:eastAsia="宋体" w:hAnsi="Times New Roman" w:cs="Times New Roman"/>
          <w:sz w:val="24"/>
        </w:rPr>
        <w:t>公告）答复所有报名的供应商（答复中不包含问题的来源）要求澄清的问题，其他澄清方式无效。</w:t>
      </w:r>
    </w:p>
    <w:p>
      <w:pPr>
        <w:spacing w:line="460" w:lineRule="exact"/>
        <w:ind w:firstLine="480" w:firstLineChars="200"/>
        <w:rPr>
          <w:rFonts w:ascii="Times New Roman" w:eastAsia="宋体" w:hAnsi="Times New Roman" w:cs="Times New Roman"/>
          <w:sz w:val="24"/>
        </w:rPr>
        <w:sectPr>
          <w:headerReference w:type="default" r:id="rId40"/>
          <w:footerReference w:type="even" r:id="rId41"/>
          <w:footerReference w:type="default" r:id="rId42"/>
          <w:headerReference w:type="first" r:id="rId43"/>
          <w:type w:val="nextPage"/>
          <w:pgSz w:w="11906" w:h="16838"/>
          <w:pgMar w:top="1418" w:right="1134" w:bottom="1134" w:left="1417" w:header="936" w:footer="720" w:gutter="0"/>
          <w:pgNumType w:start="9"/>
          <w:cols w:num="1" w:space="720"/>
          <w:titlePg w:val="0"/>
          <w:docGrid w:linePitch="331" w:charSpace="0"/>
        </w:sectPr>
      </w:pPr>
      <w:bookmarkStart w:id="103" w:name="_Toc29711"/>
      <w:r>
        <w:rPr>
          <w:rFonts w:ascii="Times New Roman" w:eastAsia="宋体" w:hAnsi="Times New Roman" w:cs="Times New Roman"/>
          <w:sz w:val="24"/>
        </w:rPr>
        <w:t>3、谈判文件的修改</w:t>
      </w:r>
      <w:bookmarkEnd w:id="103"/>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（1）采购单位对已发出的谈判文件进行必要澄清或者修改的，于谈判文件要求提交响应文件截止时间3个工作日前，在指定采购信息发布媒体（发布媒体详见</w:t>
      </w:r>
      <w:r>
        <w:rPr>
          <w:rFonts w:ascii="Times New Roman" w:eastAsia="宋体" w:hAnsi="Times New Roman" w:cs="Times New Roman" w:hint="eastAsia"/>
          <w:sz w:val="24"/>
        </w:rPr>
        <w:t>采购</w:t>
      </w:r>
      <w:r>
        <w:rPr>
          <w:rFonts w:ascii="Times New Roman" w:eastAsia="宋体" w:hAnsi="Times New Roman" w:cs="Times New Roman"/>
          <w:sz w:val="24"/>
        </w:rPr>
        <w:t>公告）上发布澄清公告。该澄清或者修改的内容为谈判文件的组成部分。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（2）澄清或者修改的内容可能影响响应文件编制的，采购单位于提交首次响应文件截止之日3个工作日前，以书面形式通知所有获取谈判文件的潜在供应商；不足3个工作日的，顺延提交响应文件的截止时间。</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（3）采购单位对谈判文件中的采购需求、评审办法、评审项目等重要评审内容做出变更，将同时发布补遗文件进行说明以保证各供应商都能重新下载并用于编制电子响应文件。</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（4）供应商在收到采购单位书面答疑和澄清后，请自行登录</w:t>
      </w:r>
      <w:r>
        <w:rPr>
          <w:rFonts w:ascii="Times New Roman" w:eastAsia="宋体" w:hAnsi="Times New Roman" w:cs="Times New Roman"/>
          <w:sz w:val="24"/>
          <w:lang w:val="zh-CN"/>
        </w:rPr>
        <w:t>楚雄医药高等专科学校</w:t>
      </w:r>
      <w:r>
        <w:rPr>
          <w:rFonts w:ascii="Times New Roman" w:eastAsia="宋体" w:hAnsi="Times New Roman" w:cs="Times New Roman" w:hint="eastAsia"/>
          <w:sz w:val="24"/>
        </w:rPr>
        <w:t>保卫处</w:t>
      </w:r>
      <w:r>
        <w:rPr>
          <w:rFonts w:ascii="Times New Roman" w:eastAsia="宋体" w:hAnsi="Times New Roman" w:cs="Times New Roman"/>
          <w:sz w:val="24"/>
          <w:lang w:val="zh-CN"/>
        </w:rPr>
        <w:t>招标</w:t>
      </w:r>
      <w:r>
        <w:rPr>
          <w:rFonts w:ascii="Times New Roman" w:eastAsia="宋体" w:hAnsi="Times New Roman" w:cs="Times New Roman" w:hint="eastAsia"/>
          <w:sz w:val="24"/>
        </w:rPr>
        <w:t>信息</w:t>
      </w:r>
      <w:r>
        <w:rPr>
          <w:rFonts w:ascii="Times New Roman" w:eastAsia="宋体" w:hAnsi="Times New Roman" w:cs="Times New Roman"/>
          <w:sz w:val="24"/>
          <w:lang w:val="zh-CN"/>
        </w:rPr>
        <w:t>栏</w:t>
      </w:r>
      <w:r>
        <w:rPr>
          <w:rFonts w:ascii="Times New Roman" w:eastAsia="宋体" w:hAnsi="Times New Roman" w:cs="Times New Roman"/>
          <w:sz w:val="24"/>
        </w:rPr>
        <w:t>收取修改内容。供应商应在截标时间前随时查看指定采购信息发布媒体（发布媒体详见</w:t>
      </w:r>
      <w:r>
        <w:rPr>
          <w:rFonts w:ascii="Times New Roman" w:eastAsia="宋体" w:hAnsi="Times New Roman" w:cs="Times New Roman" w:hint="eastAsia"/>
          <w:sz w:val="24"/>
        </w:rPr>
        <w:t>采购</w:t>
      </w:r>
      <w:r>
        <w:rPr>
          <w:rFonts w:ascii="Times New Roman" w:eastAsia="宋体" w:hAnsi="Times New Roman" w:cs="Times New Roman"/>
          <w:sz w:val="24"/>
        </w:rPr>
        <w:t>公告）中有关该项目谈判文件的答疑、补遗内容。</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（5）谈判文件澄清、谈判文件修改文件内容均以网上发布的文件为准，当谈判文件、谈判文件澄清、谈判文件修改文件内容前后相互矛盾时，以最后发出的为准。</w:t>
      </w:r>
    </w:p>
    <w:p>
      <w:pPr>
        <w:tabs>
          <w:tab w:val="center" w:pos="4422"/>
        </w:tabs>
        <w:adjustRightInd w:val="0"/>
        <w:snapToGrid w:val="0"/>
        <w:spacing w:before="120" w:beforeLines="50" w:line="360" w:lineRule="auto"/>
        <w:ind w:firstLine="353" w:firstLineChars="147"/>
        <w:rPr>
          <w:rFonts w:ascii="Times New Roman" w:eastAsia="宋体" w:hAnsi="Times New Roman" w:cs="Times New Roman"/>
          <w:sz w:val="24"/>
        </w:rPr>
      </w:pPr>
      <w:r>
        <w:rPr>
          <w:rFonts w:ascii="Times New Roman" w:eastAsia="宋体" w:hAnsi="Times New Roman" w:cs="Times New Roman"/>
          <w:sz w:val="24"/>
        </w:rPr>
        <w:t>4、偏离</w:t>
      </w:r>
    </w:p>
    <w:p>
      <w:pPr>
        <w:widowControl/>
        <w:adjustRightInd w:val="0"/>
        <w:snapToGrid w:val="0"/>
        <w:spacing w:line="360" w:lineRule="auto"/>
        <w:ind w:right="97" w:firstLine="480" w:rightChars="46" w:firstLineChars="200"/>
        <w:rPr>
          <w:rFonts w:ascii="Times New Roman" w:eastAsia="宋体" w:hAnsi="Times New Roman" w:cs="Times New Roman"/>
          <w:sz w:val="24"/>
        </w:rPr>
      </w:pPr>
      <w:r>
        <w:rPr>
          <w:rFonts w:ascii="Times New Roman" w:eastAsia="宋体" w:hAnsi="Times New Roman" w:cs="Times New Roman"/>
          <w:sz w:val="24"/>
        </w:rPr>
        <w:t>（1）本条所称偏离为对谈判文件的偏离，即超过、不满足、或不响应谈判文件的要求。偏离分为对谈判文件的实质性要求条款偏离和对谈判文件的一般商务和技术条款（参数）偏离；允许正偏离。</w:t>
      </w:r>
    </w:p>
    <w:p>
      <w:pPr>
        <w:tabs>
          <w:tab w:val="left" w:pos="0"/>
        </w:tabs>
        <w:adjustRightInd w:val="0"/>
        <w:snapToGrid w:val="0"/>
        <w:spacing w:before="120" w:beforeLines="50"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2）除法律、法规和规章规定外，谈判文件中用“拒绝”、“不接受”、“无效”、“不得”等文字规定或标注“★”符号的条款为实质性要求条款（即重要条款），对其中任何一条的偏离，在评审时将其视为无效响应。未用上述文字规定或符号标注的条款为非实质性要求条款(即一般条款)。</w:t>
      </w:r>
    </w:p>
    <w:p>
      <w:pPr>
        <w:tabs>
          <w:tab w:val="left" w:pos="0"/>
        </w:tabs>
        <w:adjustRightInd w:val="0"/>
        <w:snapToGrid w:val="0"/>
        <w:spacing w:before="120" w:beforeLines="50"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（3）技术规格、参数及要求中的一般商务和技术条款（参数），在超出允许偏离的条款数（最高项数）时，在评审时将其视为无效响应。</w:t>
      </w:r>
    </w:p>
    <w:p>
      <w:pPr>
        <w:tabs>
          <w:tab w:val="left" w:pos="0"/>
        </w:tabs>
        <w:adjustRightInd w:val="0"/>
        <w:snapToGrid w:val="0"/>
        <w:spacing w:before="120" w:beforeLines="50" w:line="360" w:lineRule="auto"/>
        <w:ind w:firstLine="480" w:firstLineChars="200"/>
        <w:rPr>
          <w:rFonts w:ascii="Times New Roman" w:eastAsia="宋体" w:hAnsi="Times New Roman" w:cs="Times New Roman"/>
          <w:sz w:val="24"/>
        </w:rPr>
      </w:pPr>
      <w:r>
        <w:rPr>
          <w:rFonts w:ascii="Times New Roman" w:eastAsia="宋体" w:hAnsi="Times New Roman" w:cs="Times New Roman"/>
          <w:sz w:val="24"/>
        </w:rPr>
        <w:t>（4）本章上一条</w:t>
      </w:r>
      <w:r>
        <w:rPr>
          <w:rFonts w:ascii="Times New Roman" w:eastAsia="宋体" w:hAnsi="Times New Roman" w:cs="Times New Roman"/>
          <w:sz w:val="24"/>
          <w:lang w:val="zh-CN"/>
        </w:rPr>
        <w:t>款</w:t>
      </w:r>
      <w:r>
        <w:rPr>
          <w:rFonts w:ascii="Times New Roman" w:eastAsia="宋体" w:hAnsi="Times New Roman" w:cs="Times New Roman"/>
          <w:sz w:val="24"/>
        </w:rPr>
        <w:t>所称条款数最高项数为</w:t>
      </w:r>
      <w:r>
        <w:rPr>
          <w:rFonts w:ascii="Times New Roman" w:eastAsia="宋体" w:hAnsi="Times New Roman" w:cs="Times New Roman"/>
          <w:sz w:val="24"/>
          <w:u w:val="single"/>
        </w:rPr>
        <w:t xml:space="preserve"> 0 </w:t>
      </w:r>
      <w:r>
        <w:rPr>
          <w:rFonts w:ascii="Times New Roman" w:eastAsia="宋体" w:hAnsi="Times New Roman" w:cs="Times New Roman"/>
          <w:sz w:val="24"/>
        </w:rPr>
        <w:t>项。</w:t>
      </w:r>
    </w:p>
    <w:p>
      <w:pPr>
        <w:pStyle w:val="Heading2"/>
        <w:rPr>
          <w:rFonts w:ascii="Times New Roman" w:eastAsia="宋体" w:hAnsi="Times New Roman" w:cs="Times New Roman"/>
        </w:rPr>
      </w:pPr>
      <w:bookmarkStart w:id="104" w:name="_Toc22665"/>
      <w:bookmarkStart w:id="105" w:name="_Toc60996679"/>
      <w:bookmarkStart w:id="106" w:name="_Toc22352_WPSOffice_Level1"/>
      <w:bookmarkStart w:id="107" w:name="_Toc26127_WPSOffice_Level2"/>
      <w:bookmarkStart w:id="108" w:name="_Toc23972_WPSOffice_Level1"/>
      <w:bookmarkStart w:id="109" w:name="_Toc8515"/>
      <w:bookmarkStart w:id="110" w:name="_三、投标文件的编制"/>
      <w:r>
        <w:rPr>
          <w:rFonts w:ascii="Times New Roman" w:eastAsia="宋体" w:hAnsi="Times New Roman" w:cs="Times New Roman"/>
        </w:rPr>
        <w:t>2.3 响应文件的编制</w:t>
      </w:r>
      <w:bookmarkEnd w:id="104"/>
      <w:bookmarkEnd w:id="105"/>
      <w:bookmarkEnd w:id="106"/>
      <w:bookmarkEnd w:id="107"/>
      <w:bookmarkEnd w:id="108"/>
      <w:bookmarkEnd w:id="109"/>
    </w:p>
    <w:bookmarkEnd w:id="110"/>
    <w:p>
      <w:pPr>
        <w:spacing w:line="460" w:lineRule="exact"/>
        <w:ind w:firstLine="480" w:firstLineChars="200"/>
        <w:rPr>
          <w:rFonts w:ascii="Times New Roman" w:eastAsia="宋体" w:hAnsi="Times New Roman" w:cs="Times New Roman"/>
          <w:sz w:val="24"/>
        </w:rPr>
      </w:pPr>
      <w:bookmarkStart w:id="111" w:name="_Toc609"/>
      <w:r>
        <w:rPr>
          <w:rFonts w:ascii="Times New Roman" w:eastAsia="宋体" w:hAnsi="Times New Roman" w:cs="Times New Roman"/>
          <w:sz w:val="24"/>
        </w:rPr>
        <w:t>1、响应文件构成</w:t>
      </w:r>
      <w:bookmarkEnd w:id="111"/>
    </w:p>
    <w:p>
      <w:pPr>
        <w:spacing w:line="460" w:lineRule="exact"/>
        <w:ind w:firstLine="480" w:firstLineChars="200"/>
        <w:rPr>
          <w:rFonts w:ascii="Times New Roman" w:eastAsia="宋体" w:hAnsi="Times New Roman" w:cs="Times New Roman"/>
          <w:sz w:val="24"/>
        </w:rPr>
        <w:sectPr>
          <w:headerReference w:type="default" r:id="rId44"/>
          <w:footerReference w:type="even" r:id="rId45"/>
          <w:footerReference w:type="default" r:id="rId46"/>
          <w:headerReference w:type="first" r:id="rId47"/>
          <w:type w:val="nextPage"/>
          <w:pgSz w:w="11906" w:h="16838"/>
          <w:pgMar w:top="1418" w:right="1134" w:bottom="1134" w:left="1417" w:header="936" w:footer="720" w:gutter="0"/>
          <w:pgNumType w:start="10"/>
          <w:cols w:num="1" w:space="720"/>
          <w:titlePg w:val="0"/>
          <w:docGrid w:linePitch="331" w:charSpace="0"/>
        </w:sectPr>
      </w:pP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供应商同时投多个包（若分包时）的，响应文件应按包分别编制，按供应商应按第四章“响应文件格式”要求的格式完整地填写。</w:t>
      </w:r>
    </w:p>
    <w:p>
      <w:pPr>
        <w:spacing w:line="460" w:lineRule="exact"/>
        <w:ind w:firstLine="480" w:firstLineChars="200"/>
        <w:rPr>
          <w:rFonts w:ascii="Times New Roman" w:eastAsia="宋体" w:hAnsi="Times New Roman" w:cs="Times New Roman"/>
          <w:sz w:val="24"/>
        </w:rPr>
      </w:pPr>
      <w:bookmarkStart w:id="112" w:name="_Toc8444"/>
      <w:r>
        <w:rPr>
          <w:rFonts w:ascii="Times New Roman" w:eastAsia="宋体" w:hAnsi="Times New Roman" w:cs="Times New Roman"/>
          <w:sz w:val="24"/>
        </w:rPr>
        <w:t>2、投标报价</w:t>
      </w:r>
      <w:bookmarkEnd w:id="112"/>
    </w:p>
    <w:p>
      <w:pPr>
        <w:spacing w:line="460" w:lineRule="exact"/>
        <w:ind w:firstLine="480" w:firstLineChars="200"/>
        <w:rPr>
          <w:rFonts w:ascii="Times New Roman" w:eastAsia="宋体" w:hAnsi="Times New Roman" w:cs="Times New Roman"/>
          <w:sz w:val="24"/>
        </w:rPr>
      </w:pPr>
      <w:bookmarkStart w:id="113" w:name="_Toc32040"/>
      <w:r>
        <w:rPr>
          <w:rFonts w:ascii="Times New Roman" w:eastAsia="宋体" w:hAnsi="Times New Roman" w:cs="Times New Roman"/>
          <w:sz w:val="24"/>
        </w:rPr>
        <w:t>（1）供应商应按谈判文件规定的要求和范围，以人民币进行报价。</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（2）除规定允许提交备选方案外，供应商对每种货物及服务只允许有一个报价，不接受选择性报价，否则，在评审时将其视为无效响应报价。</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（3）供应商的报价不得超过采购项目预算。</w:t>
      </w:r>
    </w:p>
    <w:bookmarkEnd w:id="113"/>
    <w:p>
      <w:pPr>
        <w:spacing w:line="460" w:lineRule="exact"/>
        <w:ind w:firstLine="480" w:firstLineChars="200"/>
        <w:rPr>
          <w:rFonts w:ascii="Times New Roman" w:eastAsia="宋体" w:hAnsi="Times New Roman" w:cs="Times New Roman"/>
          <w:sz w:val="24"/>
        </w:rPr>
      </w:pPr>
      <w:bookmarkStart w:id="114" w:name="_Toc17723"/>
      <w:r>
        <w:rPr>
          <w:rFonts w:ascii="Times New Roman" w:eastAsia="宋体" w:hAnsi="Times New Roman" w:cs="Times New Roman"/>
          <w:sz w:val="24"/>
        </w:rPr>
        <w:t>3、投标有效期</w:t>
      </w:r>
      <w:bookmarkEnd w:id="114"/>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（1）响应文件有效期为60日历天，在此期间响应文件对供应商具有法律约束力，响应文件有效期从规定的递交响应文件截止时间起计算。响应文件有效期不足的将被视为无效响应。</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因特殊情况需要延长投标有效期的，采购人以书面形式通知所有供应商延长投标有效期。供应商同意延长的，应相应延长其谈判保证金的有效期，但不得要求或被允许修改或撤销其响应文件；供应商拒绝延长的，其投标失效，但供应商有权收回其谈判保证金。</w:t>
      </w:r>
    </w:p>
    <w:p>
      <w:pPr>
        <w:spacing w:line="460" w:lineRule="exact"/>
        <w:ind w:firstLine="480" w:firstLineChars="200"/>
        <w:rPr>
          <w:rFonts w:ascii="Times New Roman" w:eastAsia="宋体" w:hAnsi="Times New Roman" w:cs="Times New Roman"/>
          <w:sz w:val="24"/>
        </w:rPr>
      </w:pPr>
      <w:bookmarkStart w:id="115" w:name="_Toc18796"/>
      <w:r>
        <w:rPr>
          <w:rFonts w:ascii="Times New Roman" w:eastAsia="宋体" w:hAnsi="Times New Roman" w:cs="Times New Roman"/>
          <w:sz w:val="24"/>
        </w:rPr>
        <w:t>4、响应文件的签署要求</w:t>
      </w:r>
      <w:bookmarkEnd w:id="115"/>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（1）响应文件的签章和签名要求：按照响应文件格式，响应文件需要企业、法定代表人签章及签名。</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（2）因复印、扫描、拍摄模糊，字迹潦草，表达不清，未按要求填写而导致非唯一理解，造成未实质性响应谈判文件的响应文件将会被认定为无效的投标。</w:t>
      </w:r>
    </w:p>
    <w:p>
      <w:pPr>
        <w:spacing w:line="460" w:lineRule="exact"/>
        <w:ind w:firstLine="480" w:firstLineChars="200"/>
        <w:rPr>
          <w:rFonts w:ascii="Times New Roman" w:eastAsia="宋体" w:hAnsi="Times New Roman" w:cs="Times New Roman"/>
          <w:sz w:val="24"/>
        </w:rPr>
      </w:pPr>
      <w:bookmarkStart w:id="116" w:name="_Toc4359"/>
      <w:r>
        <w:rPr>
          <w:rFonts w:ascii="Times New Roman" w:eastAsia="宋体" w:hAnsi="Times New Roman" w:cs="Times New Roman"/>
          <w:sz w:val="24"/>
        </w:rPr>
        <w:t>5、谈判保证金</w:t>
      </w:r>
      <w:bookmarkEnd w:id="116"/>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（1）谈判保证金为人民币，供应商应在递交响应文件截止时间以前按“供应商须知前附表”规定的方式及金额交纳谈判保证金，并在投标有效期内保持有效。</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（2）未成交供应商的保证金，未成交供应商的保证金在评标结束后当场退还。成交供应商的保证金，自采购合同签订完毕并按规定办理合同归档手续后5个工作日内，无息退还至供应商。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（3）有下列情形之一的，谈判保证金不予退还：</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1）供应商在提交响应文件截止时间后撤回响应文件的；</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2）供应商在响应文件中提供虚假材料的；</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3）除因不可抗力或谈判文件认可的情形以外，成交供应商不与采购人签订合同的；</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4）供应商与采购人、其他供应商或者采购代理机构恶意串通的；</w:t>
      </w:r>
    </w:p>
    <w:p>
      <w:pPr>
        <w:spacing w:line="460" w:lineRule="exact"/>
        <w:ind w:firstLine="720" w:firstLineChars="300"/>
        <w:rPr>
          <w:rFonts w:ascii="Times New Roman" w:eastAsia="宋体" w:hAnsi="Times New Roman" w:cs="Times New Roman"/>
          <w:sz w:val="24"/>
        </w:rPr>
        <w:sectPr>
          <w:headerReference w:type="default" r:id="rId48"/>
          <w:footerReference w:type="even" r:id="rId49"/>
          <w:footerReference w:type="default" r:id="rId50"/>
          <w:headerReference w:type="first" r:id="rId51"/>
          <w:type w:val="nextPage"/>
          <w:pgSz w:w="11906" w:h="16838"/>
          <w:pgMar w:top="1418" w:right="1134" w:bottom="1134" w:left="1417" w:header="936" w:footer="720" w:gutter="0"/>
          <w:pgNumType w:start="11"/>
          <w:cols w:num="1" w:space="720"/>
          <w:titlePg w:val="0"/>
          <w:docGrid w:linePitch="331" w:charSpace="0"/>
        </w:sectPr>
      </w:pPr>
      <w:r>
        <w:rPr>
          <w:rFonts w:ascii="Times New Roman" w:eastAsia="宋体" w:hAnsi="Times New Roman" w:cs="Times New Roman"/>
          <w:sz w:val="24"/>
        </w:rPr>
        <w:t>5）谈判文件规定的其他情形。</w:t>
      </w:r>
    </w:p>
    <w:p>
      <w:pPr>
        <w:pStyle w:val="Heading2"/>
        <w:rPr>
          <w:rFonts w:ascii="Times New Roman" w:eastAsia="宋体" w:hAnsi="Times New Roman" w:cs="Times New Roman"/>
        </w:rPr>
      </w:pPr>
      <w:bookmarkStart w:id="117" w:name="_Toc60996680"/>
      <w:bookmarkStart w:id="118" w:name="_Toc16736"/>
      <w:bookmarkStart w:id="119" w:name="_Toc19285_WPSOffice_Level1"/>
      <w:bookmarkStart w:id="120" w:name="_Toc25217_WPSOffice_Level2"/>
      <w:bookmarkStart w:id="121" w:name="_Toc17346_WPSOffice_Level1"/>
      <w:bookmarkStart w:id="122" w:name="_Toc31111"/>
      <w:bookmarkStart w:id="123" w:name="_四、投标文件的提交"/>
      <w:r>
        <w:rPr>
          <w:rFonts w:ascii="Times New Roman" w:eastAsia="宋体" w:hAnsi="Times New Roman" w:cs="Times New Roman"/>
        </w:rPr>
        <w:t>2.4 响应文件的提交</w:t>
      </w:r>
      <w:bookmarkEnd w:id="117"/>
      <w:bookmarkEnd w:id="118"/>
      <w:bookmarkEnd w:id="119"/>
      <w:bookmarkEnd w:id="120"/>
      <w:bookmarkEnd w:id="121"/>
      <w:bookmarkEnd w:id="122"/>
    </w:p>
    <w:bookmarkEnd w:id="123"/>
    <w:p>
      <w:pPr>
        <w:spacing w:line="460" w:lineRule="exact"/>
        <w:ind w:firstLine="480" w:firstLineChars="200"/>
        <w:rPr>
          <w:rFonts w:ascii="Times New Roman" w:eastAsia="宋体" w:hAnsi="Times New Roman" w:cs="Times New Roman"/>
          <w:sz w:val="24"/>
        </w:rPr>
      </w:pPr>
      <w:bookmarkStart w:id="124" w:name="_Toc20426"/>
      <w:r>
        <w:rPr>
          <w:rFonts w:ascii="Times New Roman" w:eastAsia="宋体" w:hAnsi="Times New Roman" w:cs="Times New Roman"/>
          <w:sz w:val="24"/>
        </w:rPr>
        <w:t>1、响应文件的密封与提交</w:t>
      </w:r>
      <w:bookmarkEnd w:id="124"/>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申请文件的装订要求：申请文件的正本与副本应分别装订成册，密封于一个包内，不得采用活页夹。申请文件应编制目录，并且逐页标注连续页码，否则，采购人对由于申请文件装订松散而造成的丢失或其他后果不承担任何责任。</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（2）在申请文件密封袋上应：写明项目名称；注明下列识别标志：</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1）谈判项目编号；</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2）（项目名称）申请文件；</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3）供应商名称（盖章）；</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4）法定代表人或其委托代理人（签字）；</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5）202</w:t>
      </w:r>
      <w:r>
        <w:rPr>
          <w:rFonts w:ascii="Times New Roman" w:eastAsia="宋体" w:hAnsi="Times New Roman" w:cs="Times New Roman" w:hint="eastAsia"/>
          <w:sz w:val="24"/>
        </w:rPr>
        <w:t>2</w:t>
      </w:r>
      <w:r>
        <w:rPr>
          <w:rFonts w:ascii="Times New Roman" w:eastAsia="宋体" w:hAnsi="Times New Roman" w:cs="Times New Roman"/>
          <w:sz w:val="24"/>
        </w:rPr>
        <w:t>年4月</w:t>
      </w:r>
      <w:r>
        <w:rPr>
          <w:rFonts w:ascii="Times New Roman" w:eastAsia="宋体" w:hAnsi="Times New Roman" w:cs="Times New Roman" w:hint="eastAsia"/>
          <w:sz w:val="24"/>
        </w:rPr>
        <w:t>1</w:t>
      </w:r>
      <w:r>
        <w:rPr>
          <w:rFonts w:ascii="Times New Roman" w:eastAsia="宋体" w:hAnsi="Times New Roman" w:cs="Times New Roman" w:hint="eastAsia"/>
          <w:sz w:val="24"/>
          <w:lang w:val="en-US" w:eastAsia="zh-CN"/>
        </w:rPr>
        <w:t>4</w:t>
      </w:r>
      <w:r>
        <w:rPr>
          <w:rFonts w:ascii="Times New Roman" w:eastAsia="宋体" w:hAnsi="Times New Roman" w:cs="Times New Roman"/>
          <w:sz w:val="24"/>
        </w:rPr>
        <w:t>日</w:t>
      </w:r>
      <w:r>
        <w:rPr>
          <w:rFonts w:ascii="Times New Roman" w:eastAsia="宋体" w:hAnsi="Times New Roman" w:cs="Times New Roman" w:hint="eastAsia"/>
          <w:sz w:val="24"/>
        </w:rPr>
        <w:t>下</w:t>
      </w:r>
      <w:r>
        <w:rPr>
          <w:rFonts w:ascii="Times New Roman" w:eastAsia="宋体" w:hAnsi="Times New Roman" w:cs="Times New Roman"/>
          <w:sz w:val="24"/>
        </w:rPr>
        <w:t>午</w:t>
      </w:r>
      <w:r>
        <w:rPr>
          <w:rFonts w:ascii="Times New Roman" w:eastAsia="宋体" w:hAnsi="Times New Roman" w:cs="Times New Roman" w:hint="eastAsia"/>
          <w:sz w:val="24"/>
        </w:rPr>
        <w:t>14</w:t>
      </w:r>
      <w:r>
        <w:rPr>
          <w:rFonts w:ascii="Times New Roman" w:eastAsia="宋体" w:hAnsi="Times New Roman" w:cs="Times New Roman"/>
          <w:sz w:val="24"/>
        </w:rPr>
        <w:t>点30分竞争性谈判开始，此时间以前不得开封。</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（3）如果申请文件没有按本谈判须知有关条款的规定装订和加写标记及密封，采购人将不承担申请文件提前开封的责任。对由此造成提前开封的申请文件将予以拒绝，并退还给供应商。</w:t>
      </w:r>
    </w:p>
    <w:p>
      <w:pPr>
        <w:spacing w:line="460" w:lineRule="exact"/>
        <w:ind w:firstLine="480" w:firstLineChars="200"/>
        <w:rPr>
          <w:rFonts w:ascii="宋体" w:eastAsia="宋体" w:hAnsi="宋体" w:cs="宋体"/>
          <w:sz w:val="24"/>
        </w:rPr>
      </w:pPr>
      <w:r>
        <w:rPr>
          <w:rFonts w:ascii="Times New Roman" w:eastAsia="宋体" w:hAnsi="Times New Roman" w:cs="Times New Roman"/>
          <w:sz w:val="24"/>
        </w:rPr>
        <w:t>（4）所有申请文件的外层密封的封口处应加盖密封章。</w:t>
      </w:r>
    </w:p>
    <w:p>
      <w:pPr>
        <w:pStyle w:val="Heading2"/>
        <w:rPr>
          <w:rFonts w:ascii="Times New Roman" w:eastAsia="宋体" w:hAnsi="Times New Roman" w:cs="Times New Roman"/>
        </w:rPr>
      </w:pPr>
      <w:bookmarkStart w:id="125" w:name="_Toc69565538"/>
      <w:bookmarkStart w:id="126" w:name="_Toc17391"/>
      <w:bookmarkStart w:id="127" w:name="_Toc27075"/>
      <w:r>
        <w:rPr>
          <w:rFonts w:ascii="Times New Roman" w:eastAsia="宋体" w:hAnsi="Times New Roman" w:cs="Times New Roman"/>
        </w:rPr>
        <w:t>2.5 响应文件开启</w:t>
      </w:r>
      <w:bookmarkEnd w:id="125"/>
      <w:bookmarkEnd w:id="126"/>
      <w:bookmarkEnd w:id="127"/>
    </w:p>
    <w:p>
      <w:pPr>
        <w:adjustRightInd w:val="0"/>
        <w:spacing w:line="44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1、开启</w:t>
      </w:r>
    </w:p>
    <w:p>
      <w:pPr>
        <w:adjustRightInd w:val="0"/>
        <w:spacing w:line="440" w:lineRule="exact"/>
        <w:ind w:firstLine="461" w:firstLineChars="192"/>
        <w:rPr>
          <w:rFonts w:ascii="Times New Roman" w:eastAsia="宋体" w:hAnsi="Times New Roman" w:cs="Times New Roman"/>
          <w:sz w:val="24"/>
        </w:rPr>
      </w:pPr>
      <w:r>
        <w:rPr>
          <w:rFonts w:ascii="Times New Roman" w:eastAsia="宋体" w:hAnsi="Times New Roman" w:cs="Times New Roman"/>
          <w:sz w:val="24"/>
        </w:rPr>
        <w:t>（1）采购人按本须知前附表所规定的时间和地点开始谈判，并邀请所有供应商参加，供应商法定代表人或授权代理人必须到谈判现场。</w:t>
      </w:r>
    </w:p>
    <w:p>
      <w:pPr>
        <w:adjustRightInd w:val="0"/>
        <w:spacing w:line="440" w:lineRule="exact"/>
        <w:ind w:firstLine="461" w:firstLineChars="192"/>
        <w:rPr>
          <w:rFonts w:ascii="Times New Roman" w:eastAsia="宋体" w:hAnsi="Times New Roman" w:cs="Times New Roman"/>
          <w:sz w:val="24"/>
        </w:rPr>
      </w:pPr>
      <w:r>
        <w:rPr>
          <w:rFonts w:ascii="Times New Roman" w:eastAsia="宋体" w:hAnsi="Times New Roman" w:cs="Times New Roman"/>
          <w:sz w:val="24"/>
        </w:rPr>
        <w:t>（2）谈判程序</w:t>
      </w:r>
    </w:p>
    <w:p>
      <w:pPr>
        <w:adjustRightInd w:val="0"/>
        <w:spacing w:line="440" w:lineRule="exact"/>
        <w:ind w:firstLine="701" w:firstLineChars="292"/>
        <w:rPr>
          <w:rFonts w:ascii="Times New Roman" w:eastAsia="宋体" w:hAnsi="Times New Roman" w:cs="Times New Roman"/>
          <w:sz w:val="24"/>
        </w:rPr>
      </w:pPr>
      <w:r>
        <w:rPr>
          <w:rFonts w:ascii="Times New Roman" w:eastAsia="宋体" w:hAnsi="Times New Roman" w:cs="Times New Roman"/>
          <w:sz w:val="24"/>
        </w:rPr>
        <w:t>1）谈判会议由楚雄医药高等专科学校招标采购工作人员主持，所有供应商应准时参加。</w:t>
      </w:r>
    </w:p>
    <w:p>
      <w:pPr>
        <w:adjustRightInd w:val="0"/>
        <w:spacing w:line="440" w:lineRule="exact"/>
        <w:ind w:firstLine="701" w:firstLineChars="292"/>
        <w:rPr>
          <w:rFonts w:ascii="Times New Roman" w:eastAsia="宋体" w:hAnsi="Times New Roman" w:cs="Times New Roman"/>
          <w:sz w:val="24"/>
        </w:rPr>
      </w:pPr>
      <w:r>
        <w:rPr>
          <w:rFonts w:ascii="Times New Roman" w:eastAsia="宋体" w:hAnsi="Times New Roman" w:cs="Times New Roman"/>
          <w:sz w:val="24"/>
        </w:rPr>
        <w:t>2）宣布谈判纪律</w:t>
      </w:r>
    </w:p>
    <w:p>
      <w:pPr>
        <w:adjustRightInd w:val="0"/>
        <w:spacing w:line="440" w:lineRule="exact"/>
        <w:ind w:firstLine="701" w:firstLineChars="292"/>
        <w:rPr>
          <w:rFonts w:ascii="Times New Roman" w:eastAsia="宋体" w:hAnsi="Times New Roman" w:cs="Times New Roman"/>
          <w:sz w:val="24"/>
        </w:rPr>
      </w:pPr>
      <w:r>
        <w:rPr>
          <w:rFonts w:ascii="Times New Roman" w:eastAsia="宋体" w:hAnsi="Times New Roman" w:cs="Times New Roman"/>
          <w:sz w:val="24"/>
        </w:rPr>
        <w:t>3）宣布参会单位及代表</w:t>
      </w:r>
    </w:p>
    <w:p>
      <w:pPr>
        <w:adjustRightInd w:val="0"/>
        <w:spacing w:line="440" w:lineRule="exact"/>
        <w:ind w:firstLine="701" w:firstLineChars="292"/>
        <w:rPr>
          <w:rFonts w:ascii="Times New Roman" w:eastAsia="宋体" w:hAnsi="Times New Roman" w:cs="Times New Roman"/>
          <w:sz w:val="24"/>
        </w:rPr>
      </w:pPr>
      <w:r>
        <w:rPr>
          <w:rFonts w:ascii="Times New Roman" w:eastAsia="宋体" w:hAnsi="Times New Roman" w:cs="Times New Roman"/>
          <w:sz w:val="24"/>
        </w:rPr>
        <w:t>4）采购人公布采购控制价</w:t>
      </w:r>
    </w:p>
    <w:p>
      <w:pPr>
        <w:adjustRightInd w:val="0"/>
        <w:spacing w:line="440" w:lineRule="exact"/>
        <w:ind w:firstLine="701" w:firstLineChars="292"/>
        <w:rPr>
          <w:rFonts w:ascii="Times New Roman" w:eastAsia="宋体" w:hAnsi="Times New Roman" w:cs="Times New Roman"/>
          <w:sz w:val="24"/>
        </w:rPr>
      </w:pPr>
      <w:r>
        <w:rPr>
          <w:rFonts w:ascii="Times New Roman" w:eastAsia="宋体" w:hAnsi="Times New Roman" w:cs="Times New Roman"/>
          <w:sz w:val="24"/>
        </w:rPr>
        <w:t>5）申请文件密封检查顺序：按照所有供应商的递交顺序对申请文件进行密封检查。</w:t>
      </w:r>
    </w:p>
    <w:p>
      <w:pPr>
        <w:adjustRightInd w:val="0"/>
        <w:spacing w:line="440" w:lineRule="exact"/>
        <w:ind w:firstLine="461" w:firstLineChars="192"/>
        <w:rPr>
          <w:rFonts w:ascii="Times New Roman" w:eastAsia="宋体" w:hAnsi="Times New Roman" w:cs="Times New Roman"/>
          <w:sz w:val="24"/>
        </w:rPr>
        <w:sectPr>
          <w:headerReference w:type="default" r:id="rId52"/>
          <w:footerReference w:type="even" r:id="rId53"/>
          <w:footerReference w:type="default" r:id="rId54"/>
          <w:headerReference w:type="first" r:id="rId55"/>
          <w:type w:val="nextPage"/>
          <w:pgSz w:w="11906" w:h="16838"/>
          <w:pgMar w:top="1418" w:right="1134" w:bottom="1134" w:left="1417" w:header="936" w:footer="720" w:gutter="0"/>
          <w:pgNumType w:start="12"/>
          <w:cols w:num="1" w:space="720"/>
          <w:titlePg w:val="0"/>
          <w:docGrid w:linePitch="331" w:charSpace="0"/>
        </w:sectPr>
      </w:pPr>
    </w:p>
    <w:p>
      <w:pPr>
        <w:adjustRightInd w:val="0"/>
        <w:spacing w:line="440" w:lineRule="exact"/>
        <w:ind w:firstLine="461" w:firstLineChars="192"/>
        <w:rPr>
          <w:rFonts w:ascii="Times New Roman" w:eastAsia="宋体" w:hAnsi="Times New Roman" w:cs="Times New Roman"/>
          <w:sz w:val="24"/>
        </w:rPr>
      </w:pPr>
      <w:r>
        <w:rPr>
          <w:rFonts w:ascii="Times New Roman" w:eastAsia="宋体" w:hAnsi="Times New Roman" w:cs="Times New Roman"/>
          <w:sz w:val="24"/>
        </w:rPr>
        <w:t>（3）采购人将在“供应商须知前附表”规定的时间和地点进行谈判，供应商的法定代表人或其委托代理人应参加谈判会，如供应商未出席谈判会由此产生的后果由供应商自行负责。</w:t>
      </w:r>
    </w:p>
    <w:p>
      <w:pPr>
        <w:adjustRightInd w:val="0"/>
        <w:spacing w:line="440" w:lineRule="exact"/>
        <w:ind w:firstLine="461" w:firstLineChars="192"/>
        <w:rPr>
          <w:rFonts w:ascii="Times New Roman" w:eastAsia="宋体" w:hAnsi="Times New Roman" w:cs="Times New Roman"/>
          <w:sz w:val="24"/>
        </w:rPr>
      </w:pPr>
      <w:r>
        <w:rPr>
          <w:rFonts w:ascii="Times New Roman" w:eastAsia="宋体" w:hAnsi="Times New Roman" w:cs="Times New Roman"/>
          <w:sz w:val="24"/>
        </w:rPr>
        <w:t>（4）谈判工作人员将做谈判记录，供应商对须签字确认。</w:t>
      </w:r>
    </w:p>
    <w:p>
      <w:pPr>
        <w:adjustRightInd w:val="0"/>
        <w:spacing w:line="440" w:lineRule="exact"/>
        <w:ind w:firstLine="461" w:firstLineChars="192"/>
        <w:rPr>
          <w:rFonts w:ascii="Times New Roman" w:eastAsia="宋体" w:hAnsi="Times New Roman" w:cs="Times New Roman"/>
          <w:sz w:val="24"/>
        </w:rPr>
      </w:pPr>
      <w:r>
        <w:rPr>
          <w:rFonts w:ascii="Times New Roman" w:eastAsia="宋体" w:hAnsi="Times New Roman" w:cs="Times New Roman"/>
          <w:sz w:val="24"/>
        </w:rPr>
        <w:t>（5）供应商对谈判有异议的，应当在谈判现场提出，采购人应当当场作出答复，并制作记录。</w:t>
      </w:r>
    </w:p>
    <w:p>
      <w:pPr>
        <w:pStyle w:val="Heading2"/>
        <w:rPr>
          <w:rFonts w:ascii="Times New Roman" w:eastAsia="宋体" w:hAnsi="Times New Roman" w:cs="Times New Roman"/>
        </w:rPr>
      </w:pPr>
      <w:bookmarkStart w:id="128" w:name="_Toc23332"/>
      <w:r>
        <w:rPr>
          <w:rFonts w:ascii="Times New Roman" w:eastAsia="宋体" w:hAnsi="Times New Roman" w:cs="Times New Roman"/>
        </w:rPr>
        <w:t>2.6 响应文件的评审与谈判</w:t>
      </w:r>
      <w:bookmarkEnd w:id="128"/>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1、谈判小组组建</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采购人与集采机构将根据采购项目的特点依法组建谈判小组，其成员由评审专家和采购人代表共3人以上单数组成，其中评审专家人数不得少于竞争性谈判小组成员总数的2/3。谈判小组负责对供应商资格进行核查；对响应文件进行审查；谈判、对报价进行评价以及推荐或确定成交供应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（2）谈判小组成员与供应商存在利害关系的，应当回避。</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2、评审</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（1）评审原则</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评审活动遵循公平、公正、科学和择优的原则。</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（2）评审程序</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1）供应商的资格审查</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谈判小组依据法律法规和谈判文件的规定，对响应文件中的资格证明文件等进行审查，以确定投标供应商是否具备投标资格。供应商不满足资格条件的，在评审时将其视为无效响应。</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谈判小组可以要求供应商提交有关证明和证件的原件以便核验。</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2）响应文件的符合性审查</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谈判小组按照谈判文件的规定，从响应文件的有效性、完整性和对谈判文件的响应程度进行审查，以确定是否对谈判文件的实质性要求作出响应。</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（3）谈判</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谈判小组应当通过随机方式确定参加谈判供应商的谈判顺序，谈判小组所有成员集中与单一供应商分别进行谈判。谈判小组将给予所有参加谈判的供应商相同的谈判机会。谈判小组将谈判轮数公开告知参加谈判的供应商。</w:t>
      </w:r>
    </w:p>
    <w:p>
      <w:pPr>
        <w:ind w:firstLine="566" w:firstLineChars="236"/>
        <w:rPr>
          <w:rFonts w:ascii="Times New Roman" w:eastAsia="宋体" w:hAnsi="Times New Roman" w:cs="Times New Roman"/>
          <w:sz w:val="24"/>
        </w:rPr>
      </w:pPr>
      <w:r>
        <w:rPr>
          <w:rFonts w:ascii="Times New Roman" w:eastAsia="宋体" w:hAnsi="Times New Roman" w:cs="Times New Roman"/>
          <w:kern w:val="0"/>
          <w:sz w:val="24"/>
        </w:rPr>
        <w:t>2）</w:t>
      </w:r>
      <w:r>
        <w:rPr>
          <w:rFonts w:ascii="Times New Roman" w:eastAsia="宋体" w:hAnsi="Times New Roman" w:cs="Times New Roman"/>
          <w:sz w:val="24"/>
        </w:rPr>
        <w:t>谈判内容</w:t>
      </w:r>
    </w:p>
    <w:p>
      <w:pPr>
        <w:spacing w:line="460" w:lineRule="exact"/>
        <w:ind w:firstLine="480" w:firstLineChars="200"/>
        <w:rPr>
          <w:rFonts w:ascii="Times New Roman" w:eastAsia="宋体" w:hAnsi="Times New Roman" w:cs="Times New Roman"/>
          <w:sz w:val="24"/>
        </w:rPr>
        <w:sectPr>
          <w:headerReference w:type="default" r:id="rId56"/>
          <w:footerReference w:type="even" r:id="rId57"/>
          <w:footerReference w:type="default" r:id="rId58"/>
          <w:headerReference w:type="first" r:id="rId59"/>
          <w:type w:val="nextPage"/>
          <w:pgSz w:w="11906" w:h="16838"/>
          <w:pgMar w:top="1418" w:right="1134" w:bottom="1134" w:left="1417" w:header="936" w:footer="720" w:gutter="0"/>
          <w:pgNumType w:start="13"/>
          <w:cols w:num="1" w:space="720"/>
          <w:titlePg w:val="0"/>
          <w:docGrid w:linePitch="331" w:charSpace="0"/>
        </w:sectPr>
      </w:pP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谈判内容主要包括：针对本项目的技术、服务要求以及合同草案条款等；谈判文件不能详细列明采购标的的技术、服务要求的，需经谈判由供应商提供最终设计方案或解决方案；其它需要谈判的事项。</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3）谈判程序</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第一阶段谈判：</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①符合《政府采购法》第三十条第一项、第三项情形的，谈判小组应当对供应商响应文件的符合性审查，直接与实质性响应谈判文件要求的供应商就价格进行谈判。在最后一轮谈判结束后，谈判小组将要求所有仍在参加谈判的供应商在同一截止时间前进行最后报价。最后报价由其法定代表人或其委托代理人签字后密封递交给谈判小组。</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②符合《政府采购法》第三十条第二项、第四项情形的，在谈判过程中，谈判小组应逐步明确采购需求，确定技术标准和要求，完善合同内容。谈判小组可以根据谈判文件和谈判情况实质性变动采购需求中的技术、服务要求以及合同草案条款，进行第二阶段谈判，但不得变动谈判文件中的其他内容。实质性变动的内容，须经采购人代表确认。谈判文件的实质性变动内容为谈判文件的组成部分，实质性变动内容与谈判文件不一致时，以实质性变动内容为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第二阶段谈判：</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①谈判小组应要求所有参加第一阶段谈判的供应商以对其响应文件进行修正的方式，对谈判文件的实质性变动作出响应。在最后一轮谈判结束后，应当要求在谈判结束后同一截止时间前递交修正的响应文件和最后报价。供应商未按谈判小组规定递交的，视同在谈判开始之日后撤回响应文件。修正的响应文件和最后报价由其法定代表人或其委托代理人签字后递交给谈判小组。修正的响应文件为响应文件的组成部分。修正的响应文件与响应文件不一致时，以修正的响应文件为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②在第二阶段谈判过程中，不能确定成交结果的，谈判终止，采购人重新开展采购活动。</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3、最后报价</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小组可根据供应商的报价，响应内容及谈判的情况，要求各供应商分别进行不超过二轮报价，最后一轮谈判结束后，参加谈判的供应商应当对谈判的承诺和最后报价以书面形式确认，并由法定代表人或其授权委托人签署生效。最后报价是供应商响应文件的有效组成部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4、响应文件的澄清</w:t>
      </w:r>
    </w:p>
    <w:p>
      <w:pPr>
        <w:spacing w:line="460" w:lineRule="exact"/>
        <w:ind w:firstLine="480" w:firstLineChars="200"/>
        <w:rPr>
          <w:rFonts w:ascii="Times New Roman" w:eastAsia="宋体" w:hAnsi="Times New Roman" w:cs="Times New Roman"/>
          <w:sz w:val="24"/>
        </w:rPr>
        <w:sectPr>
          <w:headerReference w:type="default" r:id="rId60"/>
          <w:footerReference w:type="even" r:id="rId61"/>
          <w:footerReference w:type="default" r:id="rId62"/>
          <w:headerReference w:type="first" r:id="rId63"/>
          <w:type w:val="nextPage"/>
          <w:pgSz w:w="11906" w:h="16838"/>
          <w:pgMar w:top="1418" w:right="1134" w:bottom="1134" w:left="1417" w:header="936" w:footer="720" w:gutter="0"/>
          <w:pgNumType w:start="14"/>
          <w:cols w:num="1" w:space="720"/>
          <w:titlePg w:val="0"/>
          <w:docGrid w:linePitch="331" w:charSpace="0"/>
        </w:sectPr>
      </w:pP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谈判小组在对响应文件的有效性、完整性和响应程度进行审查时，可以要求供应商对响应文件中含义不明确、同类问题表述不一致或者有明显文字和计算错误的内容等作出必要的澄清、说明或者纠正。该要求应当以书面形式作出。供应商的澄清、说明或者补正应当采用书面形式，由其法定代表人或其委托代理人签字。供应商的澄清、说明或者更正不得超出谈判文件的范围或者改变响应文件的实质性内容。</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（2）响应文件如果出现计算或表达上的错误，按照下列规定修正：</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1）响应文件中开标一览表（报价表）内容与响应文件中相应内容不一致的，以开标一览表（报价表）为准。</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2）大写金额和小写金额不一致的，以大写金额为准；</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3）单价金额小数点或者百分比有明显错位的，以开标一览表的总价为准，并修改单价；</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4）总价金额与按单价汇总金额不一致的，以单价金额计算结果为准；</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5）对不同文字文本响应文件的解释发生异议的，以中文文本为准；</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6）同时出现两种以上不一致的，按照前款规定的顺序修正。按上述规定修正后的报价经供应商确认后对供应商起约束作用。如果供应商不确认修正后的报价，则其投标无效。</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（3）供应商应按谈判小组通知的时间、地点，指派专人进行澄清、说明或者补正。</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5、推荐或确定成交供应商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谈判小组依据谈判文件及供应商响应文件和最后报价，从产品质量和服务均能满足谈判文件规定的最低要求供应商中，按政府采购政策优惠的规定，确定供应商的评审报价，按照经评审后的报价由低到高的顺序推荐成交候选供应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6、谈判的特殊情形</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（1）递交响应文件的供应商不足三家的，不予谈判，除采购任务取消外，如谈判文件没有不合理条款，发布项目延期公告，延长三个工作日，延长期满后，仍不足三家的，继续进入谈判程序。</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对谈判文件作出实质性响应的供应商不足三家但达到二家的，谈判小组认为继续谈判能够引起充分竞争且技术上满足谈判文件要求、报价低于预算，可比照财政部《货物和服务招标投标管理办法》第43条规定，经谈判小组出具书面意见并签字认可，报经政府采购管理部门同意，通知供应商当场继续采用竞争性谈判；对谈判文件作出实质性响应的供应商只有一家的，予以废标，重新组织采购活动。</w:t>
      </w:r>
    </w:p>
    <w:p>
      <w:pPr>
        <w:spacing w:line="460" w:lineRule="exact"/>
        <w:ind w:firstLine="480" w:firstLineChars="200"/>
        <w:rPr>
          <w:rFonts w:ascii="Times New Roman" w:eastAsia="宋体" w:hAnsi="Times New Roman" w:cs="Times New Roman"/>
          <w:sz w:val="24"/>
        </w:rPr>
        <w:sectPr>
          <w:headerReference w:type="default" r:id="rId64"/>
          <w:footerReference w:type="even" r:id="rId65"/>
          <w:footerReference w:type="default" r:id="rId66"/>
          <w:headerReference w:type="first" r:id="rId67"/>
          <w:type w:val="nextPage"/>
          <w:pgSz w:w="11906" w:h="16838"/>
          <w:pgMar w:top="1418" w:right="1134" w:bottom="1134" w:left="1417" w:header="936" w:footer="720" w:gutter="0"/>
          <w:pgNumType w:start="15"/>
          <w:cols w:num="1" w:space="720"/>
          <w:titlePg w:val="0"/>
          <w:docGrid w:linePitch="331" w:charSpace="0"/>
        </w:sectPr>
      </w:pPr>
      <w:r>
        <w:rPr>
          <w:rFonts w:ascii="Times New Roman" w:eastAsia="宋体" w:hAnsi="Times New Roman" w:cs="Times New Roman"/>
          <w:sz w:val="24"/>
        </w:rPr>
        <w:t>（3）项目经延期或重新组织采购后，对谈判文件作出实质性响应的供应商仍只有一家的，经谈判小组出具书面意见并签字认可，报经政府采购管理部门同意，改为其他方式采购。</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7、谈判终止</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（1）谈判时，出现下列情况之一，本次谈判终止：</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1）符合专业条件的供应商或者对谈判文件作实质响应的供应商不足3家的；</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2）出现影响采购公正的违法、违规行为的；</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3）供应商的最终报价均超过采购项目预算；</w:t>
      </w:r>
    </w:p>
    <w:p>
      <w:pPr>
        <w:spacing w:line="460" w:lineRule="exact"/>
        <w:ind w:firstLine="720" w:firstLineChars="300"/>
        <w:rPr>
          <w:rFonts w:ascii="Times New Roman" w:eastAsia="宋体" w:hAnsi="Times New Roman" w:cs="Times New Roman"/>
          <w:sz w:val="24"/>
        </w:rPr>
      </w:pPr>
      <w:r>
        <w:rPr>
          <w:rFonts w:ascii="Times New Roman" w:eastAsia="宋体" w:hAnsi="Times New Roman" w:cs="Times New Roman"/>
          <w:sz w:val="24"/>
        </w:rPr>
        <w:t>4）因重大变故，采购任务取消的。</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（2）谈判小组应将谈判终止理由通知所有参与谈判的供应商。</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8、保密要求</w:t>
      </w:r>
    </w:p>
    <w:p>
      <w:pPr>
        <w:spacing w:line="460" w:lineRule="exact"/>
        <w:ind w:firstLine="480" w:firstLineChars="200"/>
        <w:rPr>
          <w:rFonts w:ascii="宋体" w:eastAsia="宋体" w:hAnsi="宋体" w:cs="宋体"/>
          <w:sz w:val="24"/>
        </w:rPr>
      </w:pPr>
      <w:r>
        <w:rPr>
          <w:rFonts w:ascii="Times New Roman" w:eastAsia="宋体" w:hAnsi="Times New Roman" w:cs="Times New Roman"/>
          <w:sz w:val="24"/>
        </w:rPr>
        <w:t>谈判小组成员以及与评审工作有关的人员对评审情况以及评审过程中获悉的国家秘密、商业秘密负有保密责任。开标后，直到授予中标人合同止，凡是属于审查、澄清、评审和比较的有关资料以及授标建议等均不得向供应商或其他无关的人员透露。应当保密。</w:t>
      </w:r>
    </w:p>
    <w:p>
      <w:pPr>
        <w:pStyle w:val="Heading2"/>
        <w:rPr>
          <w:rFonts w:ascii="Times New Roman" w:eastAsia="宋体" w:hAnsi="Times New Roman" w:cs="Times New Roman"/>
        </w:rPr>
      </w:pPr>
      <w:bookmarkStart w:id="129" w:name="_Toc18616"/>
      <w:bookmarkStart w:id="130" w:name="_Toc12853_WPSOffice_Level1"/>
      <w:bookmarkStart w:id="131" w:name="_Toc60996682"/>
      <w:bookmarkStart w:id="132" w:name="_Toc20995_WPSOffice_Level2"/>
      <w:bookmarkStart w:id="133" w:name="_Toc31030"/>
      <w:bookmarkStart w:id="134" w:name="_六、中标结果"/>
      <w:r>
        <w:rPr>
          <w:rFonts w:ascii="Times New Roman" w:eastAsia="宋体" w:hAnsi="Times New Roman" w:cs="Times New Roman"/>
        </w:rPr>
        <w:t>2.7 成交结果</w:t>
      </w:r>
      <w:bookmarkEnd w:id="129"/>
      <w:bookmarkEnd w:id="130"/>
      <w:bookmarkEnd w:id="131"/>
      <w:bookmarkEnd w:id="132"/>
      <w:bookmarkEnd w:id="133"/>
    </w:p>
    <w:bookmarkEnd w:id="134"/>
    <w:p>
      <w:pPr>
        <w:spacing w:line="460" w:lineRule="exact"/>
        <w:ind w:firstLine="480" w:firstLineChars="200"/>
        <w:rPr>
          <w:rFonts w:ascii="Times New Roman" w:eastAsia="宋体" w:hAnsi="Times New Roman" w:cs="Times New Roman"/>
          <w:sz w:val="24"/>
        </w:rPr>
      </w:pPr>
      <w:bookmarkStart w:id="135" w:name="_Toc7601"/>
      <w:r>
        <w:rPr>
          <w:rFonts w:ascii="Times New Roman" w:eastAsia="宋体" w:hAnsi="Times New Roman" w:cs="Times New Roman"/>
          <w:sz w:val="24"/>
        </w:rPr>
        <w:t>1、成交供应商的确定</w:t>
      </w:r>
      <w:bookmarkEnd w:id="135"/>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采购人应当自收到评审报告之日起5个工作日内，在评审报告提出的成交候选人中，根据质量和服务均能满足谈判文件实质性响应要求且最后报价最低的原则确定成交供应商，也可以书面授权谈判小组直接确定成交供应商。</w:t>
      </w:r>
    </w:p>
    <w:p>
      <w:pPr>
        <w:spacing w:line="460" w:lineRule="exact"/>
        <w:ind w:firstLine="480" w:firstLineChars="200"/>
        <w:rPr>
          <w:rFonts w:ascii="Times New Roman" w:eastAsia="宋体" w:hAnsi="Times New Roman" w:cs="Times New Roman"/>
          <w:sz w:val="24"/>
        </w:rPr>
      </w:pPr>
      <w:bookmarkStart w:id="136" w:name="_Toc25957"/>
      <w:r>
        <w:rPr>
          <w:rFonts w:ascii="Times New Roman" w:eastAsia="宋体" w:hAnsi="Times New Roman" w:cs="Times New Roman"/>
          <w:sz w:val="24"/>
        </w:rPr>
        <w:t>2、成交通知书</w:t>
      </w:r>
      <w:bookmarkEnd w:id="136"/>
    </w:p>
    <w:p>
      <w:pPr>
        <w:adjustRightInd w:val="0"/>
        <w:snapToGrid w:val="0"/>
        <w:spacing w:before="120" w:beforeLines="50" w:line="360" w:lineRule="auto"/>
        <w:ind w:firstLine="480" w:firstLineChars="200"/>
        <w:rPr>
          <w:rFonts w:ascii="Times New Roman" w:eastAsia="宋体" w:hAnsi="Times New Roman" w:cs="Times New Roman"/>
          <w:sz w:val="24"/>
          <w:szCs w:val="20"/>
        </w:rPr>
      </w:pPr>
      <w:r>
        <w:rPr>
          <w:rFonts w:ascii="Times New Roman" w:eastAsia="宋体" w:hAnsi="Times New Roman" w:cs="Times New Roman"/>
          <w:sz w:val="24"/>
          <w:szCs w:val="20"/>
        </w:rPr>
        <w:t>（1）采购人或者采购代理机构应当自成交供应商确定之日起 2 个工作日内，在学校指定的媒体上公告成交结果（发布媒体详见竞争性谈判公告），在公告成交结果的同时，采购人或者采购代理机构应当向成交供应商发出成交通知书。成交通知书对采购人和成交供应商具有同等法律效力。</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（2）成交通知书是合同的一个组成部分。</w:t>
      </w:r>
    </w:p>
    <w:p>
      <w:pPr>
        <w:spacing w:line="460" w:lineRule="exact"/>
        <w:ind w:firstLine="480" w:firstLineChars="200"/>
        <w:rPr>
          <w:rFonts w:ascii="Times New Roman" w:eastAsia="宋体" w:hAnsi="Times New Roman" w:cs="Times New Roman"/>
          <w:sz w:val="24"/>
        </w:rPr>
      </w:pPr>
      <w:bookmarkStart w:id="137" w:name="_Toc2208"/>
      <w:r>
        <w:rPr>
          <w:rFonts w:ascii="Times New Roman" w:eastAsia="宋体" w:hAnsi="Times New Roman" w:cs="Times New Roman"/>
          <w:sz w:val="24"/>
        </w:rPr>
        <w:t>3、合同的签订</w:t>
      </w:r>
      <w:bookmarkEnd w:id="137"/>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（1）采购人应当自成交通知书发出之日起 30 日内，按照谈判文件和成交供应商响应文件的规定，与成交供应商签订书面合同。所签订的合同不得对谈判文件确定的事项和成交供应商响应文件作实质性修改。</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t>采购人不得向成交供应商提出任何不合理的要求作为签订合同的条件。</w:t>
      </w:r>
    </w:p>
    <w:p>
      <w:pPr>
        <w:spacing w:line="460" w:lineRule="exact"/>
        <w:ind w:firstLine="480" w:firstLineChars="200"/>
        <w:rPr>
          <w:rFonts w:ascii="Times New Roman" w:eastAsia="宋体" w:hAnsi="Times New Roman" w:cs="Times New Roman"/>
          <w:sz w:val="24"/>
        </w:rPr>
      </w:pPr>
      <w:r>
        <w:rPr>
          <w:rFonts w:ascii="Times New Roman" w:eastAsia="宋体" w:hAnsi="Times New Roman" w:cs="Times New Roman"/>
          <w:sz w:val="24"/>
        </w:rPr>
        <w:br/>
      </w:r>
      <w:r>
        <w:rPr>
          <w:rFonts w:ascii="Times New Roman" w:eastAsia="宋体" w:hAnsi="Times New Roman" w:cs="Times New Roman"/>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https://d.book118.com/556105235214010102</w:t>
        </w:r>
      </w:hyperlink>
    </w:p>
    <w:p>
      <w:pPr>
        <w:spacing w:line="460" w:lineRule="exact"/>
        <w:ind w:firstLine="480" w:firstLineChars="200"/>
        <w:rPr>
          <w:rFonts w:ascii="Times New Roman" w:eastAsia="宋体" w:hAnsi="Times New Roman" w:cs="Times New Roman"/>
          <w:sz w:val="24"/>
        </w:rPr>
      </w:pPr>
    </w:p>
    <w:sectPr>
      <w:headerReference w:type="default" r:id="rId69"/>
      <w:footerReference w:type="even" r:id="rId70"/>
      <w:footerReference w:type="default" r:id="rId71"/>
      <w:headerReference w:type="first" r:id="rId72"/>
      <w:type w:val="nextPage"/>
      <w:pgSz w:w="11906" w:h="16838"/>
      <w:pgMar w:top="1418" w:right="1134" w:bottom="1134" w:left="1417" w:header="936" w:footer="720" w:gutter="0"/>
      <w:pgNumType w:start="16"/>
      <w:cols w:num="1" w:space="720"/>
      <w:titlePg w:val="0"/>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3"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50" type="#_x0000_t202" style="width:4.5pt;height:11.65pt;margin-top:0;margin-left:0;mso-position-horizontal:center;mso-position-horizontal-relative:margin;mso-wrap-distance-bottom:0;mso-wrap-distance-left:0;mso-wrap-distance-right:0;mso-wrap-distance-top:0;mso-wrap-style:none;position:absolute;v-text-anchor:top;z-index:25166028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5"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51" type="#_x0000_t202" style="width:10.5pt;height:13.6pt;margin-top:0;margin-left:0;mso-position-horizontal:center;mso-position-horizontal-relative:margin;mso-wrap-distance-bottom:0;mso-wrap-distance-left:0;mso-wrap-distance-right:0;mso-wrap-distance-top:0;mso-wrap-style:none;position:absolute;v-text-anchor:top;z-index:25166233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sz w:val="18"/>
                              <w:szCs w:val="18"/>
                            </w:rPr>
                            <w:instrText xml:space="preserve"> PAGE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sz w:val="18"/>
                              <w:szCs w:val="18"/>
                              <w:lang w:val="zh-CN"/>
                            </w:rPr>
                            <w:t>2</w:t>
                          </w:r>
                          <w:r>
                            <w:rPr>
                              <w:rFonts w:ascii="Times New Roman" w:eastAsia="宋体" w:hAnsi="Times New Roman" w:cs="Times New Roman"/>
                              <w:sz w:val="18"/>
                              <w:szCs w:val="18"/>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sz w:val="18"/>
                        <w:szCs w:val="18"/>
                      </w:rPr>
                      <w:instrText xml:space="preserve"> PAGE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sz w:val="18"/>
                        <w:szCs w:val="18"/>
                        <w:lang w:val="zh-CN"/>
                      </w:rPr>
                      <w:t>2</w:t>
                    </w:r>
                    <w:r>
                      <w:rPr>
                        <w:rFonts w:ascii="Times New Roman" w:eastAsia="宋体" w:hAnsi="Times New Roman" w:cs="Times New Roman"/>
                        <w:sz w:val="18"/>
                        <w:szCs w:val="18"/>
                        <w:lang w:val="zh-CN"/>
                      </w:rPr>
                      <w:fldChar w:fldCharType="end"/>
                    </w:r>
                  </w:p>
                </w:txbxContent>
              </v:textbox>
              <w10:wrap anchorx="margin"/>
            </v:shape>
          </w:pict>
        </mc:Fallback>
      </mc:AlternateContent>
    </w:r>
  </w:p>
  <w:p>
    <w:pPr>
      <w:tabs>
        <w:tab w:val="center" w:pos="4497"/>
      </w:tabs>
      <w:snapToGrid w:val="0"/>
      <w:ind w:right="360"/>
      <w:rPr>
        <w:rFonts w:ascii="Times New Roman" w:eastAsia="宋体" w:hAnsi="Times New Roman"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67456"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25699566"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53" type="#_x0000_t202" style="width:4.5pt;height:11.65pt;margin-top:0;margin-left:0;mso-position-horizontal:center;mso-position-horizontal-relative:margin;mso-wrap-distance-bottom:0;mso-wrap-distance-left:0;mso-wrap-distance-right:0;mso-wrap-distance-top:0;mso-wrap-style:none;position:absolute;v-text-anchor:top;z-index:25166643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69504"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113631848"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54" type="#_x0000_t202" style="width:10.5pt;height:13.6pt;margin-top:0;margin-left:0;mso-position-horizontal:center;mso-position-horizontal-relative:margin;mso-wrap-distance-bottom:0;mso-wrap-distance-left:0;mso-wrap-distance-right:0;mso-wrap-distance-top:0;mso-wrap-style:none;position:absolute;v-text-anchor:top;z-index:25166848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215068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sz w:val="18"/>
                              <w:szCs w:val="18"/>
                            </w:rPr>
                            <w:instrText xml:space="preserve"> PAGE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sz w:val="18"/>
                              <w:szCs w:val="18"/>
                              <w:lang w:val="zh-CN"/>
                            </w:rPr>
                            <w:t>2</w:t>
                          </w:r>
                          <w:r>
                            <w:rPr>
                              <w:rFonts w:ascii="Times New Roman" w:eastAsia="宋体" w:hAnsi="Times New Roman" w:cs="Times New Roman"/>
                              <w:sz w:val="18"/>
                              <w:szCs w:val="18"/>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pPr>
                      <w:tabs>
                        <w:tab w:val="center" w:pos="4153"/>
                        <w:tab w:val="right" w:pos="8306"/>
                      </w:tabs>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sz w:val="18"/>
                        <w:szCs w:val="18"/>
                      </w:rPr>
                      <w:instrText xml:space="preserve"> PAGE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sz w:val="18"/>
                        <w:szCs w:val="18"/>
                        <w:lang w:val="zh-CN"/>
                      </w:rPr>
                      <w:t>2</w:t>
                    </w:r>
                    <w:r>
                      <w:rPr>
                        <w:rFonts w:ascii="Times New Roman" w:eastAsia="宋体" w:hAnsi="Times New Roman" w:cs="Times New Roman"/>
                        <w:sz w:val="18"/>
                        <w:szCs w:val="18"/>
                        <w:lang w:val="zh-CN"/>
                      </w:rPr>
                      <w:fldChar w:fldCharType="end"/>
                    </w:r>
                  </w:p>
                </w:txbxContent>
              </v:textbox>
              <w10:wrap anchorx="margin"/>
            </v:shape>
          </w:pict>
        </mc:Fallback>
      </mc:AlternateContent>
    </w:r>
  </w:p>
  <w:p>
    <w:pPr>
      <w:tabs>
        <w:tab w:val="center" w:pos="4497"/>
      </w:tabs>
      <w:snapToGrid w:val="0"/>
      <w:ind w:right="360"/>
      <w:rPr>
        <w:rFonts w:ascii="Times New Roman" w:eastAsia="宋体" w:hAnsi="Times New Roman" w:cs="Times New Roman"/>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71552"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870022620"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57" type="#_x0000_t202" style="width:4.5pt;height:11.65pt;margin-top:0;margin-left:0;mso-position-horizontal:center;mso-position-horizontal-relative:margin;mso-wrap-distance-bottom:0;mso-wrap-distance-left:0;mso-wrap-distance-right:0;mso-wrap-distance-top:0;mso-wrap-style:none;position:absolute;v-text-anchor:top;z-index:25167052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73600"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551782685"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58" type="#_x0000_t202" style="width:10.5pt;height:13.6pt;margin-top:0;margin-left:0;mso-position-horizontal:center;mso-position-horizontal-relative:margin;mso-wrap-distance-bottom:0;mso-wrap-distance-left:0;mso-wrap-distance-right:0;mso-wrap-distance-top:0;mso-wrap-style:none;position:absolute;v-text-anchor:top;z-index:25167257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2</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2</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77696"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8"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56" type="#_x0000_t202" style="width:11.1pt;height:17.4pt;margin-top:2.05pt;margin-left:0;mso-position-horizontal-relative:margin;mso-wrap-distance-bottom:0;mso-wrap-distance-left:0;mso-wrap-distance-right:0;mso-wrap-distance-top:0;position:absolute;v-text-anchor:top;z-index:251676672"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79744"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118312234"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61" type="#_x0000_t202" style="width:4.5pt;height:11.65pt;margin-top:0;margin-left:0;mso-position-horizontal:center;mso-position-horizontal-relative:margin;mso-wrap-distance-bottom:0;mso-wrap-distance-left:0;mso-wrap-distance-right:0;mso-wrap-distance-top:0;mso-wrap-style:none;position:absolute;v-text-anchor:top;z-index:25167872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81792"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658872269"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62" type="#_x0000_t202" style="width:10.5pt;height:13.6pt;margin-top:0;margin-left:0;mso-position-horizontal:center;mso-position-horizontal-relative:margin;mso-wrap-distance-bottom:0;mso-wrap-distance-left:0;mso-wrap-distance-right:0;mso-wrap-distance-top:0;mso-wrap-style:none;position:absolute;v-text-anchor:top;z-index:25168076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019990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3</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85888"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202523329"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60" type="#_x0000_t202" style="width:11.1pt;height:17.4pt;margin-top:2.05pt;margin-left:0;mso-position-horizontal-relative:margin;mso-wrap-distance-bottom:0;mso-wrap-distance-left:0;mso-wrap-distance-right:0;mso-wrap-distance-top:0;position:absolute;v-text-anchor:top;z-index:251684864"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87936"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365983816"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65" type="#_x0000_t202" style="width:4.5pt;height:11.65pt;margin-top:0;margin-left:0;mso-position-horizontal:center;mso-position-horizontal-relative:margin;mso-wrap-distance-bottom:0;mso-wrap-distance-left:0;mso-wrap-distance-right:0;mso-wrap-distance-top:0;mso-wrap-style:none;position:absolute;v-text-anchor:top;z-index:25168691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89984"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840000288"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66" type="#_x0000_t202" style="width:10.5pt;height:13.6pt;margin-top:0;margin-left:0;mso-position-horizontal:center;mso-position-horizontal-relative:margin;mso-wrap-distance-bottom:0;mso-wrap-distance-left:0;mso-wrap-distance-right:0;mso-wrap-distance-top:0;mso-wrap-style:none;position:absolute;v-text-anchor:top;z-index:25168896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32394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4</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4</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94080"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478411374"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64" type="#_x0000_t202" style="width:11.1pt;height:17.4pt;margin-top:2.05pt;margin-left:0;mso-position-horizontal-relative:margin;mso-wrap-distance-bottom:0;mso-wrap-distance-left:0;mso-wrap-distance-right:0;mso-wrap-distance-top:0;position:absolute;v-text-anchor:top;z-index:251693056"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696128"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340400384"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69" type="#_x0000_t202" style="width:4.5pt;height:11.65pt;margin-top:0;margin-left:0;mso-position-horizontal:center;mso-position-horizontal-relative:margin;mso-wrap-distance-bottom:0;mso-wrap-distance-left:0;mso-wrap-distance-right:0;mso-wrap-distance-top:0;mso-wrap-style:none;position:absolute;v-text-anchor:top;z-index:25169510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698176"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837352897"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70" type="#_x0000_t202" style="width:10.5pt;height:13.6pt;margin-top:0;margin-left:0;mso-position-horizontal:center;mso-position-horizontal-relative:margin;mso-wrap-distance-bottom:0;mso-wrap-distance-left:0;mso-wrap-distance-right:0;mso-wrap-distance-top:0;mso-wrap-style:none;position:absolute;v-text-anchor:top;z-index:25169715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472443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5</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5</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02272"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78275688"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68" type="#_x0000_t202" style="width:11.1pt;height:17.4pt;margin-top:2.05pt;margin-left:0;mso-position-horizontal-relative:margin;mso-wrap-distance-bottom:0;mso-wrap-distance-left:0;mso-wrap-distance-right:0;mso-wrap-distance-top:0;position:absolute;v-text-anchor:top;z-index:251701248"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04320"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351171727"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73" type="#_x0000_t202" style="width:4.5pt;height:11.65pt;margin-top:0;margin-left:0;mso-position-horizontal:center;mso-position-horizontal-relative:margin;mso-wrap-distance-bottom:0;mso-wrap-distance-left:0;mso-wrap-distance-right:0;mso-wrap-distance-top:0;mso-wrap-style:none;position:absolute;v-text-anchor:top;z-index:25170329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06368"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390483203"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74" type="#_x0000_t202" style="width:10.5pt;height:13.6pt;margin-top:0;margin-left:0;mso-position-horizontal:center;mso-position-horizontal-relative:margin;mso-wrap-distance-bottom:0;mso-wrap-distance-left:0;mso-wrap-distance-right:0;mso-wrap-distance-top:0;mso-wrap-style:none;position:absolute;v-text-anchor:top;z-index:25170534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898356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6</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6</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10464"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992946335"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72" type="#_x0000_t202" style="width:11.1pt;height:17.4pt;margin-top:2.05pt;margin-left:0;mso-position-horizontal-relative:margin;mso-wrap-distance-bottom:0;mso-wrap-distance-left:0;mso-wrap-distance-right:0;mso-wrap-distance-top:0;position:absolute;v-text-anchor:top;z-index:251709440"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12512"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442410701"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77" type="#_x0000_t202" style="width:4.5pt;height:11.65pt;margin-top:0;margin-left:0;mso-position-horizontal:center;mso-position-horizontal-relative:margin;mso-wrap-distance-bottom:0;mso-wrap-distance-left:0;mso-wrap-distance-right:0;mso-wrap-distance-top:0;mso-wrap-style:none;position:absolute;v-text-anchor:top;z-index:25171148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14560"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497748330"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78" type="#_x0000_t202" style="width:10.5pt;height:13.6pt;margin-top:0;margin-left:0;mso-position-horizontal:center;mso-position-horizontal-relative:margin;mso-wrap-distance-bottom:0;mso-wrap-distance-left:0;mso-wrap-distance-right:0;mso-wrap-distance-top:0;mso-wrap-style:none;position:absolute;v-text-anchor:top;z-index:25171353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657929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7</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7</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18656"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953224049"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76" type="#_x0000_t202" style="width:11.1pt;height:17.4pt;margin-top:2.05pt;margin-left:0;mso-position-horizontal-relative:margin;mso-wrap-distance-bottom:0;mso-wrap-distance-left:0;mso-wrap-distance-right:0;mso-wrap-distance-top:0;position:absolute;v-text-anchor:top;z-index:251717632"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20704"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141285935"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81" type="#_x0000_t202" style="width:4.5pt;height:11.65pt;margin-top:0;margin-left:0;mso-position-horizontal:center;mso-position-horizontal-relative:margin;mso-wrap-distance-bottom:0;mso-wrap-distance-left:0;mso-wrap-distance-right:0;mso-wrap-distance-top:0;mso-wrap-style:none;position:absolute;v-text-anchor:top;z-index:25171968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22752"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038025317"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82" type="#_x0000_t202" style="width:10.5pt;height:13.6pt;margin-top:0;margin-left:0;mso-position-horizontal:center;mso-position-horizontal-relative:margin;mso-wrap-distance-bottom:0;mso-wrap-distance-left:0;mso-wrap-distance-right:0;mso-wrap-distance-top:0;mso-wrap-style:none;position:absolute;v-text-anchor:top;z-index:25172172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397609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8</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23776"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8</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26848"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2040531170"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80" type="#_x0000_t202" style="width:11.1pt;height:17.4pt;margin-top:2.05pt;margin-left:0;mso-position-horizontal-relative:margin;mso-wrap-distance-bottom:0;mso-wrap-distance-left:0;mso-wrap-distance-right:0;mso-wrap-distance-top:0;position:absolute;v-text-anchor:top;z-index:251725824"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28896"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961052731"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85" type="#_x0000_t202" style="width:4.5pt;height:11.65pt;margin-top:0;margin-left:0;mso-position-horizontal:center;mso-position-horizontal-relative:margin;mso-wrap-distance-bottom:0;mso-wrap-distance-left:0;mso-wrap-distance-right:0;mso-wrap-distance-top:0;mso-wrap-style:none;position:absolute;v-text-anchor:top;z-index:25172787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30944"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213151803"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86" type="#_x0000_t202" style="width:10.5pt;height:13.6pt;margin-top:0;margin-left:0;mso-position-horizontal:center;mso-position-horizontal-relative:margin;mso-wrap-distance-bottom:0;mso-wrap-distance-left:0;mso-wrap-distance-right:0;mso-wrap-distance-top:0;mso-wrap-style:none;position:absolute;v-text-anchor:top;z-index:25172992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385302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9</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83" type="#_x0000_t202" style="width:2in;height:2in;margin-top:0;margin-left:0;mso-position-horizontal:center;mso-position-horizontal-relative:margin;mso-wrap-distance-bottom:0;mso-wrap-distance-left:9pt;mso-wrap-distance-right:9pt;mso-wrap-distance-top:0;mso-wrap-style:none;position:absolute;v-text-anchor:top;z-index:251731968"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9</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35040"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887865543"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84" type="#_x0000_t202" style="width:11.1pt;height:17.4pt;margin-top:2.05pt;margin-left:0;mso-position-horizontal-relative:margin;mso-wrap-distance-bottom:0;mso-wrap-distance-left:0;mso-wrap-distance-right:0;mso-wrap-distance-top:0;position:absolute;v-text-anchor:top;z-index:251734016"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37088"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98733245"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89" type="#_x0000_t202" style="width:4.5pt;height:11.65pt;margin-top:0;margin-left:0;mso-position-horizontal:center;mso-position-horizontal-relative:margin;mso-wrap-distance-bottom:0;mso-wrap-distance-left:0;mso-wrap-distance-right:0;mso-wrap-distance-top:0;mso-wrap-style:none;position:absolute;v-text-anchor:top;z-index:25173606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39136"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622189283"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90" type="#_x0000_t202" style="width:10.5pt;height:13.6pt;margin-top:0;margin-left:0;mso-position-horizontal:center;mso-position-horizontal-relative:margin;mso-wrap-distance-bottom:0;mso-wrap-distance-left:0;mso-wrap-distance-right:0;mso-wrap-distance-top:0;mso-wrap-style:none;position:absolute;v-text-anchor:top;z-index:25173811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780285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10</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87" type="#_x0000_t202" style="width:2in;height:2in;margin-top:0;margin-left:0;mso-position-horizontal:center;mso-position-horizontal-relative:margin;mso-wrap-distance-bottom:0;mso-wrap-distance-left:9pt;mso-wrap-distance-right:9pt;mso-wrap-distance-top:0;mso-wrap-style:none;position:absolute;v-text-anchor:top;z-index:251740160"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10</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43232"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982671827"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88" type="#_x0000_t202" style="width:11.1pt;height:17.4pt;margin-top:2.05pt;margin-left:0;mso-position-horizontal-relative:margin;mso-wrap-distance-bottom:0;mso-wrap-distance-left:0;mso-wrap-distance-right:0;mso-wrap-distance-top:0;position:absolute;v-text-anchor:top;z-index:251742208"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45280"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252552265"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93" type="#_x0000_t202" style="width:4.5pt;height:11.65pt;margin-top:0;margin-left:0;mso-position-horizontal:center;mso-position-horizontal-relative:margin;mso-wrap-distance-bottom:0;mso-wrap-distance-left:0;mso-wrap-distance-right:0;mso-wrap-distance-top:0;mso-wrap-style:none;position:absolute;v-text-anchor:top;z-index:25174425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47328"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277792113"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94" type="#_x0000_t202" style="width:10.5pt;height:13.6pt;margin-top:0;margin-left:0;mso-position-horizontal:center;mso-position-horizontal-relative:margin;mso-wrap-distance-bottom:0;mso-wrap-distance-left:0;mso-wrap-distance-right:0;mso-wrap-distance-top:0;mso-wrap-style:none;position:absolute;v-text-anchor:top;z-index:25174630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401523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12</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91" type="#_x0000_t202" style="width:2in;height:2in;margin-top:0;margin-left:0;mso-position-horizontal:center;mso-position-horizontal-relative:margin;mso-wrap-distance-bottom:0;mso-wrap-distance-left:9pt;mso-wrap-distance-right:9pt;mso-wrap-distance-top:0;mso-wrap-style:none;position:absolute;v-text-anchor:top;z-index:251748352"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12</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51424"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563812930"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92" type="#_x0000_t202" style="width:11.1pt;height:17.4pt;margin-top:2.05pt;margin-left:0;mso-position-horizontal-relative:margin;mso-wrap-distance-bottom:0;mso-wrap-distance-left:0;mso-wrap-distance-right:0;mso-wrap-distance-top:0;position:absolute;v-text-anchor:top;z-index:251750400"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53472"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750199591"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097" type="#_x0000_t202" style="width:4.5pt;height:11.65pt;margin-top:0;margin-left:0;mso-position-horizontal:center;mso-position-horizontal-relative:margin;mso-wrap-distance-bottom:0;mso-wrap-distance-left:0;mso-wrap-distance-right:0;mso-wrap-distance-top:0;mso-wrap-style:none;position:absolute;v-text-anchor:top;z-index:25175244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55520"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978645576"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098" type="#_x0000_t202" style="width:10.5pt;height:13.6pt;margin-top:0;margin-left:0;mso-position-horizontal:center;mso-position-horizontal-relative:margin;mso-wrap-distance-bottom:0;mso-wrap-distance-left:0;mso-wrap-distance-right:0;mso-wrap-distance-top:0;mso-wrap-style:none;position:absolute;v-text-anchor:top;z-index:25175449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0678823"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12</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95" type="#_x0000_t202" style="width:2in;height:2in;margin-top:0;margin-left:0;mso-position-horizontal:center;mso-position-horizontal-relative:margin;mso-wrap-distance-bottom:0;mso-wrap-distance-left:9pt;mso-wrap-distance-right:9pt;mso-wrap-distance-top:0;mso-wrap-style:none;position:absolute;v-text-anchor:top;z-index:251756544"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12</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59616"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971815735"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096" type="#_x0000_t202" style="width:11.1pt;height:17.4pt;margin-top:2.05pt;margin-left:0;mso-position-horizontal-relative:margin;mso-wrap-distance-bottom:0;mso-wrap-distance-left:0;mso-wrap-distance-right:0;mso-wrap-distance-top:0;position:absolute;v-text-anchor:top;z-index:251758592"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61664"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468693102"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101" type="#_x0000_t202" style="width:4.5pt;height:11.65pt;margin-top:0;margin-left:0;mso-position-horizontal:center;mso-position-horizontal-relative:margin;mso-wrap-distance-bottom:0;mso-wrap-distance-left:0;mso-wrap-distance-right:0;mso-wrap-distance-top:0;mso-wrap-style:none;position:absolute;v-text-anchor:top;z-index:25176064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63712"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100627174"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102" type="#_x0000_t202" style="width:10.5pt;height:13.6pt;margin-top:0;margin-left:0;mso-position-horizontal:center;mso-position-horizontal-relative:margin;mso-wrap-distance-bottom:0;mso-wrap-distance-left:0;mso-wrap-distance-right:0;mso-wrap-distance-top:0;mso-wrap-style:none;position:absolute;v-text-anchor:top;z-index:251762688"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657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656269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14</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99" type="#_x0000_t202" style="width:2in;height:2in;margin-top:0;margin-left:0;mso-position-horizontal:center;mso-position-horizontal-relative:margin;mso-wrap-distance-bottom:0;mso-wrap-distance-left:9pt;mso-wrap-distance-right:9pt;mso-wrap-distance-top:0;mso-wrap-style:none;position:absolute;v-text-anchor:top;z-index:251764736"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14</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67808"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200601608"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100" type="#_x0000_t202" style="width:11.1pt;height:17.4pt;margin-top:2.05pt;margin-left:0;mso-position-horizontal-relative:margin;mso-wrap-distance-bottom:0;mso-wrap-distance-left:0;mso-wrap-distance-right:0;mso-wrap-distance-top:0;position:absolute;v-text-anchor:top;z-index:251766784"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69856"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1850800125"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105" type="#_x0000_t202" style="width:4.5pt;height:11.65pt;margin-top:0;margin-left:0;mso-position-horizontal:center;mso-position-horizontal-relative:margin;mso-wrap-distance-bottom:0;mso-wrap-distance-left:0;mso-wrap-distance-right:0;mso-wrap-distance-top:0;mso-wrap-style:none;position:absolute;v-text-anchor:top;z-index:25176883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71904"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77721863"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106" type="#_x0000_t202" style="width:10.5pt;height:13.6pt;margin-top:0;margin-left:0;mso-position-horizontal:center;mso-position-horizontal-relative:margin;mso-wrap-distance-bottom:0;mso-wrap-distance-left:0;mso-wrap-distance-right:0;mso-wrap-distance-top:0;mso-wrap-style:none;position:absolute;v-text-anchor:top;z-index:251770880"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739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318413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14</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103" type="#_x0000_t202" style="width:2in;height:2in;margin-top:0;margin-left:0;mso-position-horizontal:center;mso-position-horizontal-relative:margin;mso-wrap-distance-bottom:0;mso-wrap-distance-left:9pt;mso-wrap-distance-right:9pt;mso-wrap-distance-top:0;mso-wrap-style:none;position:absolute;v-text-anchor:top;z-index:251772928"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14</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76000"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103143953"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104" type="#_x0000_t202" style="width:11.1pt;height:17.4pt;margin-top:2.05pt;margin-left:0;mso-position-horizontal-relative:margin;mso-wrap-distance-bottom:0;mso-wrap-distance-left:0;mso-wrap-distance-right:0;mso-wrap-distance-top:0;position:absolute;v-text-anchor:top;z-index:251774976"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78048"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363771694"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109" type="#_x0000_t202" style="width:4.5pt;height:11.65pt;margin-top:0;margin-left:0;mso-position-horizontal:center;mso-position-horizontal-relative:margin;mso-wrap-distance-bottom:0;mso-wrap-distance-left:0;mso-wrap-distance-right:0;mso-wrap-distance-top:0;mso-wrap-style:none;position:absolute;v-text-anchor:top;z-index:25177702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80096"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1443377010"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110" type="#_x0000_t202" style="width:10.5pt;height:13.6pt;margin-top:0;margin-left:0;mso-position-horizontal:center;mso-position-horizontal-relative:margin;mso-wrap-distance-bottom:0;mso-wrap-distance-left:0;mso-wrap-distance-right:0;mso-wrap-distance-top:0;mso-wrap-style:none;position:absolute;v-text-anchor:top;z-index:251779072"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399206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16</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107" type="#_x0000_t202" style="width:2in;height:2in;margin-top:0;margin-left:0;mso-position-horizontal:center;mso-position-horizontal-relative:margin;mso-wrap-distance-bottom:0;mso-wrap-distance-left:9pt;mso-wrap-distance-right:9pt;mso-wrap-distance-top:0;mso-wrap-style:none;position:absolute;v-text-anchor:top;z-index:251781120"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16</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84192"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850857641"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108" type="#_x0000_t202" style="width:11.1pt;height:17.4pt;margin-top:2.05pt;margin-left:0;mso-position-horizontal-relative:margin;mso-wrap-distance-bottom:0;mso-wrap-distance-left:0;mso-wrap-distance-right:0;mso-wrap-distance-top:0;position:absolute;v-text-anchor:top;z-index:251783168"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framePr w:wrap="around" w:vAnchor="text" w:hAnchor="margin" w:xAlign="right" w:y="1"/>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p>
    <w:pPr>
      <w:tabs>
        <w:tab w:val="center" w:pos="4153"/>
        <w:tab w:val="right" w:pos="8306"/>
      </w:tabs>
      <w:snapToGrid w:val="0"/>
      <w:ind w:right="360"/>
      <w:jc w:val="left"/>
      <w:rPr>
        <w:rFonts w:ascii="Times New Roman" w:eastAsia="宋体" w:hAnsi="Times New Roman" w:cs="Times New Roman"/>
        <w:szCs w:val="18"/>
      </w:rPr>
    </w:pPr>
    <w:r>
      <w:rPr>
        <w:rFonts w:ascii="Times New Roman" w:eastAsia="宋体" w:hAnsi="Times New Roman" w:cs="Times New Roman"/>
        <w:sz w:val="18"/>
        <w:szCs w:val="18"/>
      </w:rPr>
      <mc:AlternateContent>
        <mc:Choice Requires="wps">
          <w:drawing>
            <wp:anchor distT="0" distB="0" distL="0" distR="0" simplePos="0" relativeHeight="251786240" behindDoc="0" locked="0" layoutInCell="1" allowOverlap="1">
              <wp:simplePos x="0" y="0"/>
              <wp:positionH relativeFrom="margin">
                <wp:align>center</wp:align>
              </wp:positionH>
              <wp:positionV relativeFrom="paragraph">
                <wp:posOffset>0</wp:posOffset>
              </wp:positionV>
              <wp:extent cx="57150" cy="147955"/>
              <wp:effectExtent l="0" t="0" r="0" b="0"/>
              <wp:wrapSquare wrapText="bothSides"/>
              <wp:docPr id="457403495" name="文本框 10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 cy="147955"/>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2113" type="#_x0000_t202" style="width:4.5pt;height:11.65pt;margin-top:0;margin-left:0;mso-position-horizontal:center;mso-position-horizontal-relative:margin;mso-wrap-distance-bottom:0;mso-wrap-distance-left:0;mso-wrap-distance-right:0;mso-wrap-distance-top:0;mso-wrap-style:none;position:absolute;v-text-anchor:top;z-index:251785216"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仿宋_GB2312" w:eastAsia="仿宋_GB2312" w:hAnsi="Times New Roman" w:cs="仿宋_GB2312"/>
                        <w:b/>
                        <w:sz w:val="32"/>
                        <w:szCs w:val="32"/>
                      </w:rPr>
                      <w:instrText xml:space="preserve">PAGE  </w:instrText>
                    </w:r>
                    <w:r>
                      <w:rPr>
                        <w:rFonts w:ascii="Times New Roman" w:eastAsia="宋体" w:hAnsi="Times New Roman" w:cs="Times New Roman"/>
                        <w:sz w:val="18"/>
                        <w:szCs w:val="18"/>
                      </w:rPr>
                      <w:fldChar w:fldCharType="separate"/>
                    </w:r>
                    <w:r>
                      <w:rPr>
                        <w:rFonts w:ascii="仿宋_GB2312" w:eastAsia="仿宋_GB2312" w:hAnsi="Times New Roman" w:cs="仿宋_GB2312"/>
                        <w:b/>
                        <w:sz w:val="32"/>
                        <w:szCs w:val="32"/>
                      </w:rPr>
                      <w:t>3</w:t>
                    </w:r>
                    <w:r>
                      <w:rPr>
                        <w:rFonts w:ascii="Times New Roman" w:eastAsia="宋体" w:hAnsi="Times New Roman" w:cs="Times New Roman"/>
                        <w:sz w:val="18"/>
                        <w:szCs w:val="18"/>
                      </w:rPr>
                      <w:fldChar w:fldCharType="end"/>
                    </w:r>
                  </w:p>
                </w:txbxContent>
              </v:textbox>
              <w10:wrap type="square"/>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88288" behindDoc="0" locked="0" layoutInCell="1" allowOverlap="1">
              <wp:simplePos x="0" y="0"/>
              <wp:positionH relativeFrom="margin">
                <wp:align>center</wp:align>
              </wp:positionH>
              <wp:positionV relativeFrom="paragraph">
                <wp:posOffset>0</wp:posOffset>
              </wp:positionV>
              <wp:extent cx="133350" cy="172720"/>
              <wp:effectExtent l="0" t="0" r="0" b="0"/>
              <wp:wrapSquare wrapText="bothSides"/>
              <wp:docPr id="647967956" name="文本框 10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17272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wps:txbx>
                    <wps:bodyPr wrap="none" lIns="0" tIns="0" rIns="0" bIns="0" upright="1">
                      <a:spAutoFit/>
                    </wps:bodyPr>
                  </wps:wsp>
                </a:graphicData>
              </a:graphic>
            </wp:anchor>
          </w:drawing>
        </mc:Choice>
        <mc:Fallback>
          <w:pict>
            <v:shape id="文本框 1027" o:spid="_x0000_s2114" type="#_x0000_t202" style="width:10.5pt;height:13.6pt;margin-top:0;margin-left:0;mso-position-horizontal:center;mso-position-horizontal-relative:margin;mso-wrap-distance-bottom:0;mso-wrap-distance-left:0;mso-wrap-distance-right:0;mso-wrap-distance-top:0;mso-wrap-style:none;position:absolute;v-text-anchor:top;z-index:251787264" filled="f" fillcolor="this" stroked="f">
              <v:textbox style="mso-fit-shape-to-text:t" inset="0,0,0,0">
                <w:txbxContent>
                  <w:p>
                    <w:pPr>
                      <w:tabs>
                        <w:tab w:val="center" w:pos="4153"/>
                        <w:tab w:val="right" w:pos="8306"/>
                      </w:tabs>
                      <w:snapToGrid w:val="0"/>
                      <w:jc w:val="left"/>
                      <w:rPr>
                        <w:rFonts w:ascii="Times New Roman" w:eastAsia="宋体" w:hAnsi="Times New Roman" w:cs="Times New Roman"/>
                        <w:szCs w:val="18"/>
                      </w:rPr>
                    </w:pPr>
                    <w:r>
                      <w:rPr>
                        <w:rFonts w:ascii="Times New Roman" w:eastAsia="宋体" w:hAnsi="Times New Roman" w:cs="Times New Roman"/>
                        <w:szCs w:val="18"/>
                      </w:rPr>
                      <w:fldChar w:fldCharType="begin"/>
                    </w:r>
                    <w:r>
                      <w:rPr>
                        <w:rFonts w:ascii="仿宋_GB2312" w:eastAsia="仿宋_GB2312" w:hAnsi="Times New Roman" w:cs="仿宋_GB2312"/>
                        <w:b/>
                        <w:szCs w:val="32"/>
                      </w:rPr>
                      <w:instrText xml:space="preserve">PAGE  </w:instrText>
                    </w:r>
                    <w:r>
                      <w:rPr>
                        <w:rFonts w:ascii="Times New Roman" w:eastAsia="宋体" w:hAnsi="Times New Roman" w:cs="Times New Roman"/>
                        <w:szCs w:val="18"/>
                      </w:rPr>
                      <w:fldChar w:fldCharType="separate"/>
                    </w:r>
                    <w:r>
                      <w:rPr>
                        <w:rFonts w:ascii="仿宋_GB2312" w:eastAsia="仿宋_GB2312" w:hAnsi="Times New Roman" w:cs="仿宋_GB2312"/>
                        <w:b/>
                        <w:szCs w:val="32"/>
                      </w:rPr>
                      <w:t>3</w:t>
                    </w:r>
                    <w:r>
                      <w:rPr>
                        <w:rFonts w:ascii="Times New Roman" w:eastAsia="宋体" w:hAnsi="Times New Roman" w:cs="Times New Roman"/>
                        <w:szCs w:val="18"/>
                      </w:rPr>
                      <w:fldChar w:fldCharType="end"/>
                    </w:r>
                  </w:p>
                </w:txbxContent>
              </v:textbox>
              <w10:wrap type="squar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435803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a:effectLst/>
                    </wps:spPr>
                    <wps:txbx>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16</w:t>
                          </w:r>
                          <w:r>
                            <w:rPr>
                              <w:rFonts w:ascii="Times New Roman" w:eastAsia="宋体" w:hAnsi="Times New Roman" w:cs="Times New Roman"/>
                              <w:sz w:val="18"/>
                              <w:szCs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111" type="#_x0000_t202" style="width:2in;height:2in;margin-top:0;margin-left:0;mso-position-horizontal:center;mso-position-horizontal-relative:margin;mso-wrap-distance-bottom:0;mso-wrap-distance-left:9pt;mso-wrap-distance-right:9pt;mso-wrap-distance-top:0;mso-wrap-style:none;position:absolute;v-text-anchor:top;z-index:251789312" filled="f" fillcolor="this" stroked="f">
              <v:textbox style="mso-fit-shape-to-text:t" inset="0,0,0,0">
                <w:txbxContent>
                  <w:p>
                    <w:pPr>
                      <w:tabs>
                        <w:tab w:val="center" w:pos="4153"/>
                        <w:tab w:val="right" w:pos="8306"/>
                      </w:tabs>
                      <w:snapToGrid w:val="0"/>
                      <w:ind w:right="360"/>
                      <w:jc w:val="center"/>
                      <w:rPr>
                        <w:rFonts w:ascii="Times New Roman" w:eastAsia="宋体" w:hAnsi="Times New Roman" w:cs="Times New Roman"/>
                        <w:sz w:val="18"/>
                        <w:szCs w:val="18"/>
                      </w:rPr>
                    </w:pPr>
                    <w:r>
                      <w:rPr>
                        <w:rFonts w:ascii="Times New Roman" w:eastAsia="宋体" w:hAnsi="Times New Roman" w:cs="Times New Roman"/>
                        <w:sz w:val="18"/>
                        <w:szCs w:val="18"/>
                      </w:rPr>
                      <w:fldChar w:fldCharType="begin"/>
                    </w:r>
                    <w:r>
                      <w:rPr>
                        <w:rFonts w:ascii="Times New Roman" w:eastAsia="宋体" w:hAnsi="Times New Roman" w:cs="Times New Roman"/>
                        <w:b/>
                        <w:sz w:val="18"/>
                        <w:szCs w:val="18"/>
                      </w:rPr>
                      <w:instrText xml:space="preserve"> PAGE  \* Arabic  \* MERGEFORMAT </w:instrText>
                    </w:r>
                    <w:r>
                      <w:rPr>
                        <w:rFonts w:ascii="Times New Roman" w:eastAsia="宋体" w:hAnsi="Times New Roman" w:cs="Times New Roman"/>
                        <w:sz w:val="18"/>
                        <w:szCs w:val="18"/>
                      </w:rPr>
                      <w:fldChar w:fldCharType="separate"/>
                    </w:r>
                    <w:r>
                      <w:rPr>
                        <w:rFonts w:ascii="Times New Roman" w:eastAsia="宋体" w:hAnsi="Times New Roman" w:cs="Times New Roman"/>
                        <w:b/>
                        <w:sz w:val="18"/>
                        <w:szCs w:val="18"/>
                      </w:rPr>
                      <w:t>16</w:t>
                    </w:r>
                    <w:r>
                      <w:rPr>
                        <w:rFonts w:ascii="Times New Roman" w:eastAsia="宋体" w:hAnsi="Times New Roman" w:cs="Times New Roman"/>
                        <w:sz w:val="18"/>
                        <w:szCs w:val="18"/>
                      </w:rPr>
                      <w:fldChar w:fldCharType="end"/>
                    </w:r>
                  </w:p>
                </w:txbxContent>
              </v:textbox>
              <w10:wrap anchorx="margin"/>
            </v:shape>
          </w:pict>
        </mc:Fallback>
      </mc:AlternateContent>
    </w:r>
    <w:r>
      <w:rPr>
        <w:rFonts w:ascii="Times New Roman" w:eastAsia="宋体" w:hAnsi="Times New Roman" w:cs="Times New Roman"/>
        <w:sz w:val="18"/>
        <w:szCs w:val="18"/>
      </w:rPr>
      <mc:AlternateContent>
        <mc:Choice Requires="wps">
          <w:drawing>
            <wp:anchor distT="0" distB="0" distL="0" distR="0" simplePos="0" relativeHeight="251792384" behindDoc="0" locked="0" layoutInCell="1" allowOverlap="1">
              <wp:simplePos x="0" y="0"/>
              <wp:positionH relativeFrom="margin">
                <wp:posOffset>0</wp:posOffset>
              </wp:positionH>
              <wp:positionV relativeFrom="paragraph">
                <wp:posOffset>26035</wp:posOffset>
              </wp:positionV>
              <wp:extent cx="140970" cy="220980"/>
              <wp:effectExtent l="0" t="0" r="0" b="0"/>
              <wp:wrapSquare wrapText="bothSides"/>
              <wp:docPr id="386285992" name="文本框 10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970" cy="220980"/>
                      </a:xfrm>
                      <a:prstGeom prst="rect">
                        <a:avLst/>
                      </a:prstGeom>
                      <a:noFill/>
                      <a:ln>
                        <a:noFill/>
                      </a:ln>
                      <a:effectLst/>
                    </wps:spPr>
                    <wps:txbx>
                      <w:txbxContent>
                        <w:p>
                          <w:pPr>
                            <w:tabs>
                              <w:tab w:val="center" w:pos="4153"/>
                              <w:tab w:val="right" w:pos="8306"/>
                            </w:tabs>
                            <w:snapToGrid w:val="0"/>
                            <w:jc w:val="left"/>
                            <w:rPr>
                              <w:rFonts w:ascii="Times New Roman" w:eastAsia="宋体" w:hAnsi="Times New Roman" w:cs="Times New Roman"/>
                              <w:sz w:val="18"/>
                              <w:szCs w:val="18"/>
                            </w:rPr>
                          </w:pPr>
                        </w:p>
                      </w:txbxContent>
                    </wps:txbx>
                    <wps:bodyPr lIns="0" tIns="0" rIns="0" bIns="0" upright="1"/>
                  </wps:wsp>
                </a:graphicData>
              </a:graphic>
            </wp:anchor>
          </w:drawing>
        </mc:Choice>
        <mc:Fallback>
          <w:pict>
            <v:shape id="文本框 1028" o:spid="_x0000_s2112" type="#_x0000_t202" style="width:11.1pt;height:17.4pt;margin-top:2.05pt;margin-left:0;mso-position-horizontal-relative:margin;mso-wrap-distance-bottom:0;mso-wrap-distance-left:0;mso-wrap-distance-right:0;mso-wrap-distance-top:0;position:absolute;v-text-anchor:top;z-index:251791360" filled="f" fillcolor="this" stroked="f">
              <v:textbox inset="0,0,0,0">
                <w:txbxContent>
                  <w:p>
                    <w:pPr>
                      <w:tabs>
                        <w:tab w:val="center" w:pos="4153"/>
                        <w:tab w:val="right" w:pos="8306"/>
                      </w:tabs>
                      <w:snapToGrid w:val="0"/>
                      <w:jc w:val="left"/>
                      <w:rPr>
                        <w:rFonts w:ascii="Times New Roman" w:eastAsia="宋体" w:hAnsi="Times New Roman" w:cs="Times New Roman"/>
                        <w:sz w:val="18"/>
                        <w:szCs w:val="18"/>
                      </w:rPr>
                    </w:pPr>
                  </w:p>
                </w:txbxContent>
              </v:textbox>
              <w10:wrap type="squar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6" w:space="1" w:color="auto"/>
      </w:pBdr>
      <w:tabs>
        <w:tab w:val="center" w:pos="4153"/>
        <w:tab w:val="right" w:pos="8306"/>
      </w:tabs>
      <w:snapToGrid w:val="0"/>
      <w:jc w:val="center"/>
      <w:rPr>
        <w:rFonts w:ascii="Times New Roman" w:eastAsia="宋体" w:hAnsi="Times New Roman" w:cs="Times New Roman"/>
        <w:sz w:val="18"/>
        <w:szCs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Times New Roman" w:eastAsia="宋体" w:hAnsi="Times New Roman" w:cs="Times New Roman"/>
      </w:rPr>
    </w:pP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r>
      <w:rPr>
        <w:rFonts w:ascii="Times New Roman" w:eastAsia="宋体"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33A"/>
    <w:rsid w:val="00011836"/>
    <w:rsid w:val="00015DB2"/>
    <w:rsid w:val="001210A8"/>
    <w:rsid w:val="0014133A"/>
    <w:rsid w:val="00212D1A"/>
    <w:rsid w:val="0023179C"/>
    <w:rsid w:val="00276005"/>
    <w:rsid w:val="0031538C"/>
    <w:rsid w:val="003B3A48"/>
    <w:rsid w:val="003E5E47"/>
    <w:rsid w:val="00404DCA"/>
    <w:rsid w:val="004E5829"/>
    <w:rsid w:val="00565788"/>
    <w:rsid w:val="00594C06"/>
    <w:rsid w:val="006337E5"/>
    <w:rsid w:val="00653F9F"/>
    <w:rsid w:val="006665A2"/>
    <w:rsid w:val="006B4BB6"/>
    <w:rsid w:val="006C14E8"/>
    <w:rsid w:val="00700919"/>
    <w:rsid w:val="007613A4"/>
    <w:rsid w:val="00837CBC"/>
    <w:rsid w:val="00886024"/>
    <w:rsid w:val="008B4F1F"/>
    <w:rsid w:val="00A31A58"/>
    <w:rsid w:val="00A4346D"/>
    <w:rsid w:val="00A8393E"/>
    <w:rsid w:val="00AF2840"/>
    <w:rsid w:val="00C0519D"/>
    <w:rsid w:val="00C50BC5"/>
    <w:rsid w:val="00CA2D41"/>
    <w:rsid w:val="00D27958"/>
    <w:rsid w:val="00DA3152"/>
    <w:rsid w:val="00DB3569"/>
    <w:rsid w:val="00FA61EA"/>
    <w:rsid w:val="0A7D1489"/>
    <w:rsid w:val="12BD38CE"/>
    <w:rsid w:val="150F0169"/>
    <w:rsid w:val="18544752"/>
    <w:rsid w:val="1C60602A"/>
    <w:rsid w:val="1D5777D2"/>
    <w:rsid w:val="220964DB"/>
    <w:rsid w:val="23C6233B"/>
    <w:rsid w:val="2633152B"/>
    <w:rsid w:val="27B36CF2"/>
    <w:rsid w:val="28D52BD9"/>
    <w:rsid w:val="2FFF10AF"/>
    <w:rsid w:val="30CA69B1"/>
    <w:rsid w:val="32991C91"/>
    <w:rsid w:val="398126A4"/>
    <w:rsid w:val="3B282A5D"/>
    <w:rsid w:val="3E062716"/>
    <w:rsid w:val="41754CB3"/>
    <w:rsid w:val="47013507"/>
    <w:rsid w:val="484336AB"/>
    <w:rsid w:val="490118BD"/>
    <w:rsid w:val="4E0062C6"/>
    <w:rsid w:val="53C1535B"/>
    <w:rsid w:val="55344AA7"/>
    <w:rsid w:val="579F0191"/>
    <w:rsid w:val="5F2E6476"/>
    <w:rsid w:val="5FED2422"/>
    <w:rsid w:val="6BFA3EFD"/>
    <w:rsid w:val="6C4D1398"/>
    <w:rsid w:val="6D050DAB"/>
    <w:rsid w:val="6DAE1443"/>
    <w:rsid w:val="6EBA3E17"/>
    <w:rsid w:val="74EF5ED9"/>
    <w:rsid w:val="780E47FB"/>
    <w:rsid w:val="7AF11FEF"/>
    <w:rsid w:val="7C302D3E"/>
    <w:rsid w:val="7F3F2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0" w:unhideWhenUsed="0" w:qFormat="1"/>
    <w:lsdException w:name="toc 2" w:semiHidden="0" w:uiPriority="0" w:unhideWhenUsed="0" w:qFormat="1"/>
    <w:lsdException w:name="toc 3" w:semiHidden="0" w:uiPriority="0"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qFormat="1"/>
    <w:lsdException w:name="footer" w:semiHidden="0" w:uiPriority="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semiHidden="0" w:qFormat="1"/>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
    <w:qFormat/>
    <w:pPr>
      <w:keepNext/>
      <w:keepLines/>
      <w:spacing w:before="340" w:after="330" w:line="576" w:lineRule="auto"/>
      <w:outlineLvl w:val="0"/>
    </w:pPr>
    <w:rPr>
      <w:b/>
      <w:kern w:val="44"/>
      <w:sz w:val="44"/>
    </w:rPr>
  </w:style>
  <w:style w:type="paragraph" w:styleId="Heading2">
    <w:name w:val="heading 2"/>
    <w:basedOn w:val="Normal"/>
    <w:next w:val="Normal"/>
    <w:link w:val="2"/>
    <w:unhideWhenUsed/>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link w:val="3"/>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ocumentMap">
    <w:name w:val="Document Map"/>
    <w:link w:val="a1"/>
    <w:uiPriority w:val="99"/>
    <w:unhideWhenUsed/>
    <w:qFormat/>
    <w:pPr>
      <w:widowControl w:val="0"/>
      <w:jc w:val="both"/>
    </w:pPr>
    <w:rPr>
      <w:rFonts w:ascii="宋体" w:eastAsia="宋体" w:hAnsi="Times New Roman" w:cs="Times New Roman"/>
      <w:kern w:val="2"/>
      <w:sz w:val="18"/>
      <w:szCs w:val="18"/>
      <w:lang w:val="en-US" w:eastAsia="zh-CN" w:bidi="ar-SA"/>
    </w:rPr>
  </w:style>
  <w:style w:type="paragraph" w:styleId="TOC3">
    <w:name w:val="toc 3"/>
    <w:basedOn w:val="Normal"/>
    <w:next w:val="Normal"/>
    <w:qFormat/>
    <w:pPr>
      <w:ind w:left="840" w:leftChars="400"/>
    </w:pPr>
  </w:style>
  <w:style w:type="paragraph" w:styleId="Footer">
    <w:name w:val="footer"/>
    <w:basedOn w:val="Normal"/>
    <w:link w:val="a0"/>
    <w:unhideWhenUsed/>
    <w:qFormat/>
    <w:pPr>
      <w:tabs>
        <w:tab w:val="center" w:pos="4153"/>
        <w:tab w:val="right" w:pos="8306"/>
      </w:tabs>
      <w:snapToGrid w:val="0"/>
      <w:jc w:val="left"/>
    </w:pPr>
    <w:rPr>
      <w:sz w:val="18"/>
      <w:szCs w:val="18"/>
    </w:rPr>
  </w:style>
  <w:style w:type="paragraph" w:styleId="Header">
    <w:name w:val="header"/>
    <w:basedOn w:val="Normal"/>
    <w:link w:val="a"/>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qFormat/>
  </w:style>
  <w:style w:type="paragraph" w:styleId="TOC2">
    <w:name w:val="toc 2"/>
    <w:basedOn w:val="Normal"/>
    <w:next w:val="Normal"/>
    <w:qFormat/>
    <w:pPr>
      <w:ind w:left="420" w:leftChars="200"/>
    </w:p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1">
    <w:name w:val="标题 1 字符"/>
    <w:basedOn w:val="DefaultParagraphFont"/>
    <w:link w:val="Heading1"/>
    <w:qFormat/>
    <w:rPr>
      <w:b/>
      <w:kern w:val="44"/>
      <w:sz w:val="44"/>
      <w:szCs w:val="24"/>
    </w:rPr>
  </w:style>
  <w:style w:type="character" w:customStyle="1" w:styleId="2">
    <w:name w:val="标题 2 字符"/>
    <w:basedOn w:val="DefaultParagraphFont"/>
    <w:link w:val="Heading2"/>
    <w:qFormat/>
    <w:rPr>
      <w:rFonts w:ascii="Arial" w:eastAsia="黑体" w:hAnsi="Arial"/>
      <w:b/>
      <w:sz w:val="32"/>
      <w:szCs w:val="24"/>
    </w:rPr>
  </w:style>
  <w:style w:type="character" w:customStyle="1" w:styleId="3">
    <w:name w:val="标题 3 字符"/>
    <w:basedOn w:val="DefaultParagraphFont"/>
    <w:link w:val="Heading3"/>
    <w:qFormat/>
    <w:rPr>
      <w:b/>
      <w:sz w:val="32"/>
      <w:szCs w:val="24"/>
    </w:rPr>
  </w:style>
  <w:style w:type="character" w:customStyle="1" w:styleId="a1">
    <w:name w:val="文档结构图 字符"/>
    <w:basedOn w:val="DefaultParagraphFont"/>
    <w:link w:val="DocumentMap"/>
    <w:uiPriority w:val="99"/>
    <w:qFormat/>
    <w:rPr>
      <w:rFonts w:ascii="宋体" w:eastAsia="宋体" w:hAnsi="Times New Roman" w:cs="Times New Roman"/>
      <w:sz w:val="18"/>
      <w:szCs w:val="18"/>
    </w:rPr>
  </w:style>
  <w:style w:type="character" w:customStyle="1" w:styleId="font111">
    <w:name w:val="font111"/>
    <w:basedOn w:val="DefaultParagraphFont"/>
    <w:qFormat/>
    <w:rPr>
      <w:rFonts w:ascii="宋体" w:eastAsia="宋体" w:hAnsi="宋体" w:cs="宋体" w:hint="eastAsia"/>
      <w:color w:val="000000"/>
      <w:sz w:val="28"/>
      <w:szCs w:val="28"/>
      <w:u w:val="none"/>
    </w:rPr>
  </w:style>
  <w:style w:type="character" w:customStyle="1" w:styleId="font122">
    <w:name w:val="font122"/>
    <w:basedOn w:val="DefaultParagraphFont"/>
    <w:qFormat/>
    <w:rPr>
      <w:rFonts w:ascii="Tahoma" w:eastAsia="Tahoma" w:hAnsi="Tahoma" w:cs="Tahoma" w:hint="default"/>
      <w:color w:val="000000"/>
      <w:sz w:val="28"/>
      <w:szCs w:val="28"/>
      <w:u w:val="none"/>
    </w:rPr>
  </w:style>
  <w:style w:type="character" w:customStyle="1" w:styleId="font112">
    <w:name w:val="font112"/>
    <w:basedOn w:val="DefaultParagraphFont"/>
    <w:qFormat/>
    <w:rPr>
      <w:rFonts w:ascii="宋体" w:eastAsia="宋体" w:hAnsi="宋体" w:cs="宋体" w:hint="eastAsia"/>
      <w:color w:val="000000"/>
      <w:sz w:val="28"/>
      <w:szCs w:val="28"/>
      <w:u w:val="none"/>
    </w:rPr>
  </w:style>
  <w:style w:type="character" w:customStyle="1" w:styleId="font121">
    <w:name w:val="font121"/>
    <w:basedOn w:val="DefaultParagraphFont"/>
    <w:qFormat/>
    <w:rPr>
      <w:rFonts w:ascii="Tahoma" w:eastAsia="Tahoma" w:hAnsi="Tahoma" w:cs="Tahoma" w:hint="default"/>
      <w:color w:val="000000"/>
      <w:sz w:val="28"/>
      <w:szCs w:val="28"/>
      <w:u w:val="none"/>
    </w:rPr>
  </w:style>
  <w:style w:type="paragraph" w:customStyle="1" w:styleId="Default">
    <w:name w:val="Default"/>
    <w:uiPriority w:val="99"/>
    <w:qFormat/>
    <w:pPr>
      <w:widowControl w:val="0"/>
      <w:autoSpaceDE w:val="0"/>
      <w:autoSpaceDN w:val="0"/>
      <w:adjustRightInd w:val="0"/>
    </w:pPr>
    <w:rPr>
      <w:rFonts w:ascii="宋体" w:eastAsia="宋体" w:hAnsi="Times New Roman" w:cs="宋体"/>
      <w:color w:val="000000"/>
      <w:kern w:val="0"/>
      <w:sz w:val="24"/>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hyperlink" Target="http://hqc.cxmtc.net/default.html&#65289;" TargetMode="External" /><Relationship Id="rId16" Type="http://schemas.openxmlformats.org/officeDocument/2006/relationships/header" Target="header5.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9.xml" /><Relationship Id="rId22" Type="http://schemas.openxmlformats.org/officeDocument/2006/relationships/footer" Target="footer10.xml" /><Relationship Id="rId23" Type="http://schemas.openxmlformats.org/officeDocument/2006/relationships/header" Target="header8.xml" /><Relationship Id="rId24" Type="http://schemas.openxmlformats.org/officeDocument/2006/relationships/header" Target="header9.xml"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header" Target="header12.xml" /><Relationship Id="rId32" Type="http://schemas.openxmlformats.org/officeDocument/2006/relationships/header" Target="header13.xml" /><Relationship Id="rId33" Type="http://schemas.openxmlformats.org/officeDocument/2006/relationships/footer" Target="footer15.xml" /><Relationship Id="rId34" Type="http://schemas.openxmlformats.org/officeDocument/2006/relationships/footer" Target="footer16.xml" /><Relationship Id="rId35" Type="http://schemas.openxmlformats.org/officeDocument/2006/relationships/header" Target="header14.xml" /><Relationship Id="rId36" Type="http://schemas.openxmlformats.org/officeDocument/2006/relationships/header" Target="header15.xml" /><Relationship Id="rId37" Type="http://schemas.openxmlformats.org/officeDocument/2006/relationships/footer" Target="footer17.xml" /><Relationship Id="rId38" Type="http://schemas.openxmlformats.org/officeDocument/2006/relationships/footer" Target="footer18.xml" /><Relationship Id="rId39" Type="http://schemas.openxmlformats.org/officeDocument/2006/relationships/header" Target="header16.xml" /><Relationship Id="rId4" Type="http://schemas.openxmlformats.org/officeDocument/2006/relationships/customXml" Target="../customXml/item1.xml" /><Relationship Id="rId40" Type="http://schemas.openxmlformats.org/officeDocument/2006/relationships/header" Target="header17.xml" /><Relationship Id="rId41" Type="http://schemas.openxmlformats.org/officeDocument/2006/relationships/footer" Target="footer19.xml" /><Relationship Id="rId42" Type="http://schemas.openxmlformats.org/officeDocument/2006/relationships/footer" Target="footer20.xml" /><Relationship Id="rId43" Type="http://schemas.openxmlformats.org/officeDocument/2006/relationships/header" Target="header18.xml" /><Relationship Id="rId44" Type="http://schemas.openxmlformats.org/officeDocument/2006/relationships/header" Target="header19.xml" /><Relationship Id="rId45" Type="http://schemas.openxmlformats.org/officeDocument/2006/relationships/footer" Target="footer21.xml" /><Relationship Id="rId46" Type="http://schemas.openxmlformats.org/officeDocument/2006/relationships/footer" Target="footer22.xml" /><Relationship Id="rId47" Type="http://schemas.openxmlformats.org/officeDocument/2006/relationships/header" Target="header20.xml" /><Relationship Id="rId48" Type="http://schemas.openxmlformats.org/officeDocument/2006/relationships/header" Target="header21.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footer" Target="footer24.xml" /><Relationship Id="rId51" Type="http://schemas.openxmlformats.org/officeDocument/2006/relationships/header" Target="header22.xml" /><Relationship Id="rId52" Type="http://schemas.openxmlformats.org/officeDocument/2006/relationships/header" Target="header23.xml" /><Relationship Id="rId53" Type="http://schemas.openxmlformats.org/officeDocument/2006/relationships/footer" Target="footer25.xml" /><Relationship Id="rId54" Type="http://schemas.openxmlformats.org/officeDocument/2006/relationships/footer" Target="footer26.xml" /><Relationship Id="rId55" Type="http://schemas.openxmlformats.org/officeDocument/2006/relationships/header" Target="header24.xml" /><Relationship Id="rId56" Type="http://schemas.openxmlformats.org/officeDocument/2006/relationships/header" Target="header25.xml" /><Relationship Id="rId57" Type="http://schemas.openxmlformats.org/officeDocument/2006/relationships/footer" Target="footer27.xml" /><Relationship Id="rId58" Type="http://schemas.openxmlformats.org/officeDocument/2006/relationships/footer" Target="footer28.xml" /><Relationship Id="rId59" Type="http://schemas.openxmlformats.org/officeDocument/2006/relationships/header" Target="header26.xml" /><Relationship Id="rId6" Type="http://schemas.openxmlformats.org/officeDocument/2006/relationships/footer" Target="footer2.xml" /><Relationship Id="rId60" Type="http://schemas.openxmlformats.org/officeDocument/2006/relationships/header" Target="header27.xml" /><Relationship Id="rId61" Type="http://schemas.openxmlformats.org/officeDocument/2006/relationships/footer" Target="footer29.xml" /><Relationship Id="rId62" Type="http://schemas.openxmlformats.org/officeDocument/2006/relationships/footer" Target="footer30.xml" /><Relationship Id="rId63" Type="http://schemas.openxmlformats.org/officeDocument/2006/relationships/header" Target="header28.xml" /><Relationship Id="rId64" Type="http://schemas.openxmlformats.org/officeDocument/2006/relationships/header" Target="header29.xml" /><Relationship Id="rId65" Type="http://schemas.openxmlformats.org/officeDocument/2006/relationships/footer" Target="footer31.xml" /><Relationship Id="rId66" Type="http://schemas.openxmlformats.org/officeDocument/2006/relationships/footer" Target="footer32.xml" /><Relationship Id="rId67" Type="http://schemas.openxmlformats.org/officeDocument/2006/relationships/header" Target="header30.xml" /><Relationship Id="rId68" Type="http://schemas.openxmlformats.org/officeDocument/2006/relationships/hyperlink" Target="https://d.book118.com/556105235214010102" TargetMode="External" /><Relationship Id="rId69" Type="http://schemas.openxmlformats.org/officeDocument/2006/relationships/header" Target="header31.xml" /><Relationship Id="rId7" Type="http://schemas.openxmlformats.org/officeDocument/2006/relationships/header" Target="header1.xml" /><Relationship Id="rId70" Type="http://schemas.openxmlformats.org/officeDocument/2006/relationships/footer" Target="footer33.xml" /><Relationship Id="rId71" Type="http://schemas.openxmlformats.org/officeDocument/2006/relationships/footer" Target="footer34.xml" /><Relationship Id="rId72" Type="http://schemas.openxmlformats.org/officeDocument/2006/relationships/header" Target="header32.xml" /><Relationship Id="rId73" Type="http://schemas.openxmlformats.org/officeDocument/2006/relationships/theme" Target="theme/theme1.xml" /><Relationship Id="rId74" Type="http://schemas.openxmlformats.org/officeDocument/2006/relationships/styles" Target="styles.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3169</Words>
  <Characters>18067</Characters>
  <Application>Microsoft Office Word</Application>
  <DocSecurity>0</DocSecurity>
  <Lines>150</Lines>
  <Paragraphs>42</Paragraphs>
  <ScaleCrop>false</ScaleCrop>
  <Company/>
  <LinksUpToDate>false</LinksUpToDate>
  <CharactersWithSpaces>21194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会萍 余</dc:creator>
  <cp:lastModifiedBy>一生</cp:lastModifiedBy>
  <cp:revision>14</cp:revision>
  <dcterms:created xsi:type="dcterms:W3CDTF">2022-03-18T03:26:00Z</dcterms:created>
  <dcterms:modified xsi:type="dcterms:W3CDTF">2022-03-23T06:20:05Z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9B8631F9AD434D36B5131603A86027EB</vt:lpwstr>
  </property>
  <property fmtid="{D5CDD505-2E9C-101B-9397-08002B2CF9AE}" pid="3" name="KSOProductBuildVer">
    <vt:lpwstr>2052-11.1.0.11365</vt:lpwstr>
  </property>
</Properties>
</file>