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家用电力器具专用配件行业相关公司筹备报告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9" w:history="1">
        <w:r>
          <w:rPr>
            <w:rFonts w:ascii="仿宋" w:eastAsia="仿宋" w:hAnsi="仿宋" w:cs="仿宋" w:hint="eastAsia"/>
            <w:lang w:eastAsia="zh-CN"/>
          </w:rPr>
          <w:t>二、家用电力器具专用配件筹建公司基本信息</w:t>
        </w:r>
        <w:r>
          <w:tab/>
        </w:r>
        <w:r>
          <w:fldChar w:fldCharType="begin"/>
        </w:r>
        <w:r>
          <w:instrText xml:space="preserve"> PAGEREF _Toc22879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(一)、家用电力器具专用配件项目选址原则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1" w:history="1">
        <w:r>
          <w:rPr>
            <w:rFonts w:ascii="仿宋" w:eastAsia="仿宋" w:hAnsi="仿宋" w:cs="仿宋" w:hint="eastAsia"/>
            <w:lang w:eastAsia="zh-CN"/>
          </w:rPr>
          <w:t>(五)、家用电力器具专用配件项目选址综合评价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(七)、家用电力器具专用配件项目建设必要性分析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六、家用电力器具专用配件项目经济效益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(三)、家用电力器具专用配件项目盈利能力分析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(五)、家用电力器具专用配件项目总投资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_Toc32156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(一)、家用电力器具专用配件项目背景分析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(二)、家用电力器具专用配件项目建设必要性分析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_Toc27362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十二、家用电力器具专用配件项目总结分析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_Toc9545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2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5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https://d.book118.com/556115115232010035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家用电力器具专用配件行业相关公司筹备报告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家用电力器具专用配件行业相关公司筹备报告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家用电力器具专用配件行业相关公司筹备报告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家用电力器具专用配件行业相关公司筹备报告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家用电力器具专用配件行业相关公司筹备报告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115115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2024-01-02T12:56:00Z</dcterms:created>
  <dcterms:modified xsi:type="dcterms:W3CDTF">2024-01-02T12:56:35Z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9984E2E7F44947FAB00FEC987416AB63_11</vt:lpwstr>
  </property>
  <property fmtid="{D5CDD505-2E9C-101B-9397-08002B2CF9AE}" pid="3" name="KSOProductBuildVer">
    <vt:lpwstr>2052-12.1.0.16120</vt:lpwstr>
  </property>
</Properties>
</file>