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embeddings/Microsoft_Excel_Worksheet2.xlsx" ContentType="application/vnd.openxmlformats-officedocument.spreadsheetml.sheet"/>
  <Override PartName="/word/embeddings/Microsoft_Excel_Worksheet3.xlsx" ContentType="application/vnd.openxmlformats-officedocument.spreadsheetml.shee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kern w:val="2"/>
          <w:sz w:val="32"/>
          <w:szCs w:val="40"/>
          <w:lang w:val="en-US" w:eastAsia="zh-CN" w:bidi="ar-SA"/>
        </w:rPr>
        <w:id w:val="147454271"/>
        <w:docPartObj>
          <w:docPartGallery w:val="Table of Contents"/>
          <w:docPartUnique/>
        </w:docPartObj>
        <w15:color w:val="DBDBDB"/>
      </w:sdtPr>
      <w:sdtEndPr>
        <w:rPr>
          <w:rFonts w:ascii="幼圆" w:eastAsia="幼圆" w:hAnsi="幼圆" w:cs="幼圆" w:hint="eastAsia"/>
          <w:b/>
          <w:bCs/>
          <w:kern w:val="2"/>
          <w:sz w:val="32"/>
          <w:szCs w:val="32"/>
          <w:lang w:val="en-US" w:eastAsia="zh-CN" w:bidi="ar-SA"/>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b/>
              <w:bCs/>
              <w:sz w:val="32"/>
              <w:szCs w:val="40"/>
            </w:rPr>
          </w:pPr>
          <w:bookmarkStart w:id="0" w:name="_Toc71149371"/>
          <w:bookmarkStart w:id="1" w:name="_GoBack"/>
          <w:r>
            <w:rPr>
              <w:rFonts w:ascii="幼圆" w:eastAsia="幼圆" w:hAnsi="幼圆" w:cs="幼圆" w:hint="eastAsia"/>
              <w:b/>
              <w:bCs/>
              <w:kern w:val="2"/>
              <w:sz w:val="32"/>
              <w:szCs w:val="40"/>
              <w:lang w:val="en-US" w:eastAsia="zh-CN" w:bidi="ar-SA"/>
            </w:rPr>
            <w:t>基于价值链的某制造公司成本管理优化研究案例</w:t>
          </w:r>
        </w:p>
        <w:bookmarkEnd w:id="1"/>
        <w:p>
          <w:pPr>
            <w:spacing w:before="0" w:beforeLines="0" w:after="0" w:afterLines="0" w:line="240" w:lineRule="auto"/>
            <w:ind w:left="0" w:right="0" w:firstLine="0" w:leftChars="0" w:rightChars="0" w:firstLineChars="0"/>
            <w:jc w:val="center"/>
            <w:rPr>
              <w:rFonts w:ascii="幼圆" w:eastAsia="幼圆" w:hAnsi="幼圆" w:cs="幼圆" w:hint="eastAsia"/>
            </w:rPr>
          </w:pPr>
          <w:r>
            <w:rPr>
              <w:rFonts w:ascii="幼圆" w:eastAsia="幼圆" w:hAnsi="幼圆" w:cs="幼圆" w:hint="eastAsia"/>
              <w:sz w:val="21"/>
            </w:rPr>
            <w:t>目录</w:t>
          </w:r>
        </w:p>
        <w:p>
          <w:pPr>
            <w:pStyle w:val="WPSOffice1"/>
            <w:tabs>
              <w:tab w:val="right" w:leader="dot" w:pos="8900"/>
            </w:tabs>
            <w:rPr>
              <w:rFonts w:ascii="幼圆" w:eastAsia="幼圆" w:hAnsi="幼圆" w:cs="幼圆" w:hint="eastAsia"/>
              <w:b/>
            </w:rPr>
          </w:pPr>
          <w:r>
            <w:rPr>
              <w:rFonts w:ascii="幼圆" w:eastAsia="幼圆" w:hAnsi="幼圆" w:cs="幼圆" w:hint="eastAsia"/>
            </w:rPr>
            <w:fldChar w:fldCharType="begin"/>
          </w:r>
          <w:r>
            <w:rPr>
              <w:rFonts w:ascii="幼圆" w:eastAsia="幼圆" w:hAnsi="幼圆" w:cs="幼圆" w:hint="eastAsia"/>
            </w:rPr>
            <w:instrText xml:space="preserve">TOC \o "1-2" \h \u </w:instrText>
          </w:r>
          <w:r>
            <w:rPr>
              <w:rFonts w:ascii="幼圆" w:eastAsia="幼圆" w:hAnsi="幼圆" w:cs="幼圆" w:hint="eastAsia"/>
            </w:rPr>
            <w:fldChar w:fldCharType="separate"/>
          </w:r>
          <w:hyperlink w:anchor="_Toc16284" w:history="1">
            <w:r>
              <w:rPr>
                <w:rFonts w:ascii="幼圆" w:eastAsia="幼圆" w:hAnsi="幼圆" w:cs="幼圆" w:hint="eastAsia"/>
                <w:b/>
              </w:rPr>
              <w:t>第3章 公司成本管理现状分析</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_Toc16284 \h </w:instrText>
            </w:r>
            <w:r>
              <w:rPr>
                <w:rFonts w:ascii="幼圆" w:eastAsia="幼圆" w:hAnsi="幼圆" w:cs="幼圆" w:hint="eastAsia"/>
                <w:b/>
              </w:rPr>
              <w:fldChar w:fldCharType="separate"/>
            </w:r>
            <w:r>
              <w:rPr>
                <w:rFonts w:ascii="幼圆" w:eastAsia="幼圆" w:hAnsi="幼圆" w:cs="幼圆" w:hint="eastAsia"/>
                <w:b/>
              </w:rPr>
              <w:t>1</w:t>
            </w:r>
            <w:r>
              <w:rPr>
                <w:rFonts w:ascii="幼圆" w:eastAsia="幼圆" w:hAnsi="幼圆" w:cs="幼圆" w:hint="eastAsia"/>
                <w:b/>
              </w:rPr>
              <w:fldChar w:fldCharType="end"/>
            </w:r>
          </w:hyperlink>
        </w:p>
        <w:p>
          <w:pPr>
            <w:pStyle w:val="WPSOffice2"/>
            <w:tabs>
              <w:tab w:val="right" w:leader="dot" w:pos="8900"/>
            </w:tabs>
            <w:rPr>
              <w:rFonts w:ascii="幼圆" w:eastAsia="幼圆" w:hAnsi="幼圆" w:cs="幼圆" w:hint="eastAsia"/>
            </w:rPr>
          </w:pPr>
          <w:hyperlink w:anchor="_Toc8152" w:history="1">
            <w:r>
              <w:rPr>
                <w:rFonts w:ascii="幼圆" w:eastAsia="幼圆" w:hAnsi="幼圆" w:cs="幼圆" w:hint="eastAsia"/>
              </w:rPr>
              <w:t>3.1 C公司概况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_Toc8152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10572" w:history="1">
            <w:r>
              <w:rPr>
                <w:rFonts w:ascii="幼圆" w:eastAsia="幼圆" w:hAnsi="幼圆" w:cs="幼圆" w:hint="eastAsia"/>
              </w:rPr>
              <w:t>3.2 C公司主营业务状况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_Toc10572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8553" w:history="1">
            <w:r>
              <w:rPr>
                <w:rFonts w:ascii="幼圆" w:eastAsia="幼圆" w:hAnsi="幼圆" w:cs="幼圆" w:hint="eastAsia"/>
              </w:rPr>
              <w:t>3.3 C公司成本管理现状分析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_Toc8553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730" w:history="1">
            <w:r>
              <w:rPr>
                <w:rFonts w:ascii="幼圆" w:eastAsia="幼圆" w:hAnsi="幼圆" w:cs="幼圆" w:hint="eastAsia"/>
              </w:rPr>
              <w:t>3.</w:t>
            </w:r>
            <w:r>
              <w:rPr>
                <w:rFonts w:ascii="幼圆" w:eastAsia="幼圆" w:hAnsi="幼圆" w:cs="幼圆" w:hint="eastAsia"/>
              </w:rPr>
              <w:t>4</w:t>
            </w:r>
            <w:r>
              <w:rPr>
                <w:rFonts w:ascii="幼圆" w:eastAsia="幼圆" w:hAnsi="幼圆" w:cs="幼圆" w:hint="eastAsia"/>
              </w:rPr>
              <w:t xml:space="preserve"> C公司成本管理存在问题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_Toc730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11166" w:history="1">
            <w:r>
              <w:rPr>
                <w:rFonts w:ascii="幼圆" w:eastAsia="幼圆" w:hAnsi="幼圆" w:cs="幼圆" w:hint="eastAsia"/>
              </w:rPr>
              <w:t>3.</w:t>
            </w:r>
            <w:r>
              <w:rPr>
                <w:rFonts w:ascii="幼圆" w:eastAsia="幼圆" w:hAnsi="幼圆" w:cs="幼圆" w:hint="eastAsia"/>
              </w:rPr>
              <w:t>5</w:t>
            </w:r>
            <w:r>
              <w:rPr>
                <w:rFonts w:ascii="幼圆" w:eastAsia="幼圆" w:hAnsi="幼圆" w:cs="幼圆" w:hint="eastAsia"/>
              </w:rPr>
              <w:t xml:space="preserve"> 价值链成本管理在C公司应用分析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_Toc11166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WPSOffice1"/>
            <w:tabs>
              <w:tab w:val="right" w:leader="dot" w:pos="8900"/>
            </w:tabs>
            <w:rPr>
              <w:rFonts w:ascii="幼圆" w:eastAsia="幼圆" w:hAnsi="幼圆" w:cs="幼圆" w:hint="eastAsia"/>
              <w:b/>
            </w:rPr>
          </w:pPr>
          <w:hyperlink w:anchor="_Toc2746" w:history="1">
            <w:r>
              <w:rPr>
                <w:rFonts w:ascii="幼圆" w:eastAsia="幼圆" w:hAnsi="幼圆" w:cs="幼圆" w:hint="eastAsia"/>
                <w:b/>
              </w:rPr>
              <w:t>第4章 C公司价值链分析</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_Toc2746 \h </w:instrText>
            </w:r>
            <w:r>
              <w:rPr>
                <w:rFonts w:ascii="幼圆" w:eastAsia="幼圆" w:hAnsi="幼圆" w:cs="幼圆" w:hint="eastAsia"/>
                <w:b/>
              </w:rPr>
              <w:fldChar w:fldCharType="separate"/>
            </w:r>
            <w:r>
              <w:rPr>
                <w:rFonts w:ascii="幼圆" w:eastAsia="幼圆" w:hAnsi="幼圆" w:cs="幼圆" w:hint="eastAsia"/>
                <w:b/>
              </w:rPr>
              <w:t>10</w:t>
            </w:r>
            <w:r>
              <w:rPr>
                <w:rFonts w:ascii="幼圆" w:eastAsia="幼圆" w:hAnsi="幼圆" w:cs="幼圆" w:hint="eastAsia"/>
                <w:b/>
              </w:rPr>
              <w:fldChar w:fldCharType="end"/>
            </w:r>
          </w:hyperlink>
        </w:p>
        <w:p>
          <w:pPr>
            <w:pStyle w:val="WPSOffice2"/>
            <w:tabs>
              <w:tab w:val="right" w:leader="dot" w:pos="8900"/>
            </w:tabs>
            <w:rPr>
              <w:rFonts w:ascii="幼圆" w:eastAsia="幼圆" w:hAnsi="幼圆" w:cs="幼圆" w:hint="eastAsia"/>
            </w:rPr>
          </w:pPr>
          <w:hyperlink w:anchor="_Toc24352" w:history="1">
            <w:r>
              <w:rPr>
                <w:rFonts w:ascii="幼圆" w:eastAsia="幼圆" w:hAnsi="幼圆" w:cs="幼圆" w:hint="eastAsia"/>
              </w:rPr>
              <w:t>4.1 C公司内部价值链分析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_Toc24352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21228" w:history="1">
            <w:r>
              <w:rPr>
                <w:rFonts w:ascii="幼圆" w:eastAsia="幼圆" w:hAnsi="幼圆" w:cs="幼圆" w:hint="eastAsia"/>
              </w:rPr>
              <w:t>4.2 C公司外部价值链分析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_Toc21228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WPSOffice1"/>
            <w:tabs>
              <w:tab w:val="right" w:leader="dot" w:pos="8900"/>
            </w:tabs>
            <w:rPr>
              <w:rFonts w:ascii="幼圆" w:eastAsia="幼圆" w:hAnsi="幼圆" w:cs="幼圆" w:hint="eastAsia"/>
              <w:b/>
            </w:rPr>
          </w:pPr>
          <w:hyperlink w:anchor="_Toc4610" w:history="1">
            <w:r>
              <w:rPr>
                <w:rFonts w:ascii="幼圆" w:eastAsia="幼圆" w:hAnsi="幼圆" w:cs="幼圆" w:hint="eastAsia"/>
                <w:b/>
              </w:rPr>
              <w:t>第5章 C公司价值链成本管理优化</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_Toc4610 \h </w:instrText>
            </w:r>
            <w:r>
              <w:rPr>
                <w:rFonts w:ascii="幼圆" w:eastAsia="幼圆" w:hAnsi="幼圆" w:cs="幼圆" w:hint="eastAsia"/>
                <w:b/>
              </w:rPr>
              <w:fldChar w:fldCharType="separate"/>
            </w:r>
            <w:r>
              <w:rPr>
                <w:rFonts w:ascii="幼圆" w:eastAsia="幼圆" w:hAnsi="幼圆" w:cs="幼圆" w:hint="eastAsia"/>
                <w:b/>
              </w:rPr>
              <w:t>16</w:t>
            </w:r>
            <w:r>
              <w:rPr>
                <w:rFonts w:ascii="幼圆" w:eastAsia="幼圆" w:hAnsi="幼圆" w:cs="幼圆" w:hint="eastAsia"/>
                <w:b/>
              </w:rPr>
              <w:fldChar w:fldCharType="end"/>
            </w:r>
          </w:hyperlink>
        </w:p>
        <w:p>
          <w:pPr>
            <w:pStyle w:val="WPSOffice2"/>
            <w:tabs>
              <w:tab w:val="right" w:leader="dot" w:pos="8900"/>
            </w:tabs>
            <w:rPr>
              <w:rFonts w:ascii="幼圆" w:eastAsia="幼圆" w:hAnsi="幼圆" w:cs="幼圆" w:hint="eastAsia"/>
            </w:rPr>
          </w:pPr>
          <w:hyperlink w:anchor="_Toc32002" w:history="1">
            <w:r>
              <w:rPr>
                <w:rFonts w:ascii="幼圆" w:eastAsia="幼圆" w:hAnsi="幼圆" w:cs="幼圆" w:hint="eastAsia"/>
              </w:rPr>
              <w:t>5</w:t>
            </w:r>
            <w:r>
              <w:rPr>
                <w:rFonts w:ascii="幼圆" w:eastAsia="幼圆" w:hAnsi="幼圆" w:cs="幼圆" w:hint="eastAsia"/>
              </w:rPr>
              <w:t>.</w:t>
            </w:r>
            <w:r>
              <w:rPr>
                <w:rFonts w:ascii="幼圆" w:eastAsia="幼圆" w:hAnsi="幼圆" w:cs="幼圆" w:hint="eastAsia"/>
              </w:rPr>
              <w:t>1 优化设计的构想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_Toc32002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7213" w:history="1">
            <w:r>
              <w:rPr>
                <w:rFonts w:ascii="幼圆" w:eastAsia="幼圆" w:hAnsi="幼圆" w:cs="幼圆" w:hint="eastAsia"/>
              </w:rPr>
              <w:t>5</w:t>
            </w:r>
            <w:r>
              <w:rPr>
                <w:rFonts w:ascii="幼圆" w:eastAsia="幼圆" w:hAnsi="幼圆" w:cs="幼圆" w:hint="eastAsia"/>
              </w:rPr>
              <w:t>.2</w:t>
            </w:r>
            <w:r>
              <w:rPr>
                <w:rFonts w:ascii="幼圆" w:eastAsia="幼圆" w:hAnsi="幼圆" w:cs="幼圆" w:hint="eastAsia"/>
              </w:rPr>
              <w:t xml:space="preserve"> 内部价值链优化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_Toc7213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WPSOffice2"/>
            <w:tabs>
              <w:tab w:val="right" w:leader="dot" w:pos="8900"/>
            </w:tabs>
            <w:rPr>
              <w:rFonts w:ascii="幼圆" w:eastAsia="幼圆" w:hAnsi="幼圆" w:cs="幼圆" w:hint="eastAsia"/>
            </w:rPr>
          </w:pPr>
          <w:hyperlink w:anchor="_Toc21337" w:history="1">
            <w:r>
              <w:rPr>
                <w:rFonts w:ascii="幼圆" w:eastAsia="幼圆" w:hAnsi="幼圆" w:cs="幼圆" w:hint="eastAsia"/>
              </w:rPr>
              <w:t>5</w:t>
            </w:r>
            <w:r>
              <w:rPr>
                <w:rFonts w:ascii="幼圆" w:eastAsia="幼圆" w:hAnsi="幼圆" w:cs="幼圆" w:hint="eastAsia"/>
              </w:rPr>
              <w:t>.3</w:t>
            </w:r>
            <w:r>
              <w:rPr>
                <w:rFonts w:ascii="幼圆" w:eastAsia="幼圆" w:hAnsi="幼圆" w:cs="幼圆" w:hint="eastAsia"/>
              </w:rPr>
              <w:t xml:space="preserve"> 外部价值链优化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_Toc21337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Heading1"/>
            <w:rPr>
              <w:rFonts w:ascii="幼圆" w:eastAsia="幼圆" w:hAnsi="幼圆" w:cs="幼圆" w:hint="eastAsia"/>
            </w:rPr>
          </w:pPr>
          <w:r>
            <w:rPr>
              <w:rFonts w:ascii="幼圆" w:eastAsia="幼圆" w:hAnsi="幼圆" w:cs="幼圆" w:hint="eastAsia"/>
              <w:b/>
            </w:rPr>
            <w:fldChar w:fldCharType="end"/>
          </w:r>
        </w:p>
      </w:sdtContent>
    </w:sdt>
    <w:p>
      <w:pPr>
        <w:pStyle w:val="Heading1"/>
        <w:rPr>
          <w:rFonts w:ascii="幼圆" w:eastAsia="幼圆" w:hAnsi="幼圆" w:cs="幼圆" w:hint="eastAsia"/>
        </w:rPr>
      </w:pPr>
      <w:bookmarkStart w:id="2" w:name="_Toc16284"/>
      <w:r>
        <w:rPr>
          <w:rFonts w:ascii="幼圆" w:eastAsia="幼圆" w:hAnsi="幼圆" w:cs="幼圆" w:hint="eastAsia"/>
        </w:rPr>
        <w:t>第3章 公司成本管理现状分析</w:t>
      </w:r>
      <w:bookmarkEnd w:id="0"/>
      <w:bookmarkEnd w:id="2"/>
    </w:p>
    <w:p>
      <w:pPr>
        <w:pStyle w:val="Heading2"/>
        <w:rPr>
          <w:rFonts w:ascii="幼圆" w:eastAsia="幼圆" w:hAnsi="幼圆" w:cs="幼圆" w:hint="eastAsia"/>
        </w:rPr>
      </w:pPr>
      <w:bookmarkStart w:id="3" w:name="_Toc71149372"/>
      <w:bookmarkStart w:id="4" w:name="_Toc8152"/>
      <w:r>
        <w:rPr>
          <w:rFonts w:ascii="幼圆" w:eastAsia="幼圆" w:hAnsi="幼圆" w:cs="幼圆" w:hint="eastAsia"/>
        </w:rPr>
        <w:t>3.1 C公司概况</w:t>
      </w:r>
      <w:bookmarkEnd w:id="3"/>
      <w:bookmarkEnd w:id="4"/>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C</w:t>
      </w:r>
      <w:r>
        <w:rPr>
          <w:rFonts w:ascii="幼圆" w:eastAsia="幼圆" w:hAnsi="幼圆" w:cs="幼圆" w:hint="eastAsia"/>
          <w:sz w:val="24"/>
        </w:rPr>
        <w:t>公司是一家厨电制造公司，创建于1979年，公司定位是面向高端市场，并且通过技术的创新，严格要求产品的质量，工艺，售后服务等，使得产品档次逐渐提升，与市场上的厨电产品在价格与质量上有比较明显的区别。C公司在技术、工艺和设计理念上坚持创新，及时根据消费需求所调整，是行业技术发展的领头羊。在三十多年的发展中，C公司不仅注重产品的质量和服务体系，还非常重视对于品牌的建设，提升品牌的知名度对于公司的发展至关重要。</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C公司通过油烟机核心技术的突破，推出了大吸力油烟机，符合中国厨房的需要，与国外煎煮的烹饪方式不同，国内家庭大都选择炒、炸等烹饪方式，大吸力油烟机很好的解决了油烟大的问题。C公司凭借领先的技术和超高的品质在中国家庭和厨房之间建立了紧密的纽带关系。并且C公司作为厨电行业的领军</w:t>
      </w:r>
      <w:r>
        <w:rPr>
          <w:rFonts w:ascii="幼圆" w:eastAsia="幼圆" w:hAnsi="幼圆" w:cs="幼圆" w:hint="eastAsia"/>
          <w:sz w:val="24"/>
        </w:rPr>
        <w:t>企业，</w:t>
      </w:r>
      <w:r>
        <w:rPr>
          <w:rFonts w:ascii="幼圆" w:eastAsia="幼圆" w:hAnsi="幼圆" w:cs="幼圆" w:hint="eastAsia"/>
          <w:sz w:val="24"/>
        </w:rPr>
        <w:t>其主要</w:t>
      </w:r>
      <w:r>
        <w:rPr>
          <w:rFonts w:ascii="幼圆" w:eastAsia="幼圆" w:hAnsi="幼圆" w:cs="幼圆" w:hint="eastAsia"/>
          <w:sz w:val="24"/>
        </w:rPr>
        <w:t>产品油烟机燃气灶等销售量在市场上的份额处于领先地位。</w:t>
      </w:r>
    </w:p>
    <w:p>
      <w:pPr>
        <w:spacing w:line="400" w:lineRule="exact"/>
        <w:ind w:firstLine="480" w:firstLineChars="200"/>
        <w:rPr>
          <w:rFonts w:ascii="幼圆" w:eastAsia="幼圆" w:hAnsi="幼圆" w:cs="幼圆" w:hint="eastAsia"/>
          <w:sz w:val="24"/>
        </w:rPr>
        <w:sectPr>
          <w:endnotePr>
            <w:numFmt w:val="decimal"/>
          </w:endnotePr>
          <w:pgSz w:w="11906" w:h="16838"/>
          <w:pgMar w:top="1701" w:right="1418" w:bottom="1418" w:left="1588" w:header="1134" w:footer="992" w:gutter="0"/>
          <w:cols w:num="1" w:space="425"/>
          <w:titlePg/>
          <w:docGrid w:type="lines" w:linePitch="312" w:charSpace="0"/>
        </w:sectPr>
      </w:pPr>
      <w:r>
        <w:rPr>
          <w:rFonts w:ascii="幼圆" w:eastAsia="幼圆" w:hAnsi="幼圆" w:cs="幼圆" w:hint="eastAsia"/>
          <w:sz w:val="24"/>
        </w:rPr>
        <w:t>与</w:t>
      </w:r>
      <w:r>
        <w:rPr>
          <w:rFonts w:ascii="幼圆" w:eastAsia="幼圆" w:hAnsi="幼圆" w:cs="幼圆" w:hint="eastAsia"/>
          <w:sz w:val="24"/>
        </w:rPr>
        <w:t>其他家电</w:t>
      </w:r>
      <w:r>
        <w:rPr>
          <w:rFonts w:ascii="幼圆" w:eastAsia="幼圆" w:hAnsi="幼圆" w:cs="幼圆" w:hint="eastAsia"/>
          <w:sz w:val="24"/>
        </w:rPr>
        <w:t>行业</w:t>
      </w:r>
      <w:r>
        <w:rPr>
          <w:rFonts w:ascii="幼圆" w:eastAsia="幼圆" w:hAnsi="幼圆" w:cs="幼圆" w:hint="eastAsia"/>
          <w:sz w:val="24"/>
        </w:rPr>
        <w:t>相比，厨房电器</w:t>
      </w:r>
      <w:r>
        <w:rPr>
          <w:rFonts w:ascii="幼圆" w:eastAsia="幼圆" w:hAnsi="幼圆" w:cs="幼圆" w:hint="eastAsia"/>
          <w:sz w:val="24"/>
        </w:rPr>
        <w:t>行业</w:t>
      </w:r>
      <w:r>
        <w:rPr>
          <w:rFonts w:ascii="幼圆" w:eastAsia="幼圆" w:hAnsi="幼圆" w:cs="幼圆" w:hint="eastAsia"/>
          <w:sz w:val="24"/>
        </w:rPr>
        <w:t>正处于发展阶段，整体的增速很快，</w:t>
      </w:r>
      <w:r>
        <w:rPr>
          <w:rFonts w:ascii="幼圆" w:eastAsia="幼圆" w:hAnsi="幼圆" w:cs="幼圆" w:hint="eastAsia"/>
          <w:sz w:val="24"/>
        </w:rPr>
        <w:t>被称为家电</w:t>
      </w:r>
      <w:r>
        <w:rPr>
          <w:rFonts w:ascii="幼圆" w:eastAsia="幼圆" w:hAnsi="幼圆" w:cs="幼圆" w:hint="eastAsia"/>
          <w:sz w:val="24"/>
        </w:rPr>
        <w:t>行业的最后</w:t>
      </w:r>
      <w:r>
        <w:rPr>
          <w:rFonts w:ascii="幼圆" w:eastAsia="幼圆" w:hAnsi="幼圆" w:cs="幼圆" w:hint="eastAsia"/>
          <w:sz w:val="24"/>
        </w:rPr>
        <w:t>一块</w:t>
      </w:r>
      <w:r>
        <w:rPr>
          <w:rFonts w:ascii="幼圆" w:eastAsia="幼圆" w:hAnsi="幼圆" w:cs="幼圆" w:hint="eastAsia"/>
          <w:sz w:val="24"/>
        </w:rPr>
        <w:t>利润高地。大部分</w:t>
      </w:r>
      <w:r>
        <w:rPr>
          <w:rFonts w:ascii="幼圆" w:eastAsia="幼圆" w:hAnsi="幼圆" w:cs="幼圆" w:hint="eastAsia"/>
          <w:sz w:val="24"/>
        </w:rPr>
        <w:t>的</w:t>
      </w:r>
      <w:r>
        <w:rPr>
          <w:rFonts w:ascii="幼圆" w:eastAsia="幼圆" w:hAnsi="幼圆" w:cs="幼圆" w:hint="eastAsia"/>
          <w:sz w:val="24"/>
        </w:rPr>
        <w:t>家电行业已经到了成熟饱和阶段，</w:t>
      </w:r>
      <w:r>
        <w:rPr>
          <w:rFonts w:ascii="幼圆" w:eastAsia="幼圆" w:hAnsi="幼圆" w:cs="幼圆" w:hint="eastAsia"/>
          <w:sz w:val="24"/>
        </w:rPr>
        <w:t>想要</w:t>
      </w:r>
      <w:r>
        <w:rPr>
          <w:rFonts w:ascii="幼圆" w:eastAsia="幼圆" w:hAnsi="幼圆" w:cs="幼圆" w:hint="eastAsia"/>
          <w:sz w:val="24"/>
        </w:rPr>
        <w:t>继续创新发展难度较大，</w:t>
      </w:r>
      <w:r>
        <w:rPr>
          <w:rFonts w:ascii="幼圆" w:eastAsia="幼圆" w:hAnsi="幼圆" w:cs="幼圆" w:hint="eastAsia"/>
          <w:sz w:val="24"/>
        </w:rPr>
        <w:t>而</w:t>
      </w:r>
      <w:r>
        <w:rPr>
          <w:rFonts w:ascii="幼圆" w:eastAsia="幼圆" w:hAnsi="幼圆" w:cs="幼圆" w:hint="eastAsia"/>
          <w:sz w:val="24"/>
        </w:rPr>
        <w:t>厨电行业发展空间巨大，而且产品毛利率也很高，</w:t>
      </w:r>
      <w:r>
        <w:rPr>
          <w:rFonts w:ascii="幼圆" w:eastAsia="幼圆" w:hAnsi="幼圆" w:cs="幼圆" w:hint="eastAsia"/>
          <w:sz w:val="24"/>
        </w:rPr>
        <w:t>所以</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有一大批家电行业扩大了生产经营的范围，进军厨电行业，市场竞争变得格外激烈。</w:t>
      </w:r>
      <w:r>
        <w:rPr>
          <w:rFonts w:ascii="幼圆" w:eastAsia="幼圆" w:hAnsi="幼圆" w:cs="幼圆" w:hint="eastAsia"/>
          <w:sz w:val="24"/>
        </w:rPr>
        <w:t>随着</w:t>
      </w:r>
      <w:r>
        <w:rPr>
          <w:rFonts w:ascii="幼圆" w:eastAsia="幼圆" w:hAnsi="幼圆" w:cs="幼圆" w:hint="eastAsia"/>
          <w:sz w:val="24"/>
        </w:rPr>
        <w:t>国家相关政策</w:t>
      </w:r>
      <w:r>
        <w:rPr>
          <w:rFonts w:ascii="幼圆" w:eastAsia="幼圆" w:hAnsi="幼圆" w:cs="幼圆" w:hint="eastAsia"/>
          <w:sz w:val="24"/>
        </w:rPr>
        <w:t>的</w:t>
      </w:r>
      <w:r>
        <w:rPr>
          <w:rFonts w:ascii="幼圆" w:eastAsia="幼圆" w:hAnsi="幼圆" w:cs="幼圆" w:hint="eastAsia"/>
          <w:sz w:val="24"/>
        </w:rPr>
        <w:t>实施，我国城镇化率</w:t>
      </w:r>
      <w:r>
        <w:rPr>
          <w:rFonts w:ascii="幼圆" w:eastAsia="幼圆" w:hAnsi="幼圆" w:cs="幼圆" w:hint="eastAsia"/>
          <w:sz w:val="24"/>
        </w:rPr>
        <w:t>逐年</w:t>
      </w:r>
      <w:r>
        <w:rPr>
          <w:rFonts w:ascii="幼圆" w:eastAsia="幼圆" w:hAnsi="幼圆" w:cs="幼圆" w:hint="eastAsia"/>
          <w:sz w:val="24"/>
        </w:rPr>
        <w:t>提升，但是与发达国家相比，</w:t>
      </w:r>
      <w:r>
        <w:rPr>
          <w:rFonts w:ascii="幼圆" w:eastAsia="幼圆" w:hAnsi="幼圆" w:cs="幼圆" w:hint="eastAsia"/>
          <w:sz w:val="24"/>
        </w:rPr>
        <w:t>仍</w:t>
      </w:r>
      <w:r>
        <w:rPr>
          <w:rFonts w:ascii="幼圆" w:eastAsia="幼圆" w:hAnsi="幼圆" w:cs="幼圆" w:hint="eastAsia"/>
          <w:sz w:val="24"/>
        </w:rPr>
        <w:t>有一段差距</w:t>
      </w:r>
      <w:r>
        <w:rPr>
          <w:rFonts w:ascii="幼圆" w:eastAsia="幼圆" w:hAnsi="幼圆" w:cs="幼圆" w:hint="eastAsia"/>
          <w:sz w:val="24"/>
        </w:rPr>
        <w:t>。而且</w:t>
      </w:r>
      <w:r>
        <w:rPr>
          <w:rFonts w:ascii="幼圆" w:eastAsia="幼圆" w:hAnsi="幼圆" w:cs="幼圆" w:hint="eastAsia"/>
          <w:sz w:val="24"/>
        </w:rPr>
        <w:t>与发达国家相比，</w:t>
      </w:r>
      <w:r>
        <w:rPr>
          <w:rFonts w:ascii="幼圆" w:eastAsia="幼圆" w:hAnsi="幼圆" w:cs="幼圆" w:hint="eastAsia"/>
          <w:sz w:val="24"/>
        </w:rPr>
        <w:t>我国的厨房电器</w:t>
      </w:r>
      <w:r>
        <w:rPr>
          <w:rFonts w:ascii="幼圆" w:eastAsia="幼圆" w:hAnsi="幼圆" w:cs="幼圆" w:hint="eastAsia"/>
          <w:sz w:val="24"/>
        </w:rPr>
        <w:t>普及率降低，</w:t>
      </w:r>
      <w:r>
        <w:rPr>
          <w:rFonts w:ascii="幼圆" w:eastAsia="幼圆" w:hAnsi="幼圆" w:cs="幼圆" w:hint="eastAsia"/>
          <w:sz w:val="24"/>
        </w:rPr>
        <w:t>正处在</w:t>
      </w:r>
      <w:r>
        <w:rPr>
          <w:rFonts w:ascii="幼圆" w:eastAsia="幼圆" w:hAnsi="幼圆" w:cs="幼圆" w:hint="eastAsia"/>
          <w:sz w:val="24"/>
        </w:rPr>
        <w:t>发展阶段。根据</w:t>
      </w:r>
      <w:r>
        <w:rPr>
          <w:rFonts w:ascii="幼圆" w:eastAsia="幼圆" w:hAnsi="幼圆" w:cs="幼圆" w:hint="eastAsia"/>
          <w:sz w:val="24"/>
        </w:rPr>
        <w:t>政府</w:t>
      </w:r>
      <w:r>
        <w:rPr>
          <w:rFonts w:ascii="幼圆" w:eastAsia="幼圆" w:hAnsi="幼圆" w:cs="幼圆" w:hint="eastAsia"/>
          <w:sz w:val="24"/>
        </w:rPr>
        <w:t>工作报告要求，</w:t>
      </w:r>
      <w:r>
        <w:rPr>
          <w:rFonts w:ascii="幼圆" w:eastAsia="幼圆" w:hAnsi="幼圆" w:cs="幼圆" w:hint="eastAsia"/>
          <w:sz w:val="24"/>
        </w:rPr>
        <w:t>2030年我国</w:t>
      </w:r>
      <w:r>
        <w:rPr>
          <w:rFonts w:ascii="幼圆" w:eastAsia="幼圆" w:hAnsi="幼圆" w:cs="幼圆" w:hint="eastAsia"/>
          <w:sz w:val="24"/>
        </w:rPr>
        <w:t>的城镇化率要</w:t>
      </w:r>
      <w:r>
        <w:rPr>
          <w:rFonts w:ascii="幼圆" w:eastAsia="幼圆" w:hAnsi="幼圆" w:cs="幼圆" w:hint="eastAsia"/>
          <w:sz w:val="24"/>
        </w:rPr>
        <w:t>达到70</w:t>
      </w:r>
      <w:r>
        <w:rPr>
          <w:rFonts w:ascii="幼圆" w:eastAsia="幼圆" w:hAnsi="幼圆" w:cs="幼圆" w:hint="eastAsia"/>
          <w:sz w:val="24"/>
        </w:rPr>
        <w:t>%，越来越多的农村人口融入城市，生活方式也会随着改变，</w:t>
      </w:r>
      <w:r>
        <w:rPr>
          <w:rFonts w:ascii="幼圆" w:eastAsia="幼圆" w:hAnsi="幼圆" w:cs="幼圆" w:hint="eastAsia"/>
          <w:sz w:val="24"/>
        </w:rPr>
        <w:t>由</w:t>
      </w:r>
      <w:r>
        <w:rPr>
          <w:rFonts w:ascii="幼圆" w:eastAsia="幼圆" w:hAnsi="幼圆" w:cs="幼圆" w:hint="eastAsia"/>
          <w:sz w:val="24"/>
        </w:rPr>
        <w:t>大灶台变为油烟机和燃气灶，厨房</w:t>
      </w:r>
      <w:r>
        <w:rPr>
          <w:rFonts w:ascii="幼圆" w:eastAsia="幼圆" w:hAnsi="幼圆" w:cs="幼圆" w:hint="eastAsia"/>
          <w:sz w:val="24"/>
        </w:rPr>
        <w:t>电器具有</w:t>
      </w:r>
      <w:r>
        <w:rPr>
          <w:rFonts w:ascii="幼圆" w:eastAsia="幼圆" w:hAnsi="幼圆" w:cs="幼圆" w:hint="eastAsia"/>
          <w:sz w:val="24"/>
        </w:rPr>
        <w:t>很大的潜在销售市场</w:t>
      </w:r>
      <w:r>
        <w:rPr>
          <w:rFonts w:ascii="幼圆" w:eastAsia="幼圆" w:hAnsi="幼圆" w:cs="幼圆" w:hint="eastAsia"/>
          <w:sz w:val="24"/>
          <w:vertAlign w:val="superscript"/>
        </w:rPr>
        <w:t>[</w:t>
      </w:r>
      <w:r>
        <w:rPr>
          <w:rFonts w:ascii="幼圆" w:eastAsia="幼圆" w:hAnsi="幼圆" w:cs="幼圆" w:hint="eastAsia"/>
          <w:sz w:val="24"/>
          <w:vertAlign w:val="superscript"/>
        </w:rPr>
        <w:t>37]</w:t>
      </w:r>
      <w:r>
        <w:rPr>
          <w:rFonts w:ascii="幼圆" w:eastAsia="幼圆" w:hAnsi="幼圆" w:cs="幼圆" w:hint="eastAsia"/>
          <w:sz w:val="24"/>
        </w:rPr>
        <w:t>。</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根据</w:t>
      </w:r>
      <w:r>
        <w:rPr>
          <w:rFonts w:ascii="幼圆" w:eastAsia="幼圆" w:hAnsi="幼圆" w:cs="幼圆" w:hint="eastAsia"/>
          <w:sz w:val="24"/>
        </w:rPr>
        <w:t>中国家电</w:t>
      </w:r>
      <w:r>
        <w:rPr>
          <w:rFonts w:ascii="幼圆" w:eastAsia="幼圆" w:hAnsi="幼圆" w:cs="幼圆" w:hint="eastAsia"/>
          <w:sz w:val="24"/>
        </w:rPr>
        <w:t>网</w:t>
      </w:r>
      <w:r>
        <w:rPr>
          <w:rFonts w:ascii="幼圆" w:eastAsia="幼圆" w:hAnsi="幼圆" w:cs="幼圆" w:hint="eastAsia"/>
          <w:sz w:val="24"/>
        </w:rPr>
        <w:t>的数据统计，</w:t>
      </w:r>
      <w:r>
        <w:rPr>
          <w:rFonts w:ascii="幼圆" w:eastAsia="幼圆" w:hAnsi="幼圆" w:cs="幼圆" w:hint="eastAsia"/>
          <w:sz w:val="24"/>
        </w:rPr>
        <w:t>我国现有的厨电品牌有一千多个，厨电电器产品种类繁多，伴随着国民经济水平的提高，消费者们开始倾向于安全低碳和智能化的厨电产品，中高端产品的销售量也稳步提升。智能厨房成为近年来行业发展的潮流趋势，厨电行业纷纷改革创新，在产品中加入智能和物联网技术，增加厨电产品的功能，改善消费者的体验。目前，已有部分厨电产品加上了智能提醒，远程操控等智能化功能，随着5G技术和智能化技术的进一步发展，厨房电器行业将会迅速发展。</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020</w:t>
      </w:r>
      <w:r>
        <w:rPr>
          <w:rFonts w:ascii="幼圆" w:eastAsia="幼圆" w:hAnsi="幼圆" w:cs="幼圆" w:hint="eastAsia"/>
          <w:sz w:val="24"/>
        </w:rPr>
        <w:t>年受到新冠疫情的影响，国内大部分行业受到了冲击，发展缓慢，C公司也不例外，线下产品销量急剧减少，公司大力发展线上宣传，通过直播带货介绍产品，网上销量增加，线上市场正处于扩张趋势。并且因疫情原因，消费者更加注重健康意识，对于带有消毒杀菌等功能的厨电产品销量迅速增加，成为疫情期间的畅销品。</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厨房电器主要是由不锈钢、冷轧板、铜、玻璃等原材料组成，而且原材料在产品成本的比重较高，原材料价格的浮动会对产品成本产生较大的影响，最终影响C公司的盈利能力。通过价值链成本管理就可以更加全面的了解公司成本的相关信息，通过内部和外部价值链的管理，帮助C公司获得成本竞争优势。</w:t>
      </w:r>
    </w:p>
    <w:p>
      <w:pPr>
        <w:spacing w:line="400" w:lineRule="exact"/>
        <w:rPr>
          <w:rFonts w:ascii="幼圆" w:eastAsia="幼圆" w:hAnsi="幼圆" w:cs="幼圆" w:hint="eastAsia"/>
        </w:rPr>
      </w:pP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69504" behindDoc="0" locked="0" layoutInCell="1" allowOverlap="1">
                <wp:simplePos x="0" y="0"/>
                <wp:positionH relativeFrom="column">
                  <wp:posOffset>2820670</wp:posOffset>
                </wp:positionH>
                <wp:positionV relativeFrom="paragraph">
                  <wp:posOffset>5715</wp:posOffset>
                </wp:positionV>
                <wp:extent cx="698500" cy="292100"/>
                <wp:effectExtent l="4445" t="4445" r="20955" b="8255"/>
                <wp:wrapNone/>
                <wp:docPr id="156" name="Rectangle 118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92100"/>
                        </a:xfrm>
                        <a:prstGeom prst="rect">
                          <a:avLst/>
                        </a:prstGeom>
                        <a:solidFill>
                          <a:srgbClr val="FFFFFF"/>
                        </a:solidFill>
                        <a:ln w="9525">
                          <a:solidFill>
                            <a:srgbClr val="000000"/>
                          </a:solidFill>
                          <a:miter lim="800000"/>
                        </a:ln>
                      </wps:spPr>
                      <wps:txbx>
                        <w:txbxContent>
                          <w:p>
                            <w:pPr>
                              <w:rPr>
                                <w:sz w:val="13"/>
                              </w:rPr>
                            </w:pPr>
                            <w:r>
                              <w:rPr>
                                <w:rFonts w:hint="eastAsia"/>
                                <w:sz w:val="13"/>
                              </w:rPr>
                              <w:t>股东大会</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Rectangle 11818" o:spid="_x0000_s1025" type="#_x0000_t202" style="width:55pt;height:23pt;margin-top:0.45pt;margin-left:222.1pt;mso-wrap-distance-bottom:0;mso-wrap-distance-left:9pt;mso-wrap-distance-right:9pt;mso-wrap-distance-top:0;position:absolute;v-text-anchor:top;z-index:251668480" fillcolor="white" stroked="t" strokecolor="black" strokeweight="0.75pt">
                <v:textbox>
                  <w:txbxContent>
                    <w:p>
                      <w:pPr>
                        <w:rPr>
                          <w:sz w:val="13"/>
                        </w:rPr>
                      </w:pPr>
                      <w:r>
                        <w:rPr>
                          <w:rFonts w:hint="eastAsia"/>
                          <w:sz w:val="13"/>
                        </w:rPr>
                        <w:t>股东大会</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16608" behindDoc="0" locked="0" layoutInCell="1" allowOverlap="1">
                <wp:simplePos x="0" y="0"/>
                <wp:positionH relativeFrom="column">
                  <wp:posOffset>3843020</wp:posOffset>
                </wp:positionH>
                <wp:positionV relativeFrom="paragraph">
                  <wp:posOffset>139065</wp:posOffset>
                </wp:positionV>
                <wp:extent cx="196850" cy="0"/>
                <wp:effectExtent l="0" t="4445" r="0" b="5080"/>
                <wp:wrapNone/>
                <wp:docPr id="155" name="AutoShape 1184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96850" cy="0"/>
                        </a:xfrm>
                        <a:prstGeom prst="straightConnector1">
                          <a:avLst/>
                        </a:prstGeom>
                        <a:noFill/>
                        <a:ln w="9525">
                          <a:solidFill>
                            <a:srgbClr val="000000"/>
                          </a:solidFill>
                          <a:round/>
                        </a:ln>
                      </wps:spPr>
                      <wps:bodyPr/>
                    </wps:wsp>
                  </a:graphicData>
                </a:graphic>
              </wp:anchor>
            </w:drawing>
          </mc:Choice>
          <mc:Fallback>
            <w:pict>
              <v:shapetype id="_x0000_t32" coordsize="21600,21600" o:spt="32" o:oned="t" path="m,l21600,21600e" filled="f">
                <v:path arrowok="t" fillok="f" o:connecttype="none"/>
                <o:lock v:ext="edit" shapetype="t"/>
              </v:shapetype>
              <v:shape id="AutoShape 11841" o:spid="_x0000_s1026" type="#_x0000_t32" style="width:15.5pt;height:0;margin-top:10.95pt;margin-left:302.6pt;mso-wrap-distance-bottom:0;mso-wrap-distance-left:9pt;mso-wrap-distance-right:9pt;mso-wrap-distance-top:0;position:absolute;v-text-anchor:top;z-index:251715584"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14560" behindDoc="0" locked="0" layoutInCell="1" allowOverlap="1">
                <wp:simplePos x="0" y="0"/>
                <wp:positionH relativeFrom="column">
                  <wp:posOffset>3830320</wp:posOffset>
                </wp:positionH>
                <wp:positionV relativeFrom="paragraph">
                  <wp:posOffset>126365</wp:posOffset>
                </wp:positionV>
                <wp:extent cx="12700" cy="1289050"/>
                <wp:effectExtent l="4445" t="0" r="20955" b="6350"/>
                <wp:wrapNone/>
                <wp:docPr id="154" name="AutoShape 1184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2700" cy="1289050"/>
                        </a:xfrm>
                        <a:prstGeom prst="straightConnector1">
                          <a:avLst/>
                        </a:prstGeom>
                        <a:noFill/>
                        <a:ln w="9525">
                          <a:solidFill>
                            <a:srgbClr val="000000"/>
                          </a:solidFill>
                          <a:round/>
                        </a:ln>
                      </wps:spPr>
                      <wps:bodyPr/>
                    </wps:wsp>
                  </a:graphicData>
                </a:graphic>
              </wp:anchor>
            </w:drawing>
          </mc:Choice>
          <mc:Fallback>
            <w:pict>
              <v:shape id="AutoShape 11840" o:spid="_x0000_s1027" type="#_x0000_t32" style="width:1pt;height:101.5pt;margin-top:9.95pt;margin-left:301.6pt;mso-wrap-distance-bottom:0;mso-wrap-distance-left:9pt;mso-wrap-distance-right:9pt;mso-wrap-distance-top:0;position:absolute;v-text-anchor:top;z-index:251713536"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06368" behindDoc="0" locked="0" layoutInCell="1" allowOverlap="1">
                <wp:simplePos x="0" y="0"/>
                <wp:positionH relativeFrom="column">
                  <wp:posOffset>3157220</wp:posOffset>
                </wp:positionH>
                <wp:positionV relativeFrom="paragraph">
                  <wp:posOffset>62865</wp:posOffset>
                </wp:positionV>
                <wp:extent cx="12700" cy="469900"/>
                <wp:effectExtent l="4445" t="0" r="20955" b="6350"/>
                <wp:wrapNone/>
                <wp:docPr id="153" name="AutoShape 1183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2700" cy="469900"/>
                        </a:xfrm>
                        <a:prstGeom prst="straightConnector1">
                          <a:avLst/>
                        </a:prstGeom>
                        <a:noFill/>
                        <a:ln w="9525">
                          <a:solidFill>
                            <a:srgbClr val="000000"/>
                          </a:solidFill>
                          <a:round/>
                        </a:ln>
                      </wps:spPr>
                      <wps:bodyPr/>
                    </wps:wsp>
                  </a:graphicData>
                </a:graphic>
              </wp:anchor>
            </w:drawing>
          </mc:Choice>
          <mc:Fallback>
            <w:pict>
              <v:shape id="AutoShape 11836" o:spid="_x0000_s1028" type="#_x0000_t32" style="width:1pt;height:37pt;margin-top:4.95pt;margin-left:248.6pt;mso-wrap-distance-bottom:0;mso-wrap-distance-left:9pt;mso-wrap-distance-right:9pt;mso-wrap-distance-top:0;position:absolute;v-text-anchor:top;z-index:251705344"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10464" behindDoc="0" locked="0" layoutInCell="1" allowOverlap="1">
                <wp:simplePos x="0" y="0"/>
                <wp:positionH relativeFrom="column">
                  <wp:posOffset>2382520</wp:posOffset>
                </wp:positionH>
                <wp:positionV relativeFrom="paragraph">
                  <wp:posOffset>234315</wp:posOffset>
                </wp:positionV>
                <wp:extent cx="781050" cy="6350"/>
                <wp:effectExtent l="0" t="0" r="0" b="0"/>
                <wp:wrapNone/>
                <wp:docPr id="152" name="AutoShape 1183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781050" cy="6350"/>
                        </a:xfrm>
                        <a:prstGeom prst="straightConnector1">
                          <a:avLst/>
                        </a:prstGeom>
                        <a:noFill/>
                        <a:ln w="9525">
                          <a:solidFill>
                            <a:srgbClr val="000000"/>
                          </a:solidFill>
                          <a:round/>
                        </a:ln>
                      </wps:spPr>
                      <wps:bodyPr/>
                    </wps:wsp>
                  </a:graphicData>
                </a:graphic>
              </wp:anchor>
            </w:drawing>
          </mc:Choice>
          <mc:Fallback>
            <w:pict>
              <v:shape id="AutoShape 11838" o:spid="_x0000_s1029" type="#_x0000_t32" style="width:61.5pt;height:0.5pt;margin-top:18.45pt;margin-left:187.6pt;mso-wrap-distance-bottom:0;mso-wrap-distance-left:9pt;mso-wrap-distance-right:9pt;mso-wrap-distance-top:0;position:absolute;v-text-anchor:top;z-index:251709440"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673600" behindDoc="0" locked="0" layoutInCell="1" allowOverlap="1">
                <wp:simplePos x="0" y="0"/>
                <wp:positionH relativeFrom="column">
                  <wp:posOffset>4027170</wp:posOffset>
                </wp:positionH>
                <wp:positionV relativeFrom="paragraph">
                  <wp:posOffset>24765</wp:posOffset>
                </wp:positionV>
                <wp:extent cx="698500" cy="247650"/>
                <wp:effectExtent l="4445" t="4445" r="20955" b="14605"/>
                <wp:wrapNone/>
                <wp:docPr id="151" name="Rectangle 1182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战略委员会</w:t>
                            </w:r>
                          </w:p>
                        </w:txbxContent>
                      </wps:txbx>
                      <wps:bodyPr rot="0" vert="horz" wrap="square" lIns="91440" tIns="45720" rIns="91440" bIns="45720" anchor="t" anchorCtr="0" upright="1"/>
                    </wps:wsp>
                  </a:graphicData>
                </a:graphic>
              </wp:anchor>
            </w:drawing>
          </mc:Choice>
          <mc:Fallback>
            <w:pict>
              <v:shape id="Rectangle 11820" o:spid="_x0000_s1030" type="#_x0000_t202" style="width:55pt;height:19.5pt;margin-top:1.95pt;margin-left:317.1pt;mso-wrap-distance-bottom:0;mso-wrap-distance-left:9pt;mso-wrap-distance-right:9pt;mso-wrap-distance-top:0;position:absolute;v-text-anchor:top;z-index:251672576" fillcolor="white" stroked="t" strokecolor="black" strokeweight="0.75pt">
                <v:textbox>
                  <w:txbxContent>
                    <w:p>
                      <w:pPr>
                        <w:rPr>
                          <w:sz w:val="13"/>
                        </w:rPr>
                      </w:pPr>
                      <w:r>
                        <w:rPr>
                          <w:rFonts w:hint="eastAsia"/>
                          <w:sz w:val="13"/>
                        </w:rPr>
                        <w:t>战略委员会</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65408" behindDoc="0" locked="0" layoutInCell="1" allowOverlap="1">
                <wp:simplePos x="0" y="0"/>
                <wp:positionH relativeFrom="column">
                  <wp:posOffset>1684020</wp:posOffset>
                </wp:positionH>
                <wp:positionV relativeFrom="paragraph">
                  <wp:posOffset>120015</wp:posOffset>
                </wp:positionV>
                <wp:extent cx="698500" cy="247650"/>
                <wp:effectExtent l="4445" t="4445" r="20955" b="14605"/>
                <wp:wrapNone/>
                <wp:docPr id="150" name="Rectangle 118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监事会</w:t>
                            </w:r>
                          </w:p>
                        </w:txbxContent>
                      </wps:txbx>
                      <wps:bodyPr rot="0" vert="horz" wrap="square" lIns="91440" tIns="45720" rIns="91440" bIns="45720" anchor="t" anchorCtr="0" upright="1"/>
                    </wps:wsp>
                  </a:graphicData>
                </a:graphic>
              </wp:anchor>
            </w:drawing>
          </mc:Choice>
          <mc:Fallback>
            <w:pict>
              <v:shape id="Rectangle 11816" o:spid="_x0000_s1031" type="#_x0000_t202" style="width:55pt;height:19.5pt;margin-top:9.45pt;margin-left:132.6pt;mso-wrap-distance-bottom:0;mso-wrap-distance-left:9pt;mso-wrap-distance-right:9pt;mso-wrap-distance-top:0;position:absolute;v-text-anchor:top;z-index:251664384" fillcolor="white" stroked="t" strokecolor="black" strokeweight="0.75pt">
                <v:textbox>
                  <w:txbxContent>
                    <w:p>
                      <w:pPr>
                        <w:rPr>
                          <w:sz w:val="13"/>
                        </w:rPr>
                      </w:pPr>
                      <w:r>
                        <w:rPr>
                          <w:rFonts w:hint="eastAsia"/>
                          <w:sz w:val="13"/>
                        </w:rPr>
                        <w:t>监事会</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75648" behindDoc="0" locked="0" layoutInCell="1" allowOverlap="1">
                <wp:simplePos x="0" y="0"/>
                <wp:positionH relativeFrom="column">
                  <wp:posOffset>4027170</wp:posOffset>
                </wp:positionH>
                <wp:positionV relativeFrom="paragraph">
                  <wp:posOffset>151765</wp:posOffset>
                </wp:positionV>
                <wp:extent cx="971550" cy="247650"/>
                <wp:effectExtent l="4445" t="4445" r="14605" b="14605"/>
                <wp:wrapNone/>
                <wp:docPr id="148" name="Rectangle 1182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971550" cy="247650"/>
                        </a:xfrm>
                        <a:prstGeom prst="rect">
                          <a:avLst/>
                        </a:prstGeom>
                        <a:solidFill>
                          <a:srgbClr val="FFFFFF"/>
                        </a:solidFill>
                        <a:ln w="9525">
                          <a:solidFill>
                            <a:srgbClr val="000000"/>
                          </a:solidFill>
                          <a:miter lim="800000"/>
                        </a:ln>
                      </wps:spPr>
                      <wps:txbx>
                        <w:txbxContent>
                          <w:p>
                            <w:pPr>
                              <w:jc w:val="left"/>
                              <w:rPr>
                                <w:sz w:val="13"/>
                              </w:rPr>
                            </w:pPr>
                            <w:r>
                              <w:rPr>
                                <w:rFonts w:hint="eastAsia"/>
                                <w:sz w:val="13"/>
                              </w:rPr>
                              <w:t>薪酬与考核委员会</w:t>
                            </w:r>
                          </w:p>
                        </w:txbxContent>
                      </wps:txbx>
                      <wps:bodyPr rot="0" vert="horz" wrap="square" lIns="91440" tIns="45720" rIns="91440" bIns="45720" anchor="t" anchorCtr="0" upright="1"/>
                    </wps:wsp>
                  </a:graphicData>
                </a:graphic>
              </wp:anchor>
            </w:drawing>
          </mc:Choice>
          <mc:Fallback>
            <w:pict>
              <v:shape id="Rectangle 11821" o:spid="_x0000_s1032" type="#_x0000_t202" style="width:76.5pt;height:19.5pt;margin-top:11.95pt;margin-left:317.1pt;mso-wrap-distance-bottom:0;mso-wrap-distance-left:9pt;mso-wrap-distance-right:9pt;mso-wrap-distance-top:0;position:absolute;v-text-anchor:top;z-index:251674624" fillcolor="white" stroked="t" strokecolor="black" strokeweight="0.75pt">
                <v:textbox>
                  <w:txbxContent>
                    <w:p>
                      <w:pPr>
                        <w:jc w:val="left"/>
                        <w:rPr>
                          <w:sz w:val="13"/>
                        </w:rPr>
                      </w:pPr>
                      <w:r>
                        <w:rPr>
                          <w:rFonts w:hint="eastAsia"/>
                          <w:sz w:val="13"/>
                        </w:rPr>
                        <w:t>薪酬与考核委员会</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18656" behindDoc="0" locked="0" layoutInCell="1" allowOverlap="1">
                <wp:simplePos x="0" y="0"/>
                <wp:positionH relativeFrom="column">
                  <wp:posOffset>3843020</wp:posOffset>
                </wp:positionH>
                <wp:positionV relativeFrom="paragraph">
                  <wp:posOffset>5715</wp:posOffset>
                </wp:positionV>
                <wp:extent cx="177800" cy="45720"/>
                <wp:effectExtent l="1270" t="4445" r="11430" b="6985"/>
                <wp:wrapNone/>
                <wp:docPr id="149" name="AutoShape 1184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77800" cy="45719"/>
                        </a:xfrm>
                        <a:prstGeom prst="straightConnector1">
                          <a:avLst/>
                        </a:prstGeom>
                        <a:noFill/>
                        <a:ln w="9525">
                          <a:solidFill>
                            <a:srgbClr val="000000"/>
                          </a:solidFill>
                          <a:round/>
                        </a:ln>
                      </wps:spPr>
                      <wps:bodyPr/>
                    </wps:wsp>
                  </a:graphicData>
                </a:graphic>
              </wp:anchor>
            </w:drawing>
          </mc:Choice>
          <mc:Fallback>
            <w:pict>
              <v:shape id="AutoShape 11842" o:spid="_x0000_s1033" type="#_x0000_t32" style="width:14pt;height:3.6pt;margin-top:0.45pt;margin-left:302.6pt;mso-wrap-distance-bottom:0;mso-wrap-distance-left:9pt;mso-wrap-distance-right:9pt;mso-wrap-distance-top:0;position:absolute;v-text-anchor:top;z-index:251717632"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12512" behindDoc="0" locked="0" layoutInCell="1" allowOverlap="1">
                <wp:simplePos x="0" y="0"/>
                <wp:positionH relativeFrom="column">
                  <wp:posOffset>3550920</wp:posOffset>
                </wp:positionH>
                <wp:positionV relativeFrom="paragraph">
                  <wp:posOffset>158115</wp:posOffset>
                </wp:positionV>
                <wp:extent cx="298450" cy="12700"/>
                <wp:effectExtent l="0" t="4445" r="6350" b="11430"/>
                <wp:wrapNone/>
                <wp:docPr id="147" name="AutoShape 1183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298450" cy="12700"/>
                        </a:xfrm>
                        <a:prstGeom prst="straightConnector1">
                          <a:avLst/>
                        </a:prstGeom>
                        <a:noFill/>
                        <a:ln w="9525">
                          <a:solidFill>
                            <a:srgbClr val="000000"/>
                          </a:solidFill>
                          <a:round/>
                        </a:ln>
                      </wps:spPr>
                      <wps:bodyPr/>
                    </wps:wsp>
                  </a:graphicData>
                </a:graphic>
              </wp:anchor>
            </w:drawing>
          </mc:Choice>
          <mc:Fallback>
            <w:pict>
              <v:shape id="AutoShape 11839" o:spid="_x0000_s1034" type="#_x0000_t32" style="width:23.5pt;height:1pt;margin-top:12.45pt;margin-left:279.6pt;flip:y;mso-wrap-distance-bottom:0;mso-wrap-distance-left:9pt;mso-wrap-distance-right:9pt;mso-wrap-distance-top:0;position:absolute;v-text-anchor:top;z-index:251711488"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04320" behindDoc="0" locked="0" layoutInCell="1" allowOverlap="1">
                <wp:simplePos x="0" y="0"/>
                <wp:positionH relativeFrom="column">
                  <wp:posOffset>2388870</wp:posOffset>
                </wp:positionH>
                <wp:positionV relativeFrom="paragraph">
                  <wp:posOffset>145415</wp:posOffset>
                </wp:positionV>
                <wp:extent cx="469900" cy="0"/>
                <wp:effectExtent l="0" t="4445" r="0" b="5080"/>
                <wp:wrapNone/>
                <wp:docPr id="146" name="AutoShape 1183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69900" cy="0"/>
                        </a:xfrm>
                        <a:prstGeom prst="straightConnector1">
                          <a:avLst/>
                        </a:prstGeom>
                        <a:noFill/>
                        <a:ln w="9525">
                          <a:solidFill>
                            <a:srgbClr val="000000"/>
                          </a:solidFill>
                          <a:round/>
                        </a:ln>
                      </wps:spPr>
                      <wps:bodyPr/>
                    </wps:wsp>
                  </a:graphicData>
                </a:graphic>
              </wp:anchor>
            </w:drawing>
          </mc:Choice>
          <mc:Fallback>
            <w:pict>
              <v:shape id="AutoShape 11835" o:spid="_x0000_s1035" type="#_x0000_t32" style="width:37pt;height:0;margin-top:11.45pt;margin-left:188.1pt;mso-wrap-distance-bottom:0;mso-wrap-distance-left:9pt;mso-wrap-distance-right:9pt;mso-wrap-distance-top:0;position:absolute;v-text-anchor:top;z-index:251703296"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683840" behindDoc="0" locked="0" layoutInCell="1" allowOverlap="1">
                <wp:simplePos x="0" y="0"/>
                <wp:positionH relativeFrom="column">
                  <wp:posOffset>1690370</wp:posOffset>
                </wp:positionH>
                <wp:positionV relativeFrom="paragraph">
                  <wp:posOffset>31115</wp:posOffset>
                </wp:positionV>
                <wp:extent cx="698500" cy="247650"/>
                <wp:effectExtent l="4445" t="4445" r="20955" b="14605"/>
                <wp:wrapNone/>
                <wp:docPr id="145" name="Rectangle 1182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董事会秘书</w:t>
                            </w:r>
                          </w:p>
                        </w:txbxContent>
                      </wps:txbx>
                      <wps:bodyPr rot="0" vert="horz" wrap="square" lIns="91440" tIns="45720" rIns="91440" bIns="45720" anchor="t" anchorCtr="0" upright="1"/>
                    </wps:wsp>
                  </a:graphicData>
                </a:graphic>
              </wp:anchor>
            </w:drawing>
          </mc:Choice>
          <mc:Fallback>
            <w:pict>
              <v:shape id="Rectangle 11825" o:spid="_x0000_s1036" type="#_x0000_t202" style="width:55pt;height:19.5pt;margin-top:2.45pt;margin-left:133.1pt;mso-wrap-distance-bottom:0;mso-wrap-distance-left:9pt;mso-wrap-distance-right:9pt;mso-wrap-distance-top:0;position:absolute;v-text-anchor:top;z-index:251682816" fillcolor="white" stroked="t" strokecolor="black" strokeweight="0.75pt">
                <v:textbox>
                  <w:txbxContent>
                    <w:p>
                      <w:pPr>
                        <w:rPr>
                          <w:sz w:val="13"/>
                        </w:rPr>
                      </w:pPr>
                      <w:r>
                        <w:rPr>
                          <w:rFonts w:hint="eastAsia"/>
                          <w:sz w:val="13"/>
                        </w:rPr>
                        <w:t>董事会秘书</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67456" behindDoc="0" locked="0" layoutInCell="1" allowOverlap="1">
                <wp:simplePos x="0" y="0"/>
                <wp:positionH relativeFrom="column">
                  <wp:posOffset>2852420</wp:posOffset>
                </wp:positionH>
                <wp:positionV relativeFrom="paragraph">
                  <wp:posOffset>37465</wp:posOffset>
                </wp:positionV>
                <wp:extent cx="698500" cy="247650"/>
                <wp:effectExtent l="4445" t="4445" r="20955" b="14605"/>
                <wp:wrapNone/>
                <wp:docPr id="144" name="Rectangle 1181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董事会</w:t>
                            </w:r>
                          </w:p>
                        </w:txbxContent>
                      </wps:txbx>
                      <wps:bodyPr rot="0" vert="horz" wrap="square" lIns="91440" tIns="45720" rIns="91440" bIns="45720" anchor="t" anchorCtr="0" upright="1"/>
                    </wps:wsp>
                  </a:graphicData>
                </a:graphic>
              </wp:anchor>
            </w:drawing>
          </mc:Choice>
          <mc:Fallback>
            <w:pict>
              <v:shape id="Rectangle 11817" o:spid="_x0000_s1037" type="#_x0000_t202" style="width:55pt;height:19.5pt;margin-top:2.95pt;margin-left:224.6pt;mso-wrap-distance-bottom:0;mso-wrap-distance-left:9pt;mso-wrap-distance-right:9pt;mso-wrap-distance-top:0;position:absolute;v-text-anchor:top;z-index:251666432" fillcolor="white" stroked="t" strokecolor="black" strokeweight="0.75pt">
                <v:textbox>
                  <w:txbxContent>
                    <w:p>
                      <w:pPr>
                        <w:rPr>
                          <w:sz w:val="13"/>
                        </w:rPr>
                      </w:pPr>
                      <w:r>
                        <w:rPr>
                          <w:rFonts w:hint="eastAsia"/>
                          <w:sz w:val="13"/>
                        </w:rPr>
                        <w:t>董事会</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61312" behindDoc="0" locked="0" layoutInCell="1" allowOverlap="1">
                <wp:simplePos x="0" y="0"/>
                <wp:positionH relativeFrom="column">
                  <wp:posOffset>1049020</wp:posOffset>
                </wp:positionH>
                <wp:positionV relativeFrom="paragraph">
                  <wp:posOffset>158115</wp:posOffset>
                </wp:positionV>
                <wp:extent cx="635000" cy="0"/>
                <wp:effectExtent l="0" t="4445" r="0" b="5080"/>
                <wp:wrapNone/>
                <wp:docPr id="143" name="AutoShape 1181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00" cy="0"/>
                        </a:xfrm>
                        <a:prstGeom prst="straightConnector1">
                          <a:avLst/>
                        </a:prstGeom>
                        <a:noFill/>
                        <a:ln w="9525">
                          <a:solidFill>
                            <a:srgbClr val="000000"/>
                          </a:solidFill>
                          <a:round/>
                        </a:ln>
                      </wps:spPr>
                      <wps:bodyPr/>
                    </wps:wsp>
                  </a:graphicData>
                </a:graphic>
              </wp:anchor>
            </w:drawing>
          </mc:Choice>
          <mc:Fallback>
            <w:pict>
              <v:shape id="AutoShape 11814" o:spid="_x0000_s1038" type="#_x0000_t32" style="width:50pt;height:0;margin-top:12.45pt;margin-left:82.6pt;mso-wrap-distance-bottom:0;mso-wrap-distance-left:9pt;mso-wrap-distance-right:9pt;mso-wrap-distance-top:0;position:absolute;v-text-anchor:top;z-index:251660288"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659264" behindDoc="0" locked="0" layoutInCell="1" allowOverlap="1">
                <wp:simplePos x="0" y="0"/>
                <wp:positionH relativeFrom="column">
                  <wp:posOffset>350520</wp:posOffset>
                </wp:positionH>
                <wp:positionV relativeFrom="paragraph">
                  <wp:posOffset>50165</wp:posOffset>
                </wp:positionV>
                <wp:extent cx="698500" cy="247650"/>
                <wp:effectExtent l="4445" t="4445" r="20955" b="14605"/>
                <wp:wrapNone/>
                <wp:docPr id="142" name="Rectangle 118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董事会办公室</w:t>
                            </w:r>
                          </w:p>
                        </w:txbxContent>
                      </wps:txbx>
                      <wps:bodyPr rot="0" vert="horz" wrap="square" lIns="91440" tIns="45720" rIns="91440" bIns="45720" anchor="t" anchorCtr="0" upright="1"/>
                    </wps:wsp>
                  </a:graphicData>
                </a:graphic>
              </wp:anchor>
            </w:drawing>
          </mc:Choice>
          <mc:Fallback>
            <w:pict>
              <v:shape id="Rectangle 11813" o:spid="_x0000_s1039" type="#_x0000_t202" style="width:55pt;height:19.5pt;margin-top:3.95pt;margin-left:27.6pt;mso-wrap-distance-bottom:0;mso-wrap-distance-left:9pt;mso-wrap-distance-right:9pt;mso-wrap-distance-top:0;position:absolute;v-text-anchor:top;z-index:251658240" fillcolor="white" stroked="t" strokecolor="black" strokeweight="0.75pt">
                <v:textbox>
                  <w:txbxContent>
                    <w:p>
                      <w:pPr>
                        <w:rPr>
                          <w:sz w:val="13"/>
                        </w:rPr>
                      </w:pPr>
                      <w:r>
                        <w:rPr>
                          <w:rFonts w:hint="eastAsia"/>
                          <w:sz w:val="13"/>
                        </w:rPr>
                        <w:t>董事会办公室</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20704" behindDoc="0" locked="0" layoutInCell="1" allowOverlap="1">
                <wp:simplePos x="0" y="0"/>
                <wp:positionH relativeFrom="column">
                  <wp:posOffset>3830320</wp:posOffset>
                </wp:positionH>
                <wp:positionV relativeFrom="paragraph">
                  <wp:posOffset>221615</wp:posOffset>
                </wp:positionV>
                <wp:extent cx="196850" cy="12700"/>
                <wp:effectExtent l="0" t="4445" r="12700" b="11430"/>
                <wp:wrapNone/>
                <wp:docPr id="141" name="AutoShape 1184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196850" cy="12700"/>
                        </a:xfrm>
                        <a:prstGeom prst="straightConnector1">
                          <a:avLst/>
                        </a:prstGeom>
                        <a:noFill/>
                        <a:ln w="9525">
                          <a:solidFill>
                            <a:srgbClr val="000000"/>
                          </a:solidFill>
                          <a:round/>
                        </a:ln>
                      </wps:spPr>
                      <wps:bodyPr/>
                    </wps:wsp>
                  </a:graphicData>
                </a:graphic>
              </wp:anchor>
            </w:drawing>
          </mc:Choice>
          <mc:Fallback>
            <w:pict>
              <v:shape id="AutoShape 11843" o:spid="_x0000_s1040" type="#_x0000_t32" style="width:15.5pt;height:1pt;margin-top:17.45pt;margin-left:301.6pt;flip:y;mso-wrap-distance-bottom:0;mso-wrap-distance-left:9pt;mso-wrap-distance-right:9pt;mso-wrap-distance-top:0;position:absolute;v-text-anchor:top;z-index:251719680"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08416" behindDoc="0" locked="0" layoutInCell="1" allowOverlap="1">
                <wp:simplePos x="0" y="0"/>
                <wp:positionH relativeFrom="column">
                  <wp:posOffset>3201670</wp:posOffset>
                </wp:positionH>
                <wp:positionV relativeFrom="paragraph">
                  <wp:posOffset>24765</wp:posOffset>
                </wp:positionV>
                <wp:extent cx="6350" cy="292100"/>
                <wp:effectExtent l="4445" t="0" r="8255" b="12700"/>
                <wp:wrapNone/>
                <wp:docPr id="140" name="AutoShape 1183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 cy="292100"/>
                        </a:xfrm>
                        <a:prstGeom prst="straightConnector1">
                          <a:avLst/>
                        </a:prstGeom>
                        <a:noFill/>
                        <a:ln w="9525">
                          <a:solidFill>
                            <a:srgbClr val="000000"/>
                          </a:solidFill>
                          <a:round/>
                        </a:ln>
                      </wps:spPr>
                      <wps:bodyPr/>
                    </wps:wsp>
                  </a:graphicData>
                </a:graphic>
              </wp:anchor>
            </w:drawing>
          </mc:Choice>
          <mc:Fallback>
            <w:pict>
              <v:shape id="AutoShape 11837" o:spid="_x0000_s1041" type="#_x0000_t32" style="width:0.5pt;height:23pt;margin-top:1.95pt;margin-left:252.1pt;mso-wrap-distance-bottom:0;mso-wrap-distance-left:9pt;mso-wrap-distance-right:9pt;mso-wrap-distance-top:0;position:absolute;v-text-anchor:top;z-index:251707392"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677696" behindDoc="0" locked="0" layoutInCell="1" allowOverlap="1">
                <wp:simplePos x="0" y="0"/>
                <wp:positionH relativeFrom="column">
                  <wp:posOffset>4033520</wp:posOffset>
                </wp:positionH>
                <wp:positionV relativeFrom="paragraph">
                  <wp:posOffset>81915</wp:posOffset>
                </wp:positionV>
                <wp:extent cx="698500" cy="247650"/>
                <wp:effectExtent l="4445" t="4445" r="20955" b="14605"/>
                <wp:wrapNone/>
                <wp:docPr id="139" name="Rectangle 1182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提名委员会</w:t>
                            </w:r>
                          </w:p>
                        </w:txbxContent>
                      </wps:txbx>
                      <wps:bodyPr rot="0" vert="horz" wrap="square" lIns="91440" tIns="45720" rIns="91440" bIns="45720" anchor="t" anchorCtr="0" upright="1"/>
                    </wps:wsp>
                  </a:graphicData>
                </a:graphic>
              </wp:anchor>
            </w:drawing>
          </mc:Choice>
          <mc:Fallback>
            <w:pict>
              <v:shape id="Rectangle 11822" o:spid="_x0000_s1042" type="#_x0000_t202" style="width:55pt;height:19.5pt;margin-top:6.45pt;margin-left:317.6pt;mso-wrap-distance-bottom:0;mso-wrap-distance-left:9pt;mso-wrap-distance-right:9pt;mso-wrap-distance-top:0;position:absolute;v-text-anchor:top;z-index:251676672" fillcolor="white" stroked="t" strokecolor="black" strokeweight="0.75pt">
                <v:textbox>
                  <w:txbxContent>
                    <w:p>
                      <w:pPr>
                        <w:rPr>
                          <w:sz w:val="13"/>
                        </w:rPr>
                      </w:pPr>
                      <w:r>
                        <w:rPr>
                          <w:rFonts w:hint="eastAsia"/>
                          <w:sz w:val="13"/>
                        </w:rPr>
                        <w:t>提名委员会</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671552" behindDoc="0" locked="0" layoutInCell="1" allowOverlap="1">
                <wp:simplePos x="0" y="0"/>
                <wp:positionH relativeFrom="column">
                  <wp:posOffset>2865120</wp:posOffset>
                </wp:positionH>
                <wp:positionV relativeFrom="paragraph">
                  <wp:posOffset>69215</wp:posOffset>
                </wp:positionV>
                <wp:extent cx="698500" cy="247650"/>
                <wp:effectExtent l="4445" t="4445" r="20955" b="14605"/>
                <wp:wrapNone/>
                <wp:docPr id="138" name="Rectangle 1181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总经理</w:t>
                            </w:r>
                          </w:p>
                        </w:txbxContent>
                      </wps:txbx>
                      <wps:bodyPr rot="0" vert="horz" wrap="square" lIns="91440" tIns="45720" rIns="91440" bIns="45720" anchor="t" anchorCtr="0" upright="1"/>
                    </wps:wsp>
                  </a:graphicData>
                </a:graphic>
              </wp:anchor>
            </w:drawing>
          </mc:Choice>
          <mc:Fallback>
            <w:pict>
              <v:shape id="Rectangle 11819" o:spid="_x0000_s1043" type="#_x0000_t202" style="width:55pt;height:19.5pt;margin-top:5.45pt;margin-left:225.6pt;mso-wrap-distance-bottom:0;mso-wrap-distance-left:9pt;mso-wrap-distance-right:9pt;mso-wrap-distance-top:0;position:absolute;v-text-anchor:top;z-index:251670528" fillcolor="white" stroked="t" strokecolor="black" strokeweight="0.75pt">
                <v:textbox>
                  <w:txbxContent>
                    <w:p>
                      <w:pPr>
                        <w:rPr>
                          <w:sz w:val="13"/>
                        </w:rPr>
                      </w:pPr>
                      <w:r>
                        <w:rPr>
                          <w:rFonts w:hint="eastAsia"/>
                          <w:sz w:val="13"/>
                        </w:rPr>
                        <w:t>总经理</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26848" behindDoc="0" locked="0" layoutInCell="1" allowOverlap="1">
                <wp:simplePos x="0" y="0"/>
                <wp:positionH relativeFrom="column">
                  <wp:posOffset>3220720</wp:posOffset>
                </wp:positionH>
                <wp:positionV relativeFrom="paragraph">
                  <wp:posOffset>62865</wp:posOffset>
                </wp:positionV>
                <wp:extent cx="6350" cy="285750"/>
                <wp:effectExtent l="4445" t="0" r="8255" b="0"/>
                <wp:wrapNone/>
                <wp:docPr id="137" name="AutoShape 1184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 cy="285750"/>
                        </a:xfrm>
                        <a:prstGeom prst="straightConnector1">
                          <a:avLst/>
                        </a:prstGeom>
                        <a:noFill/>
                        <a:ln w="9525">
                          <a:solidFill>
                            <a:srgbClr val="000000"/>
                          </a:solidFill>
                          <a:round/>
                        </a:ln>
                      </wps:spPr>
                      <wps:bodyPr/>
                    </wps:wsp>
                  </a:graphicData>
                </a:graphic>
              </wp:anchor>
            </w:drawing>
          </mc:Choice>
          <mc:Fallback>
            <w:pict>
              <v:shape id="AutoShape 11846" o:spid="_x0000_s1044" type="#_x0000_t32" style="width:0.5pt;height:22.5pt;margin-top:4.95pt;margin-left:253.6pt;mso-wrap-distance-bottom:0;mso-wrap-distance-left:9pt;mso-wrap-distance-right:9pt;mso-wrap-distance-top:0;position:absolute;v-text-anchor:top;z-index:251725824"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24800" behindDoc="0" locked="0" layoutInCell="1" allowOverlap="1">
                <wp:simplePos x="0" y="0"/>
                <wp:positionH relativeFrom="column">
                  <wp:posOffset>4751070</wp:posOffset>
                </wp:positionH>
                <wp:positionV relativeFrom="paragraph">
                  <wp:posOffset>151765</wp:posOffset>
                </wp:positionV>
                <wp:extent cx="565150" cy="6350"/>
                <wp:effectExtent l="0" t="0" r="0" b="0"/>
                <wp:wrapNone/>
                <wp:docPr id="136" name="AutoShape 1184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65150" cy="6350"/>
                        </a:xfrm>
                        <a:prstGeom prst="straightConnector1">
                          <a:avLst/>
                        </a:prstGeom>
                        <a:noFill/>
                        <a:ln w="9525">
                          <a:solidFill>
                            <a:srgbClr val="000000"/>
                          </a:solidFill>
                          <a:round/>
                        </a:ln>
                      </wps:spPr>
                      <wps:bodyPr/>
                    </wps:wsp>
                  </a:graphicData>
                </a:graphic>
              </wp:anchor>
            </w:drawing>
          </mc:Choice>
          <mc:Fallback>
            <w:pict>
              <v:shape id="AutoShape 11845" o:spid="_x0000_s1045" type="#_x0000_t32" style="width:44.5pt;height:0.5pt;margin-top:11.95pt;margin-left:374.1pt;flip:y;mso-wrap-distance-bottom:0;mso-wrap-distance-left:9pt;mso-wrap-distance-right:9pt;mso-wrap-distance-top:0;position:absolute;v-text-anchor:top;z-index:251723776"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22752" behindDoc="0" locked="0" layoutInCell="1" allowOverlap="1">
                <wp:simplePos x="0" y="0"/>
                <wp:positionH relativeFrom="column">
                  <wp:posOffset>3836670</wp:posOffset>
                </wp:positionH>
                <wp:positionV relativeFrom="paragraph">
                  <wp:posOffset>151765</wp:posOffset>
                </wp:positionV>
                <wp:extent cx="196850" cy="0"/>
                <wp:effectExtent l="0" t="4445" r="0" b="5080"/>
                <wp:wrapNone/>
                <wp:docPr id="135" name="AutoShape 1184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96850" cy="0"/>
                        </a:xfrm>
                        <a:prstGeom prst="straightConnector1">
                          <a:avLst/>
                        </a:prstGeom>
                        <a:noFill/>
                        <a:ln w="9525">
                          <a:solidFill>
                            <a:srgbClr val="000000"/>
                          </a:solidFill>
                          <a:round/>
                        </a:ln>
                      </wps:spPr>
                      <wps:bodyPr/>
                    </wps:wsp>
                  </a:graphicData>
                </a:graphic>
              </wp:anchor>
            </w:drawing>
          </mc:Choice>
          <mc:Fallback>
            <w:pict>
              <v:shape id="AutoShape 11844" o:spid="_x0000_s1046" type="#_x0000_t32" style="width:15.5pt;height:0;margin-top:11.95pt;margin-left:302.1pt;mso-wrap-distance-bottom:0;mso-wrap-distance-left:9pt;mso-wrap-distance-right:9pt;mso-wrap-distance-top:0;position:absolute;v-text-anchor:top;z-index:251721728"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681792" behindDoc="0" locked="0" layoutInCell="1" allowOverlap="1">
                <wp:simplePos x="0" y="0"/>
                <wp:positionH relativeFrom="column">
                  <wp:posOffset>5316220</wp:posOffset>
                </wp:positionH>
                <wp:positionV relativeFrom="paragraph">
                  <wp:posOffset>24765</wp:posOffset>
                </wp:positionV>
                <wp:extent cx="698500" cy="247650"/>
                <wp:effectExtent l="4445" t="4445" r="20955" b="14605"/>
                <wp:wrapNone/>
                <wp:docPr id="134" name="Rectangle 1182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内部审计部</w:t>
                            </w:r>
                          </w:p>
                        </w:txbxContent>
                      </wps:txbx>
                      <wps:bodyPr rot="0" vert="horz" wrap="square" lIns="91440" tIns="45720" rIns="91440" bIns="45720" anchor="t" anchorCtr="0" upright="1"/>
                    </wps:wsp>
                  </a:graphicData>
                </a:graphic>
              </wp:anchor>
            </w:drawing>
          </mc:Choice>
          <mc:Fallback>
            <w:pict>
              <v:shape id="Rectangle 11824" o:spid="_x0000_s1047" type="#_x0000_t202" style="width:55pt;height:19.5pt;margin-top:1.95pt;margin-left:418.6pt;mso-wrap-distance-bottom:0;mso-wrap-distance-left:9pt;mso-wrap-distance-right:9pt;mso-wrap-distance-top:0;position:absolute;v-text-anchor:top;z-index:251680768" fillcolor="white" stroked="t" strokecolor="black" strokeweight="0.75pt">
                <v:textbox>
                  <w:txbxContent>
                    <w:p>
                      <w:pPr>
                        <w:rPr>
                          <w:sz w:val="13"/>
                        </w:rPr>
                      </w:pPr>
                      <w:r>
                        <w:rPr>
                          <w:rFonts w:hint="eastAsia"/>
                          <w:sz w:val="13"/>
                        </w:rPr>
                        <w:t>内部审计部</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79744" behindDoc="0" locked="0" layoutInCell="1" allowOverlap="1">
                <wp:simplePos x="0" y="0"/>
                <wp:positionH relativeFrom="column">
                  <wp:posOffset>4033520</wp:posOffset>
                </wp:positionH>
                <wp:positionV relativeFrom="paragraph">
                  <wp:posOffset>18415</wp:posOffset>
                </wp:positionV>
                <wp:extent cx="698500" cy="247650"/>
                <wp:effectExtent l="4445" t="4445" r="20955" b="14605"/>
                <wp:wrapNone/>
                <wp:docPr id="133" name="Rectangle 1182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审计委员会</w:t>
                            </w:r>
                          </w:p>
                        </w:txbxContent>
                      </wps:txbx>
                      <wps:bodyPr rot="0" vert="horz" wrap="square" lIns="91440" tIns="45720" rIns="91440" bIns="45720" anchor="t" anchorCtr="0" upright="1"/>
                    </wps:wsp>
                  </a:graphicData>
                </a:graphic>
              </wp:anchor>
            </w:drawing>
          </mc:Choice>
          <mc:Fallback>
            <w:pict>
              <v:shape id="Rectangle 11823" o:spid="_x0000_s1048" type="#_x0000_t202" style="width:55pt;height:19.5pt;margin-top:1.45pt;margin-left:317.6pt;mso-wrap-distance-bottom:0;mso-wrap-distance-left:9pt;mso-wrap-distance-right:9pt;mso-wrap-distance-top:0;position:absolute;v-text-anchor:top;z-index:251678720" fillcolor="white" stroked="t" strokecolor="black" strokeweight="0.75pt">
                <v:textbox>
                  <w:txbxContent>
                    <w:p>
                      <w:pPr>
                        <w:rPr>
                          <w:sz w:val="13"/>
                        </w:rPr>
                      </w:pPr>
                      <w:r>
                        <w:rPr>
                          <w:rFonts w:hint="eastAsia"/>
                          <w:sz w:val="13"/>
                        </w:rPr>
                        <w:t>审计委员会</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43232" behindDoc="0" locked="0" layoutInCell="1" allowOverlap="1">
                <wp:simplePos x="0" y="0"/>
                <wp:positionH relativeFrom="column">
                  <wp:posOffset>5779770</wp:posOffset>
                </wp:positionH>
                <wp:positionV relativeFrom="paragraph">
                  <wp:posOffset>107315</wp:posOffset>
                </wp:positionV>
                <wp:extent cx="0" cy="215900"/>
                <wp:effectExtent l="5080" t="0" r="13970" b="12700"/>
                <wp:wrapNone/>
                <wp:docPr id="132" name="AutoShape 1185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215900"/>
                        </a:xfrm>
                        <a:prstGeom prst="straightConnector1">
                          <a:avLst/>
                        </a:prstGeom>
                        <a:noFill/>
                        <a:ln w="9525">
                          <a:solidFill>
                            <a:srgbClr val="000000"/>
                          </a:solidFill>
                          <a:round/>
                        </a:ln>
                      </wps:spPr>
                      <wps:bodyPr/>
                    </wps:wsp>
                  </a:graphicData>
                </a:graphic>
              </wp:anchor>
            </w:drawing>
          </mc:Choice>
          <mc:Fallback>
            <w:pict>
              <v:shape id="AutoShape 11854" o:spid="_x0000_s1049" type="#_x0000_t32" style="width:0;height:17pt;margin-top:8.45pt;margin-left:455.1pt;mso-wrap-distance-bottom:0;mso-wrap-distance-left:9pt;mso-wrap-distance-right:9pt;mso-wrap-distance-top:0;position:absolute;v-text-anchor:top;z-index:251742208"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41184" behindDoc="0" locked="0" layoutInCell="1" allowOverlap="1">
                <wp:simplePos x="0" y="0"/>
                <wp:positionH relativeFrom="column">
                  <wp:posOffset>4890770</wp:posOffset>
                </wp:positionH>
                <wp:positionV relativeFrom="paragraph">
                  <wp:posOffset>94615</wp:posOffset>
                </wp:positionV>
                <wp:extent cx="6350" cy="209550"/>
                <wp:effectExtent l="4445" t="0" r="8255" b="0"/>
                <wp:wrapNone/>
                <wp:docPr id="131" name="AutoShape 1185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 cy="209550"/>
                        </a:xfrm>
                        <a:prstGeom prst="straightConnector1">
                          <a:avLst/>
                        </a:prstGeom>
                        <a:noFill/>
                        <a:ln w="9525">
                          <a:solidFill>
                            <a:srgbClr val="000000"/>
                          </a:solidFill>
                          <a:round/>
                        </a:ln>
                      </wps:spPr>
                      <wps:bodyPr/>
                    </wps:wsp>
                  </a:graphicData>
                </a:graphic>
              </wp:anchor>
            </w:drawing>
          </mc:Choice>
          <mc:Fallback>
            <w:pict>
              <v:shape id="AutoShape 11853" o:spid="_x0000_s1050" type="#_x0000_t32" style="width:0.5pt;height:16.5pt;margin-top:7.45pt;margin-left:385.1pt;mso-wrap-distance-bottom:0;mso-wrap-distance-left:9pt;mso-wrap-distance-right:9pt;mso-wrap-distance-top:0;position:absolute;v-text-anchor:top;z-index:251740160"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39136" behindDoc="0" locked="0" layoutInCell="1" allowOverlap="1">
                <wp:simplePos x="0" y="0"/>
                <wp:positionH relativeFrom="column">
                  <wp:posOffset>3944620</wp:posOffset>
                </wp:positionH>
                <wp:positionV relativeFrom="paragraph">
                  <wp:posOffset>100965</wp:posOffset>
                </wp:positionV>
                <wp:extent cx="12700" cy="203200"/>
                <wp:effectExtent l="4445" t="0" r="20955" b="6350"/>
                <wp:wrapNone/>
                <wp:docPr id="130" name="AutoShape 1185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12700" cy="203200"/>
                        </a:xfrm>
                        <a:prstGeom prst="straightConnector1">
                          <a:avLst/>
                        </a:prstGeom>
                        <a:noFill/>
                        <a:ln w="9525">
                          <a:solidFill>
                            <a:srgbClr val="000000"/>
                          </a:solidFill>
                          <a:round/>
                        </a:ln>
                      </wps:spPr>
                      <wps:bodyPr/>
                    </wps:wsp>
                  </a:graphicData>
                </a:graphic>
              </wp:anchor>
            </w:drawing>
          </mc:Choice>
          <mc:Fallback>
            <w:pict>
              <v:shape id="AutoShape 11852" o:spid="_x0000_s1051" type="#_x0000_t32" style="width:1pt;height:16pt;margin-top:7.95pt;margin-left:310.6pt;mso-wrap-distance-bottom:0;mso-wrap-distance-left:9pt;mso-wrap-distance-right:9pt;mso-wrap-distance-top:0;position:absolute;v-text-anchor:top;z-index:251738112"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37088" behindDoc="0" locked="0" layoutInCell="1" allowOverlap="1">
                <wp:simplePos x="0" y="0"/>
                <wp:positionH relativeFrom="column">
                  <wp:posOffset>3011170</wp:posOffset>
                </wp:positionH>
                <wp:positionV relativeFrom="paragraph">
                  <wp:posOffset>107315</wp:posOffset>
                </wp:positionV>
                <wp:extent cx="6350" cy="171450"/>
                <wp:effectExtent l="4445" t="0" r="8255" b="19050"/>
                <wp:wrapNone/>
                <wp:docPr id="129" name="AutoShape 1185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 cy="171450"/>
                        </a:xfrm>
                        <a:prstGeom prst="straightConnector1">
                          <a:avLst/>
                        </a:prstGeom>
                        <a:noFill/>
                        <a:ln w="9525">
                          <a:solidFill>
                            <a:srgbClr val="000000"/>
                          </a:solidFill>
                          <a:round/>
                        </a:ln>
                      </wps:spPr>
                      <wps:bodyPr/>
                    </wps:wsp>
                  </a:graphicData>
                </a:graphic>
              </wp:anchor>
            </w:drawing>
          </mc:Choice>
          <mc:Fallback>
            <w:pict>
              <v:shape id="AutoShape 11851" o:spid="_x0000_s1052" type="#_x0000_t32" style="width:0.5pt;height:13.5pt;margin-top:8.45pt;margin-left:237.1pt;mso-wrap-distance-bottom:0;mso-wrap-distance-left:9pt;mso-wrap-distance-right:9pt;mso-wrap-distance-top:0;position:absolute;v-text-anchor:top;z-index:251736064"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35040" behindDoc="0" locked="0" layoutInCell="1" allowOverlap="1">
                <wp:simplePos x="0" y="0"/>
                <wp:positionH relativeFrom="column">
                  <wp:posOffset>2160270</wp:posOffset>
                </wp:positionH>
                <wp:positionV relativeFrom="paragraph">
                  <wp:posOffset>94615</wp:posOffset>
                </wp:positionV>
                <wp:extent cx="0" cy="171450"/>
                <wp:effectExtent l="4445" t="0" r="14605" b="0"/>
                <wp:wrapNone/>
                <wp:docPr id="128" name="AutoShape 11850"/>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71450"/>
                        </a:xfrm>
                        <a:prstGeom prst="straightConnector1">
                          <a:avLst/>
                        </a:prstGeom>
                        <a:noFill/>
                        <a:ln w="9525">
                          <a:solidFill>
                            <a:srgbClr val="000000"/>
                          </a:solidFill>
                          <a:round/>
                        </a:ln>
                      </wps:spPr>
                      <wps:bodyPr/>
                    </wps:wsp>
                  </a:graphicData>
                </a:graphic>
              </wp:anchor>
            </w:drawing>
          </mc:Choice>
          <mc:Fallback>
            <w:pict>
              <v:shape id="AutoShape 11850" o:spid="_x0000_s1053" type="#_x0000_t32" style="width:0;height:13.5pt;margin-top:7.45pt;margin-left:170.1pt;mso-wrap-distance-bottom:0;mso-wrap-distance-left:9pt;mso-wrap-distance-right:9pt;mso-wrap-distance-top:0;position:absolute;v-text-anchor:top;z-index:251734016"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32992" behindDoc="0" locked="0" layoutInCell="1" allowOverlap="1">
                <wp:simplePos x="0" y="0"/>
                <wp:positionH relativeFrom="column">
                  <wp:posOffset>1347470</wp:posOffset>
                </wp:positionH>
                <wp:positionV relativeFrom="paragraph">
                  <wp:posOffset>94615</wp:posOffset>
                </wp:positionV>
                <wp:extent cx="6350" cy="171450"/>
                <wp:effectExtent l="4445" t="0" r="8255" b="19050"/>
                <wp:wrapNone/>
                <wp:docPr id="127" name="AutoShape 11849"/>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 cy="171450"/>
                        </a:xfrm>
                        <a:prstGeom prst="straightConnector1">
                          <a:avLst/>
                        </a:prstGeom>
                        <a:noFill/>
                        <a:ln w="9525">
                          <a:solidFill>
                            <a:srgbClr val="000000"/>
                          </a:solidFill>
                          <a:round/>
                        </a:ln>
                      </wps:spPr>
                      <wps:bodyPr/>
                    </wps:wsp>
                  </a:graphicData>
                </a:graphic>
              </wp:anchor>
            </w:drawing>
          </mc:Choice>
          <mc:Fallback>
            <w:pict>
              <v:shape id="AutoShape 11849" o:spid="_x0000_s1054" type="#_x0000_t32" style="width:0.5pt;height:13.5pt;margin-top:7.45pt;margin-left:106.1pt;mso-wrap-distance-bottom:0;mso-wrap-distance-left:9pt;mso-wrap-distance-right:9pt;mso-wrap-distance-top:0;position:absolute;v-text-anchor:top;z-index:251731968"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30944" behindDoc="0" locked="0" layoutInCell="1" allowOverlap="1">
                <wp:simplePos x="0" y="0"/>
                <wp:positionH relativeFrom="column">
                  <wp:posOffset>369570</wp:posOffset>
                </wp:positionH>
                <wp:positionV relativeFrom="paragraph">
                  <wp:posOffset>100965</wp:posOffset>
                </wp:positionV>
                <wp:extent cx="0" cy="171450"/>
                <wp:effectExtent l="4445" t="0" r="14605" b="0"/>
                <wp:wrapNone/>
                <wp:docPr id="126" name="AutoShape 1184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71450"/>
                        </a:xfrm>
                        <a:prstGeom prst="straightConnector1">
                          <a:avLst/>
                        </a:prstGeom>
                        <a:noFill/>
                        <a:ln w="9525">
                          <a:solidFill>
                            <a:srgbClr val="000000"/>
                          </a:solidFill>
                          <a:round/>
                        </a:ln>
                      </wps:spPr>
                      <wps:bodyPr/>
                    </wps:wsp>
                  </a:graphicData>
                </a:graphic>
              </wp:anchor>
            </w:drawing>
          </mc:Choice>
          <mc:Fallback>
            <w:pict>
              <v:shape id="AutoShape 11848" o:spid="_x0000_s1055" type="#_x0000_t32" style="width:0;height:13.5pt;margin-top:7.95pt;margin-left:29.1pt;mso-wrap-distance-bottom:0;mso-wrap-distance-left:9pt;mso-wrap-distance-right:9pt;mso-wrap-distance-top:0;position:absolute;v-text-anchor:top;z-index:251729920"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28896" behindDoc="0" locked="0" layoutInCell="1" allowOverlap="1">
                <wp:simplePos x="0" y="0"/>
                <wp:positionH relativeFrom="column">
                  <wp:posOffset>369570</wp:posOffset>
                </wp:positionH>
                <wp:positionV relativeFrom="paragraph">
                  <wp:posOffset>100965</wp:posOffset>
                </wp:positionV>
                <wp:extent cx="5422900" cy="6350"/>
                <wp:effectExtent l="0" t="0" r="0" b="0"/>
                <wp:wrapNone/>
                <wp:docPr id="125" name="AutoShape 1184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422900" cy="6350"/>
                        </a:xfrm>
                        <a:prstGeom prst="straightConnector1">
                          <a:avLst/>
                        </a:prstGeom>
                        <a:noFill/>
                        <a:ln w="9525">
                          <a:solidFill>
                            <a:srgbClr val="000000"/>
                          </a:solidFill>
                          <a:round/>
                        </a:ln>
                      </wps:spPr>
                      <wps:bodyPr/>
                    </wps:wsp>
                  </a:graphicData>
                </a:graphic>
              </wp:anchor>
            </w:drawing>
          </mc:Choice>
          <mc:Fallback>
            <w:pict>
              <v:shape id="AutoShape 11847" o:spid="_x0000_s1056" type="#_x0000_t32" style="width:427pt;height:0.5pt;margin-top:7.95pt;margin-left:29.1pt;mso-wrap-distance-bottom:0;mso-wrap-distance-left:9pt;mso-wrap-distance-right:9pt;mso-wrap-distance-top:0;position:absolute;v-text-anchor:top;z-index:251727872" filled="f" fillcolor="this" stroked="t" strokecolor="black" strokeweight="0.75pt">
                <v:stroke joinstyle="round"/>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47328" behindDoc="0" locked="0" layoutInCell="1" allowOverlap="1">
                <wp:simplePos x="0" y="0"/>
                <wp:positionH relativeFrom="column">
                  <wp:posOffset>2153920</wp:posOffset>
                </wp:positionH>
                <wp:positionV relativeFrom="paragraph">
                  <wp:posOffset>253365</wp:posOffset>
                </wp:positionV>
                <wp:extent cx="0" cy="158750"/>
                <wp:effectExtent l="4445" t="0" r="14605" b="12700"/>
                <wp:wrapNone/>
                <wp:docPr id="124" name="AutoShape 1185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158750"/>
                        </a:xfrm>
                        <a:prstGeom prst="straightConnector1">
                          <a:avLst/>
                        </a:prstGeom>
                        <a:noFill/>
                        <a:ln w="9525">
                          <a:solidFill>
                            <a:srgbClr val="000000"/>
                          </a:solidFill>
                          <a:round/>
                        </a:ln>
                      </wps:spPr>
                      <wps:bodyPr/>
                    </wps:wsp>
                  </a:graphicData>
                </a:graphic>
              </wp:anchor>
            </w:drawing>
          </mc:Choice>
          <mc:Fallback>
            <w:pict>
              <v:shape id="AutoShape 11856" o:spid="_x0000_s1057" type="#_x0000_t32" style="width:0;height:12.5pt;margin-top:19.95pt;margin-left:169.6pt;mso-wrap-distance-bottom:0;mso-wrap-distance-left:9pt;mso-wrap-distance-right:9pt;mso-wrap-distance-top:0;position:absolute;v-text-anchor:top;z-index:251746304"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45280" behindDoc="0" locked="0" layoutInCell="1" allowOverlap="1">
                <wp:simplePos x="0" y="0"/>
                <wp:positionH relativeFrom="column">
                  <wp:posOffset>1353820</wp:posOffset>
                </wp:positionH>
                <wp:positionV relativeFrom="paragraph">
                  <wp:posOffset>253365</wp:posOffset>
                </wp:positionV>
                <wp:extent cx="6350" cy="177800"/>
                <wp:effectExtent l="4445" t="0" r="8255" b="12700"/>
                <wp:wrapNone/>
                <wp:docPr id="123" name="AutoShape 1185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350" cy="177800"/>
                        </a:xfrm>
                        <a:prstGeom prst="straightConnector1">
                          <a:avLst/>
                        </a:prstGeom>
                        <a:noFill/>
                        <a:ln w="9525">
                          <a:solidFill>
                            <a:srgbClr val="000000"/>
                          </a:solidFill>
                          <a:round/>
                        </a:ln>
                      </wps:spPr>
                      <wps:bodyPr/>
                    </wps:wsp>
                  </a:graphicData>
                </a:graphic>
              </wp:anchor>
            </w:drawing>
          </mc:Choice>
          <mc:Fallback>
            <w:pict>
              <v:shape id="AutoShape 11855" o:spid="_x0000_s1058" type="#_x0000_t32" style="width:0.5pt;height:14pt;margin-top:19.95pt;margin-left:106.6pt;mso-wrap-distance-bottom:0;mso-wrap-distance-left:9pt;mso-wrap-distance-right:9pt;mso-wrap-distance-top:0;position:absolute;v-text-anchor:top;z-index:251744256"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696128" behindDoc="0" locked="0" layoutInCell="1" allowOverlap="1">
                <wp:simplePos x="0" y="0"/>
                <wp:positionH relativeFrom="column">
                  <wp:posOffset>5538470</wp:posOffset>
                </wp:positionH>
                <wp:positionV relativeFrom="paragraph">
                  <wp:posOffset>62865</wp:posOffset>
                </wp:positionV>
                <wp:extent cx="698500" cy="247650"/>
                <wp:effectExtent l="4445" t="4445" r="20955" b="14605"/>
                <wp:wrapNone/>
                <wp:docPr id="122" name="Rectangle 1183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财务中心</w:t>
                            </w:r>
                          </w:p>
                        </w:txbxContent>
                      </wps:txbx>
                      <wps:bodyPr rot="0" vert="horz" wrap="square" lIns="91440" tIns="45720" rIns="91440" bIns="45720" anchor="t" anchorCtr="0" upright="1"/>
                    </wps:wsp>
                  </a:graphicData>
                </a:graphic>
              </wp:anchor>
            </w:drawing>
          </mc:Choice>
          <mc:Fallback>
            <w:pict>
              <v:shape id="Rectangle 11831" o:spid="_x0000_s1059" type="#_x0000_t202" style="width:55pt;height:19.5pt;margin-top:4.95pt;margin-left:436.1pt;mso-wrap-distance-bottom:0;mso-wrap-distance-left:9pt;mso-wrap-distance-right:9pt;mso-wrap-distance-top:0;position:absolute;v-text-anchor:top;z-index:251695104" fillcolor="white" stroked="t" strokecolor="black" strokeweight="0.75pt">
                <v:textbox>
                  <w:txbxContent>
                    <w:p>
                      <w:pPr>
                        <w:rPr>
                          <w:sz w:val="13"/>
                        </w:rPr>
                      </w:pPr>
                      <w:r>
                        <w:rPr>
                          <w:rFonts w:hint="eastAsia"/>
                          <w:sz w:val="13"/>
                        </w:rPr>
                        <w:t>财务中心</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94080" behindDoc="0" locked="0" layoutInCell="1" allowOverlap="1">
                <wp:simplePos x="0" y="0"/>
                <wp:positionH relativeFrom="column">
                  <wp:posOffset>4598670</wp:posOffset>
                </wp:positionH>
                <wp:positionV relativeFrom="paragraph">
                  <wp:posOffset>50165</wp:posOffset>
                </wp:positionV>
                <wp:extent cx="698500" cy="247650"/>
                <wp:effectExtent l="4445" t="4445" r="20955" b="14605"/>
                <wp:wrapNone/>
                <wp:docPr id="121" name="Rectangle 11830"/>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研发中心</w:t>
                            </w:r>
                          </w:p>
                        </w:txbxContent>
                      </wps:txbx>
                      <wps:bodyPr rot="0" vert="horz" wrap="square" lIns="91440" tIns="45720" rIns="91440" bIns="45720" anchor="t" anchorCtr="0" upright="1"/>
                    </wps:wsp>
                  </a:graphicData>
                </a:graphic>
              </wp:anchor>
            </w:drawing>
          </mc:Choice>
          <mc:Fallback>
            <w:pict>
              <v:shape id="Rectangle 11830" o:spid="_x0000_s1060" type="#_x0000_t202" style="width:55pt;height:19.5pt;margin-top:3.95pt;margin-left:362.1pt;mso-wrap-distance-bottom:0;mso-wrap-distance-left:9pt;mso-wrap-distance-right:9pt;mso-wrap-distance-top:0;position:absolute;v-text-anchor:top;z-index:251693056" fillcolor="white" stroked="t" strokecolor="black" strokeweight="0.75pt">
                <v:textbox>
                  <w:txbxContent>
                    <w:p>
                      <w:pPr>
                        <w:rPr>
                          <w:sz w:val="13"/>
                        </w:rPr>
                      </w:pPr>
                      <w:r>
                        <w:rPr>
                          <w:rFonts w:hint="eastAsia"/>
                          <w:sz w:val="13"/>
                        </w:rPr>
                        <w:t>研发中心</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92032" behindDoc="0" locked="0" layoutInCell="1" allowOverlap="1">
                <wp:simplePos x="0" y="0"/>
                <wp:positionH relativeFrom="column">
                  <wp:posOffset>3595370</wp:posOffset>
                </wp:positionH>
                <wp:positionV relativeFrom="paragraph">
                  <wp:posOffset>56515</wp:posOffset>
                </wp:positionV>
                <wp:extent cx="698500" cy="247650"/>
                <wp:effectExtent l="4445" t="4445" r="20955" b="14605"/>
                <wp:wrapNone/>
                <wp:docPr id="120" name="Rectangle 11829"/>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证券投资部</w:t>
                            </w:r>
                          </w:p>
                        </w:txbxContent>
                      </wps:txbx>
                      <wps:bodyPr rot="0" vert="horz" wrap="square" lIns="91440" tIns="45720" rIns="91440" bIns="45720" anchor="t" anchorCtr="0" upright="1"/>
                    </wps:wsp>
                  </a:graphicData>
                </a:graphic>
              </wp:anchor>
            </w:drawing>
          </mc:Choice>
          <mc:Fallback>
            <w:pict>
              <v:shape id="Rectangle 11829" o:spid="_x0000_s1061" type="#_x0000_t202" style="width:55pt;height:19.5pt;margin-top:4.45pt;margin-left:283.1pt;mso-wrap-distance-bottom:0;mso-wrap-distance-left:9pt;mso-wrap-distance-right:9pt;mso-wrap-distance-top:0;position:absolute;v-text-anchor:top;z-index:251691008" fillcolor="white" stroked="t" strokecolor="black" strokeweight="0.75pt">
                <v:textbox>
                  <w:txbxContent>
                    <w:p>
                      <w:pPr>
                        <w:rPr>
                          <w:sz w:val="13"/>
                        </w:rPr>
                      </w:pPr>
                      <w:r>
                        <w:rPr>
                          <w:rFonts w:hint="eastAsia"/>
                          <w:sz w:val="13"/>
                        </w:rPr>
                        <w:t>证券投资部</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89984" behindDoc="0" locked="0" layoutInCell="1" allowOverlap="1">
                <wp:simplePos x="0" y="0"/>
                <wp:positionH relativeFrom="column">
                  <wp:posOffset>2680970</wp:posOffset>
                </wp:positionH>
                <wp:positionV relativeFrom="paragraph">
                  <wp:posOffset>37465</wp:posOffset>
                </wp:positionV>
                <wp:extent cx="698500" cy="247650"/>
                <wp:effectExtent l="4445" t="4445" r="20955" b="14605"/>
                <wp:wrapNone/>
                <wp:docPr id="119" name="Rectangle 1182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副总经理</w:t>
                            </w:r>
                          </w:p>
                        </w:txbxContent>
                      </wps:txbx>
                      <wps:bodyPr rot="0" vert="horz" wrap="square" lIns="91440" tIns="45720" rIns="91440" bIns="45720" anchor="t" anchorCtr="0" upright="1"/>
                    </wps:wsp>
                  </a:graphicData>
                </a:graphic>
              </wp:anchor>
            </w:drawing>
          </mc:Choice>
          <mc:Fallback>
            <w:pict>
              <v:shape id="Rectangle 11828" o:spid="_x0000_s1062" type="#_x0000_t202" style="width:55pt;height:19.5pt;margin-top:2.95pt;margin-left:211.1pt;mso-wrap-distance-bottom:0;mso-wrap-distance-left:9pt;mso-wrap-distance-right:9pt;mso-wrap-distance-top:0;position:absolute;v-text-anchor:top;z-index:251688960" fillcolor="white" stroked="t" strokecolor="black" strokeweight="0.75pt">
                <v:textbox>
                  <w:txbxContent>
                    <w:p>
                      <w:pPr>
                        <w:rPr>
                          <w:sz w:val="13"/>
                        </w:rPr>
                      </w:pPr>
                      <w:r>
                        <w:rPr>
                          <w:rFonts w:hint="eastAsia"/>
                          <w:sz w:val="13"/>
                        </w:rPr>
                        <w:t>副总经理</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87936" behindDoc="0" locked="0" layoutInCell="1" allowOverlap="1">
                <wp:simplePos x="0" y="0"/>
                <wp:positionH relativeFrom="column">
                  <wp:posOffset>1830070</wp:posOffset>
                </wp:positionH>
                <wp:positionV relativeFrom="paragraph">
                  <wp:posOffset>18415</wp:posOffset>
                </wp:positionV>
                <wp:extent cx="698500" cy="247650"/>
                <wp:effectExtent l="4445" t="4445" r="20955" b="14605"/>
                <wp:wrapNone/>
                <wp:docPr id="118" name="Rectangle 1182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副总经理</w:t>
                            </w:r>
                          </w:p>
                        </w:txbxContent>
                      </wps:txbx>
                      <wps:bodyPr rot="0" vert="horz" wrap="square" lIns="91440" tIns="45720" rIns="91440" bIns="45720" anchor="t" anchorCtr="0" upright="1"/>
                    </wps:wsp>
                  </a:graphicData>
                </a:graphic>
              </wp:anchor>
            </w:drawing>
          </mc:Choice>
          <mc:Fallback>
            <w:pict>
              <v:shape id="Rectangle 11827" o:spid="_x0000_s1063" type="#_x0000_t202" style="width:55pt;height:19.5pt;margin-top:1.45pt;margin-left:144.1pt;mso-wrap-distance-bottom:0;mso-wrap-distance-left:9pt;mso-wrap-distance-right:9pt;mso-wrap-distance-top:0;position:absolute;v-text-anchor:top;z-index:251686912" fillcolor="white" stroked="t" strokecolor="black" strokeweight="0.75pt">
                <v:textbox>
                  <w:txbxContent>
                    <w:p>
                      <w:pPr>
                        <w:rPr>
                          <w:sz w:val="13"/>
                        </w:rPr>
                      </w:pPr>
                      <w:r>
                        <w:rPr>
                          <w:rFonts w:hint="eastAsia"/>
                          <w:sz w:val="13"/>
                        </w:rPr>
                        <w:t>副总经理</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85888" behindDoc="0" locked="0" layoutInCell="1" allowOverlap="1">
                <wp:simplePos x="0" y="0"/>
                <wp:positionH relativeFrom="column">
                  <wp:posOffset>941070</wp:posOffset>
                </wp:positionH>
                <wp:positionV relativeFrom="paragraph">
                  <wp:posOffset>12065</wp:posOffset>
                </wp:positionV>
                <wp:extent cx="698500" cy="247650"/>
                <wp:effectExtent l="4445" t="4445" r="20955" b="14605"/>
                <wp:wrapNone/>
                <wp:docPr id="117" name="Rectangle 1182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副总经理</w:t>
                            </w:r>
                          </w:p>
                        </w:txbxContent>
                      </wps:txbx>
                      <wps:bodyPr rot="0" vert="horz" wrap="square" lIns="91440" tIns="45720" rIns="91440" bIns="45720" anchor="t" anchorCtr="0" upright="1"/>
                    </wps:wsp>
                  </a:graphicData>
                </a:graphic>
              </wp:anchor>
            </w:drawing>
          </mc:Choice>
          <mc:Fallback>
            <w:pict>
              <v:shape id="Rectangle 11826" o:spid="_x0000_s1064" type="#_x0000_t202" style="width:55pt;height:19.5pt;margin-top:0.95pt;margin-left:74.1pt;mso-wrap-distance-bottom:0;mso-wrap-distance-left:9pt;mso-wrap-distance-right:9pt;mso-wrap-distance-top:0;position:absolute;v-text-anchor:top;z-index:251684864" fillcolor="white" stroked="t" strokecolor="black" strokeweight="0.75pt">
                <v:textbox>
                  <w:txbxContent>
                    <w:p>
                      <w:pPr>
                        <w:rPr>
                          <w:sz w:val="13"/>
                        </w:rPr>
                      </w:pPr>
                      <w:r>
                        <w:rPr>
                          <w:rFonts w:hint="eastAsia"/>
                          <w:sz w:val="13"/>
                        </w:rPr>
                        <w:t>副总经理</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63360" behindDoc="0" locked="0" layoutInCell="1" allowOverlap="1">
                <wp:simplePos x="0" y="0"/>
                <wp:positionH relativeFrom="column">
                  <wp:posOffset>13970</wp:posOffset>
                </wp:positionH>
                <wp:positionV relativeFrom="paragraph">
                  <wp:posOffset>31115</wp:posOffset>
                </wp:positionV>
                <wp:extent cx="698500" cy="247650"/>
                <wp:effectExtent l="4445" t="4445" r="20955" b="14605"/>
                <wp:wrapNone/>
                <wp:docPr id="116" name="Rectangle 11815"/>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公司办公室</w:t>
                            </w:r>
                          </w:p>
                        </w:txbxContent>
                      </wps:txbx>
                      <wps:bodyPr rot="0" vert="horz" wrap="square" lIns="91440" tIns="45720" rIns="91440" bIns="45720" anchor="t" anchorCtr="0" upright="1"/>
                    </wps:wsp>
                  </a:graphicData>
                </a:graphic>
              </wp:anchor>
            </w:drawing>
          </mc:Choice>
          <mc:Fallback>
            <w:pict>
              <v:shape id="Rectangle 11815" o:spid="_x0000_s1065" type="#_x0000_t202" style="width:55pt;height:19.5pt;margin-top:2.45pt;margin-left:1.1pt;mso-wrap-distance-bottom:0;mso-wrap-distance-left:9pt;mso-wrap-distance-right:9pt;mso-wrap-distance-top:0;position:absolute;v-text-anchor:top;z-index:251662336" fillcolor="white" stroked="t" strokecolor="black" strokeweight="0.75pt">
                <v:textbox>
                  <w:txbxContent>
                    <w:p>
                      <w:pPr>
                        <w:rPr>
                          <w:sz w:val="13"/>
                        </w:rPr>
                      </w:pPr>
                      <w:r>
                        <w:rPr>
                          <w:rFonts w:hint="eastAsia"/>
                          <w:sz w:val="13"/>
                        </w:rPr>
                        <w:t>公司办公室</w:t>
                      </w:r>
                    </w:p>
                  </w:txbxContent>
                </v:textbox>
              </v:shape>
            </w:pict>
          </mc:Fallback>
        </mc:AlternateContent>
      </w:r>
    </w:p>
    <w:p>
      <w:pPr>
        <w:spacing w:line="400" w:lineRule="exact"/>
        <w:rPr>
          <w:rFonts w:ascii="幼圆" w:eastAsia="幼圆" w:hAnsi="幼圆" w:cs="幼圆" w:hint="eastAsia"/>
        </w:rPr>
      </w:pPr>
      <w:r>
        <w:rPr>
          <w:rFonts w:ascii="幼圆" w:eastAsia="幼圆" w:hAnsi="幼圆" w:cs="幼圆" w:hint="eastAsia"/>
        </w:rPr>
        <mc:AlternateContent>
          <mc:Choice Requires="wps">
            <w:drawing>
              <wp:anchor distT="0" distB="0" distL="114300" distR="114300" simplePos="0" relativeHeight="251749376" behindDoc="0" locked="0" layoutInCell="1" allowOverlap="1">
                <wp:simplePos x="0" y="0"/>
                <wp:positionH relativeFrom="column">
                  <wp:posOffset>3030220</wp:posOffset>
                </wp:positionH>
                <wp:positionV relativeFrom="paragraph">
                  <wp:posOffset>31115</wp:posOffset>
                </wp:positionV>
                <wp:extent cx="6350" cy="152400"/>
                <wp:effectExtent l="4445" t="0" r="8255" b="19050"/>
                <wp:wrapNone/>
                <wp:docPr id="115" name="AutoShape 1185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a:off x="0" y="0"/>
                          <a:ext cx="6350" cy="152400"/>
                        </a:xfrm>
                        <a:prstGeom prst="straightConnector1">
                          <a:avLst/>
                        </a:prstGeom>
                        <a:noFill/>
                        <a:ln w="9525">
                          <a:solidFill>
                            <a:srgbClr val="000000"/>
                          </a:solidFill>
                          <a:round/>
                        </a:ln>
                      </wps:spPr>
                      <wps:bodyPr/>
                    </wps:wsp>
                  </a:graphicData>
                </a:graphic>
              </wp:anchor>
            </w:drawing>
          </mc:Choice>
          <mc:Fallback>
            <w:pict>
              <v:shape id="AutoShape 11857" o:spid="_x0000_s1066" type="#_x0000_t32" style="width:0.5pt;height:12pt;margin-top:2.45pt;margin-left:238.6pt;flip:x;mso-wrap-distance-bottom:0;mso-wrap-distance-left:9pt;mso-wrap-distance-right:9pt;mso-wrap-distance-top:0;position:absolute;v-text-anchor:top;z-index:251748352" filled="f" fillcolor="this" stroked="t" strokecolor="black" strokeweight="0.75pt">
                <v:stroke joinstyle="round"/>
              </v:shape>
            </w:pict>
          </mc:Fallback>
        </mc:AlternateContent>
      </w:r>
      <w:r>
        <w:rPr>
          <w:rFonts w:ascii="幼圆" w:eastAsia="幼圆" w:hAnsi="幼圆" w:cs="幼圆" w:hint="eastAsia"/>
        </w:rPr>
        <mc:AlternateContent>
          <mc:Choice Requires="wps">
            <w:drawing>
              <wp:anchor distT="0" distB="0" distL="114300" distR="114300" simplePos="0" relativeHeight="251702272" behindDoc="0" locked="0" layoutInCell="1" allowOverlap="1">
                <wp:simplePos x="0" y="0"/>
                <wp:positionH relativeFrom="column">
                  <wp:posOffset>2687320</wp:posOffset>
                </wp:positionH>
                <wp:positionV relativeFrom="paragraph">
                  <wp:posOffset>189865</wp:posOffset>
                </wp:positionV>
                <wp:extent cx="698500" cy="247650"/>
                <wp:effectExtent l="4445" t="4445" r="20955" b="14605"/>
                <wp:wrapNone/>
                <wp:docPr id="114" name="Rectangle 1183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生产本部</w:t>
                            </w:r>
                          </w:p>
                        </w:txbxContent>
                      </wps:txbx>
                      <wps:bodyPr rot="0" vert="horz" wrap="square" lIns="91440" tIns="45720" rIns="91440" bIns="45720" anchor="t" anchorCtr="0" upright="1"/>
                    </wps:wsp>
                  </a:graphicData>
                </a:graphic>
              </wp:anchor>
            </w:drawing>
          </mc:Choice>
          <mc:Fallback>
            <w:pict>
              <v:shape id="Rectangle 11834" o:spid="_x0000_s1067" type="#_x0000_t202" style="width:55pt;height:19.5pt;margin-top:14.95pt;margin-left:211.6pt;mso-wrap-distance-bottom:0;mso-wrap-distance-left:9pt;mso-wrap-distance-right:9pt;mso-wrap-distance-top:0;position:absolute;v-text-anchor:top;z-index:251701248" fillcolor="white" stroked="t" strokecolor="black" strokeweight="0.75pt">
                <v:textbox>
                  <w:txbxContent>
                    <w:p>
                      <w:pPr>
                        <w:rPr>
                          <w:sz w:val="13"/>
                        </w:rPr>
                      </w:pPr>
                      <w:r>
                        <w:rPr>
                          <w:rFonts w:hint="eastAsia"/>
                          <w:sz w:val="13"/>
                        </w:rPr>
                        <w:t>生产本部</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700224" behindDoc="0" locked="0" layoutInCell="1" allowOverlap="1">
                <wp:simplePos x="0" y="0"/>
                <wp:positionH relativeFrom="column">
                  <wp:posOffset>1804670</wp:posOffset>
                </wp:positionH>
                <wp:positionV relativeFrom="paragraph">
                  <wp:posOffset>177165</wp:posOffset>
                </wp:positionV>
                <wp:extent cx="698500" cy="247650"/>
                <wp:effectExtent l="4445" t="4445" r="20955" b="14605"/>
                <wp:wrapNone/>
                <wp:docPr id="113" name="Rectangle 1183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营销中心</w:t>
                            </w:r>
                          </w:p>
                        </w:txbxContent>
                      </wps:txbx>
                      <wps:bodyPr rot="0" vert="horz" wrap="square" lIns="91440" tIns="45720" rIns="91440" bIns="45720" anchor="t" anchorCtr="0" upright="1"/>
                    </wps:wsp>
                  </a:graphicData>
                </a:graphic>
              </wp:anchor>
            </w:drawing>
          </mc:Choice>
          <mc:Fallback>
            <w:pict>
              <v:shape id="Rectangle 11833" o:spid="_x0000_s1068" type="#_x0000_t202" style="width:55pt;height:19.5pt;margin-top:13.95pt;margin-left:142.1pt;mso-wrap-distance-bottom:0;mso-wrap-distance-left:9pt;mso-wrap-distance-right:9pt;mso-wrap-distance-top:0;position:absolute;v-text-anchor:top;z-index:251699200" fillcolor="white" stroked="t" strokecolor="black" strokeweight="0.75pt">
                <v:textbox>
                  <w:txbxContent>
                    <w:p>
                      <w:pPr>
                        <w:rPr>
                          <w:sz w:val="13"/>
                        </w:rPr>
                      </w:pPr>
                      <w:r>
                        <w:rPr>
                          <w:rFonts w:hint="eastAsia"/>
                          <w:sz w:val="13"/>
                        </w:rPr>
                        <w:t>营销中心</w:t>
                      </w:r>
                    </w:p>
                  </w:txbxContent>
                </v:textbox>
              </v:shape>
            </w:pict>
          </mc:Fallback>
        </mc:AlternateContent>
      </w:r>
      <w:r>
        <w:rPr>
          <w:rFonts w:ascii="幼圆" w:eastAsia="幼圆" w:hAnsi="幼圆" w:cs="幼圆" w:hint="eastAsia"/>
        </w:rPr>
        <mc:AlternateContent>
          <mc:Choice Requires="wps">
            <w:drawing>
              <wp:anchor distT="0" distB="0" distL="114300" distR="114300" simplePos="0" relativeHeight="251698176" behindDoc="0" locked="0" layoutInCell="1" allowOverlap="1">
                <wp:simplePos x="0" y="0"/>
                <wp:positionH relativeFrom="column">
                  <wp:posOffset>953770</wp:posOffset>
                </wp:positionH>
                <wp:positionV relativeFrom="paragraph">
                  <wp:posOffset>183515</wp:posOffset>
                </wp:positionV>
                <wp:extent cx="698500" cy="247650"/>
                <wp:effectExtent l="4445" t="4445" r="20955" b="14605"/>
                <wp:wrapNone/>
                <wp:docPr id="112" name="Rectangle 1183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98500" cy="247650"/>
                        </a:xfrm>
                        <a:prstGeom prst="rect">
                          <a:avLst/>
                        </a:prstGeom>
                        <a:solidFill>
                          <a:srgbClr val="FFFFFF"/>
                        </a:solidFill>
                        <a:ln w="9525">
                          <a:solidFill>
                            <a:srgbClr val="000000"/>
                          </a:solidFill>
                          <a:miter lim="800000"/>
                        </a:ln>
                      </wps:spPr>
                      <wps:txbx>
                        <w:txbxContent>
                          <w:p>
                            <w:pPr>
                              <w:rPr>
                                <w:sz w:val="13"/>
                              </w:rPr>
                            </w:pPr>
                            <w:r>
                              <w:rPr>
                                <w:rFonts w:hint="eastAsia"/>
                                <w:sz w:val="13"/>
                              </w:rPr>
                              <w:t>人力资源部</w:t>
                            </w:r>
                          </w:p>
                        </w:txbxContent>
                      </wps:txbx>
                      <wps:bodyPr rot="0" vert="horz" wrap="square" lIns="91440" tIns="45720" rIns="91440" bIns="45720" anchor="t" anchorCtr="0" upright="1"/>
                    </wps:wsp>
                  </a:graphicData>
                </a:graphic>
              </wp:anchor>
            </w:drawing>
          </mc:Choice>
          <mc:Fallback>
            <w:pict>
              <v:shape id="Rectangle 11832" o:spid="_x0000_s1069" type="#_x0000_t202" style="width:55pt;height:19.5pt;margin-top:14.45pt;margin-left:75.1pt;mso-wrap-distance-bottom:0;mso-wrap-distance-left:9pt;mso-wrap-distance-right:9pt;mso-wrap-distance-top:0;position:absolute;v-text-anchor:top;z-index:251697152" fillcolor="white" stroked="t" strokecolor="black" strokeweight="0.75pt">
                <v:textbox>
                  <w:txbxContent>
                    <w:p>
                      <w:pPr>
                        <w:rPr>
                          <w:sz w:val="13"/>
                        </w:rPr>
                      </w:pPr>
                      <w:r>
                        <w:rPr>
                          <w:rFonts w:hint="eastAsia"/>
                          <w:sz w:val="13"/>
                        </w:rPr>
                        <w:t>人力资源部</w:t>
                      </w:r>
                    </w:p>
                  </w:txbxContent>
                </v:textbox>
              </v:shape>
            </w:pict>
          </mc:Fallback>
        </mc:AlternateContent>
      </w:r>
    </w:p>
    <w:p>
      <w:pPr>
        <w:spacing w:line="400" w:lineRule="exact"/>
        <w:rPr>
          <w:rFonts w:ascii="幼圆" w:eastAsia="幼圆" w:hAnsi="幼圆" w:cs="幼圆" w:hint="eastAsia"/>
        </w:rPr>
      </w:pPr>
    </w:p>
    <w:p>
      <w:pPr>
        <w:spacing w:line="400" w:lineRule="exact"/>
        <w:jc w:val="center"/>
        <w:rPr>
          <w:rFonts w:ascii="幼圆" w:eastAsia="幼圆" w:hAnsi="幼圆" w:cs="幼圆" w:hint="eastAsia"/>
        </w:rPr>
      </w:pPr>
      <w:r>
        <w:rPr>
          <w:rFonts w:ascii="幼圆" w:eastAsia="幼圆" w:hAnsi="幼圆" w:cs="幼圆" w:hint="eastAsia"/>
        </w:rPr>
        <w:t>图3-</w:t>
      </w:r>
      <w:r>
        <w:rPr>
          <w:rFonts w:ascii="幼圆" w:eastAsia="幼圆" w:hAnsi="幼圆" w:cs="幼圆" w:hint="eastAsia"/>
        </w:rPr>
        <w:t xml:space="preserve">1 </w:t>
      </w:r>
      <w:r>
        <w:rPr>
          <w:rFonts w:ascii="幼圆" w:eastAsia="幼圆" w:hAnsi="幼圆" w:cs="幼圆" w:hint="eastAsia"/>
        </w:rPr>
        <w:t>C公司组织架构</w:t>
      </w:r>
    </w:p>
    <w:p>
      <w:pPr>
        <w:spacing w:line="400" w:lineRule="exact"/>
        <w:ind w:firstLine="480" w:firstLineChars="200"/>
        <w:rPr>
          <w:rFonts w:ascii="幼圆" w:eastAsia="幼圆" w:hAnsi="幼圆" w:cs="幼圆" w:hint="eastAsia"/>
          <w:sz w:val="24"/>
        </w:rPr>
        <w:sectPr>
          <w:endnotePr>
            <w:numFmt w:val="decimal"/>
          </w:endnotePr>
          <w:type w:val="nextPage"/>
          <w:pgSz w:w="11906" w:h="16838"/>
          <w:pgMar w:top="1701" w:right="1418" w:bottom="1418" w:left="1588" w:header="1134" w:footer="992" w:gutter="0"/>
          <w:pgNumType w:start="2"/>
          <w:cols w:num="1" w:space="425"/>
          <w:titlePg w:val="0"/>
          <w:docGrid w:type="lines" w:linePitch="312" w:charSpace="0"/>
        </w:sectPr>
      </w:pP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C公司的组织架构如上图所示，公司实行了扁平化管理，管理层次较少，管理能能够及时了解到基层信息。公司实行了董事长领导下的总经理负责制，在组织上层设有董事会，负责战略委员会，薪酬考核委员会、提名委员会和审计委员会监管工作，</w:t>
      </w:r>
      <w:r>
        <w:rPr>
          <w:rFonts w:ascii="幼圆" w:eastAsia="幼圆" w:hAnsi="幼圆" w:cs="幼圆" w:hint="eastAsia"/>
          <w:sz w:val="24"/>
        </w:rPr>
        <w:t xml:space="preserve"> </w:t>
      </w:r>
      <w:r>
        <w:rPr>
          <w:rFonts w:ascii="幼圆" w:eastAsia="幼圆" w:hAnsi="幼圆" w:cs="幼圆" w:hint="eastAsia"/>
          <w:sz w:val="24"/>
        </w:rPr>
        <w:t>对外信息的审核和发布，投资关系的管理和股东大会等相关工作。总经理带领其他中高层负责公司的日常活动，分管设立七个职能部门负责日常经营生产管理，分别是公司办公室、人力资源部、营销中心、生产部门、证券投资部、研发中心和财务中心。在公司办公室下设行政管理科，法务科和信息化科。营销中心下设管理办公室，国际贸易部，网络营销部，市场部，销售部，工程部，服务部，物流部等部门，这些部门共同管理公司所有产品的销售活动。公司明确了各部门的职责，形成各司其职，各负其责，相互配合、相互制约的内部控制体系，为公司组织生产、扩大规模、保证质量、提高效益等方面发挥至关重要的作用。</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从下图可以看出，近两年员工人数维持稳定，但是受教育程度本科及以上的比例有所增加。C公司重视人才培养，积极开展了各类培训，鼓励员工注重自我价值的提升，并且在公司内部宣传企业文化，从管理层到销售员、车间生产人员等都积极参加公司组办的各种学习培训，对于企业文化深刻了解。C公司还建立了企业自己的学习平台——板栗学堂，通过老虎钳讲坛、超级公开课等系列活动加强员工对企业文化的了解，全面提高员工的各方面能力。</w:t>
      </w:r>
      <w:r>
        <w:rPr>
          <w:rFonts w:ascii="幼圆" w:eastAsia="幼圆" w:hAnsi="幼圆" w:cs="幼圆" w:hint="eastAsia"/>
          <w:sz w:val="24"/>
        </w:rPr>
        <w:t xml:space="preserve">        </w:t>
      </w:r>
    </w:p>
    <w:p>
      <w:pPr>
        <w:spacing w:line="400" w:lineRule="exact"/>
        <w:ind w:firstLine="3360" w:firstLineChars="1400"/>
        <w:rPr>
          <w:rFonts w:ascii="幼圆" w:eastAsia="幼圆" w:hAnsi="幼圆" w:cs="幼圆" w:hint="eastAsia"/>
          <w:sz w:val="24"/>
        </w:rPr>
      </w:pPr>
      <w:r>
        <w:rPr>
          <w:rFonts w:ascii="幼圆" w:eastAsia="幼圆" w:hAnsi="幼圆" w:cs="幼圆" w:hint="eastAsia"/>
          <w:sz w:val="24"/>
        </w:rPr>
        <w:t>表3-</w:t>
      </w:r>
      <w:r>
        <w:rPr>
          <w:rFonts w:ascii="幼圆" w:eastAsia="幼圆" w:hAnsi="幼圆" w:cs="幼圆" w:hint="eastAsia"/>
          <w:sz w:val="24"/>
        </w:rPr>
        <w:t>2 C</w:t>
      </w:r>
      <w:r>
        <w:rPr>
          <w:rFonts w:ascii="幼圆" w:eastAsia="幼圆" w:hAnsi="幼圆" w:cs="幼圆" w:hint="eastAsia"/>
          <w:sz w:val="24"/>
        </w:rPr>
        <w:t>公司员工数量及教育程度</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038"/>
        <w:gridCol w:w="3039"/>
        <w:gridCol w:w="303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专业构成</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018</w:t>
            </w:r>
            <w:r>
              <w:rPr>
                <w:rFonts w:ascii="幼圆" w:eastAsia="幼圆" w:hAnsi="幼圆" w:cs="幼圆" w:hint="eastAsia"/>
                <w:sz w:val="24"/>
              </w:rPr>
              <w:t>年</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生产人员</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297</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272</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销售人员</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691</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663</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技术人员</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7</w:t>
            </w:r>
            <w:r>
              <w:rPr>
                <w:rFonts w:ascii="幼圆" w:eastAsia="幼圆" w:hAnsi="幼圆" w:cs="幼圆" w:hint="eastAsia"/>
                <w:sz w:val="24"/>
              </w:rPr>
              <w:t>14</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7</w:t>
            </w:r>
            <w:r>
              <w:rPr>
                <w:rFonts w:ascii="幼圆" w:eastAsia="幼圆" w:hAnsi="幼圆" w:cs="幼圆" w:hint="eastAsia"/>
                <w:sz w:val="24"/>
              </w:rPr>
              <w:t>09</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财务人员</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38</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35</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行政人员</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312</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93</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后勤人员</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w:t>
            </w:r>
            <w:r>
              <w:rPr>
                <w:rFonts w:ascii="幼圆" w:eastAsia="幼圆" w:hAnsi="幼圆" w:cs="幼圆" w:hint="eastAsia"/>
                <w:sz w:val="24"/>
              </w:rPr>
              <w:t>60</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w:t>
            </w:r>
            <w:r>
              <w:rPr>
                <w:rFonts w:ascii="幼圆" w:eastAsia="幼圆" w:hAnsi="幼圆" w:cs="幼圆" w:hint="eastAsia"/>
                <w:sz w:val="24"/>
              </w:rPr>
              <w:t>83</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合计</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4</w:t>
            </w:r>
            <w:r>
              <w:rPr>
                <w:rFonts w:ascii="幼圆" w:eastAsia="幼圆" w:hAnsi="幼圆" w:cs="幼圆" w:hint="eastAsia"/>
                <w:sz w:val="24"/>
              </w:rPr>
              <w:t>512</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4</w:t>
            </w:r>
            <w:r>
              <w:rPr>
                <w:rFonts w:ascii="幼圆" w:eastAsia="幼圆" w:hAnsi="幼圆" w:cs="幼圆" w:hint="eastAsia"/>
                <w:sz w:val="24"/>
              </w:rPr>
              <w:t>455</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教育程度类别</w:t>
            </w:r>
          </w:p>
        </w:tc>
        <w:tc>
          <w:tcPr>
            <w:tcW w:w="3039" w:type="dxa"/>
            <w:shd w:val="clear" w:color="auto" w:fill="auto"/>
          </w:tcPr>
          <w:p>
            <w:pPr>
              <w:spacing w:line="400" w:lineRule="exact"/>
              <w:rPr>
                <w:rFonts w:ascii="幼圆" w:eastAsia="幼圆" w:hAnsi="幼圆" w:cs="幼圆" w:hint="eastAsia"/>
                <w:sz w:val="24"/>
              </w:rPr>
            </w:pPr>
          </w:p>
        </w:tc>
        <w:tc>
          <w:tcPr>
            <w:tcW w:w="3039" w:type="dxa"/>
            <w:shd w:val="clear" w:color="auto" w:fill="auto"/>
          </w:tcPr>
          <w:p>
            <w:pPr>
              <w:spacing w:line="400" w:lineRule="exact"/>
              <w:rPr>
                <w:rFonts w:ascii="幼圆" w:eastAsia="幼圆" w:hAnsi="幼圆" w:cs="幼圆" w:hint="eastAsia"/>
                <w:sz w:val="24"/>
              </w:rPr>
            </w:pP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本科及以上</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026</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9</w:t>
            </w:r>
            <w:r>
              <w:rPr>
                <w:rFonts w:ascii="幼圆" w:eastAsia="幼圆" w:hAnsi="幼圆" w:cs="幼圆" w:hint="eastAsia"/>
                <w:sz w:val="24"/>
              </w:rPr>
              <w:t>46</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大专</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060</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057</w:t>
            </w:r>
          </w:p>
        </w:tc>
      </w:tr>
      <w:tr>
        <w:tblPrEx>
          <w:tblW w:w="0" w:type="auto"/>
          <w:tblInd w:w="0" w:type="dxa"/>
          <w:tblCellMar>
            <w:top w:w="0" w:type="dxa"/>
            <w:left w:w="108" w:type="dxa"/>
            <w:bottom w:w="0" w:type="dxa"/>
            <w:right w:w="108" w:type="dxa"/>
          </w:tblCellMar>
        </w:tblPrEx>
        <w:tc>
          <w:tcPr>
            <w:tcW w:w="3038"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其他</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426</w:t>
            </w:r>
          </w:p>
        </w:tc>
        <w:tc>
          <w:tcPr>
            <w:tcW w:w="30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453</w:t>
            </w:r>
          </w:p>
        </w:tc>
      </w:tr>
    </w:tbl>
    <w:p>
      <w:pPr>
        <w:pStyle w:val="Heading2"/>
        <w:ind w:firstLine="280" w:firstLineChars="100"/>
        <w:rPr>
          <w:rFonts w:ascii="幼圆" w:eastAsia="幼圆" w:hAnsi="幼圆" w:cs="幼圆" w:hint="eastAsia"/>
        </w:rPr>
      </w:pPr>
      <w:bookmarkStart w:id="5" w:name="_Toc71149373"/>
      <w:bookmarkStart w:id="6" w:name="_Toc10572"/>
      <w:r>
        <w:rPr>
          <w:rFonts w:ascii="幼圆" w:eastAsia="幼圆" w:hAnsi="幼圆" w:cs="幼圆" w:hint="eastAsia"/>
        </w:rPr>
        <w:t>3.2 C公司主营业务状况</w:t>
      </w:r>
      <w:bookmarkEnd w:id="5"/>
      <w:bookmarkEnd w:id="6"/>
    </w:p>
    <w:p>
      <w:pPr>
        <w:snapToGrid w:val="0"/>
        <w:spacing w:line="400" w:lineRule="exact"/>
        <w:ind w:firstLine="480" w:firstLineChars="200"/>
        <w:rPr>
          <w:rFonts w:ascii="幼圆" w:eastAsia="幼圆" w:hAnsi="幼圆" w:cs="幼圆" w:hint="eastAsia"/>
          <w:sz w:val="24"/>
        </w:rPr>
        <w:sectPr>
          <w:endnotePr>
            <w:numFmt w:val="decimal"/>
          </w:endnotePr>
          <w:type w:val="nextPage"/>
          <w:pgSz w:w="11906" w:h="16838"/>
          <w:pgMar w:top="1701" w:right="1418" w:bottom="1418" w:left="1588" w:header="1134" w:footer="992" w:gutter="0"/>
          <w:pgNumType w:start="3"/>
          <w:cols w:num="1" w:space="425"/>
          <w:titlePg w:val="0"/>
          <w:docGrid w:type="lines" w:linePitch="312" w:charSpace="0"/>
        </w:sectPr>
      </w:pPr>
    </w:p>
    <w:p>
      <w:pPr>
        <w:snapToGrid w:val="0"/>
        <w:spacing w:line="400" w:lineRule="exact"/>
        <w:ind w:firstLine="480" w:firstLineChars="200"/>
        <w:rPr>
          <w:rFonts w:ascii="幼圆" w:eastAsia="幼圆" w:hAnsi="幼圆" w:cs="幼圆" w:hint="eastAsia"/>
          <w:sz w:val="24"/>
        </w:rPr>
      </w:pPr>
      <w:r>
        <w:rPr>
          <w:rFonts w:ascii="幼圆" w:eastAsia="幼圆" w:hAnsi="幼圆" w:cs="幼圆" w:hint="eastAsia"/>
          <w:sz w:val="24"/>
        </w:rPr>
        <w:t>C公司主营业务是研发、生产和销售油烟机、燃气灶、消毒柜等厨房电器以及小家电，坚持走多元化，高端品牌战略，核心的竞争力是高端品牌的运营能力，高效的营销能力。厨电</w:t>
      </w:r>
      <w:r>
        <w:rPr>
          <w:rFonts w:ascii="幼圆" w:eastAsia="幼圆" w:hAnsi="幼圆" w:cs="幼圆" w:hint="eastAsia"/>
          <w:sz w:val="24"/>
        </w:rPr>
        <w:t>行业正处于成长期，市场需求量较大，由于厨电高端的品牌相对集中，产品</w:t>
      </w:r>
      <w:r>
        <w:rPr>
          <w:rFonts w:ascii="幼圆" w:eastAsia="幼圆" w:hAnsi="幼圆" w:cs="幼圆" w:hint="eastAsia"/>
          <w:sz w:val="24"/>
        </w:rPr>
        <w:t>的</w:t>
      </w:r>
      <w:r>
        <w:rPr>
          <w:rFonts w:ascii="幼圆" w:eastAsia="幼圆" w:hAnsi="幼圆" w:cs="幼圆" w:hint="eastAsia"/>
          <w:sz w:val="24"/>
        </w:rPr>
        <w:t>毛利率较高。</w:t>
      </w:r>
      <w:r>
        <w:rPr>
          <w:rFonts w:ascii="幼圆" w:eastAsia="幼圆" w:hAnsi="幼圆" w:cs="幼圆" w:hint="eastAsia"/>
          <w:sz w:val="24"/>
        </w:rPr>
        <w:t>通过下表数据可以看出，C公司主营业务收入逐年增加，但是增长速度逐渐变缓。主营业务收入的主要构成是家电厨卫，其中抽油烟机和燃气灶占了大部分比重，从图中可以看出厨电毛利率较高，达到50%以上。</w:t>
      </w:r>
    </w:p>
    <w:p>
      <w:pPr>
        <w:snapToGrid w:val="0"/>
        <w:spacing w:line="400" w:lineRule="exact"/>
        <w:ind w:firstLine="480" w:firstLineChars="200"/>
        <w:rPr>
          <w:rFonts w:ascii="幼圆" w:eastAsia="幼圆" w:hAnsi="幼圆" w:cs="幼圆" w:hint="eastAsia"/>
          <w:sz w:val="24"/>
        </w:rPr>
      </w:pPr>
      <w:r>
        <w:rPr>
          <w:rFonts w:ascii="幼圆" w:eastAsia="幼圆" w:hAnsi="幼圆" w:cs="幼圆" w:hint="eastAsia"/>
          <w:sz w:val="24"/>
        </w:rPr>
        <w:t>C公司主营业务收入虽然总体呈上涨趋势，但是增长率逐年变缓，有16年的27.56%降至4.52%，营业收入的主要构成是抽油烟机和燃气灶的营业收入，并且这两款厨电的毛利率较高，超过了50%。</w:t>
      </w:r>
    </w:p>
    <w:p>
      <w:pPr>
        <w:spacing w:line="400" w:lineRule="exact"/>
        <w:ind w:firstLine="480" w:firstLineChars="200"/>
        <w:jc w:val="center"/>
        <w:rPr>
          <w:rFonts w:ascii="幼圆" w:eastAsia="幼圆" w:hAnsi="幼圆" w:cs="幼圆" w:hint="eastAsia"/>
          <w:sz w:val="24"/>
        </w:rPr>
      </w:pPr>
      <w:r>
        <w:rPr>
          <w:rFonts w:ascii="幼圆" w:eastAsia="幼圆" w:hAnsi="幼圆" w:cs="幼圆" w:hint="eastAsia"/>
          <w:sz w:val="24"/>
        </w:rPr>
        <w:t>表3-</w:t>
      </w:r>
      <w:r>
        <w:rPr>
          <w:rFonts w:ascii="幼圆" w:eastAsia="幼圆" w:hAnsi="幼圆" w:cs="幼圆" w:hint="eastAsia"/>
          <w:sz w:val="24"/>
        </w:rPr>
        <w:t xml:space="preserve">3 </w:t>
      </w:r>
      <w:r>
        <w:rPr>
          <w:rFonts w:ascii="幼圆" w:eastAsia="幼圆" w:hAnsi="幼圆" w:cs="幼圆" w:hint="eastAsia"/>
          <w:sz w:val="24"/>
        </w:rPr>
        <w:t>C公司2</w:t>
      </w:r>
      <w:r>
        <w:rPr>
          <w:rFonts w:ascii="幼圆" w:eastAsia="幼圆" w:hAnsi="幼圆" w:cs="幼圆" w:hint="eastAsia"/>
          <w:sz w:val="24"/>
        </w:rPr>
        <w:t>016</w:t>
      </w:r>
      <w:r>
        <w:rPr>
          <w:rFonts w:ascii="幼圆" w:eastAsia="幼圆" w:hAnsi="幼圆" w:cs="幼圆" w:hint="eastAsia"/>
          <w:sz w:val="24"/>
        </w:rPr>
        <w:t>年-</w:t>
      </w:r>
      <w:r>
        <w:rPr>
          <w:rFonts w:ascii="幼圆" w:eastAsia="幼圆" w:hAnsi="幼圆" w:cs="幼圆" w:hint="eastAsia"/>
          <w:sz w:val="24"/>
        </w:rPr>
        <w:t>2019</w:t>
      </w:r>
      <w:r>
        <w:rPr>
          <w:rFonts w:ascii="幼圆" w:eastAsia="幼圆" w:hAnsi="幼圆" w:cs="幼圆" w:hint="eastAsia"/>
          <w:sz w:val="24"/>
        </w:rPr>
        <w:t>年基本财务数据</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376"/>
        <w:gridCol w:w="1276"/>
        <w:gridCol w:w="1559"/>
        <w:gridCol w:w="1560"/>
        <w:gridCol w:w="184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376" w:type="dxa"/>
            <w:shd w:val="clear" w:color="auto" w:fill="auto"/>
          </w:tcPr>
          <w:p>
            <w:pPr>
              <w:spacing w:line="400" w:lineRule="exact"/>
              <w:rPr>
                <w:rFonts w:ascii="幼圆" w:eastAsia="幼圆" w:hAnsi="幼圆" w:cs="幼圆" w:hint="eastAsia"/>
                <w:sz w:val="24"/>
              </w:rPr>
            </w:pPr>
          </w:p>
        </w:tc>
        <w:tc>
          <w:tcPr>
            <w:tcW w:w="12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c>
          <w:tcPr>
            <w:tcW w:w="155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018</w:t>
            </w:r>
            <w:r>
              <w:rPr>
                <w:rFonts w:ascii="幼圆" w:eastAsia="幼圆" w:hAnsi="幼圆" w:cs="幼圆" w:hint="eastAsia"/>
                <w:sz w:val="24"/>
              </w:rPr>
              <w:t>年</w:t>
            </w:r>
          </w:p>
        </w:tc>
        <w:tc>
          <w:tcPr>
            <w:tcW w:w="1560"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017</w:t>
            </w:r>
            <w:r>
              <w:rPr>
                <w:rFonts w:ascii="幼圆" w:eastAsia="幼圆" w:hAnsi="幼圆" w:cs="幼圆" w:hint="eastAsia"/>
                <w:sz w:val="24"/>
              </w:rPr>
              <w:t>年</w:t>
            </w:r>
          </w:p>
        </w:tc>
        <w:tc>
          <w:tcPr>
            <w:tcW w:w="184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016</w:t>
            </w:r>
            <w:r>
              <w:rPr>
                <w:rFonts w:ascii="幼圆" w:eastAsia="幼圆" w:hAnsi="幼圆" w:cs="幼圆" w:hint="eastAsia"/>
                <w:sz w:val="24"/>
              </w:rPr>
              <w:t>年</w:t>
            </w:r>
          </w:p>
        </w:tc>
      </w:tr>
      <w:tr>
        <w:tblPrEx>
          <w:tblW w:w="0" w:type="auto"/>
          <w:tblInd w:w="0" w:type="dxa"/>
          <w:tblCellMar>
            <w:top w:w="0" w:type="dxa"/>
            <w:left w:w="108" w:type="dxa"/>
            <w:bottom w:w="0" w:type="dxa"/>
            <w:right w:w="108" w:type="dxa"/>
          </w:tblCellMar>
        </w:tblPrEx>
        <w:tc>
          <w:tcPr>
            <w:tcW w:w="23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主营业务收入</w:t>
            </w:r>
          </w:p>
        </w:tc>
        <w:tc>
          <w:tcPr>
            <w:tcW w:w="12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7</w:t>
            </w:r>
            <w:r>
              <w:rPr>
                <w:rFonts w:ascii="幼圆" w:eastAsia="幼圆" w:hAnsi="幼圆" w:cs="幼圆" w:hint="eastAsia"/>
                <w:sz w:val="24"/>
              </w:rPr>
              <w:t>76058</w:t>
            </w:r>
          </w:p>
        </w:tc>
        <w:tc>
          <w:tcPr>
            <w:tcW w:w="155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7</w:t>
            </w:r>
            <w:r>
              <w:rPr>
                <w:rFonts w:ascii="幼圆" w:eastAsia="幼圆" w:hAnsi="幼圆" w:cs="幼圆" w:hint="eastAsia"/>
                <w:sz w:val="24"/>
              </w:rPr>
              <w:t>42489</w:t>
            </w:r>
          </w:p>
        </w:tc>
        <w:tc>
          <w:tcPr>
            <w:tcW w:w="1560"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7</w:t>
            </w:r>
            <w:r>
              <w:rPr>
                <w:rFonts w:ascii="幼圆" w:eastAsia="幼圆" w:hAnsi="幼圆" w:cs="幼圆" w:hint="eastAsia"/>
                <w:sz w:val="24"/>
              </w:rPr>
              <w:t>01740</w:t>
            </w:r>
          </w:p>
        </w:tc>
        <w:tc>
          <w:tcPr>
            <w:tcW w:w="184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5</w:t>
            </w:r>
            <w:r>
              <w:rPr>
                <w:rFonts w:ascii="幼圆" w:eastAsia="幼圆" w:hAnsi="幼圆" w:cs="幼圆" w:hint="eastAsia"/>
                <w:sz w:val="24"/>
              </w:rPr>
              <w:t>79490</w:t>
            </w:r>
          </w:p>
        </w:tc>
      </w:tr>
      <w:tr>
        <w:tblPrEx>
          <w:tblW w:w="0" w:type="auto"/>
          <w:tblInd w:w="0" w:type="dxa"/>
          <w:tblCellMar>
            <w:top w:w="0" w:type="dxa"/>
            <w:left w:w="108" w:type="dxa"/>
            <w:bottom w:w="0" w:type="dxa"/>
            <w:right w:w="108" w:type="dxa"/>
          </w:tblCellMar>
        </w:tblPrEx>
        <w:tc>
          <w:tcPr>
            <w:tcW w:w="23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主营业务成本</w:t>
            </w:r>
          </w:p>
        </w:tc>
        <w:tc>
          <w:tcPr>
            <w:tcW w:w="12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w:t>
            </w:r>
            <w:r>
              <w:rPr>
                <w:rFonts w:ascii="幼圆" w:eastAsia="幼圆" w:hAnsi="幼圆" w:cs="幼圆" w:hint="eastAsia"/>
                <w:sz w:val="24"/>
              </w:rPr>
              <w:t>54878</w:t>
            </w:r>
          </w:p>
        </w:tc>
        <w:tc>
          <w:tcPr>
            <w:tcW w:w="155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w:t>
            </w:r>
            <w:r>
              <w:rPr>
                <w:rFonts w:ascii="幼圆" w:eastAsia="幼圆" w:hAnsi="幼圆" w:cs="幼圆" w:hint="eastAsia"/>
                <w:sz w:val="24"/>
              </w:rPr>
              <w:t>45077</w:t>
            </w:r>
          </w:p>
        </w:tc>
        <w:tc>
          <w:tcPr>
            <w:tcW w:w="1560"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325059</w:t>
            </w:r>
          </w:p>
        </w:tc>
        <w:tc>
          <w:tcPr>
            <w:tcW w:w="184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47405</w:t>
            </w:r>
          </w:p>
        </w:tc>
      </w:tr>
      <w:tr>
        <w:tblPrEx>
          <w:tblW w:w="0" w:type="auto"/>
          <w:tblInd w:w="0" w:type="dxa"/>
          <w:tblCellMar>
            <w:top w:w="0" w:type="dxa"/>
            <w:left w:w="108" w:type="dxa"/>
            <w:bottom w:w="0" w:type="dxa"/>
            <w:right w:w="108" w:type="dxa"/>
          </w:tblCellMar>
        </w:tblPrEx>
        <w:tc>
          <w:tcPr>
            <w:tcW w:w="23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营业利润</w:t>
            </w:r>
          </w:p>
        </w:tc>
        <w:tc>
          <w:tcPr>
            <w:tcW w:w="12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87176</w:t>
            </w:r>
          </w:p>
        </w:tc>
        <w:tc>
          <w:tcPr>
            <w:tcW w:w="155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70156</w:t>
            </w:r>
          </w:p>
        </w:tc>
        <w:tc>
          <w:tcPr>
            <w:tcW w:w="1560"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69003</w:t>
            </w:r>
          </w:p>
        </w:tc>
        <w:tc>
          <w:tcPr>
            <w:tcW w:w="184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33404</w:t>
            </w:r>
          </w:p>
        </w:tc>
      </w:tr>
      <w:tr>
        <w:tblPrEx>
          <w:tblW w:w="0" w:type="auto"/>
          <w:tblInd w:w="0" w:type="dxa"/>
          <w:tblCellMar>
            <w:top w:w="0" w:type="dxa"/>
            <w:left w:w="108" w:type="dxa"/>
            <w:bottom w:w="0" w:type="dxa"/>
            <w:right w:w="108" w:type="dxa"/>
          </w:tblCellMar>
        </w:tblPrEx>
        <w:tc>
          <w:tcPr>
            <w:tcW w:w="23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主营业务收入增长率</w:t>
            </w:r>
          </w:p>
        </w:tc>
        <w:tc>
          <w:tcPr>
            <w:tcW w:w="1276"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4</w:t>
            </w:r>
            <w:r>
              <w:rPr>
                <w:rFonts w:ascii="幼圆" w:eastAsia="幼圆" w:hAnsi="幼圆" w:cs="幼圆" w:hint="eastAsia"/>
                <w:sz w:val="24"/>
              </w:rPr>
              <w:t>.52</w:t>
            </w:r>
          </w:p>
        </w:tc>
        <w:tc>
          <w:tcPr>
            <w:tcW w:w="155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5</w:t>
            </w:r>
            <w:r>
              <w:rPr>
                <w:rFonts w:ascii="幼圆" w:eastAsia="幼圆" w:hAnsi="幼圆" w:cs="幼圆" w:hint="eastAsia"/>
                <w:sz w:val="24"/>
              </w:rPr>
              <w:t>.81</w:t>
            </w:r>
          </w:p>
        </w:tc>
        <w:tc>
          <w:tcPr>
            <w:tcW w:w="1560"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1.1</w:t>
            </w:r>
          </w:p>
        </w:tc>
        <w:tc>
          <w:tcPr>
            <w:tcW w:w="184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7.56</w:t>
            </w:r>
          </w:p>
        </w:tc>
      </w:tr>
    </w:tbl>
    <w:p>
      <w:pPr>
        <w:spacing w:line="400" w:lineRule="exact"/>
        <w:jc w:val="right"/>
        <w:rPr>
          <w:rFonts w:ascii="幼圆" w:eastAsia="幼圆" w:hAnsi="幼圆" w:cs="幼圆" w:hint="eastAsia"/>
          <w:sz w:val="24"/>
        </w:rPr>
      </w:pPr>
      <w:r>
        <w:rPr>
          <w:rFonts w:ascii="幼圆" w:eastAsia="幼圆" w:hAnsi="幼圆" w:cs="幼圆" w:hint="eastAsia"/>
          <w:sz w:val="24"/>
        </w:rPr>
        <w:t>单位：万元</w:t>
      </w:r>
    </w:p>
    <w:p>
      <w:pPr>
        <w:spacing w:line="400" w:lineRule="exact"/>
        <w:jc w:val="center"/>
        <w:rPr>
          <w:rFonts w:ascii="幼圆" w:eastAsia="幼圆" w:hAnsi="幼圆" w:cs="幼圆" w:hint="eastAsia"/>
          <w:sz w:val="24"/>
        </w:rPr>
      </w:pPr>
    </w:p>
    <w:p>
      <w:pPr>
        <w:spacing w:line="400" w:lineRule="exact"/>
        <w:rPr>
          <w:rFonts w:ascii="幼圆" w:eastAsia="幼圆" w:hAnsi="幼圆" w:cs="幼圆" w:hint="eastAsia"/>
          <w:sz w:val="24"/>
        </w:rPr>
      </w:pPr>
    </w:p>
    <w:p>
      <w:pPr>
        <w:spacing w:line="400" w:lineRule="exact"/>
        <w:jc w:val="center"/>
        <w:rPr>
          <w:rFonts w:ascii="幼圆" w:eastAsia="幼圆" w:hAnsi="幼圆" w:cs="幼圆" w:hint="eastAsia"/>
          <w:sz w:val="24"/>
        </w:rPr>
      </w:pPr>
      <w:r>
        <w:rPr>
          <w:rFonts w:ascii="幼圆" w:eastAsia="幼圆" w:hAnsi="幼圆" w:cs="幼圆" w:hint="eastAsia"/>
          <w:sz w:val="24"/>
        </w:rPr>
        <w:t>表3-</w:t>
      </w:r>
      <w:r>
        <w:rPr>
          <w:rFonts w:ascii="幼圆" w:eastAsia="幼圆" w:hAnsi="幼圆" w:cs="幼圆" w:hint="eastAsia"/>
          <w:sz w:val="24"/>
        </w:rPr>
        <w:t>4  C</w:t>
      </w:r>
      <w:r>
        <w:rPr>
          <w:rFonts w:ascii="幼圆" w:eastAsia="幼圆" w:hAnsi="幼圆" w:cs="幼圆" w:hint="eastAsia"/>
          <w:sz w:val="24"/>
        </w:rPr>
        <w:t>公司主要产品占营业收入和营业成本比例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02"/>
        <w:gridCol w:w="1302"/>
        <w:gridCol w:w="1302"/>
        <w:gridCol w:w="1302"/>
        <w:gridCol w:w="1302"/>
        <w:gridCol w:w="1303"/>
        <w:gridCol w:w="130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营业收入</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营业成本</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毛利率</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营业收入比上面同期增减</w:t>
            </w:r>
          </w:p>
        </w:tc>
        <w:tc>
          <w:tcPr>
            <w:tcW w:w="130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营业成本比上年同期增减</w:t>
            </w:r>
          </w:p>
        </w:tc>
        <w:tc>
          <w:tcPr>
            <w:tcW w:w="130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毛利率比上年同期增减</w:t>
            </w:r>
          </w:p>
        </w:tc>
      </w:tr>
      <w:tr>
        <w:tblPrEx>
          <w:tblW w:w="0" w:type="auto"/>
          <w:tblInd w:w="0" w:type="dxa"/>
          <w:tblCellMar>
            <w:top w:w="0" w:type="dxa"/>
            <w:left w:w="108" w:type="dxa"/>
            <w:bottom w:w="0" w:type="dxa"/>
            <w:right w:w="108" w:type="dxa"/>
          </w:tblCellMar>
        </w:tblPrEx>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抽油烟机</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4</w:t>
            </w:r>
            <w:r>
              <w:rPr>
                <w:rFonts w:ascii="幼圆" w:eastAsia="幼圆" w:hAnsi="幼圆" w:cs="幼圆" w:hint="eastAsia"/>
                <w:sz w:val="24"/>
              </w:rPr>
              <w:t>08155</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69514</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5</w:t>
            </w:r>
            <w:r>
              <w:rPr>
                <w:rFonts w:ascii="幼圆" w:eastAsia="幼圆" w:hAnsi="幼圆" w:cs="幼圆" w:hint="eastAsia"/>
                <w:sz w:val="24"/>
              </w:rPr>
              <w:t>8.47</w:t>
            </w:r>
            <w:r>
              <w:rPr>
                <w:rFonts w:ascii="幼圆" w:eastAsia="幼圆" w:hAnsi="幼圆" w:cs="幼圆" w:hint="eastAsia"/>
                <w:sz w:val="24"/>
              </w:rPr>
              <w:t>%</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.71</w:t>
            </w:r>
            <w:r>
              <w:rPr>
                <w:rFonts w:ascii="幼圆" w:eastAsia="幼圆" w:hAnsi="幼圆" w:cs="幼圆" w:hint="eastAsia"/>
                <w:sz w:val="24"/>
              </w:rPr>
              <w:t>%</w:t>
            </w:r>
          </w:p>
        </w:tc>
        <w:tc>
          <w:tcPr>
            <w:tcW w:w="130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1.41</w:t>
            </w:r>
            <w:r>
              <w:rPr>
                <w:rFonts w:ascii="幼圆" w:eastAsia="幼圆" w:hAnsi="幼圆" w:cs="幼圆" w:hint="eastAsia"/>
                <w:sz w:val="24"/>
              </w:rPr>
              <w:t>%</w:t>
            </w:r>
          </w:p>
        </w:tc>
        <w:tc>
          <w:tcPr>
            <w:tcW w:w="130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.30</w:t>
            </w:r>
            <w:r>
              <w:rPr>
                <w:rFonts w:ascii="幼圆" w:eastAsia="幼圆" w:hAnsi="幼圆" w:cs="幼圆" w:hint="eastAsia"/>
                <w:sz w:val="24"/>
              </w:rPr>
              <w:t>%</w:t>
            </w:r>
          </w:p>
        </w:tc>
      </w:tr>
      <w:tr>
        <w:tblPrEx>
          <w:tblW w:w="0" w:type="auto"/>
          <w:tblInd w:w="0" w:type="dxa"/>
          <w:tblCellMar>
            <w:top w:w="0" w:type="dxa"/>
            <w:left w:w="108" w:type="dxa"/>
            <w:bottom w:w="0" w:type="dxa"/>
            <w:right w:w="108" w:type="dxa"/>
          </w:tblCellMar>
        </w:tblPrEx>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燃气灶</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84344</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8</w:t>
            </w:r>
            <w:r>
              <w:rPr>
                <w:rFonts w:ascii="幼圆" w:eastAsia="幼圆" w:hAnsi="幼圆" w:cs="幼圆" w:hint="eastAsia"/>
                <w:sz w:val="24"/>
              </w:rPr>
              <w:t>1090</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5</w:t>
            </w:r>
            <w:r>
              <w:rPr>
                <w:rFonts w:ascii="幼圆" w:eastAsia="幼圆" w:hAnsi="幼圆" w:cs="幼圆" w:hint="eastAsia"/>
                <w:sz w:val="24"/>
              </w:rPr>
              <w:t>6.01</w:t>
            </w:r>
            <w:r>
              <w:rPr>
                <w:rFonts w:ascii="幼圆" w:eastAsia="幼圆" w:hAnsi="幼圆" w:cs="幼圆" w:hint="eastAsia"/>
                <w:sz w:val="24"/>
              </w:rPr>
              <w:t>%</w:t>
            </w:r>
          </w:p>
        </w:tc>
        <w:tc>
          <w:tcPr>
            <w:tcW w:w="1302"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.87</w:t>
            </w:r>
            <w:r>
              <w:rPr>
                <w:rFonts w:ascii="幼圆" w:eastAsia="幼圆" w:hAnsi="幼圆" w:cs="幼圆" w:hint="eastAsia"/>
                <w:sz w:val="24"/>
              </w:rPr>
              <w:t>%</w:t>
            </w:r>
          </w:p>
        </w:tc>
        <w:tc>
          <w:tcPr>
            <w:tcW w:w="130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0</w:t>
            </w:r>
            <w:r>
              <w:rPr>
                <w:rFonts w:ascii="幼圆" w:eastAsia="幼圆" w:hAnsi="幼圆" w:cs="幼圆" w:hint="eastAsia"/>
                <w:sz w:val="24"/>
              </w:rPr>
              <w:t>.88</w:t>
            </w:r>
            <w:r>
              <w:rPr>
                <w:rFonts w:ascii="幼圆" w:eastAsia="幼圆" w:hAnsi="幼圆" w:cs="幼圆" w:hint="eastAsia"/>
                <w:sz w:val="24"/>
              </w:rPr>
              <w:t>%</w:t>
            </w:r>
          </w:p>
        </w:tc>
        <w:tc>
          <w:tcPr>
            <w:tcW w:w="130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.57</w:t>
            </w:r>
            <w:r>
              <w:rPr>
                <w:rFonts w:ascii="幼圆" w:eastAsia="幼圆" w:hAnsi="幼圆" w:cs="幼圆" w:hint="eastAsia"/>
                <w:sz w:val="24"/>
              </w:rPr>
              <w:t>%</w:t>
            </w:r>
          </w:p>
        </w:tc>
      </w:tr>
    </w:tbl>
    <w:p>
      <w:pPr>
        <w:spacing w:line="400" w:lineRule="exact"/>
        <w:jc w:val="right"/>
        <w:rPr>
          <w:rFonts w:ascii="幼圆" w:eastAsia="幼圆" w:hAnsi="幼圆" w:cs="幼圆" w:hint="eastAsia"/>
          <w:sz w:val="24"/>
        </w:rPr>
      </w:pPr>
      <w:r>
        <w:rPr>
          <w:rFonts w:ascii="幼圆" w:eastAsia="幼圆" w:hAnsi="幼圆" w:cs="幼圆" w:hint="eastAsia"/>
          <w:sz w:val="24"/>
        </w:rPr>
        <w:t>单位：万元</w:t>
      </w:r>
    </w:p>
    <w:p>
      <w:pPr>
        <w:pStyle w:val="Heading2"/>
        <w:rPr>
          <w:rFonts w:ascii="幼圆" w:eastAsia="幼圆" w:hAnsi="幼圆" w:cs="幼圆" w:hint="eastAsia"/>
        </w:rPr>
      </w:pPr>
      <w:bookmarkStart w:id="7" w:name="_Toc71149374"/>
      <w:bookmarkStart w:id="8" w:name="_Toc8553"/>
      <w:r>
        <w:rPr>
          <w:rFonts w:ascii="幼圆" w:eastAsia="幼圆" w:hAnsi="幼圆" w:cs="幼圆" w:hint="eastAsia"/>
        </w:rPr>
        <w:t>3.3 C公司成本管理现状分析</w:t>
      </w:r>
      <w:bookmarkEnd w:id="7"/>
      <w:bookmarkEnd w:id="8"/>
    </w:p>
    <w:p>
      <w:pPr>
        <w:spacing w:line="400" w:lineRule="exact"/>
        <w:ind w:firstLine="480"/>
        <w:rPr>
          <w:rFonts w:ascii="幼圆" w:eastAsia="幼圆" w:hAnsi="幼圆" w:cs="幼圆" w:hint="eastAsia"/>
          <w:sz w:val="24"/>
        </w:rPr>
      </w:pPr>
      <w:r>
        <w:rPr>
          <w:rFonts w:ascii="幼圆" w:eastAsia="幼圆" w:hAnsi="幼圆" w:cs="幼圆" w:hint="eastAsia"/>
          <w:sz w:val="24"/>
        </w:rPr>
        <w:t>C公司成本主要由以下四个方面组成：生产成本、研发成本、销售成本和管理成本。从柱状图中可以看出，生产成本和销售成本占了绝大部分比重，各项成本在2</w:t>
      </w:r>
      <w:r>
        <w:rPr>
          <w:rFonts w:ascii="幼圆" w:eastAsia="幼圆" w:hAnsi="幼圆" w:cs="幼圆" w:hint="eastAsia"/>
          <w:sz w:val="24"/>
        </w:rPr>
        <w:t>017</w:t>
      </w:r>
      <w:r>
        <w:rPr>
          <w:rFonts w:ascii="幼圆" w:eastAsia="幼圆" w:hAnsi="幼圆" w:cs="幼圆" w:hint="eastAsia"/>
          <w:sz w:val="24"/>
        </w:rPr>
        <w:t>-</w:t>
      </w:r>
      <w:r>
        <w:rPr>
          <w:rFonts w:ascii="幼圆" w:eastAsia="幼圆" w:hAnsi="幼圆" w:cs="幼圆" w:hint="eastAsia"/>
          <w:sz w:val="24"/>
        </w:rPr>
        <w:t>2018</w:t>
      </w:r>
      <w:r>
        <w:rPr>
          <w:rFonts w:ascii="幼圆" w:eastAsia="幼圆" w:hAnsi="幼圆" w:cs="幼圆" w:hint="eastAsia"/>
          <w:sz w:val="24"/>
        </w:rPr>
        <w:t>年增长幅度较大，到了2</w:t>
      </w:r>
      <w:r>
        <w:rPr>
          <w:rFonts w:ascii="幼圆" w:eastAsia="幼圆" w:hAnsi="幼圆" w:cs="幼圆" w:hint="eastAsia"/>
          <w:sz w:val="24"/>
        </w:rPr>
        <w:t>019</w:t>
      </w:r>
      <w:r>
        <w:rPr>
          <w:rFonts w:ascii="幼圆" w:eastAsia="幼圆" w:hAnsi="幼圆" w:cs="幼圆" w:hint="eastAsia"/>
          <w:sz w:val="24"/>
        </w:rPr>
        <w:t>年增长幅度变缓。</w:t>
      </w:r>
    </w:p>
    <w:p>
      <w:pPr>
        <w:spacing w:line="400" w:lineRule="exact"/>
        <w:ind w:firstLine="480"/>
        <w:jc w:val="center"/>
        <w:rPr>
          <w:rFonts w:ascii="幼圆" w:eastAsia="幼圆" w:hAnsi="幼圆" w:cs="幼圆" w:hint="eastAsia"/>
          <w:sz w:val="24"/>
        </w:rPr>
      </w:pPr>
      <w:r>
        <w:rPr>
          <w:rFonts w:ascii="幼圆" w:eastAsia="幼圆" w:hAnsi="幼圆" w:cs="幼圆" w:hint="eastAsia"/>
          <w:sz w:val="24"/>
        </w:rPr>
        <w:t>表3-</w:t>
      </w:r>
      <w:r>
        <w:rPr>
          <w:rFonts w:ascii="幼圆" w:eastAsia="幼圆" w:hAnsi="幼圆" w:cs="幼圆" w:hint="eastAsia"/>
          <w:sz w:val="24"/>
        </w:rPr>
        <w:t xml:space="preserve">5  </w:t>
      </w:r>
      <w:r>
        <w:rPr>
          <w:rFonts w:ascii="幼圆" w:eastAsia="幼圆" w:hAnsi="幼圆" w:cs="幼圆" w:hint="eastAsia"/>
          <w:sz w:val="24"/>
        </w:rPr>
        <w:drawing>
          <wp:inline distT="0" distB="0" distL="0" distR="0">
            <wp:extent cx="13970" cy="11169650"/>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r>
        <w:rPr>
          <w:rFonts w:ascii="幼圆" w:eastAsia="幼圆" w:hAnsi="幼圆" w:cs="幼圆" w:hint="eastAsia"/>
          <w:sz w:val="24"/>
        </w:rPr>
        <w:t>C</w:t>
      </w:r>
      <w:r>
        <w:rPr>
          <w:rFonts w:ascii="幼圆" w:eastAsia="幼圆" w:hAnsi="幼圆" w:cs="幼圆" w:hint="eastAsia"/>
          <w:sz w:val="24"/>
        </w:rPr>
        <w:t>公司近三年成本明细</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62"/>
        <w:gridCol w:w="2518"/>
        <w:gridCol w:w="2518"/>
        <w:gridCol w:w="251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57" w:type="pct"/>
            <w:shd w:val="clear" w:color="auto" w:fill="auto"/>
          </w:tcPr>
          <w:p>
            <w:pPr>
              <w:spacing w:line="400" w:lineRule="exact"/>
              <w:rPr>
                <w:rFonts w:ascii="幼圆" w:eastAsia="幼圆" w:hAnsi="幼圆" w:cs="幼圆" w:hint="eastAsia"/>
                <w:sz w:val="24"/>
              </w:rPr>
            </w:pP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017</w:t>
            </w:r>
            <w:r>
              <w:rPr>
                <w:rFonts w:ascii="幼圆" w:eastAsia="幼圆" w:hAnsi="幼圆" w:cs="幼圆" w:hint="eastAsia"/>
                <w:sz w:val="24"/>
              </w:rPr>
              <w:t>年</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018</w:t>
            </w:r>
            <w:r>
              <w:rPr>
                <w:rFonts w:ascii="幼圆" w:eastAsia="幼圆" w:hAnsi="幼圆" w:cs="幼圆" w:hint="eastAsia"/>
                <w:sz w:val="24"/>
              </w:rPr>
              <w:t>年</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r>
      <w:tr>
        <w:tblPrEx>
          <w:tblW w:w="5000" w:type="pct"/>
          <w:tblInd w:w="0" w:type="dxa"/>
          <w:tblCellMar>
            <w:top w:w="0" w:type="dxa"/>
            <w:left w:w="108" w:type="dxa"/>
            <w:bottom w:w="0" w:type="dxa"/>
            <w:right w:w="108" w:type="dxa"/>
          </w:tblCellMar>
        </w:tblPrEx>
        <w:tc>
          <w:tcPr>
            <w:tcW w:w="857"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生产成本</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w:t>
            </w:r>
            <w:r>
              <w:rPr>
                <w:rFonts w:ascii="幼圆" w:eastAsia="幼圆" w:hAnsi="幼圆" w:cs="幼圆" w:hint="eastAsia"/>
                <w:sz w:val="24"/>
              </w:rPr>
              <w:t>,250,587,734.45</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3,450,765,242.29</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3,548,777,745.04</w:t>
            </w:r>
          </w:p>
        </w:tc>
      </w:tr>
      <w:tr>
        <w:tblPrEx>
          <w:tblW w:w="5000" w:type="pct"/>
          <w:tblInd w:w="0" w:type="dxa"/>
          <w:tblCellMar>
            <w:top w:w="0" w:type="dxa"/>
            <w:left w:w="108" w:type="dxa"/>
            <w:bottom w:w="0" w:type="dxa"/>
            <w:right w:w="108" w:type="dxa"/>
          </w:tblCellMar>
        </w:tblPrEx>
        <w:tc>
          <w:tcPr>
            <w:tcW w:w="857"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销售成本</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1,677,876,519.87</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1,909,856,779.45</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1,928,259,172.35</w:t>
            </w:r>
          </w:p>
        </w:tc>
      </w:tr>
      <w:tr>
        <w:tblPrEx>
          <w:tblW w:w="5000" w:type="pct"/>
          <w:tblInd w:w="0" w:type="dxa"/>
          <w:tblCellMar>
            <w:top w:w="0" w:type="dxa"/>
            <w:left w:w="108" w:type="dxa"/>
            <w:bottom w:w="0" w:type="dxa"/>
            <w:right w:w="108" w:type="dxa"/>
          </w:tblCellMar>
        </w:tblPrEx>
        <w:tc>
          <w:tcPr>
            <w:tcW w:w="857"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管理成本</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247,834,630.94</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272,355,117.98</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284,364,115.17</w:t>
            </w:r>
          </w:p>
        </w:tc>
      </w:tr>
    </w:tbl>
    <w:p>
      <w:pPr>
        <w:sectPr>
          <w:endnotePr>
            <w:numFmt w:val="decimal"/>
          </w:endnotePr>
          <w:type w:val="nextPage"/>
          <w:pgSz w:w="11906" w:h="16838"/>
          <w:pgMar w:top="1701" w:right="1418" w:bottom="1418" w:left="1588" w:header="1134" w:footer="992" w:gutter="0"/>
          <w:pgNumType w:start="4"/>
          <w:cols w:num="1" w:space="425"/>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62"/>
        <w:gridCol w:w="2518"/>
        <w:gridCol w:w="2518"/>
        <w:gridCol w:w="2518"/>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857"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研发成本</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233,127,005.46</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293,427,244.80</w:t>
            </w:r>
          </w:p>
        </w:tc>
        <w:tc>
          <w:tcPr>
            <w:tcW w:w="1381" w:type="pct"/>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299,469,126.54</w:t>
            </w:r>
          </w:p>
        </w:tc>
      </w:tr>
    </w:tbl>
    <w:p>
      <w:pPr>
        <w:spacing w:line="400" w:lineRule="exact"/>
        <w:ind w:firstLine="480"/>
        <w:rPr>
          <w:rFonts w:ascii="幼圆" w:eastAsia="幼圆" w:hAnsi="幼圆" w:cs="幼圆" w:hint="eastAsia"/>
          <w:sz w:val="24"/>
        </w:rPr>
      </w:pPr>
      <w:r>
        <w:rPr>
          <w:rFonts w:ascii="幼圆" w:eastAsia="幼圆" w:hAnsi="幼圆" w:cs="幼圆" w:hint="eastAsia"/>
          <w:sz w:val="24"/>
        </w:rPr>
        <w:drawing>
          <wp:inline distT="0" distB="0" distL="0" distR="0">
            <wp:extent cx="6985" cy="6985"/>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ascii="幼圆" w:eastAsia="幼圆" w:hAnsi="幼圆" w:cs="幼圆" w:hint="eastAsia"/>
          <w:sz w:val="24"/>
        </w:rPr>
        <w:t xml:space="preserve"> </w:t>
      </w:r>
      <w:r>
        <w:rPr>
          <w:rFonts w:ascii="幼圆" w:eastAsia="幼圆" w:hAnsi="幼圆" w:cs="幼圆" w:hint="eastAsia"/>
          <w:sz w:val="24"/>
        </w:rPr>
        <w:t xml:space="preserve">                                                            </w:t>
      </w:r>
      <w:r>
        <w:rPr>
          <w:rFonts w:ascii="幼圆" w:eastAsia="幼圆" w:hAnsi="幼圆" w:cs="幼圆" w:hint="eastAsia"/>
          <w:sz w:val="24"/>
        </w:rPr>
        <w:t>单位：元</w:t>
      </w:r>
    </w:p>
    <w:p>
      <w:pPr>
        <w:spacing w:line="400" w:lineRule="exact"/>
        <w:ind w:firstLine="480"/>
        <w:jc w:val="center"/>
        <w:rPr>
          <w:rFonts w:ascii="幼圆" w:eastAsia="幼圆" w:hAnsi="幼圆" w:cs="幼圆" w:hint="eastAsia"/>
          <w:sz w:val="24"/>
        </w:rPr>
      </w:pPr>
      <w:r>
        <w:rPr>
          <w:rFonts w:ascii="幼圆" w:eastAsia="幼圆" w:hAnsi="幼圆" w:cs="幼圆" w:hint="eastAsia"/>
          <w:sz w:val="24"/>
        </w:rPr>
        <w:t>图3-</w:t>
      </w:r>
      <w:r>
        <w:rPr>
          <w:rFonts w:ascii="幼圆" w:eastAsia="幼圆" w:hAnsi="幼圆" w:cs="幼圆" w:hint="eastAsia"/>
          <w:sz w:val="24"/>
        </w:rPr>
        <w:t>6 C</w:t>
      </w:r>
      <w:r>
        <w:rPr>
          <w:rFonts w:ascii="幼圆" w:eastAsia="幼圆" w:hAnsi="幼圆" w:cs="幼圆" w:hint="eastAsia"/>
          <w:sz w:val="24"/>
        </w:rPr>
        <w:t>公司成本柱状图</w:t>
      </w:r>
    </w:p>
    <w:p>
      <w:pPr>
        <w:tabs>
          <w:tab w:val="left" w:pos="3988"/>
        </w:tabs>
        <w:spacing w:line="400" w:lineRule="exact"/>
        <w:ind w:firstLine="480"/>
        <w:rPr>
          <w:rFonts w:ascii="幼圆" w:eastAsia="幼圆" w:hAnsi="幼圆" w:cs="幼圆" w:hint="eastAsia"/>
          <w:sz w:val="24"/>
        </w:rPr>
      </w:pPr>
      <w:r>
        <w:rPr>
          <w:rFonts w:ascii="幼圆" w:eastAsia="幼圆" w:hAnsi="幼圆" w:cs="幼圆" w:hint="eastAsia"/>
          <w:sz w:val="24"/>
        </w:rPr>
        <w:drawing>
          <wp:anchor distT="0" distB="0" distL="114300" distR="114300" simplePos="0" relativeHeight="251750400" behindDoc="1" locked="0" layoutInCell="1" allowOverlap="1">
            <wp:simplePos x="0" y="0"/>
            <wp:positionH relativeFrom="margin">
              <wp:align>right</wp:align>
            </wp:positionH>
            <wp:positionV relativeFrom="paragraph">
              <wp:posOffset>7620</wp:posOffset>
            </wp:positionV>
            <wp:extent cx="5486400" cy="3200400"/>
            <wp:effectExtent l="4445" t="4445" r="14605" b="14605"/>
            <wp:wrapNone/>
            <wp:docPr id="896" name="图表 89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ascii="幼圆" w:eastAsia="幼圆" w:hAnsi="幼圆" w:cs="幼圆" w:hint="eastAsia"/>
          <w:sz w:val="24"/>
        </w:rPr>
        <w:tab/>
      </w: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p>
    <w:p>
      <w:pPr>
        <w:spacing w:line="400" w:lineRule="exact"/>
        <w:ind w:firstLine="480"/>
        <w:rPr>
          <w:rFonts w:ascii="幼圆" w:eastAsia="幼圆" w:hAnsi="幼圆" w:cs="幼圆" w:hint="eastAsia"/>
          <w:sz w:val="24"/>
        </w:rPr>
      </w:pPr>
      <w:r>
        <w:rPr>
          <w:rFonts w:ascii="幼圆" w:eastAsia="幼圆" w:hAnsi="幼圆" w:cs="幼圆" w:hint="eastAsia"/>
          <w:sz w:val="24"/>
        </w:rPr>
        <w:t>单位：万元</w:t>
      </w:r>
    </w:p>
    <w:p>
      <w:pPr>
        <w:pStyle w:val="3"/>
        <w:rPr>
          <w:rFonts w:ascii="幼圆" w:eastAsia="幼圆" w:hAnsi="幼圆" w:cs="幼圆" w:hint="eastAsia"/>
        </w:rPr>
      </w:pPr>
      <w:bookmarkStart w:id="9" w:name="_Toc71149375"/>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1</w:t>
      </w:r>
      <w:r>
        <w:rPr>
          <w:rFonts w:ascii="幼圆" w:eastAsia="幼圆" w:hAnsi="幼圆" w:cs="幼圆" w:hint="eastAsia"/>
        </w:rPr>
        <w:t xml:space="preserve"> 生产成本</w:t>
      </w:r>
      <w:bookmarkEnd w:id="9"/>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C公司的生产成本主要由以下三个方面组成：制造费用、原材料和人工。如下图3-</w:t>
      </w:r>
      <w:r>
        <w:rPr>
          <w:rFonts w:ascii="幼圆" w:eastAsia="幼圆" w:hAnsi="幼圆" w:cs="幼圆" w:hint="eastAsia"/>
          <w:sz w:val="24"/>
        </w:rPr>
        <w:t>4</w:t>
      </w:r>
      <w:r>
        <w:rPr>
          <w:rFonts w:ascii="幼圆" w:eastAsia="幼圆" w:hAnsi="幼圆" w:cs="幼圆" w:hint="eastAsia"/>
          <w:sz w:val="24"/>
        </w:rPr>
        <w:t>所示，原材料占营业成本的比重高达88%，制造费用和人工总占比1</w:t>
      </w:r>
      <w:r>
        <w:rPr>
          <w:rFonts w:ascii="幼圆" w:eastAsia="幼圆" w:hAnsi="幼圆" w:cs="幼圆" w:hint="eastAsia"/>
          <w:sz w:val="24"/>
        </w:rPr>
        <w:t>0</w:t>
      </w:r>
      <w:r>
        <w:rPr>
          <w:rFonts w:ascii="幼圆" w:eastAsia="幼圆" w:hAnsi="幼圆" w:cs="幼圆" w:hint="eastAsia"/>
          <w:sz w:val="24"/>
        </w:rPr>
        <w:t>%左右，原材料价格的波动对企业生产成本的影响是最大的。</w:t>
      </w:r>
    </w:p>
    <w:p>
      <w:pPr>
        <w:spacing w:line="400" w:lineRule="exact"/>
        <w:ind w:firstLine="480" w:firstLineChars="200"/>
        <w:jc w:val="center"/>
        <w:rPr>
          <w:rFonts w:ascii="幼圆" w:eastAsia="幼圆" w:hAnsi="幼圆" w:cs="幼圆" w:hint="eastAsia"/>
          <w:sz w:val="24"/>
          <w:szCs w:val="22"/>
        </w:rPr>
      </w:pPr>
      <w:r>
        <w:rPr>
          <w:rFonts w:ascii="幼圆" w:eastAsia="幼圆" w:hAnsi="幼圆" w:cs="幼圆" w:hint="eastAsia"/>
          <w:sz w:val="24"/>
          <w:szCs w:val="22"/>
        </w:rPr>
        <w:t>表3-</w:t>
      </w:r>
      <w:r>
        <w:rPr>
          <w:rFonts w:ascii="幼圆" w:eastAsia="幼圆" w:hAnsi="幼圆" w:cs="幼圆" w:hint="eastAsia"/>
          <w:sz w:val="24"/>
          <w:szCs w:val="22"/>
        </w:rPr>
        <w:t>7</w:t>
      </w:r>
      <w:r>
        <w:rPr>
          <w:rFonts w:ascii="幼圆" w:eastAsia="幼圆" w:hAnsi="幼圆" w:cs="幼圆" w:hint="eastAsia"/>
          <w:sz w:val="24"/>
          <w:szCs w:val="22"/>
        </w:rPr>
        <w:t xml:space="preserve"> </w:t>
      </w:r>
      <w:r>
        <w:rPr>
          <w:rFonts w:ascii="幼圆" w:eastAsia="幼圆" w:hAnsi="幼圆" w:cs="幼圆" w:hint="eastAsia"/>
          <w:sz w:val="24"/>
          <w:szCs w:val="22"/>
        </w:rPr>
        <w:t xml:space="preserve"> C</w:t>
      </w:r>
      <w:r>
        <w:rPr>
          <w:rFonts w:ascii="幼圆" w:eastAsia="幼圆" w:hAnsi="幼圆" w:cs="幼圆" w:hint="eastAsia"/>
          <w:sz w:val="24"/>
          <w:szCs w:val="22"/>
        </w:rPr>
        <w:t>公司生产成本构成</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6"/>
        <w:gridCol w:w="675"/>
        <w:gridCol w:w="1701"/>
        <w:gridCol w:w="850"/>
        <w:gridCol w:w="1701"/>
        <w:gridCol w:w="851"/>
        <w:gridCol w:w="1842"/>
        <w:gridCol w:w="8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26" w:type="dxa"/>
            <w:vMerge w:val="restart"/>
            <w:shd w:val="clear" w:color="auto" w:fill="auto"/>
          </w:tcPr>
          <w:p>
            <w:pPr>
              <w:rPr>
                <w:rFonts w:ascii="幼圆" w:eastAsia="幼圆" w:hAnsi="幼圆" w:cs="幼圆" w:hint="eastAsia"/>
                <w:szCs w:val="21"/>
              </w:rPr>
            </w:pPr>
            <w:r>
              <w:rPr>
                <w:rFonts w:ascii="幼圆" w:eastAsia="幼圆" w:hAnsi="幼圆" w:cs="幼圆" w:hint="eastAsia"/>
                <w:szCs w:val="21"/>
              </w:rPr>
              <w:t>产品</w:t>
            </w:r>
          </w:p>
        </w:tc>
        <w:tc>
          <w:tcPr>
            <w:tcW w:w="675" w:type="dxa"/>
            <w:vMerge w:val="restart"/>
            <w:shd w:val="clear" w:color="auto" w:fill="auto"/>
          </w:tcPr>
          <w:p>
            <w:pPr>
              <w:rPr>
                <w:rFonts w:ascii="幼圆" w:eastAsia="幼圆" w:hAnsi="幼圆" w:cs="幼圆" w:hint="eastAsia"/>
                <w:szCs w:val="21"/>
              </w:rPr>
            </w:pPr>
            <w:r>
              <w:rPr>
                <w:rFonts w:ascii="幼圆" w:eastAsia="幼圆" w:hAnsi="幼圆" w:cs="幼圆" w:hint="eastAsia"/>
                <w:szCs w:val="21"/>
              </w:rPr>
              <w:t>项目</w:t>
            </w:r>
          </w:p>
        </w:tc>
        <w:tc>
          <w:tcPr>
            <w:tcW w:w="2551" w:type="dxa"/>
            <w:gridSpan w:val="2"/>
            <w:shd w:val="clear" w:color="auto" w:fill="auto"/>
          </w:tcPr>
          <w:p>
            <w:pPr>
              <w:rPr>
                <w:rFonts w:ascii="幼圆" w:eastAsia="幼圆" w:hAnsi="幼圆" w:cs="幼圆" w:hint="eastAsia"/>
                <w:szCs w:val="21"/>
              </w:rPr>
            </w:pPr>
            <w:r>
              <w:rPr>
                <w:rFonts w:ascii="幼圆" w:eastAsia="幼圆" w:hAnsi="幼圆" w:cs="幼圆" w:hint="eastAsia"/>
                <w:szCs w:val="21"/>
              </w:rPr>
              <w:t>2</w:t>
            </w:r>
            <w:r>
              <w:rPr>
                <w:rFonts w:ascii="幼圆" w:eastAsia="幼圆" w:hAnsi="幼圆" w:cs="幼圆" w:hint="eastAsia"/>
                <w:szCs w:val="21"/>
              </w:rPr>
              <w:t>019</w:t>
            </w:r>
            <w:r>
              <w:rPr>
                <w:rFonts w:ascii="幼圆" w:eastAsia="幼圆" w:hAnsi="幼圆" w:cs="幼圆" w:hint="eastAsia"/>
                <w:szCs w:val="21"/>
              </w:rPr>
              <w:t>年</w:t>
            </w:r>
          </w:p>
        </w:tc>
        <w:tc>
          <w:tcPr>
            <w:tcW w:w="2552" w:type="dxa"/>
            <w:gridSpan w:val="2"/>
            <w:shd w:val="clear" w:color="auto" w:fill="auto"/>
          </w:tcPr>
          <w:p>
            <w:pPr>
              <w:rPr>
                <w:rFonts w:ascii="幼圆" w:eastAsia="幼圆" w:hAnsi="幼圆" w:cs="幼圆" w:hint="eastAsia"/>
                <w:szCs w:val="21"/>
              </w:rPr>
            </w:pPr>
            <w:r>
              <w:rPr>
                <w:rFonts w:ascii="幼圆" w:eastAsia="幼圆" w:hAnsi="幼圆" w:cs="幼圆" w:hint="eastAsia"/>
                <w:szCs w:val="21"/>
              </w:rPr>
              <w:t>2</w:t>
            </w:r>
            <w:r>
              <w:rPr>
                <w:rFonts w:ascii="幼圆" w:eastAsia="幼圆" w:hAnsi="幼圆" w:cs="幼圆" w:hint="eastAsia"/>
                <w:szCs w:val="21"/>
              </w:rPr>
              <w:t>018</w:t>
            </w:r>
            <w:r>
              <w:rPr>
                <w:rFonts w:ascii="幼圆" w:eastAsia="幼圆" w:hAnsi="幼圆" w:cs="幼圆" w:hint="eastAsia"/>
                <w:szCs w:val="21"/>
              </w:rPr>
              <w:t>年</w:t>
            </w:r>
          </w:p>
        </w:tc>
        <w:tc>
          <w:tcPr>
            <w:tcW w:w="2693" w:type="dxa"/>
            <w:gridSpan w:val="2"/>
            <w:shd w:val="clear" w:color="auto" w:fill="auto"/>
          </w:tcPr>
          <w:p>
            <w:pPr>
              <w:rPr>
                <w:rFonts w:ascii="幼圆" w:eastAsia="幼圆" w:hAnsi="幼圆" w:cs="幼圆" w:hint="eastAsia"/>
                <w:szCs w:val="21"/>
              </w:rPr>
            </w:pPr>
            <w:r>
              <w:rPr>
                <w:rFonts w:ascii="幼圆" w:eastAsia="幼圆" w:hAnsi="幼圆" w:cs="幼圆" w:hint="eastAsia"/>
                <w:szCs w:val="21"/>
              </w:rPr>
              <w:t>2</w:t>
            </w:r>
            <w:r>
              <w:rPr>
                <w:rFonts w:ascii="幼圆" w:eastAsia="幼圆" w:hAnsi="幼圆" w:cs="幼圆" w:hint="eastAsia"/>
                <w:szCs w:val="21"/>
              </w:rPr>
              <w:t>017</w:t>
            </w:r>
            <w:r>
              <w:rPr>
                <w:rFonts w:ascii="幼圆" w:eastAsia="幼圆" w:hAnsi="幼圆" w:cs="幼圆" w:hint="eastAsia"/>
                <w:szCs w:val="21"/>
              </w:rPr>
              <w:t>年</w:t>
            </w:r>
          </w:p>
        </w:tc>
      </w:tr>
      <w:tr>
        <w:tblPrEx>
          <w:tblW w:w="0" w:type="auto"/>
          <w:tblInd w:w="0" w:type="dxa"/>
          <w:tblLayout w:type="fixed"/>
          <w:tblCellMar>
            <w:top w:w="0" w:type="dxa"/>
            <w:left w:w="108" w:type="dxa"/>
            <w:bottom w:w="0" w:type="dxa"/>
            <w:right w:w="108" w:type="dxa"/>
          </w:tblCellMar>
        </w:tblPrEx>
        <w:tc>
          <w:tcPr>
            <w:tcW w:w="426" w:type="dxa"/>
            <w:vMerge/>
            <w:shd w:val="clear" w:color="auto" w:fill="auto"/>
          </w:tcPr>
          <w:p>
            <w:pPr>
              <w:rPr>
                <w:rFonts w:ascii="幼圆" w:eastAsia="幼圆" w:hAnsi="幼圆" w:cs="幼圆" w:hint="eastAsia"/>
                <w:szCs w:val="21"/>
              </w:rPr>
            </w:pPr>
          </w:p>
        </w:tc>
        <w:tc>
          <w:tcPr>
            <w:tcW w:w="675" w:type="dxa"/>
            <w:vMerge/>
            <w:shd w:val="clear" w:color="auto" w:fill="auto"/>
          </w:tcPr>
          <w:p>
            <w:pPr>
              <w:rPr>
                <w:rFonts w:ascii="幼圆" w:eastAsia="幼圆" w:hAnsi="幼圆" w:cs="幼圆" w:hint="eastAsia"/>
                <w:szCs w:val="21"/>
              </w:rPr>
            </w:pP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金额</w:t>
            </w:r>
          </w:p>
        </w:tc>
        <w:tc>
          <w:tcPr>
            <w:tcW w:w="850" w:type="dxa"/>
            <w:shd w:val="clear" w:color="auto" w:fill="auto"/>
          </w:tcPr>
          <w:p>
            <w:pPr>
              <w:rPr>
                <w:rFonts w:ascii="幼圆" w:eastAsia="幼圆" w:hAnsi="幼圆" w:cs="幼圆" w:hint="eastAsia"/>
                <w:szCs w:val="21"/>
              </w:rPr>
            </w:pPr>
            <w:r>
              <w:rPr>
                <w:rFonts w:ascii="幼圆" w:eastAsia="幼圆" w:hAnsi="幼圆" w:cs="幼圆" w:hint="eastAsia"/>
                <w:szCs w:val="21"/>
              </w:rPr>
              <w:t>营业成本占比</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金额</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营业成本占比</w:t>
            </w:r>
          </w:p>
        </w:tc>
        <w:tc>
          <w:tcPr>
            <w:tcW w:w="1842" w:type="dxa"/>
            <w:shd w:val="clear" w:color="auto" w:fill="auto"/>
          </w:tcPr>
          <w:p>
            <w:pPr>
              <w:rPr>
                <w:rFonts w:ascii="幼圆" w:eastAsia="幼圆" w:hAnsi="幼圆" w:cs="幼圆" w:hint="eastAsia"/>
                <w:szCs w:val="21"/>
              </w:rPr>
            </w:pPr>
            <w:r>
              <w:rPr>
                <w:rFonts w:ascii="幼圆" w:eastAsia="幼圆" w:hAnsi="幼圆" w:cs="幼圆" w:hint="eastAsia"/>
                <w:szCs w:val="21"/>
              </w:rPr>
              <w:t>金额</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营业成本占比</w:t>
            </w:r>
          </w:p>
        </w:tc>
      </w:tr>
      <w:tr>
        <w:tblPrEx>
          <w:tblW w:w="0" w:type="auto"/>
          <w:tblInd w:w="0" w:type="dxa"/>
          <w:tblLayout w:type="fixed"/>
          <w:tblCellMar>
            <w:top w:w="0" w:type="dxa"/>
            <w:left w:w="108" w:type="dxa"/>
            <w:bottom w:w="0" w:type="dxa"/>
            <w:right w:w="108" w:type="dxa"/>
          </w:tblCellMar>
        </w:tblPrEx>
        <w:tc>
          <w:tcPr>
            <w:tcW w:w="426" w:type="dxa"/>
            <w:vMerge w:val="restart"/>
            <w:shd w:val="clear" w:color="auto" w:fill="auto"/>
          </w:tcPr>
          <w:p>
            <w:pPr>
              <w:rPr>
                <w:rFonts w:ascii="幼圆" w:eastAsia="幼圆" w:hAnsi="幼圆" w:cs="幼圆" w:hint="eastAsia"/>
                <w:szCs w:val="21"/>
              </w:rPr>
            </w:pPr>
            <w:r>
              <w:rPr>
                <w:rFonts w:ascii="幼圆" w:eastAsia="幼圆" w:hAnsi="幼圆" w:cs="幼圆" w:hint="eastAsia"/>
                <w:szCs w:val="21"/>
              </w:rPr>
              <w:t>厨房电器</w:t>
            </w:r>
          </w:p>
        </w:tc>
        <w:tc>
          <w:tcPr>
            <w:tcW w:w="675" w:type="dxa"/>
            <w:shd w:val="clear" w:color="auto" w:fill="auto"/>
          </w:tcPr>
          <w:p>
            <w:pPr>
              <w:rPr>
                <w:rFonts w:ascii="幼圆" w:eastAsia="幼圆" w:hAnsi="幼圆" w:cs="幼圆" w:hint="eastAsia"/>
                <w:szCs w:val="21"/>
              </w:rPr>
            </w:pPr>
            <w:r>
              <w:rPr>
                <w:rFonts w:ascii="幼圆" w:eastAsia="幼圆" w:hAnsi="幼圆" w:cs="幼圆" w:hint="eastAsia"/>
                <w:szCs w:val="21"/>
              </w:rPr>
              <w:t>制造费用</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208,262,654.93</w:t>
            </w:r>
          </w:p>
        </w:tc>
        <w:tc>
          <w:tcPr>
            <w:tcW w:w="850" w:type="dxa"/>
            <w:shd w:val="clear" w:color="auto" w:fill="auto"/>
          </w:tcPr>
          <w:p>
            <w:pPr>
              <w:rPr>
                <w:rFonts w:ascii="幼圆" w:eastAsia="幼圆" w:hAnsi="幼圆" w:cs="幼圆" w:hint="eastAsia"/>
                <w:szCs w:val="21"/>
              </w:rPr>
            </w:pPr>
            <w:r>
              <w:rPr>
                <w:rFonts w:ascii="幼圆" w:eastAsia="幼圆" w:hAnsi="幼圆" w:cs="幼圆" w:hint="eastAsia"/>
                <w:szCs w:val="21"/>
              </w:rPr>
              <w:t>5.87%</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214,977,275.62</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6.23%</w:t>
            </w:r>
          </w:p>
        </w:tc>
        <w:tc>
          <w:tcPr>
            <w:tcW w:w="1842" w:type="dxa"/>
            <w:shd w:val="clear" w:color="auto" w:fill="auto"/>
          </w:tcPr>
          <w:p>
            <w:pPr>
              <w:rPr>
                <w:rFonts w:ascii="幼圆" w:eastAsia="幼圆" w:hAnsi="幼圆" w:cs="幼圆" w:hint="eastAsia"/>
                <w:szCs w:val="21"/>
              </w:rPr>
            </w:pPr>
            <w:r>
              <w:rPr>
                <w:rFonts w:ascii="幼圆" w:eastAsia="幼圆" w:hAnsi="幼圆" w:cs="幼圆" w:hint="eastAsia"/>
                <w:szCs w:val="21"/>
              </w:rPr>
              <w:t>207</w:t>
            </w:r>
            <w:r>
              <w:rPr>
                <w:rFonts w:ascii="幼圆" w:eastAsia="幼圆" w:hAnsi="幼圆" w:cs="幼圆" w:hint="eastAsia"/>
                <w:szCs w:val="21"/>
              </w:rPr>
              <w:t>,</w:t>
            </w:r>
            <w:r>
              <w:rPr>
                <w:rFonts w:ascii="幼圆" w:eastAsia="幼圆" w:hAnsi="幼圆" w:cs="幼圆" w:hint="eastAsia"/>
                <w:szCs w:val="21"/>
              </w:rPr>
              <w:t>970</w:t>
            </w:r>
            <w:r>
              <w:rPr>
                <w:rFonts w:ascii="幼圆" w:eastAsia="幼圆" w:hAnsi="幼圆" w:cs="幼圆" w:hint="eastAsia"/>
                <w:szCs w:val="21"/>
              </w:rPr>
              <w:t>,</w:t>
            </w:r>
            <w:r>
              <w:rPr>
                <w:rFonts w:ascii="幼圆" w:eastAsia="幼圆" w:hAnsi="幼圆" w:cs="幼圆" w:hint="eastAsia"/>
                <w:szCs w:val="21"/>
              </w:rPr>
              <w:t>632.32</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6.40%</w:t>
            </w:r>
          </w:p>
        </w:tc>
      </w:tr>
      <w:tr>
        <w:tblPrEx>
          <w:tblW w:w="0" w:type="auto"/>
          <w:tblInd w:w="0" w:type="dxa"/>
          <w:tblLayout w:type="fixed"/>
          <w:tblCellMar>
            <w:top w:w="0" w:type="dxa"/>
            <w:left w:w="108" w:type="dxa"/>
            <w:bottom w:w="0" w:type="dxa"/>
            <w:right w:w="108" w:type="dxa"/>
          </w:tblCellMar>
        </w:tblPrEx>
        <w:tc>
          <w:tcPr>
            <w:tcW w:w="426" w:type="dxa"/>
            <w:vMerge/>
            <w:shd w:val="clear" w:color="auto" w:fill="auto"/>
          </w:tcPr>
          <w:p>
            <w:pPr>
              <w:rPr>
                <w:rFonts w:ascii="幼圆" w:eastAsia="幼圆" w:hAnsi="幼圆" w:cs="幼圆" w:hint="eastAsia"/>
                <w:szCs w:val="21"/>
              </w:rPr>
            </w:pPr>
          </w:p>
        </w:tc>
        <w:tc>
          <w:tcPr>
            <w:tcW w:w="675" w:type="dxa"/>
            <w:shd w:val="clear" w:color="auto" w:fill="auto"/>
          </w:tcPr>
          <w:p>
            <w:pPr>
              <w:rPr>
                <w:rFonts w:ascii="幼圆" w:eastAsia="幼圆" w:hAnsi="幼圆" w:cs="幼圆" w:hint="eastAsia"/>
                <w:szCs w:val="21"/>
              </w:rPr>
            </w:pPr>
            <w:r>
              <w:rPr>
                <w:rFonts w:ascii="幼圆" w:eastAsia="幼圆" w:hAnsi="幼圆" w:cs="幼圆" w:hint="eastAsia"/>
                <w:szCs w:val="21"/>
              </w:rPr>
              <w:t>原材料</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3,136,357,317.10</w:t>
            </w:r>
          </w:p>
        </w:tc>
        <w:tc>
          <w:tcPr>
            <w:tcW w:w="850" w:type="dxa"/>
            <w:shd w:val="clear" w:color="auto" w:fill="auto"/>
          </w:tcPr>
          <w:p>
            <w:pPr>
              <w:rPr>
                <w:rFonts w:ascii="幼圆" w:eastAsia="幼圆" w:hAnsi="幼圆" w:cs="幼圆" w:hint="eastAsia"/>
                <w:szCs w:val="21"/>
              </w:rPr>
            </w:pPr>
            <w:r>
              <w:rPr>
                <w:rFonts w:ascii="幼圆" w:eastAsia="幼圆" w:hAnsi="幼圆" w:cs="幼圆" w:hint="eastAsia"/>
                <w:szCs w:val="21"/>
              </w:rPr>
              <w:t>88.38%</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3,048,699,206.25</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88.35%</w:t>
            </w:r>
          </w:p>
        </w:tc>
        <w:tc>
          <w:tcPr>
            <w:tcW w:w="1842" w:type="dxa"/>
            <w:shd w:val="clear" w:color="auto" w:fill="auto"/>
          </w:tcPr>
          <w:p>
            <w:pPr>
              <w:rPr>
                <w:rFonts w:ascii="幼圆" w:eastAsia="幼圆" w:hAnsi="幼圆" w:cs="幼圆" w:hint="eastAsia"/>
                <w:szCs w:val="21"/>
              </w:rPr>
            </w:pPr>
            <w:r>
              <w:rPr>
                <w:rFonts w:ascii="幼圆" w:eastAsia="幼圆" w:hAnsi="幼圆" w:cs="幼圆" w:hint="eastAsia"/>
                <w:szCs w:val="21"/>
              </w:rPr>
              <w:t>2,873,853,866.07</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88.41%</w:t>
            </w:r>
          </w:p>
        </w:tc>
      </w:tr>
      <w:tr>
        <w:tblPrEx>
          <w:tblW w:w="0" w:type="auto"/>
          <w:tblInd w:w="0" w:type="dxa"/>
          <w:tblLayout w:type="fixed"/>
          <w:tblCellMar>
            <w:top w:w="0" w:type="dxa"/>
            <w:left w:w="108" w:type="dxa"/>
            <w:bottom w:w="0" w:type="dxa"/>
            <w:right w:w="108" w:type="dxa"/>
          </w:tblCellMar>
        </w:tblPrEx>
        <w:tc>
          <w:tcPr>
            <w:tcW w:w="426" w:type="dxa"/>
            <w:vMerge/>
            <w:shd w:val="clear" w:color="auto" w:fill="auto"/>
          </w:tcPr>
          <w:p>
            <w:pPr>
              <w:rPr>
                <w:rFonts w:ascii="幼圆" w:eastAsia="幼圆" w:hAnsi="幼圆" w:cs="幼圆" w:hint="eastAsia"/>
                <w:szCs w:val="21"/>
              </w:rPr>
            </w:pPr>
          </w:p>
        </w:tc>
        <w:tc>
          <w:tcPr>
            <w:tcW w:w="675" w:type="dxa"/>
            <w:shd w:val="clear" w:color="auto" w:fill="auto"/>
          </w:tcPr>
          <w:p>
            <w:pPr>
              <w:rPr>
                <w:rFonts w:ascii="幼圆" w:eastAsia="幼圆" w:hAnsi="幼圆" w:cs="幼圆" w:hint="eastAsia"/>
                <w:szCs w:val="21"/>
              </w:rPr>
            </w:pPr>
            <w:r>
              <w:rPr>
                <w:rFonts w:ascii="幼圆" w:eastAsia="幼圆" w:hAnsi="幼圆" w:cs="幼圆" w:hint="eastAsia"/>
                <w:szCs w:val="21"/>
              </w:rPr>
              <w:t>人工</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204,157,773.01</w:t>
            </w:r>
          </w:p>
        </w:tc>
        <w:tc>
          <w:tcPr>
            <w:tcW w:w="850" w:type="dxa"/>
            <w:shd w:val="clear" w:color="auto" w:fill="auto"/>
          </w:tcPr>
          <w:p>
            <w:pPr>
              <w:rPr>
                <w:rFonts w:ascii="幼圆" w:eastAsia="幼圆" w:hAnsi="幼圆" w:cs="幼圆" w:hint="eastAsia"/>
                <w:szCs w:val="21"/>
              </w:rPr>
            </w:pPr>
            <w:r>
              <w:rPr>
                <w:rFonts w:ascii="幼圆" w:eastAsia="幼圆" w:hAnsi="幼圆" w:cs="幼圆" w:hint="eastAsia"/>
                <w:szCs w:val="21"/>
              </w:rPr>
              <w:t>5.75%</w:t>
            </w:r>
          </w:p>
        </w:tc>
        <w:tc>
          <w:tcPr>
            <w:tcW w:w="1701" w:type="dxa"/>
            <w:shd w:val="clear" w:color="auto" w:fill="auto"/>
          </w:tcPr>
          <w:p>
            <w:pPr>
              <w:rPr>
                <w:rFonts w:ascii="幼圆" w:eastAsia="幼圆" w:hAnsi="幼圆" w:cs="幼圆" w:hint="eastAsia"/>
                <w:szCs w:val="21"/>
              </w:rPr>
            </w:pPr>
            <w:r>
              <w:rPr>
                <w:rFonts w:ascii="幼圆" w:eastAsia="幼圆" w:hAnsi="幼圆" w:cs="幼圆" w:hint="eastAsia"/>
                <w:szCs w:val="21"/>
              </w:rPr>
              <w:t>187,088,760.42</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5.42%</w:t>
            </w:r>
          </w:p>
        </w:tc>
        <w:tc>
          <w:tcPr>
            <w:tcW w:w="1842" w:type="dxa"/>
            <w:shd w:val="clear" w:color="auto" w:fill="auto"/>
          </w:tcPr>
          <w:p>
            <w:pPr>
              <w:rPr>
                <w:rFonts w:ascii="幼圆" w:eastAsia="幼圆" w:hAnsi="幼圆" w:cs="幼圆" w:hint="eastAsia"/>
                <w:szCs w:val="21"/>
              </w:rPr>
            </w:pPr>
            <w:r>
              <w:rPr>
                <w:rFonts w:ascii="幼圆" w:eastAsia="幼圆" w:hAnsi="幼圆" w:cs="幼圆" w:hint="eastAsia"/>
                <w:szCs w:val="21"/>
              </w:rPr>
              <w:t>168,763,236.06</w:t>
            </w:r>
          </w:p>
        </w:tc>
        <w:tc>
          <w:tcPr>
            <w:tcW w:w="851" w:type="dxa"/>
            <w:shd w:val="clear" w:color="auto" w:fill="auto"/>
          </w:tcPr>
          <w:p>
            <w:pPr>
              <w:rPr>
                <w:rFonts w:ascii="幼圆" w:eastAsia="幼圆" w:hAnsi="幼圆" w:cs="幼圆" w:hint="eastAsia"/>
                <w:szCs w:val="21"/>
              </w:rPr>
            </w:pPr>
            <w:r>
              <w:rPr>
                <w:rFonts w:ascii="幼圆" w:eastAsia="幼圆" w:hAnsi="幼圆" w:cs="幼圆" w:hint="eastAsia"/>
                <w:szCs w:val="21"/>
              </w:rPr>
              <w:t>5.19%</w:t>
            </w:r>
          </w:p>
        </w:tc>
      </w:tr>
    </w:tbl>
    <w:p>
      <w:pPr>
        <w:spacing w:line="400" w:lineRule="exact"/>
        <w:ind w:firstLine="3360" w:firstLineChars="1400"/>
        <w:rPr>
          <w:rFonts w:ascii="幼圆" w:eastAsia="幼圆" w:hAnsi="幼圆" w:cs="幼圆" w:hint="eastAsia"/>
          <w:sz w:val="24"/>
          <w:szCs w:val="22"/>
        </w:rPr>
      </w:pPr>
      <w:r>
        <w:rPr>
          <w:rFonts w:ascii="幼圆" w:eastAsia="幼圆" w:hAnsi="幼圆" w:cs="幼圆" w:hint="eastAsia"/>
          <w:sz w:val="24"/>
          <w:szCs w:val="22"/>
        </w:rPr>
        <w:t xml:space="preserve"> </w:t>
      </w:r>
      <w:r>
        <w:rPr>
          <w:rFonts w:ascii="幼圆" w:eastAsia="幼圆" w:hAnsi="幼圆" w:cs="幼圆" w:hint="eastAsia"/>
          <w:sz w:val="24"/>
          <w:szCs w:val="22"/>
        </w:rPr>
        <w:t xml:space="preserve">                              </w:t>
      </w:r>
      <w:r>
        <w:rPr>
          <w:rFonts w:ascii="幼圆" w:eastAsia="幼圆" w:hAnsi="幼圆" w:cs="幼圆" w:hint="eastAsia"/>
          <w:sz w:val="24"/>
          <w:szCs w:val="22"/>
        </w:rPr>
        <w:t>单位：元</w:t>
      </w:r>
    </w:p>
    <w:p>
      <w:pPr>
        <w:spacing w:line="400" w:lineRule="exact"/>
        <w:ind w:firstLine="3360" w:firstLineChars="1400"/>
        <w:rPr>
          <w:rFonts w:ascii="幼圆" w:eastAsia="幼圆" w:hAnsi="幼圆" w:cs="幼圆" w:hint="eastAsia"/>
          <w:sz w:val="24"/>
          <w:szCs w:val="22"/>
        </w:rPr>
      </w:pPr>
      <w:r>
        <w:rPr>
          <w:rFonts w:ascii="幼圆" w:eastAsia="幼圆" w:hAnsi="幼圆" w:cs="幼圆" w:hint="eastAsia"/>
          <w:sz w:val="24"/>
          <w:szCs w:val="22"/>
        </w:rPr>
        <w:t>表3-</w:t>
      </w:r>
      <w:r>
        <w:rPr>
          <w:rFonts w:ascii="幼圆" w:eastAsia="幼圆" w:hAnsi="幼圆" w:cs="幼圆" w:hint="eastAsia"/>
          <w:sz w:val="24"/>
          <w:szCs w:val="22"/>
        </w:rPr>
        <w:t xml:space="preserve">8 </w:t>
      </w:r>
      <w:r>
        <w:rPr>
          <w:rFonts w:ascii="幼圆" w:eastAsia="幼圆" w:hAnsi="幼圆" w:cs="幼圆" w:hint="eastAsia"/>
          <w:sz w:val="24"/>
          <w:szCs w:val="22"/>
        </w:rPr>
        <w:t>近三年厨房电器销售量</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84"/>
        <w:gridCol w:w="1484"/>
        <w:gridCol w:w="1960"/>
        <w:gridCol w:w="1843"/>
        <w:gridCol w:w="198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484" w:type="dxa"/>
            <w:shd w:val="clear" w:color="auto" w:fill="auto"/>
          </w:tcPr>
          <w:p>
            <w:pPr>
              <w:rPr>
                <w:rFonts w:ascii="幼圆" w:eastAsia="幼圆" w:hAnsi="幼圆" w:cs="幼圆" w:hint="eastAsia"/>
                <w:sz w:val="24"/>
              </w:rPr>
            </w:pPr>
            <w:r>
              <w:rPr>
                <w:rFonts w:ascii="幼圆" w:eastAsia="幼圆" w:hAnsi="幼圆" w:cs="幼圆" w:hint="eastAsia"/>
                <w:sz w:val="24"/>
              </w:rPr>
              <w:t>产品</w:t>
            </w:r>
          </w:p>
        </w:tc>
        <w:tc>
          <w:tcPr>
            <w:tcW w:w="1484" w:type="dxa"/>
            <w:shd w:val="clear" w:color="auto" w:fill="auto"/>
          </w:tcPr>
          <w:p>
            <w:pPr>
              <w:rPr>
                <w:rFonts w:ascii="幼圆" w:eastAsia="幼圆" w:hAnsi="幼圆" w:cs="幼圆" w:hint="eastAsia"/>
                <w:sz w:val="24"/>
              </w:rPr>
            </w:pPr>
            <w:r>
              <w:rPr>
                <w:rFonts w:ascii="幼圆" w:eastAsia="幼圆" w:hAnsi="幼圆" w:cs="幼圆" w:hint="eastAsia"/>
                <w:sz w:val="24"/>
              </w:rPr>
              <w:t>项目</w:t>
            </w:r>
          </w:p>
        </w:tc>
        <w:tc>
          <w:tcPr>
            <w:tcW w:w="1960" w:type="dxa"/>
            <w:shd w:val="clear" w:color="auto" w:fill="auto"/>
          </w:tcPr>
          <w:p>
            <w:pPr>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018</w:t>
            </w:r>
            <w:r>
              <w:rPr>
                <w:rFonts w:ascii="幼圆" w:eastAsia="幼圆" w:hAnsi="幼圆" w:cs="幼圆" w:hint="eastAsia"/>
                <w:sz w:val="24"/>
              </w:rPr>
              <w:t>年</w:t>
            </w:r>
          </w:p>
        </w:tc>
        <w:tc>
          <w:tcPr>
            <w:tcW w:w="1984" w:type="dxa"/>
            <w:shd w:val="clear" w:color="auto" w:fill="auto"/>
          </w:tcPr>
          <w:p>
            <w:pPr>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017</w:t>
            </w:r>
            <w:r>
              <w:rPr>
                <w:rFonts w:ascii="幼圆" w:eastAsia="幼圆" w:hAnsi="幼圆" w:cs="幼圆" w:hint="eastAsia"/>
                <w:sz w:val="24"/>
              </w:rPr>
              <w:t>年</w:t>
            </w:r>
          </w:p>
        </w:tc>
      </w:tr>
      <w:tr>
        <w:tblPrEx>
          <w:tblW w:w="0" w:type="auto"/>
          <w:tblInd w:w="0" w:type="dxa"/>
          <w:tblCellMar>
            <w:top w:w="0" w:type="dxa"/>
            <w:left w:w="108" w:type="dxa"/>
            <w:bottom w:w="0" w:type="dxa"/>
            <w:right w:w="108" w:type="dxa"/>
          </w:tblCellMar>
        </w:tblPrEx>
        <w:tc>
          <w:tcPr>
            <w:tcW w:w="1484" w:type="dxa"/>
            <w:vMerge w:val="restart"/>
            <w:shd w:val="clear" w:color="auto" w:fill="auto"/>
          </w:tcPr>
          <w:p>
            <w:pPr>
              <w:rPr>
                <w:rFonts w:ascii="幼圆" w:eastAsia="幼圆" w:hAnsi="幼圆" w:cs="幼圆" w:hint="eastAsia"/>
                <w:sz w:val="24"/>
              </w:rPr>
            </w:pPr>
            <w:r>
              <w:rPr>
                <w:rFonts w:ascii="幼圆" w:eastAsia="幼圆" w:hAnsi="幼圆" w:cs="幼圆" w:hint="eastAsia"/>
                <w:sz w:val="24"/>
              </w:rPr>
              <w:t>厨房电器</w:t>
            </w:r>
          </w:p>
        </w:tc>
        <w:tc>
          <w:tcPr>
            <w:tcW w:w="1484" w:type="dxa"/>
            <w:shd w:val="clear" w:color="auto" w:fill="auto"/>
          </w:tcPr>
          <w:p>
            <w:pPr>
              <w:rPr>
                <w:rFonts w:ascii="幼圆" w:eastAsia="幼圆" w:hAnsi="幼圆" w:cs="幼圆" w:hint="eastAsia"/>
                <w:sz w:val="24"/>
              </w:rPr>
            </w:pPr>
            <w:r>
              <w:rPr>
                <w:rFonts w:ascii="幼圆" w:eastAsia="幼圆" w:hAnsi="幼圆" w:cs="幼圆" w:hint="eastAsia"/>
                <w:sz w:val="24"/>
              </w:rPr>
              <w:t>销售量</w:t>
            </w:r>
          </w:p>
        </w:tc>
        <w:tc>
          <w:tcPr>
            <w:tcW w:w="1960" w:type="dxa"/>
            <w:shd w:val="clear" w:color="auto" w:fill="auto"/>
          </w:tcPr>
          <w:p>
            <w:pPr>
              <w:rPr>
                <w:rFonts w:ascii="幼圆" w:eastAsia="幼圆" w:hAnsi="幼圆" w:cs="幼圆" w:hint="eastAsia"/>
                <w:sz w:val="24"/>
              </w:rPr>
            </w:pPr>
            <w:r>
              <w:rPr>
                <w:rFonts w:ascii="幼圆" w:eastAsia="幼圆" w:hAnsi="幼圆" w:cs="幼圆" w:hint="eastAsia"/>
                <w:sz w:val="24"/>
              </w:rPr>
              <w:t>6,748,364</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6,526,866</w:t>
            </w:r>
          </w:p>
        </w:tc>
        <w:tc>
          <w:tcPr>
            <w:tcW w:w="1984" w:type="dxa"/>
            <w:shd w:val="clear" w:color="auto" w:fill="auto"/>
          </w:tcPr>
          <w:p>
            <w:pPr>
              <w:rPr>
                <w:rFonts w:ascii="幼圆" w:eastAsia="幼圆" w:hAnsi="幼圆" w:cs="幼圆" w:hint="eastAsia"/>
                <w:sz w:val="24"/>
              </w:rPr>
            </w:pPr>
            <w:r>
              <w:rPr>
                <w:rFonts w:ascii="幼圆" w:eastAsia="幼圆" w:hAnsi="幼圆" w:cs="幼圆" w:hint="eastAsia"/>
                <w:sz w:val="24"/>
              </w:rPr>
              <w:t>6,195,572</w:t>
            </w:r>
          </w:p>
        </w:tc>
      </w:tr>
      <w:tr>
        <w:tblPrEx>
          <w:tblW w:w="0" w:type="auto"/>
          <w:tblInd w:w="0" w:type="dxa"/>
          <w:tblCellMar>
            <w:top w:w="0" w:type="dxa"/>
            <w:left w:w="108" w:type="dxa"/>
            <w:bottom w:w="0" w:type="dxa"/>
            <w:right w:w="108" w:type="dxa"/>
          </w:tblCellMar>
        </w:tblPrEx>
        <w:tc>
          <w:tcPr>
            <w:tcW w:w="1484" w:type="dxa"/>
            <w:vMerge/>
            <w:shd w:val="clear" w:color="auto" w:fill="auto"/>
          </w:tcPr>
          <w:p>
            <w:pPr>
              <w:rPr>
                <w:rFonts w:ascii="幼圆" w:eastAsia="幼圆" w:hAnsi="幼圆" w:cs="幼圆" w:hint="eastAsia"/>
                <w:sz w:val="24"/>
              </w:rPr>
            </w:pPr>
          </w:p>
        </w:tc>
        <w:tc>
          <w:tcPr>
            <w:tcW w:w="1484" w:type="dxa"/>
            <w:shd w:val="clear" w:color="auto" w:fill="auto"/>
          </w:tcPr>
          <w:p>
            <w:pPr>
              <w:rPr>
                <w:rFonts w:ascii="幼圆" w:eastAsia="幼圆" w:hAnsi="幼圆" w:cs="幼圆" w:hint="eastAsia"/>
                <w:sz w:val="24"/>
              </w:rPr>
            </w:pPr>
            <w:r>
              <w:rPr>
                <w:rFonts w:ascii="幼圆" w:eastAsia="幼圆" w:hAnsi="幼圆" w:cs="幼圆" w:hint="eastAsia"/>
                <w:sz w:val="24"/>
              </w:rPr>
              <w:t>生产量</w:t>
            </w:r>
          </w:p>
        </w:tc>
        <w:tc>
          <w:tcPr>
            <w:tcW w:w="1960" w:type="dxa"/>
            <w:shd w:val="clear" w:color="auto" w:fill="auto"/>
          </w:tcPr>
          <w:p>
            <w:pPr>
              <w:rPr>
                <w:rFonts w:ascii="幼圆" w:eastAsia="幼圆" w:hAnsi="幼圆" w:cs="幼圆" w:hint="eastAsia"/>
                <w:sz w:val="24"/>
              </w:rPr>
            </w:pPr>
            <w:r>
              <w:rPr>
                <w:rFonts w:ascii="幼圆" w:eastAsia="幼圆" w:hAnsi="幼圆" w:cs="幼圆" w:hint="eastAsia"/>
                <w:sz w:val="24"/>
              </w:rPr>
              <w:t>6,858,755</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6,984,828</w:t>
            </w:r>
          </w:p>
        </w:tc>
        <w:tc>
          <w:tcPr>
            <w:tcW w:w="1984" w:type="dxa"/>
            <w:shd w:val="clear" w:color="auto" w:fill="auto"/>
          </w:tcPr>
          <w:p>
            <w:pPr>
              <w:rPr>
                <w:rFonts w:ascii="幼圆" w:eastAsia="幼圆" w:hAnsi="幼圆" w:cs="幼圆" w:hint="eastAsia"/>
                <w:sz w:val="24"/>
              </w:rPr>
            </w:pPr>
            <w:r>
              <w:rPr>
                <w:rFonts w:ascii="幼圆" w:eastAsia="幼圆" w:hAnsi="幼圆" w:cs="幼圆" w:hint="eastAsia"/>
                <w:sz w:val="24"/>
              </w:rPr>
              <w:t>6,484,479</w:t>
            </w:r>
          </w:p>
        </w:tc>
      </w:tr>
      <w:tr>
        <w:tblPrEx>
          <w:tblW w:w="0" w:type="auto"/>
          <w:tblInd w:w="0" w:type="dxa"/>
          <w:tblCellMar>
            <w:top w:w="0" w:type="dxa"/>
            <w:left w:w="108" w:type="dxa"/>
            <w:bottom w:w="0" w:type="dxa"/>
            <w:right w:w="108" w:type="dxa"/>
          </w:tblCellMar>
        </w:tblPrEx>
        <w:tc>
          <w:tcPr>
            <w:tcW w:w="1484" w:type="dxa"/>
            <w:vMerge/>
            <w:shd w:val="clear" w:color="auto" w:fill="auto"/>
          </w:tcPr>
          <w:p>
            <w:pPr>
              <w:rPr>
                <w:rFonts w:ascii="幼圆" w:eastAsia="幼圆" w:hAnsi="幼圆" w:cs="幼圆" w:hint="eastAsia"/>
                <w:sz w:val="24"/>
              </w:rPr>
            </w:pPr>
          </w:p>
        </w:tc>
        <w:tc>
          <w:tcPr>
            <w:tcW w:w="1484" w:type="dxa"/>
            <w:shd w:val="clear" w:color="auto" w:fill="auto"/>
          </w:tcPr>
          <w:p>
            <w:pPr>
              <w:rPr>
                <w:rFonts w:ascii="幼圆" w:eastAsia="幼圆" w:hAnsi="幼圆" w:cs="幼圆" w:hint="eastAsia"/>
                <w:sz w:val="24"/>
              </w:rPr>
            </w:pPr>
            <w:r>
              <w:rPr>
                <w:rFonts w:ascii="幼圆" w:eastAsia="幼圆" w:hAnsi="幼圆" w:cs="幼圆" w:hint="eastAsia"/>
                <w:sz w:val="24"/>
              </w:rPr>
              <w:t>库存量</w:t>
            </w:r>
          </w:p>
        </w:tc>
        <w:tc>
          <w:tcPr>
            <w:tcW w:w="1960" w:type="dxa"/>
            <w:shd w:val="clear" w:color="auto" w:fill="auto"/>
          </w:tcPr>
          <w:p>
            <w:pPr>
              <w:rPr>
                <w:rFonts w:ascii="幼圆" w:eastAsia="幼圆" w:hAnsi="幼圆" w:cs="幼圆" w:hint="eastAsia"/>
                <w:sz w:val="24"/>
              </w:rPr>
            </w:pPr>
            <w:r>
              <w:rPr>
                <w:rFonts w:ascii="幼圆" w:eastAsia="幼圆" w:hAnsi="幼圆" w:cs="幼圆" w:hint="eastAsia"/>
                <w:sz w:val="24"/>
              </w:rPr>
              <w:t>2,118,035</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2,092,863</w:t>
            </w:r>
          </w:p>
        </w:tc>
        <w:tc>
          <w:tcPr>
            <w:tcW w:w="1984" w:type="dxa"/>
            <w:shd w:val="clear" w:color="auto" w:fill="auto"/>
          </w:tcPr>
          <w:p>
            <w:pPr>
              <w:rPr>
                <w:rFonts w:ascii="幼圆" w:eastAsia="幼圆" w:hAnsi="幼圆" w:cs="幼圆" w:hint="eastAsia"/>
                <w:sz w:val="24"/>
              </w:rPr>
            </w:pPr>
            <w:r>
              <w:rPr>
                <w:rFonts w:ascii="幼圆" w:eastAsia="幼圆" w:hAnsi="幼圆" w:cs="幼圆" w:hint="eastAsia"/>
                <w:sz w:val="24"/>
              </w:rPr>
              <w:t>1,708,696</w:t>
            </w:r>
          </w:p>
        </w:tc>
      </w:tr>
    </w:tbl>
    <w:p>
      <w:pPr>
        <w:spacing w:line="400" w:lineRule="exact"/>
        <w:ind w:firstLine="480" w:firstLineChars="200"/>
        <w:rPr>
          <w:rFonts w:ascii="幼圆" w:eastAsia="幼圆" w:hAnsi="幼圆" w:cs="幼圆" w:hint="eastAsia"/>
          <w:sz w:val="24"/>
          <w:szCs w:val="22"/>
        </w:rPr>
        <w:sectPr>
          <w:endnotePr>
            <w:numFmt w:val="decimal"/>
          </w:endnotePr>
          <w:type w:val="nextPage"/>
          <w:pgSz w:w="11906" w:h="16838"/>
          <w:pgMar w:top="1701" w:right="1418" w:bottom="1418" w:left="1588" w:header="1134" w:footer="992" w:gutter="0"/>
          <w:pgNumType w:start="5"/>
          <w:cols w:num="1" w:space="425"/>
          <w:titlePg w:val="0"/>
          <w:docGrid w:type="lines" w:linePitch="312" w:charSpace="0"/>
        </w:sectPr>
      </w:pPr>
    </w:p>
    <w:p>
      <w:pPr>
        <w:spacing w:line="400" w:lineRule="exact"/>
        <w:ind w:firstLine="480" w:firstLineChars="200"/>
        <w:rPr>
          <w:rFonts w:ascii="幼圆" w:eastAsia="幼圆" w:hAnsi="幼圆" w:cs="幼圆" w:hint="eastAsia"/>
          <w:sz w:val="24"/>
          <w:szCs w:val="22"/>
        </w:rPr>
      </w:pPr>
      <w:r>
        <w:rPr>
          <w:rFonts w:ascii="幼圆" w:eastAsia="幼圆" w:hAnsi="幼圆" w:cs="幼圆" w:hint="eastAsia"/>
          <w:sz w:val="24"/>
          <w:szCs w:val="22"/>
        </w:rPr>
        <w:t>从2017年-2019年，C公司生产成本持续走高，其中原材料成本增长幅度为6.08%和2.88%，人工成本增长幅度为10.86%和9.12%，涨幅较为明显。通过企业近三年年销售量、生产量的变动分析，企业生产成本增加的主要原因是原材料价格上涨和人工工资增加所导致的。</w:t>
      </w:r>
    </w:p>
    <w:p>
      <w:pPr>
        <w:spacing w:line="400" w:lineRule="exact"/>
        <w:ind w:firstLine="480" w:firstLineChars="200"/>
        <w:rPr>
          <w:rFonts w:ascii="幼圆" w:eastAsia="幼圆" w:hAnsi="幼圆" w:cs="幼圆" w:hint="eastAsia"/>
          <w:sz w:val="24"/>
          <w:szCs w:val="22"/>
        </w:rPr>
      </w:pPr>
      <w:r>
        <w:rPr>
          <w:rFonts w:ascii="幼圆" w:eastAsia="幼圆" w:hAnsi="幼圆" w:cs="幼圆" w:hint="eastAsia"/>
          <w:sz w:val="24"/>
          <w:szCs w:val="22"/>
        </w:rPr>
        <w:t>近年来公司主要原材料价格大幅增长，钢材、钢板、铜等基础性材料供应紧张，直接影响了产品的生产成本，若公司保持原有销售价格将会降低产品的利润率，若公司上调销售价格，则会影响消费市场，价格上涨会降低消费者的购买率，所以也会造成利润降低。如何尽可能的保持原材料价格维持稳定是公司需要解决的问题。</w:t>
      </w:r>
    </w:p>
    <w:p>
      <w:pPr>
        <w:pStyle w:val="3"/>
        <w:rPr>
          <w:rFonts w:ascii="幼圆" w:eastAsia="幼圆" w:hAnsi="幼圆" w:cs="幼圆" w:hint="eastAsia"/>
        </w:rPr>
      </w:pPr>
      <w:bookmarkStart w:id="10" w:name="_Toc71149376"/>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2</w:t>
      </w:r>
      <w:r>
        <w:rPr>
          <w:rFonts w:ascii="幼圆" w:eastAsia="幼圆" w:hAnsi="幼圆" w:cs="幼圆" w:hint="eastAsia"/>
        </w:rPr>
        <w:t xml:space="preserve"> 研发成本</w:t>
      </w:r>
      <w:bookmarkEnd w:id="10"/>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C公司得研发成本较为稳定，占</w:t>
      </w:r>
      <w:r>
        <w:rPr>
          <w:rFonts w:ascii="幼圆" w:eastAsia="幼圆" w:hAnsi="幼圆" w:cs="幼圆" w:hint="eastAsia"/>
          <w:sz w:val="24"/>
        </w:rPr>
        <w:t>营业收入的</w:t>
      </w:r>
      <w:r>
        <w:rPr>
          <w:rFonts w:ascii="幼圆" w:eastAsia="幼圆" w:hAnsi="幼圆" w:cs="幼圆" w:hint="eastAsia"/>
          <w:sz w:val="24"/>
        </w:rPr>
        <w:t>4</w:t>
      </w:r>
      <w:r>
        <w:rPr>
          <w:rFonts w:ascii="幼圆" w:eastAsia="幼圆" w:hAnsi="幼圆" w:cs="幼圆" w:hint="eastAsia"/>
          <w:sz w:val="24"/>
        </w:rPr>
        <w:t>%左右，</w:t>
      </w:r>
      <w:r>
        <w:rPr>
          <w:rFonts w:ascii="幼圆" w:eastAsia="幼圆" w:hAnsi="幼圆" w:cs="幼圆" w:hint="eastAsia"/>
          <w:sz w:val="24"/>
        </w:rPr>
        <w:t>总的</w:t>
      </w:r>
      <w:r>
        <w:rPr>
          <w:rFonts w:ascii="幼圆" w:eastAsia="幼圆" w:hAnsi="幼圆" w:cs="幼圆" w:hint="eastAsia"/>
          <w:sz w:val="24"/>
        </w:rPr>
        <w:t>研发投入是</w:t>
      </w:r>
      <w:r>
        <w:rPr>
          <w:rFonts w:ascii="幼圆" w:eastAsia="幼圆" w:hAnsi="幼圆" w:cs="幼圆" w:hint="eastAsia"/>
          <w:sz w:val="24"/>
        </w:rPr>
        <w:t>逐年</w:t>
      </w:r>
      <w:r>
        <w:rPr>
          <w:rFonts w:ascii="幼圆" w:eastAsia="幼圆" w:hAnsi="幼圆" w:cs="幼圆" w:hint="eastAsia"/>
          <w:sz w:val="24"/>
        </w:rPr>
        <w:t>增加的，主要是对油烟机燃气灶等产品的</w:t>
      </w:r>
      <w:r>
        <w:rPr>
          <w:rFonts w:ascii="幼圆" w:eastAsia="幼圆" w:hAnsi="幼圆" w:cs="幼圆" w:hint="eastAsia"/>
          <w:sz w:val="24"/>
        </w:rPr>
        <w:t>开发</w:t>
      </w:r>
      <w:r>
        <w:rPr>
          <w:rFonts w:ascii="幼圆" w:eastAsia="幼圆" w:hAnsi="幼圆" w:cs="幼圆" w:hint="eastAsia"/>
          <w:sz w:val="24"/>
        </w:rPr>
        <w:t>，加大了对于大吸力</w:t>
      </w:r>
      <w:r>
        <w:rPr>
          <w:rFonts w:ascii="幼圆" w:eastAsia="幼圆" w:hAnsi="幼圆" w:cs="幼圆" w:hint="eastAsia"/>
          <w:sz w:val="24"/>
        </w:rPr>
        <w:t>、</w:t>
      </w:r>
      <w:r>
        <w:rPr>
          <w:rFonts w:ascii="幼圆" w:eastAsia="幼圆" w:hAnsi="幼圆" w:cs="幼圆" w:hint="eastAsia"/>
          <w:sz w:val="24"/>
        </w:rPr>
        <w:t>智能化、节能环保等技术的</w:t>
      </w:r>
      <w:r>
        <w:rPr>
          <w:rFonts w:ascii="幼圆" w:eastAsia="幼圆" w:hAnsi="幼圆" w:cs="幼圆" w:hint="eastAsia"/>
          <w:sz w:val="24"/>
        </w:rPr>
        <w:t>研发</w:t>
      </w:r>
      <w:r>
        <w:rPr>
          <w:rFonts w:ascii="幼圆" w:eastAsia="幼圆" w:hAnsi="幼圆" w:cs="幼圆" w:hint="eastAsia"/>
          <w:sz w:val="24"/>
        </w:rPr>
        <w:t>。</w:t>
      </w:r>
    </w:p>
    <w:p>
      <w:pPr>
        <w:spacing w:line="400" w:lineRule="exact"/>
        <w:ind w:firstLine="480" w:firstLineChars="200"/>
        <w:rPr>
          <w:rFonts w:ascii="幼圆" w:eastAsia="幼圆" w:hAnsi="幼圆" w:cs="幼圆" w:hint="eastAsia"/>
          <w:sz w:val="24"/>
        </w:rPr>
      </w:pPr>
    </w:p>
    <w:p>
      <w:pPr>
        <w:spacing w:line="400" w:lineRule="exact"/>
        <w:ind w:firstLine="480" w:firstLineChars="200"/>
        <w:rPr>
          <w:rFonts w:ascii="幼圆" w:eastAsia="幼圆" w:hAnsi="幼圆" w:cs="幼圆" w:hint="eastAsia"/>
          <w:sz w:val="24"/>
        </w:rPr>
      </w:pPr>
    </w:p>
    <w:p>
      <w:pPr>
        <w:spacing w:line="400" w:lineRule="exact"/>
        <w:ind w:firstLine="480" w:firstLineChars="200"/>
        <w:rPr>
          <w:rFonts w:ascii="幼圆" w:eastAsia="幼圆" w:hAnsi="幼圆" w:cs="幼圆" w:hint="eastAsia"/>
          <w:sz w:val="24"/>
        </w:rPr>
      </w:pPr>
    </w:p>
    <w:p>
      <w:pPr>
        <w:spacing w:line="400" w:lineRule="exact"/>
        <w:ind w:firstLine="480" w:firstLineChars="200"/>
        <w:rPr>
          <w:rFonts w:ascii="幼圆" w:eastAsia="幼圆" w:hAnsi="幼圆" w:cs="幼圆" w:hint="eastAsia"/>
          <w:sz w:val="24"/>
        </w:rPr>
      </w:pPr>
    </w:p>
    <w:p>
      <w:pPr>
        <w:spacing w:before="156" w:beforeLines="50" w:line="400" w:lineRule="exact"/>
        <w:ind w:firstLine="480" w:firstLineChars="200"/>
        <w:jc w:val="center"/>
        <w:rPr>
          <w:rFonts w:ascii="幼圆" w:eastAsia="幼圆" w:hAnsi="幼圆" w:cs="幼圆" w:hint="eastAsia"/>
          <w:sz w:val="24"/>
        </w:rPr>
      </w:pPr>
      <w:r>
        <w:rPr>
          <w:rFonts w:ascii="幼圆" w:eastAsia="幼圆" w:hAnsi="幼圆" w:cs="幼圆" w:hint="eastAsia"/>
          <w:sz w:val="24"/>
        </w:rPr>
        <w:t>表3-</w:t>
      </w:r>
      <w:r>
        <w:rPr>
          <w:rFonts w:ascii="幼圆" w:eastAsia="幼圆" w:hAnsi="幼圆" w:cs="幼圆" w:hint="eastAsia"/>
          <w:sz w:val="24"/>
        </w:rPr>
        <w:t>9  C</w:t>
      </w:r>
      <w:r>
        <w:rPr>
          <w:rFonts w:ascii="幼圆" w:eastAsia="幼圆" w:hAnsi="幼圆" w:cs="幼圆" w:hint="eastAsia"/>
          <w:sz w:val="24"/>
        </w:rPr>
        <w:t>公司研发投入</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114"/>
        <w:gridCol w:w="1896"/>
        <w:gridCol w:w="2268"/>
        <w:gridCol w:w="15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114" w:type="dxa"/>
            <w:shd w:val="clear" w:color="auto" w:fill="auto"/>
          </w:tcPr>
          <w:p>
            <w:pPr>
              <w:rPr>
                <w:rFonts w:ascii="幼圆" w:eastAsia="幼圆" w:hAnsi="幼圆" w:cs="幼圆" w:hint="eastAsia"/>
                <w:sz w:val="24"/>
              </w:rPr>
            </w:pP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2019</w:t>
            </w:r>
            <w:r>
              <w:rPr>
                <w:rFonts w:ascii="幼圆" w:eastAsia="幼圆" w:hAnsi="幼圆" w:cs="幼圆" w:hint="eastAsia"/>
                <w:sz w:val="24"/>
              </w:rPr>
              <w:t>年</w:t>
            </w:r>
          </w:p>
        </w:tc>
        <w:tc>
          <w:tcPr>
            <w:tcW w:w="2268" w:type="dxa"/>
            <w:shd w:val="clear" w:color="auto" w:fill="auto"/>
          </w:tcPr>
          <w:p>
            <w:pPr>
              <w:rPr>
                <w:rFonts w:ascii="幼圆" w:eastAsia="幼圆" w:hAnsi="幼圆" w:cs="幼圆" w:hint="eastAsia"/>
                <w:sz w:val="24"/>
              </w:rPr>
            </w:pPr>
            <w:r>
              <w:rPr>
                <w:rFonts w:ascii="幼圆" w:eastAsia="幼圆" w:hAnsi="幼圆" w:cs="幼圆" w:hint="eastAsia"/>
                <w:sz w:val="24"/>
              </w:rPr>
              <w:t>2018</w:t>
            </w:r>
            <w:r>
              <w:rPr>
                <w:rFonts w:ascii="幼圆" w:eastAsia="幼圆" w:hAnsi="幼圆" w:cs="幼圆" w:hint="eastAsia"/>
                <w:sz w:val="24"/>
              </w:rPr>
              <w:t>年</w:t>
            </w:r>
          </w:p>
        </w:tc>
        <w:tc>
          <w:tcPr>
            <w:tcW w:w="1530" w:type="dxa"/>
            <w:shd w:val="clear" w:color="auto" w:fill="auto"/>
          </w:tcPr>
          <w:p>
            <w:pPr>
              <w:rPr>
                <w:rFonts w:ascii="幼圆" w:eastAsia="幼圆" w:hAnsi="幼圆" w:cs="幼圆" w:hint="eastAsia"/>
                <w:sz w:val="24"/>
              </w:rPr>
            </w:pPr>
            <w:r>
              <w:rPr>
                <w:rFonts w:ascii="幼圆" w:eastAsia="幼圆" w:hAnsi="幼圆" w:cs="幼圆" w:hint="eastAsia"/>
                <w:sz w:val="24"/>
              </w:rPr>
              <w:t>变动比例</w:t>
            </w:r>
          </w:p>
        </w:tc>
      </w:tr>
      <w:tr>
        <w:tblPrEx>
          <w:tblW w:w="0" w:type="auto"/>
          <w:tblInd w:w="0" w:type="dxa"/>
          <w:tblCellMar>
            <w:top w:w="0" w:type="dxa"/>
            <w:left w:w="108" w:type="dxa"/>
            <w:bottom w:w="0" w:type="dxa"/>
            <w:right w:w="108" w:type="dxa"/>
          </w:tblCellMar>
        </w:tblPrEx>
        <w:tc>
          <w:tcPr>
            <w:tcW w:w="3114" w:type="dxa"/>
            <w:shd w:val="clear" w:color="auto" w:fill="auto"/>
          </w:tcPr>
          <w:p>
            <w:pPr>
              <w:rPr>
                <w:rFonts w:ascii="幼圆" w:eastAsia="幼圆" w:hAnsi="幼圆" w:cs="幼圆" w:hint="eastAsia"/>
                <w:sz w:val="24"/>
              </w:rPr>
            </w:pPr>
            <w:r>
              <w:rPr>
                <w:rFonts w:ascii="幼圆" w:eastAsia="幼圆" w:hAnsi="幼圆" w:cs="幼圆" w:hint="eastAsia"/>
                <w:sz w:val="24"/>
              </w:rPr>
              <w:t>研发人员数量</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714</w:t>
            </w:r>
          </w:p>
        </w:tc>
        <w:tc>
          <w:tcPr>
            <w:tcW w:w="2268" w:type="dxa"/>
            <w:shd w:val="clear" w:color="auto" w:fill="auto"/>
          </w:tcPr>
          <w:p>
            <w:pPr>
              <w:rPr>
                <w:rFonts w:ascii="幼圆" w:eastAsia="幼圆" w:hAnsi="幼圆" w:cs="幼圆" w:hint="eastAsia"/>
                <w:sz w:val="24"/>
              </w:rPr>
            </w:pPr>
            <w:r>
              <w:rPr>
                <w:rFonts w:ascii="幼圆" w:eastAsia="幼圆" w:hAnsi="幼圆" w:cs="幼圆" w:hint="eastAsia"/>
                <w:sz w:val="24"/>
              </w:rPr>
              <w:t>709</w:t>
            </w:r>
          </w:p>
        </w:tc>
        <w:tc>
          <w:tcPr>
            <w:tcW w:w="1530" w:type="dxa"/>
            <w:shd w:val="clear" w:color="auto" w:fill="auto"/>
          </w:tcPr>
          <w:p>
            <w:pPr>
              <w:autoSpaceDE w:val="0"/>
              <w:autoSpaceDN w:val="0"/>
              <w:adjustRightInd w:val="0"/>
              <w:rPr>
                <w:rFonts w:ascii="幼圆" w:eastAsia="幼圆" w:hAnsi="幼圆" w:cs="幼圆" w:hint="eastAsia"/>
                <w:color w:val="000000"/>
                <w:kern w:val="0"/>
                <w:sz w:val="24"/>
              </w:rPr>
            </w:pPr>
            <w:r>
              <w:rPr>
                <w:rFonts w:ascii="幼圆" w:eastAsia="幼圆" w:hAnsi="幼圆" w:cs="幼圆" w:hint="eastAsia"/>
                <w:color w:val="000000"/>
                <w:kern w:val="0"/>
                <w:sz w:val="24"/>
              </w:rPr>
              <w:t>0.71%</w:t>
            </w:r>
          </w:p>
        </w:tc>
      </w:tr>
      <w:tr>
        <w:tblPrEx>
          <w:tblW w:w="0" w:type="auto"/>
          <w:tblInd w:w="0" w:type="dxa"/>
          <w:tblCellMar>
            <w:top w:w="0" w:type="dxa"/>
            <w:left w:w="108" w:type="dxa"/>
            <w:bottom w:w="0" w:type="dxa"/>
            <w:right w:w="108" w:type="dxa"/>
          </w:tblCellMar>
        </w:tblPrEx>
        <w:tc>
          <w:tcPr>
            <w:tcW w:w="3114" w:type="dxa"/>
            <w:shd w:val="clear" w:color="auto" w:fill="auto"/>
          </w:tcPr>
          <w:p>
            <w:pPr>
              <w:rPr>
                <w:rFonts w:ascii="幼圆" w:eastAsia="幼圆" w:hAnsi="幼圆" w:cs="幼圆" w:hint="eastAsia"/>
                <w:sz w:val="24"/>
              </w:rPr>
            </w:pPr>
            <w:r>
              <w:rPr>
                <w:rFonts w:ascii="幼圆" w:eastAsia="幼圆" w:hAnsi="幼圆" w:cs="幼圆" w:hint="eastAsia"/>
                <w:sz w:val="24"/>
              </w:rPr>
              <w:t>研发人员数量占比</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15.82%</w:t>
            </w:r>
          </w:p>
        </w:tc>
        <w:tc>
          <w:tcPr>
            <w:tcW w:w="2268" w:type="dxa"/>
            <w:shd w:val="clear" w:color="auto" w:fill="auto"/>
          </w:tcPr>
          <w:p>
            <w:pPr>
              <w:rPr>
                <w:rFonts w:ascii="幼圆" w:eastAsia="幼圆" w:hAnsi="幼圆" w:cs="幼圆" w:hint="eastAsia"/>
                <w:sz w:val="24"/>
              </w:rPr>
            </w:pPr>
            <w:r>
              <w:rPr>
                <w:rFonts w:ascii="幼圆" w:eastAsia="幼圆" w:hAnsi="幼圆" w:cs="幼圆" w:hint="eastAsia"/>
                <w:sz w:val="24"/>
              </w:rPr>
              <w:t>15.91%</w:t>
            </w:r>
          </w:p>
        </w:tc>
        <w:tc>
          <w:tcPr>
            <w:tcW w:w="1530" w:type="dxa"/>
            <w:shd w:val="clear" w:color="auto" w:fill="auto"/>
          </w:tcPr>
          <w:p>
            <w:pPr>
              <w:rPr>
                <w:rFonts w:ascii="幼圆" w:eastAsia="幼圆" w:hAnsi="幼圆" w:cs="幼圆" w:hint="eastAsia"/>
                <w:sz w:val="24"/>
              </w:rPr>
            </w:pPr>
            <w:r>
              <w:rPr>
                <w:rFonts w:ascii="幼圆" w:eastAsia="幼圆" w:hAnsi="幼圆" w:cs="幼圆" w:hint="eastAsia"/>
                <w:sz w:val="24"/>
              </w:rPr>
              <w:t>-0.09%</w:t>
            </w:r>
          </w:p>
        </w:tc>
      </w:tr>
      <w:tr>
        <w:tblPrEx>
          <w:tblW w:w="0" w:type="auto"/>
          <w:tblInd w:w="0" w:type="dxa"/>
          <w:tblCellMar>
            <w:top w:w="0" w:type="dxa"/>
            <w:left w:w="108" w:type="dxa"/>
            <w:bottom w:w="0" w:type="dxa"/>
            <w:right w:w="108" w:type="dxa"/>
          </w:tblCellMar>
        </w:tblPrEx>
        <w:tc>
          <w:tcPr>
            <w:tcW w:w="3114" w:type="dxa"/>
            <w:shd w:val="clear" w:color="auto" w:fill="auto"/>
          </w:tcPr>
          <w:p>
            <w:pPr>
              <w:rPr>
                <w:rFonts w:ascii="幼圆" w:eastAsia="幼圆" w:hAnsi="幼圆" w:cs="幼圆" w:hint="eastAsia"/>
                <w:sz w:val="24"/>
              </w:rPr>
            </w:pPr>
            <w:r>
              <w:rPr>
                <w:rFonts w:ascii="幼圆" w:eastAsia="幼圆" w:hAnsi="幼圆" w:cs="幼圆" w:hint="eastAsia"/>
                <w:sz w:val="24"/>
              </w:rPr>
              <w:t>研发投入金额（元）</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299,469,126.54</w:t>
            </w:r>
          </w:p>
        </w:tc>
        <w:tc>
          <w:tcPr>
            <w:tcW w:w="2268" w:type="dxa"/>
            <w:shd w:val="clear" w:color="auto" w:fill="auto"/>
          </w:tcPr>
          <w:p>
            <w:pPr>
              <w:rPr>
                <w:rFonts w:ascii="幼圆" w:eastAsia="幼圆" w:hAnsi="幼圆" w:cs="幼圆" w:hint="eastAsia"/>
                <w:sz w:val="24"/>
              </w:rPr>
            </w:pPr>
            <w:r>
              <w:rPr>
                <w:rFonts w:ascii="幼圆" w:eastAsia="幼圆" w:hAnsi="幼圆" w:cs="幼圆" w:hint="eastAsia"/>
                <w:sz w:val="24"/>
              </w:rPr>
              <w:t>293,427,244.80</w:t>
            </w:r>
          </w:p>
        </w:tc>
        <w:tc>
          <w:tcPr>
            <w:tcW w:w="1530" w:type="dxa"/>
            <w:shd w:val="clear" w:color="auto" w:fill="auto"/>
          </w:tcPr>
          <w:p>
            <w:pPr>
              <w:rPr>
                <w:rFonts w:ascii="幼圆" w:eastAsia="幼圆" w:hAnsi="幼圆" w:cs="幼圆" w:hint="eastAsia"/>
                <w:sz w:val="24"/>
              </w:rPr>
            </w:pPr>
            <w:r>
              <w:rPr>
                <w:rFonts w:ascii="幼圆" w:eastAsia="幼圆" w:hAnsi="幼圆" w:cs="幼圆" w:hint="eastAsia"/>
                <w:sz w:val="24"/>
              </w:rPr>
              <w:t>2.06%</w:t>
            </w:r>
          </w:p>
        </w:tc>
      </w:tr>
      <w:tr>
        <w:tblPrEx>
          <w:tblW w:w="0" w:type="auto"/>
          <w:tblInd w:w="0" w:type="dxa"/>
          <w:tblCellMar>
            <w:top w:w="0" w:type="dxa"/>
            <w:left w:w="108" w:type="dxa"/>
            <w:bottom w:w="0" w:type="dxa"/>
            <w:right w:w="108" w:type="dxa"/>
          </w:tblCellMar>
        </w:tblPrEx>
        <w:tc>
          <w:tcPr>
            <w:tcW w:w="3114" w:type="dxa"/>
            <w:shd w:val="clear" w:color="auto" w:fill="auto"/>
          </w:tcPr>
          <w:p>
            <w:pPr>
              <w:rPr>
                <w:rFonts w:ascii="幼圆" w:eastAsia="幼圆" w:hAnsi="幼圆" w:cs="幼圆" w:hint="eastAsia"/>
                <w:sz w:val="24"/>
              </w:rPr>
            </w:pPr>
            <w:r>
              <w:rPr>
                <w:rFonts w:ascii="幼圆" w:eastAsia="幼圆" w:hAnsi="幼圆" w:cs="幼圆" w:hint="eastAsia"/>
                <w:sz w:val="24"/>
              </w:rPr>
              <w:t>研发投入占营业收入的比例</w:t>
            </w:r>
          </w:p>
        </w:tc>
        <w:tc>
          <w:tcPr>
            <w:tcW w:w="1843" w:type="dxa"/>
            <w:shd w:val="clear" w:color="auto" w:fill="auto"/>
          </w:tcPr>
          <w:p>
            <w:pPr>
              <w:rPr>
                <w:rFonts w:ascii="幼圆" w:eastAsia="幼圆" w:hAnsi="幼圆" w:cs="幼圆" w:hint="eastAsia"/>
                <w:sz w:val="24"/>
              </w:rPr>
            </w:pPr>
            <w:r>
              <w:rPr>
                <w:rFonts w:ascii="幼圆" w:eastAsia="幼圆" w:hAnsi="幼圆" w:cs="幼圆" w:hint="eastAsia"/>
                <w:sz w:val="24"/>
              </w:rPr>
              <w:t>3.86%</w:t>
            </w:r>
          </w:p>
        </w:tc>
        <w:tc>
          <w:tcPr>
            <w:tcW w:w="2268" w:type="dxa"/>
            <w:shd w:val="clear" w:color="auto" w:fill="auto"/>
          </w:tcPr>
          <w:p>
            <w:pPr>
              <w:rPr>
                <w:rFonts w:ascii="幼圆" w:eastAsia="幼圆" w:hAnsi="幼圆" w:cs="幼圆" w:hint="eastAsia"/>
                <w:sz w:val="24"/>
              </w:rPr>
            </w:pPr>
            <w:r>
              <w:rPr>
                <w:rFonts w:ascii="幼圆" w:eastAsia="幼圆" w:hAnsi="幼圆" w:cs="幼圆" w:hint="eastAsia"/>
                <w:sz w:val="24"/>
              </w:rPr>
              <w:t>3.95%</w:t>
            </w:r>
          </w:p>
        </w:tc>
        <w:tc>
          <w:tcPr>
            <w:tcW w:w="1530" w:type="dxa"/>
            <w:shd w:val="clear" w:color="auto" w:fill="auto"/>
          </w:tcPr>
          <w:p>
            <w:pPr>
              <w:rPr>
                <w:rFonts w:ascii="幼圆" w:eastAsia="幼圆" w:hAnsi="幼圆" w:cs="幼圆" w:hint="eastAsia"/>
                <w:sz w:val="24"/>
              </w:rPr>
            </w:pPr>
            <w:r>
              <w:rPr>
                <w:rFonts w:ascii="幼圆" w:eastAsia="幼圆" w:hAnsi="幼圆" w:cs="幼圆" w:hint="eastAsia"/>
                <w:sz w:val="24"/>
              </w:rPr>
              <w:t>-0.09%</w:t>
            </w:r>
          </w:p>
        </w:tc>
      </w:tr>
    </w:tbl>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 xml:space="preserve"> </w:t>
      </w:r>
      <w:r>
        <w:rPr>
          <w:rFonts w:ascii="幼圆" w:eastAsia="幼圆" w:hAnsi="幼圆" w:cs="幼圆" w:hint="eastAsia"/>
          <w:sz w:val="24"/>
        </w:rPr>
        <w:t xml:space="preserve">                                                            </w:t>
      </w:r>
      <w:r>
        <w:rPr>
          <w:rFonts w:ascii="幼圆" w:eastAsia="幼圆" w:hAnsi="幼圆" w:cs="幼圆" w:hint="eastAsia"/>
          <w:sz w:val="24"/>
        </w:rPr>
        <w:t>单位：元</w:t>
      </w:r>
    </w:p>
    <w:p>
      <w:pPr>
        <w:spacing w:line="400" w:lineRule="exact"/>
        <w:ind w:firstLine="480" w:firstLineChars="200"/>
        <w:jc w:val="center"/>
        <w:rPr>
          <w:rFonts w:ascii="幼圆" w:eastAsia="幼圆" w:hAnsi="幼圆" w:cs="幼圆" w:hint="eastAsia"/>
          <w:sz w:val="24"/>
        </w:rPr>
      </w:pPr>
      <w:r>
        <w:rPr>
          <w:rFonts w:ascii="幼圆" w:eastAsia="幼圆" w:hAnsi="幼圆" w:cs="幼圆" w:hint="eastAsia"/>
          <w:sz w:val="24"/>
        </w:rPr>
        <w:t>表3-</w:t>
      </w:r>
      <w:r>
        <w:rPr>
          <w:rFonts w:ascii="幼圆" w:eastAsia="幼圆" w:hAnsi="幼圆" w:cs="幼圆" w:hint="eastAsia"/>
          <w:sz w:val="24"/>
        </w:rPr>
        <w:t>10 C</w:t>
      </w:r>
      <w:r>
        <w:rPr>
          <w:rFonts w:ascii="幼圆" w:eastAsia="幼圆" w:hAnsi="幼圆" w:cs="幼圆" w:hint="eastAsia"/>
          <w:sz w:val="24"/>
        </w:rPr>
        <w:t>公司研发成本构成</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3"/>
        <w:gridCol w:w="2539"/>
        <w:gridCol w:w="2539"/>
        <w:gridCol w:w="197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项目</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018</w:t>
            </w:r>
            <w:r>
              <w:rPr>
                <w:rFonts w:ascii="幼圆" w:eastAsia="幼圆" w:hAnsi="幼圆" w:cs="幼圆" w:hint="eastAsia"/>
                <w:sz w:val="24"/>
              </w:rPr>
              <w:t>年</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变动比例</w:t>
            </w:r>
          </w:p>
        </w:tc>
      </w:tr>
      <w:tr>
        <w:tblPrEx>
          <w:tblW w:w="0" w:type="auto"/>
          <w:tblInd w:w="0" w:type="dxa"/>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职工薪酬</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133,274,242.46</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127,329,381.75</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4</w:t>
            </w:r>
            <w:r>
              <w:rPr>
                <w:rFonts w:ascii="幼圆" w:eastAsia="幼圆" w:hAnsi="幼圆" w:cs="幼圆" w:hint="eastAsia"/>
                <w:sz w:val="24"/>
              </w:rPr>
              <w:t>.7</w:t>
            </w:r>
            <w:r>
              <w:rPr>
                <w:rFonts w:ascii="幼圆" w:eastAsia="幼圆" w:hAnsi="幼圆" w:cs="幼圆" w:hint="eastAsia"/>
                <w:sz w:val="24"/>
              </w:rPr>
              <w:t>%</w:t>
            </w:r>
          </w:p>
        </w:tc>
      </w:tr>
      <w:tr>
        <w:tblPrEx>
          <w:tblW w:w="0" w:type="auto"/>
          <w:tblInd w:w="0" w:type="dxa"/>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直接投入</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126,394,199.48</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132,231,138.03</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w:t>
            </w:r>
            <w:r>
              <w:rPr>
                <w:rFonts w:ascii="幼圆" w:eastAsia="幼圆" w:hAnsi="幼圆" w:cs="幼圆" w:hint="eastAsia"/>
                <w:sz w:val="24"/>
              </w:rPr>
              <w:t>4.4</w:t>
            </w:r>
            <w:r>
              <w:rPr>
                <w:rFonts w:ascii="幼圆" w:eastAsia="幼圆" w:hAnsi="幼圆" w:cs="幼圆" w:hint="eastAsia"/>
                <w:sz w:val="24"/>
              </w:rPr>
              <w:t>%</w:t>
            </w:r>
          </w:p>
        </w:tc>
      </w:tr>
      <w:tr>
        <w:tblPrEx>
          <w:tblW w:w="0" w:type="auto"/>
          <w:tblInd w:w="0" w:type="dxa"/>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折旧摊销</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15,287,792.16</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13,512,699.01</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3.14</w:t>
            </w:r>
            <w:r>
              <w:rPr>
                <w:rFonts w:ascii="幼圆" w:eastAsia="幼圆" w:hAnsi="幼圆" w:cs="幼圆" w:hint="eastAsia"/>
                <w:sz w:val="24"/>
              </w:rPr>
              <w:t>%</w:t>
            </w:r>
          </w:p>
        </w:tc>
      </w:tr>
      <w:tr>
        <w:tblPrEx>
          <w:tblW w:w="0" w:type="auto"/>
          <w:tblInd w:w="0" w:type="dxa"/>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设计费用</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9,951,440.23</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6,455,271.91</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5</w:t>
            </w:r>
            <w:r>
              <w:rPr>
                <w:rFonts w:ascii="幼圆" w:eastAsia="幼圆" w:hAnsi="幼圆" w:cs="幼圆" w:hint="eastAsia"/>
                <w:sz w:val="24"/>
              </w:rPr>
              <w:t>4.16</w:t>
            </w:r>
            <w:r>
              <w:rPr>
                <w:rFonts w:ascii="幼圆" w:eastAsia="幼圆" w:hAnsi="幼圆" w:cs="幼圆" w:hint="eastAsia"/>
                <w:sz w:val="24"/>
              </w:rPr>
              <w:t>%</w:t>
            </w:r>
          </w:p>
        </w:tc>
      </w:tr>
      <w:tr>
        <w:tblPrEx>
          <w:tblW w:w="0" w:type="auto"/>
          <w:tblInd w:w="0" w:type="dxa"/>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其他费用</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14,561,452.21</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13,898,754.10</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4</w:t>
            </w:r>
            <w:r>
              <w:rPr>
                <w:rFonts w:ascii="幼圆" w:eastAsia="幼圆" w:hAnsi="幼圆" w:cs="幼圆" w:hint="eastAsia"/>
                <w:sz w:val="24"/>
              </w:rPr>
              <w:t>.8</w:t>
            </w:r>
            <w:r>
              <w:rPr>
                <w:rFonts w:ascii="幼圆" w:eastAsia="幼圆" w:hAnsi="幼圆" w:cs="幼圆" w:hint="eastAsia"/>
                <w:sz w:val="24"/>
              </w:rPr>
              <w:t>%</w:t>
            </w:r>
          </w:p>
        </w:tc>
      </w:tr>
      <w:tr>
        <w:tblPrEx>
          <w:tblW w:w="0" w:type="auto"/>
          <w:tblInd w:w="0" w:type="dxa"/>
          <w:tblCellMar>
            <w:top w:w="0" w:type="dxa"/>
            <w:left w:w="108" w:type="dxa"/>
            <w:bottom w:w="0" w:type="dxa"/>
            <w:right w:w="108" w:type="dxa"/>
          </w:tblCellMar>
        </w:tblPrEx>
        <w:tc>
          <w:tcPr>
            <w:tcW w:w="2063"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合计</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299,469,126.54</w:t>
            </w:r>
          </w:p>
        </w:tc>
        <w:tc>
          <w:tcPr>
            <w:tcW w:w="2539"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293,427,244.80</w:t>
            </w:r>
          </w:p>
        </w:tc>
        <w:tc>
          <w:tcPr>
            <w:tcW w:w="1975" w:type="dxa"/>
            <w:shd w:val="clear" w:color="auto" w:fill="auto"/>
          </w:tcPr>
          <w:p>
            <w:pPr>
              <w:spacing w:line="400" w:lineRule="exact"/>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.06</w:t>
            </w:r>
            <w:r>
              <w:rPr>
                <w:rFonts w:ascii="幼圆" w:eastAsia="幼圆" w:hAnsi="幼圆" w:cs="幼圆" w:hint="eastAsia"/>
                <w:sz w:val="24"/>
              </w:rPr>
              <w:t>%</w:t>
            </w:r>
          </w:p>
        </w:tc>
      </w:tr>
    </w:tbl>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 xml:space="preserve"> </w:t>
      </w:r>
      <w:r>
        <w:rPr>
          <w:rFonts w:ascii="幼圆" w:eastAsia="幼圆" w:hAnsi="幼圆" w:cs="幼圆" w:hint="eastAsia"/>
          <w:sz w:val="24"/>
        </w:rPr>
        <w:t xml:space="preserve">                                                            </w:t>
      </w:r>
      <w:r>
        <w:rPr>
          <w:rFonts w:ascii="幼圆" w:eastAsia="幼圆" w:hAnsi="幼圆" w:cs="幼圆" w:hint="eastAsia"/>
          <w:sz w:val="24"/>
        </w:rPr>
        <w:t>单位：元</w:t>
      </w:r>
    </w:p>
    <w:p>
      <w:pPr>
        <w:spacing w:line="400" w:lineRule="exact"/>
        <w:ind w:firstLine="480" w:firstLineChars="200"/>
        <w:rPr>
          <w:rFonts w:ascii="幼圆" w:eastAsia="幼圆" w:hAnsi="幼圆" w:cs="幼圆" w:hint="eastAsia"/>
          <w:sz w:val="24"/>
        </w:rPr>
        <w:sectPr>
          <w:endnotePr>
            <w:numFmt w:val="decimal"/>
          </w:endnotePr>
          <w:type w:val="nextPage"/>
          <w:pgSz w:w="11906" w:h="16838"/>
          <w:pgMar w:top="1701" w:right="1418" w:bottom="1418" w:left="1588" w:header="1134" w:footer="992" w:gutter="0"/>
          <w:pgNumType w:start="6"/>
          <w:cols w:num="1" w:space="425"/>
          <w:titlePg w:val="0"/>
          <w:docGrid w:type="lines" w:linePitch="312" w:charSpace="0"/>
        </w:sectPr>
      </w:pPr>
      <w:r>
        <w:rPr>
          <w:rFonts w:ascii="幼圆" w:eastAsia="幼圆" w:hAnsi="幼圆" w:cs="幼圆" w:hint="eastAsia"/>
          <w:sz w:val="24"/>
        </w:rPr>
        <w:t>C公司研发费用较上年增长2.06%，主要是设计费用和折旧摊销增长的比例大。研发费用的增加表明公司坚持高端品牌定位、研发持续创新。产品的</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研发主要分为以下几类：对于工艺已经成熟的产品如油烟机、燃气灶等，公司注重对于产品外观进行改良创新；</w:t>
      </w:r>
      <w:r>
        <w:rPr>
          <w:rFonts w:ascii="幼圆" w:eastAsia="幼圆" w:hAnsi="幼圆" w:cs="幼圆" w:hint="eastAsia"/>
          <w:sz w:val="24"/>
        </w:rPr>
        <w:t>对于非明火</w:t>
      </w:r>
      <w:r>
        <w:rPr>
          <w:rFonts w:ascii="幼圆" w:eastAsia="幼圆" w:hAnsi="幼圆" w:cs="幼圆" w:hint="eastAsia"/>
          <w:sz w:val="24"/>
        </w:rPr>
        <w:t>一类的电器如蒸箱、烤箱</w:t>
      </w:r>
      <w:r>
        <w:rPr>
          <w:rFonts w:ascii="幼圆" w:eastAsia="幼圆" w:hAnsi="幼圆" w:cs="幼圆" w:hint="eastAsia"/>
          <w:sz w:val="24"/>
        </w:rPr>
        <w:t>等</w:t>
      </w:r>
      <w:r>
        <w:rPr>
          <w:rFonts w:ascii="幼圆" w:eastAsia="幼圆" w:hAnsi="幼圆" w:cs="幼圆" w:hint="eastAsia"/>
          <w:sz w:val="24"/>
        </w:rPr>
        <w:t>，公司注重中式烹饪方法的应用，研发</w:t>
      </w:r>
      <w:r>
        <w:rPr>
          <w:rFonts w:ascii="幼圆" w:eastAsia="幼圆" w:hAnsi="幼圆" w:cs="幼圆" w:hint="eastAsia"/>
          <w:sz w:val="24"/>
        </w:rPr>
        <w:t>使用</w:t>
      </w:r>
      <w:r>
        <w:rPr>
          <w:rFonts w:ascii="幼圆" w:eastAsia="幼圆" w:hAnsi="幼圆" w:cs="幼圆" w:hint="eastAsia"/>
          <w:sz w:val="24"/>
        </w:rPr>
        <w:t>不同场景的多功能差异化产品；对于洗碗机、</w:t>
      </w:r>
      <w:r>
        <w:rPr>
          <w:rFonts w:ascii="幼圆" w:eastAsia="幼圆" w:hAnsi="幼圆" w:cs="幼圆" w:hint="eastAsia"/>
          <w:sz w:val="24"/>
        </w:rPr>
        <w:t>消毒柜等</w:t>
      </w:r>
      <w:r>
        <w:rPr>
          <w:rFonts w:ascii="幼圆" w:eastAsia="幼圆" w:hAnsi="幼圆" w:cs="幼圆" w:hint="eastAsia"/>
          <w:sz w:val="24"/>
        </w:rPr>
        <w:t>新兴厨房电器，公司对其进行多维度研发创新，生产适合中国厨房的超强力洗碗机等；对于</w:t>
      </w:r>
      <w:r>
        <w:rPr>
          <w:rFonts w:ascii="幼圆" w:eastAsia="幼圆" w:hAnsi="幼圆" w:cs="幼圆" w:hint="eastAsia"/>
          <w:sz w:val="24"/>
        </w:rPr>
        <w:t>集成</w:t>
      </w:r>
      <w:r>
        <w:rPr>
          <w:rFonts w:ascii="幼圆" w:eastAsia="幼圆" w:hAnsi="幼圆" w:cs="幼圆" w:hint="eastAsia"/>
          <w:sz w:val="24"/>
        </w:rPr>
        <w:t>油烟机等一体化厨房设备，公司主要研发功能</w:t>
      </w:r>
      <w:r>
        <w:rPr>
          <w:rFonts w:ascii="幼圆" w:eastAsia="幼圆" w:hAnsi="幼圆" w:cs="幼圆" w:hint="eastAsia"/>
          <w:sz w:val="24"/>
        </w:rPr>
        <w:t>齐全</w:t>
      </w:r>
      <w:r>
        <w:rPr>
          <w:rFonts w:ascii="幼圆" w:eastAsia="幼圆" w:hAnsi="幼圆" w:cs="幼圆" w:hint="eastAsia"/>
          <w:sz w:val="24"/>
        </w:rPr>
        <w:t>，占地</w:t>
      </w:r>
      <w:r>
        <w:rPr>
          <w:rFonts w:ascii="幼圆" w:eastAsia="幼圆" w:hAnsi="幼圆" w:cs="幼圆" w:hint="eastAsia"/>
          <w:sz w:val="24"/>
        </w:rPr>
        <w:t>面积</w:t>
      </w:r>
      <w:r>
        <w:rPr>
          <w:rFonts w:ascii="幼圆" w:eastAsia="幼圆" w:hAnsi="幼圆" w:cs="幼圆" w:hint="eastAsia"/>
          <w:sz w:val="24"/>
        </w:rPr>
        <w:t>小等方面</w:t>
      </w:r>
      <w:r>
        <w:rPr>
          <w:rFonts w:ascii="幼圆" w:eastAsia="幼圆" w:hAnsi="幼圆" w:cs="幼圆" w:hint="eastAsia"/>
          <w:sz w:val="24"/>
        </w:rPr>
        <w:t>来</w:t>
      </w:r>
      <w:r>
        <w:rPr>
          <w:rFonts w:ascii="幼圆" w:eastAsia="幼圆" w:hAnsi="幼圆" w:cs="幼圆" w:hint="eastAsia"/>
          <w:sz w:val="24"/>
        </w:rPr>
        <w:t>满足厨房面积小的问题。</w:t>
      </w:r>
    </w:p>
    <w:p>
      <w:pPr>
        <w:spacing w:line="400" w:lineRule="exact"/>
        <w:ind w:firstLine="480"/>
        <w:rPr>
          <w:rFonts w:ascii="幼圆" w:eastAsia="幼圆" w:hAnsi="幼圆" w:cs="幼圆" w:hint="eastAsia"/>
          <w:sz w:val="24"/>
        </w:rPr>
      </w:pPr>
      <w:r>
        <w:rPr>
          <w:rFonts w:ascii="幼圆" w:eastAsia="幼圆" w:hAnsi="幼圆" w:cs="幼圆" w:hint="eastAsia"/>
          <w:sz w:val="24"/>
        </w:rPr>
        <w:t>C公司</w:t>
      </w:r>
      <w:r>
        <w:rPr>
          <w:rFonts w:ascii="幼圆" w:eastAsia="幼圆" w:hAnsi="幼圆" w:cs="幼圆" w:hint="eastAsia"/>
          <w:sz w:val="24"/>
        </w:rPr>
        <w:t>一直</w:t>
      </w:r>
      <w:r>
        <w:rPr>
          <w:rFonts w:ascii="幼圆" w:eastAsia="幼圆" w:hAnsi="幼圆" w:cs="幼圆" w:hint="eastAsia"/>
          <w:sz w:val="24"/>
        </w:rPr>
        <w:t>追求</w:t>
      </w:r>
      <w:r>
        <w:rPr>
          <w:rFonts w:ascii="幼圆" w:eastAsia="幼圆" w:hAnsi="幼圆" w:cs="幼圆" w:hint="eastAsia"/>
          <w:sz w:val="24"/>
        </w:rPr>
        <w:t>产品领先和技术领先，通过技术的不断创新，研发出适合中国厨房的产品，为消费者带来便捷的</w:t>
      </w:r>
      <w:r>
        <w:rPr>
          <w:rFonts w:ascii="幼圆" w:eastAsia="幼圆" w:hAnsi="幼圆" w:cs="幼圆" w:hint="eastAsia"/>
          <w:sz w:val="24"/>
        </w:rPr>
        <w:t>烹饪</w:t>
      </w:r>
      <w:r>
        <w:rPr>
          <w:rFonts w:ascii="幼圆" w:eastAsia="幼圆" w:hAnsi="幼圆" w:cs="幼圆" w:hint="eastAsia"/>
          <w:sz w:val="24"/>
        </w:rPr>
        <w:t>体验。</w:t>
      </w:r>
    </w:p>
    <w:p>
      <w:pPr>
        <w:pStyle w:val="3"/>
        <w:rPr>
          <w:rFonts w:ascii="幼圆" w:eastAsia="幼圆" w:hAnsi="幼圆" w:cs="幼圆" w:hint="eastAsia"/>
        </w:rPr>
      </w:pPr>
      <w:bookmarkStart w:id="11" w:name="_Toc71149377"/>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3</w:t>
      </w:r>
      <w:r>
        <w:rPr>
          <w:rFonts w:ascii="幼圆" w:eastAsia="幼圆" w:hAnsi="幼圆" w:cs="幼圆" w:hint="eastAsia"/>
        </w:rPr>
        <w:t xml:space="preserve"> 销售成本</w:t>
      </w:r>
      <w:bookmarkEnd w:id="11"/>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销售成本是由展台装饰费用，运费，广告宣传费，销售服务费等组成。其中销售服务费和广告宣传费是销售成本的主要组成部分。</w:t>
      </w:r>
    </w:p>
    <w:p>
      <w:pPr>
        <w:ind w:firstLine="480" w:firstLineChars="200"/>
        <w:jc w:val="center"/>
        <w:rPr>
          <w:rFonts w:ascii="幼圆" w:eastAsia="幼圆" w:hAnsi="幼圆" w:cs="幼圆" w:hint="eastAsia"/>
          <w:sz w:val="24"/>
          <w:szCs w:val="22"/>
        </w:rPr>
      </w:pPr>
      <w:r>
        <w:rPr>
          <w:rFonts w:ascii="幼圆" w:eastAsia="幼圆" w:hAnsi="幼圆" w:cs="幼圆" w:hint="eastAsia"/>
          <w:sz w:val="24"/>
          <w:szCs w:val="22"/>
        </w:rPr>
        <w:t>表3-</w:t>
      </w:r>
      <w:r>
        <w:rPr>
          <w:rFonts w:ascii="幼圆" w:eastAsia="幼圆" w:hAnsi="幼圆" w:cs="幼圆" w:hint="eastAsia"/>
          <w:sz w:val="24"/>
          <w:szCs w:val="22"/>
        </w:rPr>
        <w:t>11 C</w:t>
      </w:r>
      <w:r>
        <w:rPr>
          <w:rFonts w:ascii="幼圆" w:eastAsia="幼圆" w:hAnsi="幼圆" w:cs="幼圆" w:hint="eastAsia"/>
          <w:sz w:val="24"/>
          <w:szCs w:val="22"/>
        </w:rPr>
        <w:t>公司销售成本构成</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74"/>
        <w:gridCol w:w="2136"/>
        <w:gridCol w:w="2136"/>
        <w:gridCol w:w="207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019</w:t>
            </w:r>
            <w:r>
              <w:rPr>
                <w:rFonts w:ascii="幼圆" w:eastAsia="幼圆" w:hAnsi="幼圆" w:cs="幼圆" w:hint="eastAsia"/>
                <w:sz w:val="24"/>
              </w:rPr>
              <w:t>年</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018</w:t>
            </w:r>
            <w:r>
              <w:rPr>
                <w:rFonts w:ascii="幼圆" w:eastAsia="幼圆" w:hAnsi="幼圆" w:cs="幼圆" w:hint="eastAsia"/>
                <w:sz w:val="24"/>
              </w:rPr>
              <w:t>年</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变动比例</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销售费用合计</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1,928,259,172.35</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1,909,856,779.45</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0.96%</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广告宣传费</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457,851,289.50</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598,096,522.97</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-23.45%</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销售服务费</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554,487,943.73</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412,328,874.30</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34.48%</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运费</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256,384,472.63</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245,270,943.55</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4.53%</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职工薪酬</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245,718,611.84</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224,534,314.78</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9.43%</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展台装饰费</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164,860,080.30</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203,639,303.27</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-19.04%</w:t>
            </w:r>
          </w:p>
        </w:tc>
      </w:tr>
      <w:tr>
        <w:tblPrEx>
          <w:tblW w:w="0" w:type="auto"/>
          <w:tblInd w:w="0" w:type="dxa"/>
          <w:tblCellMar>
            <w:top w:w="0" w:type="dxa"/>
            <w:left w:w="108" w:type="dxa"/>
            <w:bottom w:w="0" w:type="dxa"/>
            <w:right w:w="108" w:type="dxa"/>
          </w:tblCellMar>
        </w:tblPrEx>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租赁费</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16,476,876.79</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5,868,935.83</w:t>
            </w:r>
          </w:p>
        </w:tc>
        <w:tc>
          <w:tcPr>
            <w:tcW w:w="2074" w:type="dxa"/>
            <w:shd w:val="clear" w:color="auto" w:fill="auto"/>
          </w:tcPr>
          <w:p>
            <w:pPr>
              <w:rPr>
                <w:rFonts w:ascii="幼圆" w:eastAsia="幼圆" w:hAnsi="幼圆" w:cs="幼圆" w:hint="eastAsia"/>
                <w:sz w:val="24"/>
              </w:rPr>
            </w:pPr>
            <w:r>
              <w:rPr>
                <w:rFonts w:ascii="幼圆" w:eastAsia="幼圆" w:hAnsi="幼圆" w:cs="幼圆" w:hint="eastAsia"/>
                <w:sz w:val="24"/>
              </w:rPr>
              <w:t>180.75%</w:t>
            </w:r>
          </w:p>
        </w:tc>
      </w:tr>
    </w:tbl>
    <w:p>
      <w:pPr>
        <w:spacing w:line="400" w:lineRule="exact"/>
        <w:ind w:firstLine="480"/>
        <w:rPr>
          <w:rFonts w:ascii="幼圆" w:eastAsia="幼圆" w:hAnsi="幼圆" w:cs="幼圆" w:hint="eastAsia"/>
          <w:sz w:val="24"/>
        </w:rPr>
      </w:pPr>
      <w:r>
        <w:rPr>
          <w:rFonts w:ascii="幼圆" w:eastAsia="幼圆" w:hAnsi="幼圆" w:cs="幼圆" w:hint="eastAsia"/>
          <w:sz w:val="24"/>
        </w:rPr>
        <w:t xml:space="preserve"> </w:t>
      </w:r>
      <w:r>
        <w:rPr>
          <w:rFonts w:ascii="幼圆" w:eastAsia="幼圆" w:hAnsi="幼圆" w:cs="幼圆" w:hint="eastAsia"/>
          <w:sz w:val="24"/>
        </w:rPr>
        <w:t xml:space="preserve">                                                      </w:t>
      </w:r>
      <w:r>
        <w:rPr>
          <w:rFonts w:ascii="幼圆" w:eastAsia="幼圆" w:hAnsi="幼圆" w:cs="幼圆" w:hint="eastAsia"/>
          <w:sz w:val="24"/>
        </w:rPr>
        <w:t>单位：元</w:t>
      </w:r>
    </w:p>
    <w:p>
      <w:pPr>
        <w:spacing w:line="400" w:lineRule="exact"/>
        <w:ind w:firstLine="480"/>
        <w:rPr>
          <w:rFonts w:ascii="幼圆" w:eastAsia="幼圆" w:hAnsi="幼圆" w:cs="幼圆" w:hint="eastAsia"/>
          <w:sz w:val="24"/>
        </w:rPr>
      </w:pPr>
      <w:r>
        <w:rPr>
          <w:rFonts w:ascii="幼圆" w:eastAsia="幼圆" w:hAnsi="幼圆" w:cs="幼圆" w:hint="eastAsia"/>
          <w:sz w:val="24"/>
        </w:rPr>
        <w:t>2019年销售费用较上年增长了0.96%，广告宣传费和销售服务费占到了总销售费用的50%以上，其中销售服务费较上年增长了34.48%，广告宣传费较上年降低了23.45%。每年广告宣传费都是销售费用的主要组成部分，C公司比较重视广告宣传来增加企业的知名度，通过宣传的高端路线，所以要不断地来巩固品牌形象，广告投放的精准度对于销量的影响比较大，这样庞大的投入也会带来一定的回报，由广告宣传带来的效果是肉眼可见的。</w:t>
      </w:r>
    </w:p>
    <w:p>
      <w:pPr>
        <w:spacing w:line="400" w:lineRule="exact"/>
        <w:ind w:firstLine="480"/>
        <w:rPr>
          <w:rFonts w:ascii="幼圆" w:eastAsia="幼圆" w:hAnsi="幼圆" w:cs="幼圆" w:hint="eastAsia"/>
          <w:sz w:val="24"/>
        </w:rPr>
      </w:pPr>
      <w:r>
        <w:rPr>
          <w:rFonts w:ascii="幼圆" w:eastAsia="幼圆" w:hAnsi="幼圆" w:cs="幼圆" w:hint="eastAsia"/>
          <w:sz w:val="24"/>
        </w:rPr>
        <w:t>其次占比较高的为员工工资，销售服务费，运费和展台装饰费，可以看出C公司销售渠道主要是布局在大型商场，商场的人流量比较大，可以有更多的产品展示和销售机会，但是大型商场的租金费用也比较高。现场还需要大量的销售人员来加强宣传，销售人员的增加也导致了销售费用中职工薪酬的增加。</w:t>
      </w:r>
    </w:p>
    <w:p>
      <w:pPr>
        <w:spacing w:line="400" w:lineRule="exact"/>
        <w:ind w:firstLine="480"/>
        <w:rPr>
          <w:rFonts w:ascii="幼圆" w:eastAsia="幼圆" w:hAnsi="幼圆" w:cs="幼圆" w:hint="eastAsia"/>
          <w:sz w:val="24"/>
        </w:rPr>
      </w:pPr>
      <w:r>
        <w:rPr>
          <w:rFonts w:ascii="幼圆" w:eastAsia="幼圆" w:hAnsi="幼圆" w:cs="幼圆" w:hint="eastAsia"/>
          <w:sz w:val="24"/>
        </w:rPr>
        <w:t>C公司</w:t>
      </w:r>
      <w:r>
        <w:rPr>
          <w:rFonts w:ascii="幼圆" w:eastAsia="幼圆" w:hAnsi="幼圆" w:cs="幼圆" w:hint="eastAsia"/>
          <w:sz w:val="24"/>
        </w:rPr>
        <w:t>是目前在</w:t>
      </w:r>
      <w:r>
        <w:rPr>
          <w:rFonts w:ascii="幼圆" w:eastAsia="幼圆" w:hAnsi="幼圆" w:cs="幼圆" w:hint="eastAsia"/>
          <w:sz w:val="24"/>
        </w:rPr>
        <w:t>厨电</w:t>
      </w:r>
      <w:r>
        <w:rPr>
          <w:rFonts w:ascii="幼圆" w:eastAsia="幼圆" w:hAnsi="幼圆" w:cs="幼圆" w:hint="eastAsia"/>
          <w:sz w:val="24"/>
        </w:rPr>
        <w:t>行业中处于领先地位，公司收益是</w:t>
      </w:r>
      <w:r>
        <w:rPr>
          <w:rFonts w:ascii="幼圆" w:eastAsia="幼圆" w:hAnsi="幼圆" w:cs="幼圆" w:hint="eastAsia"/>
          <w:sz w:val="24"/>
        </w:rPr>
        <w:t>逐年</w:t>
      </w:r>
      <w:r>
        <w:rPr>
          <w:rFonts w:ascii="幼圆" w:eastAsia="幼圆" w:hAnsi="幼圆" w:cs="幼圆" w:hint="eastAsia"/>
          <w:sz w:val="24"/>
        </w:rPr>
        <w:t>增加的，</w:t>
      </w:r>
      <w:r>
        <w:rPr>
          <w:rFonts w:ascii="幼圆" w:eastAsia="幼圆" w:hAnsi="幼圆" w:cs="幼圆" w:hint="eastAsia"/>
          <w:sz w:val="24"/>
        </w:rPr>
        <w:t>所以</w:t>
      </w:r>
      <w:r>
        <w:rPr>
          <w:rFonts w:ascii="幼圆" w:eastAsia="幼圆" w:hAnsi="幼圆" w:cs="幼圆" w:hint="eastAsia"/>
          <w:sz w:val="24"/>
        </w:rPr>
        <w:t>公司可以拥有充足的资金来进行广告宣传，但是一旦厨电行业进入成熟期后，市场需求会逐渐减少，</w:t>
      </w:r>
      <w:r>
        <w:rPr>
          <w:rFonts w:ascii="幼圆" w:eastAsia="幼圆" w:hAnsi="幼圆" w:cs="幼圆" w:hint="eastAsia"/>
          <w:sz w:val="24"/>
        </w:rPr>
        <w:t>如果</w:t>
      </w:r>
      <w:r>
        <w:rPr>
          <w:rFonts w:ascii="幼圆" w:eastAsia="幼圆" w:hAnsi="幼圆" w:cs="幼圆" w:hint="eastAsia"/>
          <w:sz w:val="24"/>
        </w:rPr>
        <w:t>仍然保持这么高的销售费用的话，会对公司利润产生影响，</w:t>
      </w:r>
      <w:r>
        <w:rPr>
          <w:rFonts w:ascii="幼圆" w:eastAsia="幼圆" w:hAnsi="幼圆" w:cs="幼圆" w:hint="eastAsia"/>
          <w:sz w:val="24"/>
        </w:rPr>
        <w:t>所以C公司</w:t>
      </w:r>
      <w:r>
        <w:rPr>
          <w:rFonts w:ascii="幼圆" w:eastAsia="幼圆" w:hAnsi="幼圆" w:cs="幼圆" w:hint="eastAsia"/>
          <w:sz w:val="24"/>
        </w:rPr>
        <w:t>应该重视销售费用的管理，伴随着行业生命周期的转变，合理规划投入销售费用的</w:t>
      </w:r>
      <w:r>
        <w:rPr>
          <w:rFonts w:ascii="幼圆" w:eastAsia="幼圆" w:hAnsi="幼圆" w:cs="幼圆" w:hint="eastAsia"/>
          <w:sz w:val="24"/>
        </w:rPr>
        <w:t>资金</w:t>
      </w:r>
      <w:r>
        <w:rPr>
          <w:rFonts w:ascii="幼圆" w:eastAsia="幼圆" w:hAnsi="幼圆" w:cs="幼圆" w:hint="eastAsia"/>
          <w:sz w:val="24"/>
        </w:rPr>
        <w:t>。</w:t>
      </w: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https://d.book118.com/556135143134010051</w:t>
        </w:r>
      </w:hyperlink>
    </w:p>
    <w:p>
      <w:pPr>
        <w:spacing w:line="400" w:lineRule="exact"/>
        <w:ind w:firstLine="480"/>
        <w:rPr>
          <w:rFonts w:ascii="幼圆" w:eastAsia="幼圆" w:hAnsi="幼圆" w:cs="幼圆" w:hint="eastAsia"/>
          <w:sz w:val="24"/>
        </w:rPr>
      </w:pPr>
    </w:p>
    <w:sectPr>
      <w:endnotePr>
        <w:numFmt w:val="decimal"/>
      </w:endnotePr>
      <w:type w:val="nextPage"/>
      <w:pgSz w:w="11906" w:h="16838"/>
      <w:pgMar w:top="1701" w:right="1418" w:bottom="1418" w:left="1588" w:header="1134"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幼圆">
    <w:panose1 w:val="0201050906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77969"/>
    <w:rsid w:val="3F077969"/>
    <w:rsid w:val="4D950A56"/>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qFormat/>
    <w:pPr>
      <w:spacing w:before="468" w:beforeLines="150" w:after="468" w:afterLines="150" w:line="400" w:lineRule="exact"/>
      <w:jc w:val="center"/>
      <w:outlineLvl w:val="0"/>
    </w:pPr>
    <w:rPr>
      <w:rFonts w:ascii="黑体" w:eastAsia="黑体" w:hAnsi="Times New Roman" w:cs="Times New Roman"/>
      <w:bCs/>
      <w:kern w:val="2"/>
      <w:sz w:val="32"/>
      <w:szCs w:val="32"/>
      <w:lang w:val="en-US" w:eastAsia="zh-CN" w:bidi="ar-SA"/>
    </w:rPr>
  </w:style>
  <w:style w:type="paragraph" w:styleId="Heading2">
    <w:name w:val="heading 2"/>
    <w:basedOn w:val="Heading3"/>
    <w:next w:val="Normal"/>
    <w:qFormat/>
    <w:pPr>
      <w:outlineLvl w:val="1"/>
    </w:pPr>
    <w:rPr>
      <w:sz w:val="28"/>
      <w:szCs w:val="28"/>
    </w:rPr>
  </w:style>
  <w:style w:type="paragraph" w:styleId="Heading3">
    <w:name w:val="heading 3"/>
    <w:basedOn w:val="Normal"/>
    <w:next w:val="Normal"/>
    <w:qFormat/>
    <w:pPr>
      <w:keepNext/>
      <w:keepLines/>
      <w:spacing w:before="312" w:beforeLines="100" w:after="312" w:afterLines="100" w:line="400" w:lineRule="exact"/>
      <w:outlineLvl w:val="2"/>
    </w:pPr>
    <w:rPr>
      <w:rFonts w:ascii="黑体" w:eastAsia="黑体"/>
      <w:bCs/>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character" w:styleId="PageNumber">
    <w:name w:val="page number"/>
    <w:basedOn w:val="DefaultParagraphFont"/>
    <w:qFormat/>
  </w:style>
  <w:style w:type="paragraph" w:customStyle="1" w:styleId="3">
    <w:name w:val="标题3"/>
    <w:basedOn w:val="Heading3"/>
    <w:autoRedefine/>
    <w:semiHidden/>
    <w:qFormat/>
    <w:pPr>
      <w:spacing w:before="156" w:beforeLines="50" w:after="156" w:afterLines="50"/>
    </w:pPr>
  </w:style>
  <w:style w:type="paragraph" w:customStyle="1" w:styleId="WPSOffice2">
    <w:name w:val="WPSOffice手动目录 2"/>
    <w:pPr>
      <w:ind w:leftChars="200"/>
    </w:pPr>
    <w:rPr>
      <w:sz w:val="20"/>
      <w:szCs w:val="20"/>
    </w:rPr>
  </w:style>
  <w:style w:type="paragraph" w:customStyle="1" w:styleId="WPSOffice1">
    <w:name w:val="WPSOffice手动目录 1"/>
    <w:pPr>
      <w:ind w:leftChars="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hart" Target="charts/chart1.xml" /><Relationship Id="rId6" Type="http://schemas.openxmlformats.org/officeDocument/2006/relationships/chart" Target="charts/chart2.xml" /><Relationship Id="rId7" Type="http://schemas.openxmlformats.org/officeDocument/2006/relationships/chart" Target="charts/chart3.xml" /><Relationship Id="rId8" Type="http://schemas.openxmlformats.org/officeDocument/2006/relationships/hyperlink" Target="https://d.book118.com/556135143134010051" TargetMode="External" /><Relationship Id="rId9" Type="http://schemas.openxmlformats.org/officeDocument/2006/relationships/theme" Target="theme/theme1.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s>
</file>

<file path=word/charts/_rels/chart2.xml.rels><?xml version="1.0" encoding="utf-8" standalone="yes"?><Relationships xmlns="http://schemas.openxmlformats.org/package/2006/relationships"><Relationship Id="rId1" Type="http://schemas.openxmlformats.org/officeDocument/2006/relationships/package" Target="../embeddings/Microsoft_Excel_Worksheet2.xlsx" /><Relationship Id="rId2" Type="http://schemas.openxmlformats.org/officeDocument/2006/relationships/themeOverride" Target="../theme/themeOverride2.xml" /></Relationships>
</file>

<file path=word/charts/_rels/chart3.xml.rels><?xml version="1.0" encoding="utf-8" standalone="yes"?><Relationships xmlns="http://schemas.openxmlformats.org/package/2006/relationships"><Relationship Id="rId1" Type="http://schemas.openxmlformats.org/officeDocument/2006/relationships/package" Target="../embeddings/Microsoft_Excel_Worksheet3.xlsx" /><Relationship Id="rId2" Type="http://schemas.openxmlformats.org/officeDocument/2006/relationships/themeOverride" Target="../theme/themeOverride3.xml" /><Relationship Id="rId3" Type="http://schemas.microsoft.com/office/2011/relationships/chartColorStyle" Target="chart/colors1.xml" /><Relationship Id="rId4"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44186046511628"/>
          <c:y val="0.0290598290598291"/>
          <c:w val="0.372093023255814"/>
          <c:h val="0.921367521367521"/>
        </c:manualLayout>
      </c:layout>
      <c:barChart>
        <c:barDir val="col"/>
        <c:grouping val="clustered"/>
        <c:varyColors val="0"/>
        <c:ser>
          <c:idx val="0"/>
          <c:order val="0"/>
          <c:tx>
            <c:strRef>
              <c:f>Sheet1!$A$2</c:f>
              <c:strCache>
                <c:ptCount val="1"/>
                <c:pt idx="0">
                  <c:v>东部</c:v>
                </c:pt>
              </c:strCache>
            </c:strRef>
          </c:tx>
          <c:spPr>
            <a:solidFill>
              <a:srgbClr val="9999FF"/>
            </a:solidFill>
            <a:ln w="12696">
              <a:solidFill>
                <a:srgbClr val="000000"/>
              </a:solidFill>
              <a:prstDash val="solid"/>
            </a:ln>
          </c:spPr>
          <c:invertIfNegative val="0"/>
          <c:dLbls>
            <c:delete val="1"/>
            <c:showLegendKey val="0"/>
            <c:showVal val="0"/>
            <c:showCatName val="0"/>
            <c:showSerName val="0"/>
            <c:showPercent val="0"/>
            <c:showBubbleSize val="0"/>
          </c:dLbls>
          <c:cat>
            <c:strRef>
              <c:f>Sheet1!$B$1:$E$1</c:f>
              <c:strCache>
                <c:ptCount val="4"/>
                <c:pt idx="0">
                  <c:v>第一季度</c:v>
                </c:pt>
                <c:pt idx="1">
                  <c:v>第二季度</c:v>
                </c:pt>
                <c:pt idx="2">
                  <c:v>第三季度</c:v>
                </c:pt>
                <c:pt idx="3">
                  <c:v>第四季度</c:v>
                </c:pt>
              </c:strCache>
            </c:strRef>
          </c:cat>
          <c:val>
            <c:numRef>
              <c:f>Sheet1!$B$2:$E$2</c:f>
              <c:numCache>
                <c:formatCode>g/"通""用""格""式"</c:formatCode>
                <c:ptCount val="4"/>
                <c:pt idx="0">
                  <c:v>20.4</c:v>
                </c:pt>
                <c:pt idx="1">
                  <c:v>27.4</c:v>
                </c:pt>
                <c:pt idx="2">
                  <c:v>90</c:v>
                </c:pt>
                <c:pt idx="3">
                  <c:v>20.4</c:v>
                </c:pt>
              </c:numCache>
            </c:numRef>
          </c:val>
        </c:ser>
        <c:ser>
          <c:idx val="1"/>
          <c:order val="1"/>
          <c:tx>
            <c:strRef>
              <c:f>Sheet1!$A$3</c:f>
              <c:strCache>
                <c:ptCount val="1"/>
                <c:pt idx="0">
                  <c:v>西部</c:v>
                </c:pt>
              </c:strCache>
            </c:strRef>
          </c:tx>
          <c:spPr>
            <a:solidFill>
              <a:srgbClr val="993366"/>
            </a:solidFill>
            <a:ln w="12696">
              <a:solidFill>
                <a:srgbClr val="000000"/>
              </a:solidFill>
              <a:prstDash val="solid"/>
            </a:ln>
          </c:spPr>
          <c:invertIfNegative val="0"/>
          <c:dLbls>
            <c:delete val="1"/>
            <c:showLegendKey val="0"/>
            <c:showVal val="0"/>
            <c:showCatName val="0"/>
            <c:showSerName val="0"/>
            <c:showPercent val="0"/>
            <c:showBubbleSize val="0"/>
          </c:dLbls>
          <c:cat>
            <c:strRef>
              <c:f>Sheet1!$B$1:$E$1</c:f>
              <c:strCache>
                <c:ptCount val="4"/>
                <c:pt idx="0">
                  <c:v>第一季度</c:v>
                </c:pt>
                <c:pt idx="1">
                  <c:v>第二季度</c:v>
                </c:pt>
                <c:pt idx="2">
                  <c:v>第三季度</c:v>
                </c:pt>
                <c:pt idx="3">
                  <c:v>第四季度</c:v>
                </c:pt>
              </c:strCache>
            </c:strRef>
          </c:cat>
          <c:val>
            <c:numRef>
              <c:f>Sheet1!$B$3:$E$3</c:f>
              <c:numCache>
                <c:formatCode>g/"通""用""格""式"</c:formatCode>
                <c:ptCount val="4"/>
                <c:pt idx="0">
                  <c:v>30.6</c:v>
                </c:pt>
                <c:pt idx="1">
                  <c:v>38.6</c:v>
                </c:pt>
                <c:pt idx="2">
                  <c:v>34.6</c:v>
                </c:pt>
                <c:pt idx="3">
                  <c:v>31.6</c:v>
                </c:pt>
              </c:numCache>
            </c:numRef>
          </c:val>
        </c:ser>
        <c:ser>
          <c:idx val="2"/>
          <c:order val="2"/>
          <c:tx>
            <c:strRef>
              <c:f>Sheet1!$A$4</c:f>
              <c:strCache>
                <c:ptCount val="1"/>
                <c:pt idx="0">
                  <c:v>北部</c:v>
                </c:pt>
              </c:strCache>
            </c:strRef>
          </c:tx>
          <c:spPr>
            <a:solidFill>
              <a:srgbClr val="FFFFCC"/>
            </a:solidFill>
            <a:ln w="12696">
              <a:solidFill>
                <a:srgbClr val="000000"/>
              </a:solidFill>
              <a:prstDash val="solid"/>
            </a:ln>
          </c:spPr>
          <c:invertIfNegative val="0"/>
          <c:dLbls>
            <c:delete val="1"/>
            <c:showLegendKey val="0"/>
            <c:showVal val="0"/>
            <c:showCatName val="0"/>
            <c:showSerName val="0"/>
            <c:showPercent val="0"/>
            <c:showBubbleSize val="0"/>
          </c:dLbls>
          <c:cat>
            <c:strRef>
              <c:f>Sheet1!$B$1:$E$1</c:f>
              <c:strCache>
                <c:ptCount val="4"/>
                <c:pt idx="0">
                  <c:v>第一季度</c:v>
                </c:pt>
                <c:pt idx="1">
                  <c:v>第二季度</c:v>
                </c:pt>
                <c:pt idx="2">
                  <c:v>第三季度</c:v>
                </c:pt>
                <c:pt idx="3">
                  <c:v>第四季度</c:v>
                </c:pt>
              </c:strCache>
            </c:strRef>
          </c:cat>
          <c:val>
            <c:numRef>
              <c:f>Sheet1!$B$4:$E$4</c:f>
              <c:numCache>
                <c:formatCode>g/"通""用""格""式"</c:formatCode>
                <c:ptCount val="4"/>
                <c:pt idx="0">
                  <c:v>45.9</c:v>
                </c:pt>
                <c:pt idx="1">
                  <c:v>46.9</c:v>
                </c:pt>
                <c:pt idx="2">
                  <c:v>45</c:v>
                </c:pt>
                <c:pt idx="3">
                  <c:v>43.9</c:v>
                </c:pt>
              </c:numCache>
            </c:numRef>
          </c:val>
        </c:ser>
        <c:dLbls>
          <c:showLegendKey val="0"/>
          <c:showVal val="0"/>
          <c:showCatName val="0"/>
          <c:showSerName val="0"/>
          <c:showPercent val="0"/>
          <c:showBubbleSize val="0"/>
        </c:dLbls>
        <c:gapWidth val="150"/>
        <c:axId val="1159733232"/>
        <c:axId val="1"/>
      </c:barChart>
      <c:catAx>
        <c:axId val="1159733232"/>
        <c:scaling>
          <c:orientation val="minMax"/>
        </c:scaling>
        <c:delete val="0"/>
        <c:axPos val="b"/>
        <c:numFmt formatCode="General" sourceLinked="1"/>
        <c:majorTickMark val="in"/>
        <c:minorTickMark val="none"/>
        <c:tickLblPos val="nextTo"/>
        <c:spPr>
          <a:ln w="3174">
            <a:solidFill>
              <a:srgbClr val="000000"/>
            </a:solidFill>
            <a:prstDash val="solid"/>
            <a:round/>
          </a:ln>
        </c:spPr>
        <c:txPr>
          <a:bodyPr rot="-5400000" spcFirstLastPara="0" vertOverflow="ellipsis" vert="horz" wrap="square" anchor="ctr" anchorCtr="1"/>
          <a:lstStyle/>
          <a:p>
            <a:pPr>
              <a:defRPr lang="zh-CN" sz="2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
        <c:crosses val="autoZero"/>
        <c:auto val="1"/>
        <c:lblAlgn val="ctr"/>
        <c:lblOffset val="100"/>
        <c:tickLblSkip val="2"/>
        <c:noMultiLvlLbl val="0"/>
      </c:catAx>
      <c:valAx>
        <c:axId val="1"/>
        <c:scaling>
          <c:orientation val="minMax"/>
        </c:scaling>
        <c:delete val="0"/>
        <c:axPos val="l"/>
        <c:majorGridlines>
          <c:spPr>
            <a:ln w="3174">
              <a:solidFill>
                <a:srgbClr val="000000"/>
              </a:solidFill>
              <a:prstDash val="solid"/>
              <a:round/>
            </a:ln>
          </c:spPr>
        </c:majorGridlines>
        <c:numFmt formatCode="g/&quot;通&quot;&quot;用&quot;&quot;格&quot;&quot;式&quot;" sourceLinked="1"/>
        <c:majorTickMark val="in"/>
        <c:minorTickMark val="none"/>
        <c:tickLblPos val="nextTo"/>
        <c:spPr>
          <a:ln w="3174">
            <a:solidFill>
              <a:srgbClr val="000000"/>
            </a:solidFill>
            <a:prstDash val="solid"/>
            <a:round/>
          </a:ln>
        </c:spPr>
        <c:txPr>
          <a:bodyPr rot="0" spcFirstLastPara="0" vertOverflow="ellipsis" vert="horz" wrap="square" anchor="ctr" anchorCtr="1"/>
          <a:lstStyle/>
          <a:p>
            <a:pPr>
              <a:defRPr lang="zh-CN" sz="2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159733232"/>
        <c:crosses val="autoZero"/>
        <c:crossBetween val="between"/>
      </c:valAx>
      <c:spPr>
        <a:solidFill>
          <a:srgbClr val="C0C0C0"/>
        </a:solidFill>
        <a:ln w="12696">
          <a:solidFill>
            <a:srgbClr val="808080"/>
          </a:solidFill>
          <a:prstDash val="solid"/>
        </a:ln>
      </c:spPr>
    </c:plotArea>
    <c:legend>
      <c:legendPos val="r"/>
      <c:layout>
        <c:manualLayout>
          <c:xMode val="edge"/>
          <c:yMode val="edge"/>
          <c:x val="0.732558139534884"/>
          <c:y val="0.461538461538462"/>
          <c:w val="0.22093023255814"/>
          <c:h val="0.052991452991453"/>
        </c:manualLayout>
      </c:layout>
      <c:overlay val="0"/>
      <c:spPr>
        <a:noFill/>
        <a:ln w="3174">
          <a:solidFill>
            <a:srgbClr val="000000"/>
          </a:solidFill>
          <a:prstDash val="solid"/>
        </a:ln>
      </c:spPr>
      <c:txPr>
        <a:bodyPr rot="0" spcFirstLastPara="0" vertOverflow="ellipsis" vert="horz" wrap="square" anchor="ctr" anchorCtr="1"/>
        <a:lstStyle/>
        <a:p>
          <a:pPr>
            <a:defRPr lang="zh-CN" sz="2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6350">
      <a:noFill/>
      <a:prstDash val="solid"/>
      <a:round/>
    </a:ln>
  </c:spPr>
  <c:txPr>
    <a:bodyPr/>
    <a:lstStyle/>
    <a:p>
      <a:pPr>
        <a:defRPr lang="zh-CN" sz="2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7674418604651"/>
          <c:y val="0.174418604651163"/>
          <c:w val="0.36046511627907"/>
          <c:h val="0.534883720930233"/>
        </c:manualLayout>
      </c:layout>
      <c:barChart>
        <c:barDir val="col"/>
        <c:grouping val="clustered"/>
        <c:varyColors val="0"/>
        <c:ser>
          <c:idx val="0"/>
          <c:order val="0"/>
          <c:tx>
            <c:strRef>
              <c:f>Sheet1!$A$2</c:f>
              <c:strCache>
                <c:ptCount val="1"/>
                <c:pt idx="0">
                  <c:v>2017年</c:v>
                </c:pt>
              </c:strCache>
            </c:strRef>
          </c:tx>
          <c:spPr>
            <a:solidFill>
              <a:srgbClr val="9999FF"/>
            </a:solidFill>
            <a:ln w="9324">
              <a:solidFill>
                <a:srgbClr val="000000"/>
              </a:solidFill>
              <a:prstDash val="solid"/>
            </a:ln>
          </c:spPr>
          <c:invertIfNegative val="0"/>
          <c:dLbls>
            <c:delete val="1"/>
            <c:showLegendKey val="0"/>
            <c:showVal val="0"/>
            <c:showCatName val="0"/>
            <c:showSerName val="0"/>
            <c:showPercent val="0"/>
            <c:showBubbleSize val="0"/>
          </c:dLbls>
          <c:cat>
            <c:strRef>
              <c:f>Sheet1!$B$1:$E$1</c:f>
              <c:strCache>
                <c:ptCount val="4"/>
                <c:pt idx="0">
                  <c:v>生产费用</c:v>
                </c:pt>
                <c:pt idx="1">
                  <c:v>销售费用</c:v>
                </c:pt>
                <c:pt idx="2">
                  <c:v>管理费用</c:v>
                </c:pt>
                <c:pt idx="3">
                  <c:v>研发费用</c:v>
                </c:pt>
              </c:strCache>
            </c:strRef>
          </c:cat>
          <c:val>
            <c:numRef>
              <c:f>Sheet1!$B$2:$E$2</c:f>
              <c:numCache>
                <c:formatCode>g/"通""用""格""式"</c:formatCode>
                <c:ptCount val="4"/>
                <c:pt idx="0">
                  <c:v>20.4</c:v>
                </c:pt>
                <c:pt idx="1">
                  <c:v>27.4</c:v>
                </c:pt>
                <c:pt idx="2">
                  <c:v>90</c:v>
                </c:pt>
                <c:pt idx="3">
                  <c:v>20.4</c:v>
                </c:pt>
              </c:numCache>
            </c:numRef>
          </c:val>
        </c:ser>
        <c:ser>
          <c:idx val="1"/>
          <c:order val="1"/>
          <c:tx>
            <c:strRef>
              <c:f>Sheet1!$A$3</c:f>
              <c:strCache>
                <c:ptCount val="1"/>
                <c:pt idx="0">
                  <c:v>2018年</c:v>
                </c:pt>
              </c:strCache>
            </c:strRef>
          </c:tx>
          <c:spPr>
            <a:solidFill>
              <a:srgbClr val="993366"/>
            </a:solidFill>
            <a:ln w="9324">
              <a:solidFill>
                <a:srgbClr val="000000"/>
              </a:solidFill>
              <a:prstDash val="solid"/>
            </a:ln>
          </c:spPr>
          <c:invertIfNegative val="0"/>
          <c:dLbls>
            <c:delete val="1"/>
            <c:showLegendKey val="0"/>
            <c:showVal val="0"/>
            <c:showCatName val="0"/>
            <c:showSerName val="0"/>
            <c:showPercent val="0"/>
            <c:showBubbleSize val="0"/>
          </c:dLbls>
          <c:cat>
            <c:strRef>
              <c:f>Sheet1!$B$1:$E$1</c:f>
              <c:strCache>
                <c:ptCount val="4"/>
                <c:pt idx="0">
                  <c:v>生产费用</c:v>
                </c:pt>
                <c:pt idx="1">
                  <c:v>销售费用</c:v>
                </c:pt>
                <c:pt idx="2">
                  <c:v>管理费用</c:v>
                </c:pt>
                <c:pt idx="3">
                  <c:v>研发费用</c:v>
                </c:pt>
              </c:strCache>
            </c:strRef>
          </c:cat>
          <c:val>
            <c:numRef>
              <c:f>Sheet1!$B$3:$E$3</c:f>
              <c:numCache>
                <c:formatCode>g/"通""用""格""式"</c:formatCode>
                <c:ptCount val="4"/>
                <c:pt idx="0">
                  <c:v>30.6</c:v>
                </c:pt>
                <c:pt idx="1">
                  <c:v>38.6</c:v>
                </c:pt>
                <c:pt idx="2">
                  <c:v>34.6</c:v>
                </c:pt>
                <c:pt idx="3">
                  <c:v>31.6</c:v>
                </c:pt>
              </c:numCache>
            </c:numRef>
          </c:val>
        </c:ser>
        <c:ser>
          <c:idx val="2"/>
          <c:order val="2"/>
          <c:tx>
            <c:strRef>
              <c:f>Sheet1!$A$4</c:f>
              <c:strCache>
                <c:ptCount val="1"/>
                <c:pt idx="0">
                  <c:v>2019年</c:v>
                </c:pt>
              </c:strCache>
            </c:strRef>
          </c:tx>
          <c:spPr>
            <a:solidFill>
              <a:srgbClr val="FFFFCC"/>
            </a:solidFill>
            <a:ln w="9324">
              <a:solidFill>
                <a:srgbClr val="000000"/>
              </a:solidFill>
              <a:prstDash val="solid"/>
            </a:ln>
          </c:spPr>
          <c:invertIfNegative val="0"/>
          <c:dLbls>
            <c:delete val="1"/>
            <c:showLegendKey val="0"/>
            <c:showVal val="0"/>
            <c:showCatName val="0"/>
            <c:showSerName val="0"/>
            <c:showPercent val="0"/>
            <c:showBubbleSize val="0"/>
          </c:dLbls>
          <c:cat>
            <c:strRef>
              <c:f>Sheet1!$B$1:$E$1</c:f>
              <c:strCache>
                <c:ptCount val="4"/>
                <c:pt idx="0">
                  <c:v>生产费用</c:v>
                </c:pt>
                <c:pt idx="1">
                  <c:v>销售费用</c:v>
                </c:pt>
                <c:pt idx="2">
                  <c:v>管理费用</c:v>
                </c:pt>
                <c:pt idx="3">
                  <c:v>研发费用</c:v>
                </c:pt>
              </c:strCache>
            </c:strRef>
          </c:cat>
          <c:val>
            <c:numRef>
              <c:f>Sheet1!$B$4:$E$4</c:f>
              <c:numCache>
                <c:formatCode>g/"通""用""格""式"</c:formatCode>
                <c:ptCount val="4"/>
                <c:pt idx="0">
                  <c:v>45.9</c:v>
                </c:pt>
                <c:pt idx="1">
                  <c:v>46.9</c:v>
                </c:pt>
                <c:pt idx="2">
                  <c:v>45</c:v>
                </c:pt>
                <c:pt idx="3">
                  <c:v>43.9</c:v>
                </c:pt>
              </c:numCache>
            </c:numRef>
          </c:val>
        </c:ser>
        <c:dLbls>
          <c:showLegendKey val="0"/>
          <c:showVal val="0"/>
          <c:showCatName val="0"/>
          <c:showSerName val="0"/>
          <c:showPercent val="0"/>
          <c:showBubbleSize val="0"/>
        </c:dLbls>
        <c:gapWidth val="150"/>
        <c:axId val="1158872928"/>
        <c:axId val="1"/>
      </c:barChart>
      <c:catAx>
        <c:axId val="1158872928"/>
        <c:scaling>
          <c:orientation val="minMax"/>
        </c:scaling>
        <c:delete val="0"/>
        <c:axPos val="b"/>
        <c:numFmt formatCode="General" sourceLinked="1"/>
        <c:majorTickMark val="in"/>
        <c:minorTickMark val="none"/>
        <c:tickLblPos val="low"/>
        <c:spPr>
          <a:ln w="2331">
            <a:solidFill>
              <a:srgbClr val="000000"/>
            </a:solidFill>
            <a:prstDash val="solid"/>
            <a:round/>
          </a:ln>
        </c:spPr>
        <c:txPr>
          <a:bodyPr rot="0" spcFirstLastPara="0" vertOverflow="ellipsis" vert="horz" wrap="square" anchor="ctr" anchorCtr="1"/>
          <a:lstStyle/>
          <a:p>
            <a:pPr>
              <a:defRPr lang="zh-CN" sz="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
        <c:crosses val="autoZero"/>
        <c:auto val="1"/>
        <c:lblAlgn val="ctr"/>
        <c:lblOffset val="100"/>
        <c:tickLblSkip val="3"/>
        <c:noMultiLvlLbl val="0"/>
      </c:catAx>
      <c:valAx>
        <c:axId val="1"/>
        <c:scaling>
          <c:orientation val="minMax"/>
        </c:scaling>
        <c:delete val="0"/>
        <c:axPos val="l"/>
        <c:majorGridlines>
          <c:spPr>
            <a:ln w="2331">
              <a:solidFill>
                <a:srgbClr val="000000"/>
              </a:solidFill>
              <a:prstDash val="solid"/>
              <a:round/>
            </a:ln>
          </c:spPr>
        </c:majorGridlines>
        <c:numFmt formatCode="g/&quot;通&quot;&quot;用&quot;&quot;格&quot;&quot;式&quot;" sourceLinked="1"/>
        <c:majorTickMark val="in"/>
        <c:minorTickMark val="none"/>
        <c:tickLblPos val="nextTo"/>
        <c:spPr>
          <a:ln w="2331">
            <a:solidFill>
              <a:srgbClr val="000000"/>
            </a:solidFill>
            <a:prstDash val="solid"/>
            <a:round/>
          </a:ln>
        </c:spPr>
        <c:txPr>
          <a:bodyPr rot="0" spcFirstLastPara="0" vertOverflow="ellipsis" vert="horz" wrap="square" anchor="ctr" anchorCtr="1"/>
          <a:lstStyle/>
          <a:p>
            <a:pPr>
              <a:defRPr lang="zh-CN" sz="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158872928"/>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86046511627907"/>
          <c:y val="0.325581395348837"/>
          <c:w val="0.267441860465116"/>
          <c:h val="0.36046511627907"/>
        </c:manualLayout>
      </c:layout>
      <c:overlay val="0"/>
      <c:spPr>
        <a:noFill/>
        <a:ln w="2331">
          <a:solidFill>
            <a:srgbClr val="000000"/>
          </a:solidFill>
          <a:prstDash val="solid"/>
        </a:ln>
      </c:spPr>
      <c:txPr>
        <a:bodyPr rot="0" spcFirstLastPara="0" vertOverflow="ellipsis" vert="horz" wrap="square" anchor="ctr" anchorCtr="1"/>
        <a:lstStyle/>
        <a:p>
          <a:pPr>
            <a:defRPr lang="zh-CN" sz="1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noFill/>
    <a:ln w="6350">
      <a:noFill/>
      <a:prstDash val="solid"/>
      <a:round/>
    </a:ln>
  </c:spPr>
  <c:txPr>
    <a:bodyPr/>
    <a:lstStyle/>
    <a:p>
      <a:pPr>
        <a:defRPr lang="zh-CN" sz="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生产成本</c:v>
                </c:pt>
              </c:strCache>
            </c:strRef>
          </c:tx>
          <c:spPr>
            <a:solidFill>
              <a:schemeClr val="accent1"/>
            </a:solidFill>
            <a:ln>
              <a:noFill/>
            </a:ln>
            <a:effectLst/>
          </c:spPr>
          <c:invertIfNegative val="0"/>
          <c:dLbls>
            <c:delete val="1"/>
            <c:showLegendKey val="0"/>
            <c:showVal val="0"/>
            <c:showCatName val="0"/>
            <c:showSerName val="0"/>
            <c:showPercent val="0"/>
            <c:showBubbleSize val="0"/>
          </c:dLbls>
          <c:cat>
            <c:strRef>
              <c:f>Sheet1!$A$2:$A$4</c:f>
              <c:strCache>
                <c:ptCount val="3"/>
                <c:pt idx="0">
                  <c:v>2017年</c:v>
                </c:pt>
                <c:pt idx="1">
                  <c:v>2018年</c:v>
                </c:pt>
                <c:pt idx="2">
                  <c:v>2019年</c:v>
                </c:pt>
              </c:strCache>
            </c:strRef>
          </c:cat>
          <c:val>
            <c:numRef>
              <c:f>Sheet1!$B$2:$B$4</c:f>
              <c:numCache>
                <c:formatCode>0.00_ </c:formatCode>
                <c:ptCount val="3"/>
                <c:pt idx="0">
                  <c:v>325059</c:v>
                </c:pt>
                <c:pt idx="1">
                  <c:v>345077</c:v>
                </c:pt>
                <c:pt idx="2">
                  <c:v>354878</c:v>
                </c:pt>
              </c:numCache>
            </c:numRef>
          </c:val>
        </c:ser>
        <c:ser>
          <c:idx val="1"/>
          <c:order val="1"/>
          <c:tx>
            <c:strRef>
              <c:f>Sheet1!$C$1</c:f>
              <c:strCache>
                <c:ptCount val="1"/>
                <c:pt idx="0">
                  <c:v>销售费用</c:v>
                </c:pt>
              </c:strCache>
            </c:strRef>
          </c:tx>
          <c:spPr>
            <a:solidFill>
              <a:schemeClr val="accent2"/>
            </a:solidFill>
            <a:ln>
              <a:noFill/>
            </a:ln>
            <a:effectLst/>
          </c:spPr>
          <c:invertIfNegative val="0"/>
          <c:dLbls>
            <c:delete val="1"/>
            <c:showLegendKey val="0"/>
            <c:showVal val="0"/>
            <c:showCatName val="0"/>
            <c:showSerName val="0"/>
            <c:showPercent val="0"/>
            <c:showBubbleSize val="0"/>
          </c:dLbls>
          <c:cat>
            <c:strRef>
              <c:f>Sheet1!$A$2:$A$4</c:f>
              <c:strCache>
                <c:ptCount val="3"/>
                <c:pt idx="0">
                  <c:v>2017年</c:v>
                </c:pt>
                <c:pt idx="1">
                  <c:v>2018年</c:v>
                </c:pt>
                <c:pt idx="2">
                  <c:v>2019年</c:v>
                </c:pt>
              </c:strCache>
            </c:strRef>
          </c:cat>
          <c:val>
            <c:numRef>
              <c:f>Sheet1!$C$2:$C$4</c:f>
              <c:numCache>
                <c:formatCode>0.00_ </c:formatCode>
                <c:ptCount val="3"/>
                <c:pt idx="0">
                  <c:v>167788</c:v>
                </c:pt>
                <c:pt idx="1">
                  <c:v>190986</c:v>
                </c:pt>
                <c:pt idx="2">
                  <c:v>192826</c:v>
                </c:pt>
              </c:numCache>
            </c:numRef>
          </c:val>
        </c:ser>
        <c:ser>
          <c:idx val="2"/>
          <c:order val="2"/>
          <c:tx>
            <c:strRef>
              <c:f>Sheet1!$D$1</c:f>
              <c:strCache>
                <c:ptCount val="1"/>
                <c:pt idx="0">
                  <c:v>管理费用</c:v>
                </c:pt>
              </c:strCache>
            </c:strRef>
          </c:tx>
          <c:spPr>
            <a:solidFill>
              <a:schemeClr val="accent3"/>
            </a:solidFill>
            <a:ln>
              <a:noFill/>
            </a:ln>
            <a:effectLst/>
          </c:spPr>
          <c:invertIfNegative val="0"/>
          <c:dLbls>
            <c:delete val="1"/>
            <c:showLegendKey val="0"/>
            <c:showVal val="0"/>
            <c:showCatName val="0"/>
            <c:showSerName val="0"/>
            <c:showPercent val="0"/>
            <c:showBubbleSize val="0"/>
          </c:dLbls>
          <c:cat>
            <c:strRef>
              <c:f>Sheet1!$A$2:$A$4</c:f>
              <c:strCache>
                <c:ptCount val="3"/>
                <c:pt idx="0">
                  <c:v>2017年</c:v>
                </c:pt>
                <c:pt idx="1">
                  <c:v>2018年</c:v>
                </c:pt>
                <c:pt idx="2">
                  <c:v>2019年</c:v>
                </c:pt>
              </c:strCache>
            </c:strRef>
          </c:cat>
          <c:val>
            <c:numRef>
              <c:f>Sheet1!$D$2:$D$4</c:f>
              <c:numCache>
                <c:formatCode>0.00_ </c:formatCode>
                <c:ptCount val="3"/>
                <c:pt idx="0">
                  <c:v>24783</c:v>
                </c:pt>
                <c:pt idx="1">
                  <c:v>27236</c:v>
                </c:pt>
                <c:pt idx="2">
                  <c:v>28436</c:v>
                </c:pt>
              </c:numCache>
            </c:numRef>
          </c:val>
        </c:ser>
        <c:ser>
          <c:idx val="3"/>
          <c:order val="3"/>
          <c:tx>
            <c:strRef>
              <c:f>Sheet1!$E$1</c:f>
              <c:strCache>
                <c:ptCount val="1"/>
                <c:pt idx="0">
                  <c:v>研发费用</c:v>
                </c:pt>
              </c:strCache>
            </c:strRef>
          </c:tx>
          <c:spPr>
            <a:solidFill>
              <a:schemeClr val="accent4"/>
            </a:solidFill>
            <a:ln>
              <a:noFill/>
            </a:ln>
            <a:effectLst/>
          </c:spPr>
          <c:invertIfNegative val="0"/>
          <c:dLbls>
            <c:delete val="1"/>
            <c:showLegendKey val="0"/>
            <c:showVal val="0"/>
            <c:showCatName val="0"/>
            <c:showSerName val="0"/>
            <c:showPercent val="0"/>
            <c:showBubbleSize val="0"/>
          </c:dLbls>
          <c:cat>
            <c:strRef>
              <c:f>Sheet1!$A$2:$A$4</c:f>
              <c:strCache>
                <c:ptCount val="3"/>
                <c:pt idx="0">
                  <c:v>2017年</c:v>
                </c:pt>
                <c:pt idx="1">
                  <c:v>2018年</c:v>
                </c:pt>
                <c:pt idx="2">
                  <c:v>2019年</c:v>
                </c:pt>
              </c:strCache>
            </c:strRef>
          </c:cat>
          <c:val>
            <c:numRef>
              <c:f>Sheet1!$E$2:$E$4</c:f>
              <c:numCache>
                <c:formatCode>0.00_ </c:formatCode>
                <c:ptCount val="3"/>
                <c:pt idx="0">
                  <c:v>23313</c:v>
                </c:pt>
                <c:pt idx="1">
                  <c:v>29343</c:v>
                </c:pt>
                <c:pt idx="2">
                  <c:v>29947</c:v>
                </c:pt>
              </c:numCache>
            </c:numRef>
          </c:val>
        </c:ser>
        <c:dLbls>
          <c:showLegendKey val="0"/>
          <c:showVal val="0"/>
          <c:showCatName val="0"/>
          <c:showSerName val="0"/>
          <c:showPercent val="0"/>
          <c:showBubbleSize val="0"/>
        </c:dLbls>
        <c:gapWidth val="219"/>
        <c:axId val="1521997120"/>
        <c:axId val="1521998784"/>
      </c:barChart>
      <c:catAx>
        <c:axId val="1521997120"/>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1998784"/>
        <c:crosses val="autoZero"/>
        <c:auto val="1"/>
        <c:lblAlgn val="ctr"/>
        <c:lblOffset val="100"/>
        <c:noMultiLvlLbl val="0"/>
      </c:catAx>
      <c:valAx>
        <c:axId val="1521998784"/>
        <c:scaling>
          <c:orientation val="minMax"/>
        </c:scaling>
        <c:delete val="0"/>
        <c:axPos val="l"/>
        <c:majorGridlines>
          <c:spPr>
            <a:ln w="9525">
              <a:solidFill>
                <a:schemeClr val="tx1">
                  <a:lumMod val="15000"/>
                  <a:lumOff val="85000"/>
                </a:schemeClr>
              </a:solidFill>
              <a:round/>
            </a:ln>
            <a:effectLst/>
          </c:spPr>
        </c:majorGridlines>
        <c:numFmt formatCode="0.00_ "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199712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xmlns:a="http://schemas.openxmlformats.org/drawingml/2006/main" name="WPS">
    <a:dk1>
      <a:sysClr lastClr="000000" val="windowText"/>
    </a:dk1>
    <a:lt1>
      <a:sysClr lastClr="CCE8CF" val="window"/>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xmlns:a="http://schemas.openxmlformats.org/drawingml/2006/main"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algn="ctr" cap="flat" cmpd="sng" w="12700">
        <a:solidFill>
          <a:schemeClr val="phClr"/>
        </a:solidFill>
        <a:prstDash val="solid"/>
        <a:miter lim="800000"/>
      </a:ln>
      <a:ln algn="ctr" cap="flat" cmpd="sng" w="12700">
        <a:solidFill>
          <a:schemeClr val="phClr"/>
        </a:solidFill>
        <a:prstDash val="solid"/>
        <a:miter lim="800000"/>
      </a:ln>
      <a:ln algn="ctr" cap="flat" cmpd="sng" w="12700">
        <a:gradFill>
          <a:gsLst>
            <a:gs pos="0">
              <a:schemeClr val="phClr">
                <a:hueOff val="-4200000"/>
              </a:schemeClr>
            </a:gs>
            <a:gs pos="100000">
              <a:schemeClr val="phClr"/>
            </a:gs>
          </a:gsLst>
          <a:lin ang="2700000" scaled="1"/>
        </a:gradFill>
        <a:prstDash val="solid"/>
        <a:miter lim="800000"/>
      </a:ln>
    </a:lnStyleLst>
    <a:effectStyleLst>
      <a:effectStyle>
        <a:effectLst>
          <a:outerShdw algn="ctr" blurRad="101600" dir="5400000" dist="50800" rotWithShape="0">
            <a:schemeClr val="phClr">
              <a:alpha val="60000"/>
            </a:schemeClr>
          </a:outerShdw>
        </a:effectLst>
      </a:effectStyle>
      <a:effectStyle>
        <a:effectLst>
          <a:reflection algn="bl" dir="5400000" dist="25400" endA="300" endPos="40000" rotWithShape="0" stA="50000" sy="-100000"/>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ABEEL</dc:creator>
  <cp:lastModifiedBy>ABEEL</cp:lastModifiedBy>
  <cp:revision>1</cp:revision>
  <dcterms:created xsi:type="dcterms:W3CDTF">2024-02-21T12:40:00Z</dcterms:created>
  <dcterms:modified xsi:type="dcterms:W3CDTF">2024-02-21T12:44:52Z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5FC9FA5EDEB0463C9B3CC22BF3E40539_13</vt:lpwstr>
  </property>
  <property fmtid="{D5CDD505-2E9C-101B-9397-08002B2CF9AE}" pid="3" name="KSOProductBuildVer">
    <vt:lpwstr>2052-12.1.0.16388</vt:lpwstr>
  </property>
</Properties>
</file>