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1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76"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91.020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Z</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06</w:t>
      </w:r>
    </w:p>
    <w:p>
      <w:pPr>
        <w:spacing w:before="0" w:after="0" w:line="899" w:lineRule="exact"/>
        <w:ind w:left="545" w:firstLine="7731"/>
        <w:jc w:val="left"/>
      </w:pPr>
      <w:r>
        <w:rPr>
          <w:rFonts w:ascii="Times New Roman" w:hAnsi="Times New Roman" w:cs="Times New Roman"/>
          <w:b/>
          <w:color w:val="000000"/>
          <w:spacing w:val="0"/>
          <w:w w:val="159"/>
          <w:position w:val="0"/>
          <w:sz w:val="96"/>
          <w:u w:val="none"/>
        </w:rPr>
        <w:t>44</w:t>
      </w:r>
    </w:p>
    <w:p>
      <w:pPr>
        <w:spacing w:before="0" w:after="0" w:line="240" w:lineRule="exact"/>
        <w:ind w:left="545" w:firstLine="7731"/>
      </w:pPr>
    </w:p>
    <w:p>
      <w:pPr>
        <w:tabs>
          <w:tab w:val="left" w:pos="2072"/>
          <w:tab w:val="left" w:pos="3598"/>
          <w:tab w:val="left" w:pos="5125"/>
          <w:tab w:val="left" w:pos="6651"/>
          <w:tab w:val="left" w:pos="817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广</w:t>
      </w:r>
      <w:r>
        <w:rPr>
          <w:rFonts w:cs="Calibri"/>
          <w:color w:val="000000"/>
          <w:spacing w:val="0"/>
          <w:w w:val="100"/>
          <w:u w:val="none"/>
        </w:rPr>
        <w:tab/>
      </w:r>
      <w:r>
        <w:rPr>
          <w:rFonts w:ascii="黑体" w:eastAsia="黑体" w:hAnsi="黑体" w:cs="黑体"/>
          <w:color w:val="000000"/>
          <w:spacing w:val="-1"/>
          <w:w w:val="100"/>
          <w:position w:val="0"/>
          <w:sz w:val="48"/>
          <w:u w:val="none"/>
        </w:rPr>
        <w:t>东</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DB44/T</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2455—2024</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1308" w:firstLine="10"/>
        <w:jc w:val="left"/>
      </w:pPr>
      <w:r>
        <w:rPr>
          <w:rFonts w:ascii="黑体" w:eastAsia="黑体" w:hAnsi="黑体" w:cs="黑体"/>
          <w:color w:val="000000"/>
          <w:spacing w:val="0"/>
          <w:w w:val="100"/>
          <w:position w:val="0"/>
          <w:sz w:val="52"/>
          <w:u w:val="none"/>
        </w:rPr>
        <w:t>市级国土空间生态修复规划编制规程</w:t>
      </w:r>
    </w:p>
    <w:p>
      <w:pPr>
        <w:spacing w:before="0" w:after="0" w:line="240" w:lineRule="exact"/>
        <w:ind w:left="1308" w:firstLine="10"/>
      </w:pPr>
    </w:p>
    <w:p>
      <w:pPr>
        <w:spacing w:before="0" w:after="0" w:line="240" w:lineRule="exact"/>
        <w:ind w:left="1308" w:firstLine="10"/>
      </w:pPr>
    </w:p>
    <w:p>
      <w:pPr>
        <w:spacing w:before="0" w:after="0" w:line="302" w:lineRule="exact"/>
        <w:ind w:left="1308" w:firstLine="0"/>
        <w:jc w:val="left"/>
      </w:pPr>
      <w:r>
        <w:rPr>
          <w:rFonts w:ascii="Times New Roman" w:hAnsi="Times New Roman" w:cs="Times New Roman"/>
          <w:color w:val="000000"/>
          <w:spacing w:val="-1"/>
          <w:w w:val="100"/>
          <w:position w:val="0"/>
          <w:sz w:val="28"/>
          <w:u w:val="none"/>
        </w:rPr>
        <w:t>Compilation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guide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municipal</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territorial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ecological</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restoration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planning</w:t>
      </w:r>
    </w:p>
    <w:p>
      <w:pPr>
        <w:spacing w:before="0" w:after="0" w:line="1091" w:lineRule="exact"/>
        <w:ind w:left="1308" w:firstLine="766"/>
        <w:jc w:val="left"/>
        <w:rPr>
          <w:rFonts w:hint="eastAsia"/>
        </w:rPr>
      </w:pP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40" w:lineRule="exact"/>
        <w:ind w:left="1308" w:firstLine="766"/>
      </w:pPr>
    </w:p>
    <w:p>
      <w:pPr>
        <w:spacing w:before="0" w:after="0" w:line="264" w:lineRule="exact"/>
        <w:ind w:left="1308" w:firstLine="766"/>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2024 - 01 - 17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1"/>
          <w:w w:val="100"/>
          <w:u w:val="single"/>
        </w:rPr>
        <w:tab/>
      </w:r>
      <w:r>
        <w:rPr>
          <w:rFonts w:ascii="黑体" w:hAnsi="黑体" w:cs="黑体"/>
          <w:color w:val="000000"/>
          <w:spacing w:val="-20"/>
          <w:w w:val="100"/>
          <w:position w:val="0"/>
          <w:sz w:val="28"/>
          <w:u w:val="single"/>
        </w:rPr>
        <w:t>2024 - 04 - 17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1" w:lineRule="exact"/>
        <w:ind w:left="660" w:firstLine="2631"/>
        <w:jc w:val="left"/>
      </w:pPr>
      <w:r>
        <w:rPr>
          <w:rFonts w:ascii="黑体" w:eastAsia="黑体" w:hAnsi="黑体" w:cs="黑体"/>
          <w:color w:val="000000"/>
          <w:spacing w:val="0"/>
          <w:w w:val="100"/>
          <w:position w:val="0"/>
          <w:sz w:val="28"/>
          <w:u w:val="none"/>
        </w:rPr>
        <w:t>广东省市场监督管理局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sectPr>
          <w:type w:val="continuous"/>
          <w:pgSz w:w="11906" w:h="16839"/>
          <w:pgMar w:top="959" w:right="708" w:bottom="719" w:left="1068" w:header="0" w:footer="0" w:gutter="0"/>
          <w:pgNumType w:start="6"/>
          <w:cols w:num="1" w:space="720"/>
        </w:sectPr>
      </w:pPr>
      <w:bookmarkStart w:id="3" w:name="_GoBack"/>
      <w:bookmarkEnd w:id="3"/>
    </w:p>
    <w:p>
      <w:pPr>
        <w:spacing w:before="0" w:after="0" w:line="240" w:lineRule="exact"/>
      </w:pPr>
    </w:p>
    <w:p>
      <w:pPr>
        <w:spacing w:before="0" w:after="0" w:line="221" w:lineRule="exact"/>
        <w:ind w:left="351" w:firstLine="757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8" type="#_x0000_t75" style="width:17pt;height:10pt;margin-top:264pt;margin-left:87pt;mso-height-relative:page;mso-position-horizontal-relative:page;mso-position-vertical-relative:page;mso-width-relative:page;position:absolute;z-index:-251656192" coordsize="21600,21600" filled="f">
            <v:imagedata r:id="rId6" o:title=""/>
            <o:lock v:ext="edit" aspectratio="t"/>
          </v:shape>
        </w:pict>
      </w:r>
      <w:r>
        <w:pict>
          <v:shape id="imagerId10" o:spid="_x0000_s1029" type="#_x0000_t75" style="width:17pt;height:9pt;margin-top:282pt;margin-left:87pt;mso-height-relative:page;mso-position-horizontal-relative:page;mso-position-vertical-relative:page;mso-width-relative:page;position:absolute;z-index:-251655168" coordsize="21600,21600" filled="f">
            <v:imagedata r:id="rId7" o:title=""/>
            <o:lock v:ext="edit" aspectratio="t"/>
          </v:shape>
        </w:pict>
      </w:r>
      <w:r>
        <w:pict>
          <v:shape id="imagerId11" o:spid="_x0000_s1030" type="#_x0000_t75" style="width:17pt;height:10pt;margin-top:299pt;margin-left:87pt;mso-height-relative:page;mso-position-horizontal-relative:page;mso-position-vertical-relative:page;mso-width-relative:page;position:absolute;z-index:-251654144" coordsize="21600,21600" filled="f">
            <v:imagedata r:id="rId8" o:title=""/>
            <o:lock v:ext="edit" aspectratio="t"/>
          </v:shape>
        </w:pict>
      </w:r>
      <w:r>
        <w:pict>
          <v:shape id="imagerId12" o:spid="_x0000_s1031" type="#_x0000_t75" style="width:18pt;height:10pt;margin-top:316pt;margin-left:87pt;mso-height-relative:page;mso-position-horizontal-relative:page;mso-position-vertical-relative:page;mso-width-relative:page;position:absolute;z-index:-251653120" coordsize="21600,21600" filled="f">
            <v:imagedata r:id="rId9" o:title=""/>
            <o:lock v:ext="edit" aspectratio="t"/>
          </v:shape>
        </w:pict>
      </w:r>
      <w:r>
        <w:pict>
          <v:shape id="imagerId13" o:spid="_x0000_s1032" type="#_x0000_t75" style="width:17pt;height:10pt;margin-top:333pt;margin-left:87pt;mso-height-relative:page;mso-position-horizontal-relative:page;mso-position-vertical-relative:page;mso-width-relative:page;position:absolute;z-index:-251652096" coordsize="21600,21600" filled="f">
            <v:imagedata r:id="rId10" o:title=""/>
            <o:lock v:ext="edit" aspectratio="t"/>
          </v:shape>
        </w:pict>
      </w:r>
      <w:r>
        <w:pict>
          <v:shape id="imagerId14" o:spid="_x0000_s1033" type="#_x0000_t75" style="width:17pt;height:10pt;margin-top:350pt;margin-left:87pt;mso-height-relative:page;mso-position-horizontal-relative:page;mso-position-vertical-relative:page;mso-width-relative:page;position:absolute;z-index:-251651072" coordsize="21600,21600" filled="f">
            <v:imagedata r:id="rId11" o:title=""/>
            <o:lock v:ext="edit" aspectratio="t"/>
          </v:shape>
        </w:pict>
      </w:r>
      <w:r>
        <w:pict>
          <v:shape id="imagerId15" o:spid="_x0000_s1034" type="#_x0000_t75" style="width:17pt;height:9pt;margin-top:385pt;margin-left:87pt;mso-height-relative:page;mso-position-horizontal-relative:page;mso-position-vertical-relative:page;mso-width-relative:page;position:absolute;z-index:-251650048" coordsize="21600,21600" filled="f">
            <v:imagedata r:id="rId12" o:title=""/>
            <o:lock v:ext="edit" aspectratio="t"/>
          </v:shape>
        </w:pict>
      </w:r>
      <w:r>
        <w:pict>
          <v:shape id="imagerId16" o:spid="_x0000_s1035" type="#_x0000_t75" style="width:17pt;height:10pt;margin-top:402pt;margin-left:87pt;mso-height-relative:page;mso-position-horizontal-relative:page;mso-position-vertical-relative:page;mso-width-relative:page;position:absolute;z-index:-251649024" coordsize="21600,21600" filled="f">
            <v:imagedata r:id="rId13" o:title=""/>
            <o:lock v:ext="edit" aspectratio="t"/>
          </v:shape>
        </w:pict>
      </w:r>
      <w:r>
        <w:pict>
          <v:shape id="imagerId17" o:spid="_x0000_s1036" type="#_x0000_t75" style="width:17pt;height:10pt;margin-top:419pt;margin-left:87pt;mso-height-relative:page;mso-position-horizontal-relative:page;mso-position-vertical-relative:page;mso-width-relative:page;position:absolute;z-index:-251648000" coordsize="21600,21600" filled="f">
            <v:imagedata r:id="rId14" o:title=""/>
            <o:lock v:ext="edit" aspectratio="t"/>
          </v:shape>
        </w:pict>
      </w:r>
      <w:r>
        <w:pict>
          <v:shape id="imagerId18" o:spid="_x0000_s1037" type="#_x0000_t75" style="width:18pt;height:10pt;margin-top:436pt;margin-left:87pt;mso-height-relative:page;mso-position-horizontal-relative:page;mso-position-vertical-relative:page;mso-width-relative:page;position:absolute;z-index:-251646976" coordsize="21600,21600" filled="f">
            <v:imagedata r:id="rId15" o:title=""/>
            <o:lock v:ext="edit" aspectratio="t"/>
          </v:shape>
        </w:pict>
      </w:r>
      <w:r>
        <w:pict>
          <v:shape id="imagerId19" o:spid="_x0000_s1038" type="#_x0000_t75" style="width:17pt;height:10pt;margin-top:470pt;margin-left:87pt;mso-height-relative:page;mso-position-horizontal-relative:page;mso-position-vertical-relative:page;mso-width-relative:page;position:absolute;z-index:-251645952" coordsize="21600,21600" filled="f">
            <v:imagedata r:id="rId16" o:title=""/>
            <o:lock v:ext="edit" aspectratio="t"/>
          </v:shape>
        </w:pict>
      </w:r>
      <w:r>
        <w:pict>
          <v:shape id="imagerId20" o:spid="_x0000_s1039" type="#_x0000_t75" style="width:17pt;height:9pt;margin-top:488pt;margin-left:87pt;mso-height-relative:page;mso-position-horizontal-relative:page;mso-position-vertical-relative:page;mso-width-relative:page;position:absolute;z-index:-251644928" coordsize="21600,21600" filled="f">
            <v:imagedata r:id="rId17" o:title=""/>
            <o:lock v:ext="edit" aspectratio="t"/>
          </v:shape>
        </w:pict>
      </w:r>
      <w:r>
        <w:pict>
          <v:shape id="imagerId21" o:spid="_x0000_s1040" type="#_x0000_t75" style="width:17pt;height:10pt;margin-top:505pt;margin-left:87pt;mso-height-relative:page;mso-position-horizontal-relative:page;mso-position-vertical-relative:page;mso-width-relative:page;position:absolute;z-index:-251643904" coordsize="21600,21600" filled="f">
            <v:imagedata r:id="rId18" o:title=""/>
            <o:lock v:ext="edit" aspectratio="t"/>
          </v:shape>
        </w:pict>
      </w:r>
      <w:r>
        <w:pict>
          <v:shape id="imagerId22" o:spid="_x0000_s1041" type="#_x0000_t75" style="width:18pt;height:10pt;margin-top:522pt;margin-left:87pt;mso-height-relative:page;mso-position-horizontal-relative:page;mso-position-vertical-relative:page;mso-width-relative:page;position:absolute;z-index:-251642880" coordsize="21600,21600" filled="f">
            <v:imagedata r:id="rId19" o:title=""/>
            <o:lock v:ext="edit" aspectratio="t"/>
          </v:shape>
        </w:pict>
      </w:r>
      <w:r>
        <w:pict>
          <v:shape id="imagerId23" o:spid="_x0000_s1042" type="#_x0000_t75" style="width:17pt;height:10pt;margin-top:539pt;margin-left:87pt;mso-height-relative:page;mso-position-horizontal-relative:page;mso-position-vertical-relative:page;mso-width-relative:page;position:absolute;z-index:-251641856" coordsize="21600,21600" filled="f">
            <v:imagedata r:id="rId20" o:title=""/>
            <o:lock v:ext="edit" aspectratio="t"/>
          </v:shape>
        </w:pict>
      </w:r>
      <w:r>
        <w:pict>
          <v:shape id="imagerId24" o:spid="_x0000_s1043" type="#_x0000_t75" style="width:17pt;height:10pt;margin-top:556pt;margin-left:87pt;mso-height-relative:page;mso-position-horizontal-relative:page;mso-position-vertical-relative:page;mso-width-relative:page;position:absolute;z-index:-251640832" coordsize="21600,21600" filled="f">
            <v:imagedata r:id="rId21" o:title=""/>
            <o:lock v:ext="edit" aspectratio="t"/>
          </v:shape>
        </w:pict>
      </w:r>
      <w:r>
        <w:pict>
          <v:shape id="imagerId25" o:spid="_x0000_s1044" type="#_x0000_t75" style="width:17pt;height:10pt;margin-top:573pt;margin-left:87pt;mso-height-relative:page;mso-position-horizontal-relative:page;mso-position-vertical-relative:page;mso-width-relative:page;position:absolute;z-index:-251639808" coordsize="21600,21600" filled="f">
            <v:imagedata r:id="rId22"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5"/>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3"/>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tabs>
          <w:tab w:val="left" w:pos="9484"/>
        </w:tabs>
        <w:spacing w:before="0" w:after="0" w:line="417"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7"/>
        </w:tabs>
        <w:spacing w:before="0" w:after="0" w:line="343" w:lineRule="exact"/>
        <w:ind w:left="351"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343" w:lineRule="exact"/>
        <w:ind w:left="351"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343" w:lineRule="exact"/>
        <w:ind w:left="351"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344" w:lineRule="exact"/>
        <w:ind w:left="351" w:firstLine="0"/>
        <w:jc w:val="left"/>
      </w:pPr>
      <w:hyperlink w:anchor="6" w:history="1">
        <w:r>
          <w:rPr>
            <w:rStyle w:val="Hyperlink"/>
            <w:rFonts w:ascii="宋体" w:hAnsi="宋体" w:cs="宋体"/>
            <w:color w:val="000000"/>
            <w:spacing w:val="0"/>
            <w:w w:val="100"/>
            <w:position w:val="0"/>
            <w:sz w:val="21"/>
            <w:u w:val="none"/>
          </w:rPr>
          <w:t>4</w:t>
        </w:r>
      </w:hyperlink>
      <w:r>
        <w:rPr>
          <w:rFonts w:cs="Calibri"/>
          <w:w w:val="100"/>
        </w:rPr>
        <w:tab/>
      </w:r>
      <w:hyperlink w:anchor="6" w:history="1">
        <w:r>
          <w:rPr>
            <w:rStyle w:val="Hyperlink"/>
            <w:rFonts w:ascii="宋体" w:eastAsia="宋体" w:hAnsi="宋体" w:cs="宋体"/>
            <w:color w:val="000000"/>
            <w:spacing w:val="0"/>
            <w:w w:val="100"/>
            <w:position w:val="0"/>
            <w:sz w:val="21"/>
            <w:u w:val="none"/>
          </w:rPr>
          <w:t>总体要求</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9590"/>
        </w:tabs>
        <w:spacing w:before="0" w:after="0" w:line="343" w:lineRule="exact"/>
        <w:ind w:left="351" w:firstLine="866"/>
        <w:jc w:val="left"/>
      </w:pPr>
      <w:hyperlink w:anchor="6" w:history="1">
        <w:r>
          <w:rPr>
            <w:rStyle w:val="Hyperlink"/>
            <w:rFonts w:ascii="宋体" w:eastAsia="宋体" w:hAnsi="宋体" w:cs="宋体"/>
            <w:color w:val="000000"/>
            <w:spacing w:val="0"/>
            <w:w w:val="100"/>
            <w:position w:val="0"/>
            <w:sz w:val="21"/>
            <w:u w:val="none"/>
          </w:rPr>
          <w:t>规划定位</w:t>
        </w:r>
      </w:hyperlink>
      <w:r>
        <w:rPr>
          <w:rFonts w:ascii="Calibri" w:hAnsi="Calibri" w:cs="Calibri"/>
          <w:color w:val="000000"/>
          <w:spacing w:val="-7"/>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2</w:t>
        </w:r>
      </w:hyperlink>
    </w:p>
    <w:p>
      <w:pPr>
        <w:tabs>
          <w:tab w:val="left" w:pos="9590"/>
        </w:tabs>
        <w:spacing w:before="0" w:after="0" w:line="343" w:lineRule="exact"/>
        <w:ind w:left="351" w:firstLine="866"/>
        <w:jc w:val="left"/>
      </w:pPr>
      <w:hyperlink w:anchor="7" w:history="1">
        <w:r>
          <w:rPr>
            <w:rStyle w:val="Hyperlink"/>
            <w:rFonts w:ascii="宋体" w:eastAsia="宋体" w:hAnsi="宋体" w:cs="宋体"/>
            <w:color w:val="000000"/>
            <w:spacing w:val="0"/>
            <w:w w:val="100"/>
            <w:position w:val="0"/>
            <w:sz w:val="21"/>
            <w:u w:val="none"/>
          </w:rPr>
          <w:t>规划范围和期限</w:t>
        </w:r>
      </w:hyperlink>
      <w:r>
        <w:rPr>
          <w:rFonts w:ascii="Calibri" w:hAnsi="Calibri" w:cs="Calibri"/>
          <w:color w:val="000000"/>
          <w:spacing w:val="-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7" w:history="1">
        <w:r>
          <w:rPr>
            <w:rStyle w:val="Hyperlink"/>
            <w:rFonts w:ascii="宋体" w:eastAsia="宋体" w:hAnsi="宋体" w:cs="宋体"/>
            <w:color w:val="000000"/>
            <w:spacing w:val="0"/>
            <w:w w:val="100"/>
            <w:position w:val="0"/>
            <w:sz w:val="21"/>
            <w:u w:val="none"/>
          </w:rPr>
          <w:t>原则</w:t>
        </w:r>
      </w:hyperlink>
      <w:r>
        <w:rPr>
          <w:rFonts w:ascii="Calibri" w:hAnsi="Calibri" w:cs="Calibri"/>
          <w:color w:val="000000"/>
          <w:spacing w:val="-1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7" w:history="1">
        <w:r>
          <w:rPr>
            <w:rStyle w:val="Hyperlink"/>
            <w:rFonts w:ascii="宋体" w:eastAsia="宋体" w:hAnsi="宋体" w:cs="宋体"/>
            <w:color w:val="000000"/>
            <w:spacing w:val="0"/>
            <w:w w:val="100"/>
            <w:position w:val="0"/>
            <w:sz w:val="21"/>
            <w:u w:val="none"/>
          </w:rPr>
          <w:t>编制程序</w:t>
        </w:r>
      </w:hyperlink>
      <w:r>
        <w:rPr>
          <w:rFonts w:ascii="Calibri" w:hAnsi="Calibri" w:cs="Calibri"/>
          <w:color w:val="000000"/>
          <w:spacing w:val="-7"/>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7" w:history="1">
        <w:r>
          <w:rPr>
            <w:rStyle w:val="Hyperlink"/>
            <w:rFonts w:ascii="宋体" w:eastAsia="宋体" w:hAnsi="宋体" w:cs="宋体"/>
            <w:color w:val="000000"/>
            <w:spacing w:val="0"/>
            <w:w w:val="100"/>
            <w:position w:val="0"/>
            <w:sz w:val="21"/>
            <w:u w:val="none"/>
          </w:rPr>
          <w:t>技术路线</w:t>
        </w:r>
      </w:hyperlink>
      <w:r>
        <w:rPr>
          <w:rFonts w:ascii="Calibri" w:hAnsi="Calibri" w:cs="Calibri"/>
          <w:color w:val="000000"/>
          <w:spacing w:val="-7"/>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43" w:lineRule="exact"/>
        <w:ind w:left="351" w:firstLine="866"/>
        <w:jc w:val="left"/>
      </w:pPr>
      <w:hyperlink w:anchor="8" w:history="1">
        <w:r>
          <w:rPr>
            <w:rStyle w:val="Hyperlink"/>
            <w:rFonts w:ascii="宋体" w:eastAsia="宋体" w:hAnsi="宋体" w:cs="宋体"/>
            <w:color w:val="000000"/>
            <w:spacing w:val="0"/>
            <w:w w:val="100"/>
            <w:position w:val="0"/>
            <w:sz w:val="21"/>
            <w:u w:val="none"/>
          </w:rPr>
          <w:t>成果建议</w:t>
        </w:r>
      </w:hyperlink>
      <w:r>
        <w:rPr>
          <w:rFonts w:ascii="Calibri" w:hAnsi="Calibri" w:cs="Calibri"/>
          <w:color w:val="000000"/>
          <w:spacing w:val="-7"/>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4</w:t>
        </w:r>
      </w:hyperlink>
    </w:p>
    <w:p>
      <w:pPr>
        <w:tabs>
          <w:tab w:val="left" w:pos="667"/>
        </w:tabs>
        <w:spacing w:before="0" w:after="0" w:line="343"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基础工作</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4</w:t>
        </w:r>
      </w:hyperlink>
    </w:p>
    <w:p>
      <w:pPr>
        <w:tabs>
          <w:tab w:val="left" w:pos="9590"/>
        </w:tabs>
        <w:spacing w:before="0" w:after="0" w:line="343" w:lineRule="exact"/>
        <w:ind w:left="351" w:firstLine="866"/>
        <w:jc w:val="left"/>
      </w:pPr>
      <w:hyperlink w:anchor="8" w:history="1">
        <w:r>
          <w:rPr>
            <w:rStyle w:val="Hyperlink"/>
            <w:rFonts w:ascii="宋体" w:eastAsia="宋体" w:hAnsi="宋体" w:cs="宋体"/>
            <w:color w:val="000000"/>
            <w:spacing w:val="0"/>
            <w:w w:val="100"/>
            <w:position w:val="0"/>
            <w:sz w:val="21"/>
            <w:u w:val="none"/>
          </w:rPr>
          <w:t>准备工作</w:t>
        </w:r>
      </w:hyperlink>
      <w:r>
        <w:rPr>
          <w:rFonts w:ascii="Calibri" w:hAnsi="Calibri" w:cs="Calibri"/>
          <w:color w:val="000000"/>
          <w:spacing w:val="-7"/>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4</w:t>
        </w:r>
      </w:hyperlink>
    </w:p>
    <w:p>
      <w:pPr>
        <w:tabs>
          <w:tab w:val="left" w:pos="9590"/>
        </w:tabs>
        <w:spacing w:before="0" w:after="0" w:line="344" w:lineRule="exact"/>
        <w:ind w:left="351" w:firstLine="866"/>
        <w:jc w:val="left"/>
      </w:pPr>
      <w:hyperlink w:anchor="9" w:history="1">
        <w:r>
          <w:rPr>
            <w:rStyle w:val="Hyperlink"/>
            <w:rFonts w:ascii="宋体" w:eastAsia="宋体" w:hAnsi="宋体" w:cs="宋体"/>
            <w:color w:val="000000"/>
            <w:spacing w:val="0"/>
            <w:w w:val="100"/>
            <w:position w:val="0"/>
            <w:sz w:val="21"/>
            <w:u w:val="none"/>
          </w:rPr>
          <w:t>分析评价</w:t>
        </w:r>
      </w:hyperlink>
      <w:r>
        <w:rPr>
          <w:rFonts w:ascii="Calibri" w:hAnsi="Calibri" w:cs="Calibri"/>
          <w:color w:val="000000"/>
          <w:spacing w:val="-7"/>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5</w:t>
        </w:r>
      </w:hyperlink>
    </w:p>
    <w:p>
      <w:pPr>
        <w:tabs>
          <w:tab w:val="left" w:pos="9590"/>
        </w:tabs>
        <w:spacing w:before="0" w:after="0" w:line="343" w:lineRule="exact"/>
        <w:ind w:left="351" w:firstLine="866"/>
        <w:jc w:val="left"/>
      </w:pPr>
      <w:hyperlink w:anchor="10" w:history="1">
        <w:r>
          <w:rPr>
            <w:rStyle w:val="Hyperlink"/>
            <w:rFonts w:ascii="宋体" w:eastAsia="宋体" w:hAnsi="宋体" w:cs="宋体"/>
            <w:color w:val="000000"/>
            <w:spacing w:val="0"/>
            <w:w w:val="100"/>
            <w:position w:val="0"/>
            <w:sz w:val="21"/>
            <w:u w:val="none"/>
          </w:rPr>
          <w:t>问题识别</w:t>
        </w:r>
      </w:hyperlink>
      <w:r>
        <w:rPr>
          <w:rFonts w:ascii="Calibri" w:hAnsi="Calibri" w:cs="Calibri"/>
          <w:color w:val="000000"/>
          <w:spacing w:val="-7"/>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43" w:lineRule="exact"/>
        <w:ind w:left="351" w:firstLine="866"/>
        <w:jc w:val="left"/>
      </w:pPr>
      <w:hyperlink w:anchor="11" w:history="1">
        <w:r>
          <w:rPr>
            <w:rStyle w:val="Hyperlink"/>
            <w:rFonts w:ascii="宋体" w:eastAsia="宋体" w:hAnsi="宋体" w:cs="宋体"/>
            <w:color w:val="000000"/>
            <w:spacing w:val="0"/>
            <w:w w:val="100"/>
            <w:position w:val="0"/>
            <w:sz w:val="21"/>
            <w:u w:val="none"/>
          </w:rPr>
          <w:t>专题研究</w:t>
        </w:r>
      </w:hyperlink>
      <w:r>
        <w:rPr>
          <w:rFonts w:ascii="Calibri" w:hAnsi="Calibri" w:cs="Calibri"/>
          <w:color w:val="000000"/>
          <w:spacing w:val="-7"/>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667"/>
        </w:tabs>
        <w:spacing w:before="0" w:after="0" w:line="343" w:lineRule="exact"/>
        <w:ind w:left="351" w:firstLine="0"/>
        <w:jc w:val="left"/>
      </w:pPr>
      <w:hyperlink w:anchor="11" w:history="1">
        <w:r>
          <w:rPr>
            <w:rStyle w:val="Hyperlink"/>
            <w:rFonts w:ascii="宋体" w:hAnsi="宋体" w:cs="宋体"/>
            <w:color w:val="000000"/>
            <w:spacing w:val="0"/>
            <w:w w:val="100"/>
            <w:position w:val="0"/>
            <w:sz w:val="21"/>
            <w:u w:val="none"/>
          </w:rPr>
          <w:t>6</w:t>
        </w:r>
      </w:hyperlink>
      <w:r>
        <w:rPr>
          <w:rFonts w:cs="Calibri"/>
          <w:w w:val="100"/>
        </w:rPr>
        <w:tab/>
      </w:r>
      <w:hyperlink w:anchor="11" w:history="1">
        <w:r>
          <w:rPr>
            <w:rStyle w:val="Hyperlink"/>
            <w:rFonts w:ascii="宋体" w:eastAsia="宋体" w:hAnsi="宋体" w:cs="宋体"/>
            <w:color w:val="000000"/>
            <w:spacing w:val="0"/>
            <w:w w:val="100"/>
            <w:position w:val="0"/>
            <w:sz w:val="21"/>
            <w:u w:val="none"/>
          </w:rPr>
          <w:t>规划编制</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43" w:lineRule="exact"/>
        <w:ind w:left="351" w:firstLine="866"/>
        <w:jc w:val="left"/>
      </w:pPr>
      <w:hyperlink w:anchor="11" w:history="1">
        <w:r>
          <w:rPr>
            <w:rStyle w:val="Hyperlink"/>
            <w:rFonts w:ascii="宋体" w:eastAsia="宋体" w:hAnsi="宋体" w:cs="宋体"/>
            <w:color w:val="000000"/>
            <w:spacing w:val="0"/>
            <w:w w:val="100"/>
            <w:position w:val="0"/>
            <w:sz w:val="21"/>
            <w:u w:val="none"/>
          </w:rPr>
          <w:t>目标指标</w:t>
        </w:r>
      </w:hyperlink>
      <w:r>
        <w:rPr>
          <w:rFonts w:ascii="Calibri" w:hAnsi="Calibri" w:cs="Calibri"/>
          <w:color w:val="000000"/>
          <w:spacing w:val="-7"/>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43" w:lineRule="exact"/>
        <w:ind w:left="351" w:firstLine="866"/>
        <w:jc w:val="left"/>
      </w:pPr>
      <w:hyperlink w:anchor="11" w:history="1">
        <w:r>
          <w:rPr>
            <w:rStyle w:val="Hyperlink"/>
            <w:rFonts w:ascii="宋体" w:eastAsia="宋体" w:hAnsi="宋体" w:cs="宋体"/>
            <w:color w:val="000000"/>
            <w:spacing w:val="0"/>
            <w:w w:val="100"/>
            <w:position w:val="0"/>
            <w:sz w:val="21"/>
            <w:u w:val="none"/>
          </w:rPr>
          <w:t>总体布局</w:t>
        </w:r>
      </w:hyperlink>
      <w:r>
        <w:rPr>
          <w:rFonts w:ascii="Calibri" w:hAnsi="Calibri" w:cs="Calibri"/>
          <w:color w:val="000000"/>
          <w:spacing w:val="-7"/>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43" w:lineRule="exact"/>
        <w:ind w:left="351" w:firstLine="866"/>
        <w:jc w:val="left"/>
      </w:pPr>
      <w:hyperlink w:anchor="12" w:history="1">
        <w:r>
          <w:rPr>
            <w:rStyle w:val="Hyperlink"/>
            <w:rFonts w:ascii="宋体" w:eastAsia="宋体" w:hAnsi="宋体" w:cs="宋体"/>
            <w:color w:val="000000"/>
            <w:spacing w:val="0"/>
            <w:w w:val="100"/>
            <w:position w:val="0"/>
            <w:sz w:val="21"/>
            <w:u w:val="none"/>
          </w:rPr>
          <w:t>修复任务</w:t>
        </w:r>
      </w:hyperlink>
      <w:r>
        <w:rPr>
          <w:rFonts w:ascii="Calibri" w:hAnsi="Calibri" w:cs="Calibri"/>
          <w:color w:val="000000"/>
          <w:spacing w:val="-7"/>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590"/>
        </w:tabs>
        <w:spacing w:before="0" w:after="0" w:line="343" w:lineRule="exact"/>
        <w:ind w:left="351" w:firstLine="866"/>
        <w:jc w:val="left"/>
      </w:pPr>
      <w:hyperlink w:anchor="13" w:history="1">
        <w:r>
          <w:rPr>
            <w:rStyle w:val="Hyperlink"/>
            <w:rFonts w:ascii="宋体" w:eastAsia="宋体" w:hAnsi="宋体" w:cs="宋体"/>
            <w:color w:val="000000"/>
            <w:spacing w:val="0"/>
            <w:w w:val="100"/>
            <w:position w:val="0"/>
            <w:sz w:val="21"/>
            <w:u w:val="none"/>
          </w:rPr>
          <w:t>重点工程</w:t>
        </w:r>
      </w:hyperlink>
      <w:r>
        <w:rPr>
          <w:rFonts w:ascii="Calibri" w:hAnsi="Calibri" w:cs="Calibri"/>
          <w:color w:val="000000"/>
          <w:spacing w:val="-7"/>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9</w:t>
        </w:r>
      </w:hyperlink>
    </w:p>
    <w:p>
      <w:pPr>
        <w:tabs>
          <w:tab w:val="left" w:pos="9590"/>
        </w:tabs>
        <w:spacing w:before="0" w:after="0" w:line="343" w:lineRule="exact"/>
        <w:ind w:left="351" w:firstLine="866"/>
        <w:jc w:val="left"/>
      </w:pPr>
      <w:hyperlink w:anchor="13" w:history="1">
        <w:r>
          <w:rPr>
            <w:rStyle w:val="Hyperlink"/>
            <w:rFonts w:ascii="宋体" w:eastAsia="宋体" w:hAnsi="宋体" w:cs="宋体"/>
            <w:color w:val="000000"/>
            <w:spacing w:val="0"/>
            <w:w w:val="100"/>
            <w:position w:val="0"/>
            <w:sz w:val="21"/>
            <w:u w:val="none"/>
          </w:rPr>
          <w:t>投资匡算</w:t>
        </w:r>
      </w:hyperlink>
      <w:r>
        <w:rPr>
          <w:rFonts w:ascii="Calibri" w:hAnsi="Calibri" w:cs="Calibri"/>
          <w:color w:val="000000"/>
          <w:spacing w:val="-7"/>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9</w:t>
        </w:r>
      </w:hyperlink>
    </w:p>
    <w:p>
      <w:pPr>
        <w:tabs>
          <w:tab w:val="left" w:pos="9484"/>
        </w:tabs>
        <w:spacing w:before="0" w:after="0" w:line="343" w:lineRule="exact"/>
        <w:ind w:left="351" w:firstLine="866"/>
        <w:jc w:val="left"/>
      </w:pPr>
      <w:hyperlink w:anchor="14" w:history="1">
        <w:r>
          <w:rPr>
            <w:rStyle w:val="Hyperlink"/>
            <w:rFonts w:ascii="宋体" w:eastAsia="宋体" w:hAnsi="宋体" w:cs="宋体"/>
            <w:color w:val="000000"/>
            <w:spacing w:val="0"/>
            <w:w w:val="100"/>
            <w:position w:val="0"/>
            <w:sz w:val="21"/>
            <w:u w:val="none"/>
          </w:rPr>
          <w:t>效益分析</w:t>
        </w:r>
      </w:hyperlink>
      <w:r>
        <w:rPr>
          <w:rFonts w:ascii="Calibri" w:hAnsi="Calibri" w:cs="Calibri"/>
          <w:color w:val="000000"/>
          <w:spacing w:val="-7"/>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10</w:t>
        </w:r>
      </w:hyperlink>
    </w:p>
    <w:p>
      <w:pPr>
        <w:tabs>
          <w:tab w:val="left" w:pos="9484"/>
        </w:tabs>
        <w:spacing w:before="0" w:after="0" w:line="344" w:lineRule="exact"/>
        <w:ind w:left="351" w:firstLine="866"/>
        <w:jc w:val="left"/>
      </w:pPr>
      <w:hyperlink w:anchor="14" w:history="1">
        <w:r>
          <w:rPr>
            <w:rStyle w:val="Hyperlink"/>
            <w:rFonts w:ascii="宋体" w:eastAsia="宋体" w:hAnsi="宋体" w:cs="宋体"/>
            <w:color w:val="000000"/>
            <w:spacing w:val="0"/>
            <w:w w:val="100"/>
            <w:position w:val="0"/>
            <w:sz w:val="21"/>
            <w:u w:val="none"/>
          </w:rPr>
          <w:t>实施保障</w:t>
        </w:r>
      </w:hyperlink>
      <w:r>
        <w:rPr>
          <w:rFonts w:ascii="Calibri" w:hAnsi="Calibri" w:cs="Calibri"/>
          <w:color w:val="000000"/>
          <w:spacing w:val="-7"/>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10</w:t>
        </w:r>
      </w:hyperlink>
    </w:p>
    <w:p>
      <w:pPr>
        <w:tabs>
          <w:tab w:val="left" w:pos="667"/>
        </w:tabs>
        <w:spacing w:before="0" w:after="0" w:line="343" w:lineRule="exact"/>
        <w:ind w:left="351" w:firstLine="0"/>
        <w:jc w:val="left"/>
      </w:pPr>
      <w:hyperlink w:anchor="14" w:history="1">
        <w:r>
          <w:rPr>
            <w:rStyle w:val="Hyperlink"/>
            <w:rFonts w:ascii="宋体" w:hAnsi="宋体" w:cs="宋体"/>
            <w:color w:val="000000"/>
            <w:spacing w:val="0"/>
            <w:w w:val="100"/>
            <w:position w:val="0"/>
            <w:sz w:val="21"/>
            <w:u w:val="none"/>
          </w:rPr>
          <w:t>7</w:t>
        </w:r>
      </w:hyperlink>
      <w:r>
        <w:rPr>
          <w:rFonts w:cs="Calibri"/>
          <w:w w:val="100"/>
        </w:rPr>
        <w:tab/>
      </w:r>
      <w:hyperlink w:anchor="14" w:history="1">
        <w:r>
          <w:rPr>
            <w:rStyle w:val="Hyperlink"/>
            <w:rFonts w:ascii="宋体" w:eastAsia="宋体" w:hAnsi="宋体" w:cs="宋体"/>
            <w:color w:val="000000"/>
            <w:spacing w:val="0"/>
            <w:w w:val="100"/>
            <w:position w:val="0"/>
            <w:sz w:val="21"/>
            <w:u w:val="none"/>
          </w:rPr>
          <w:t>咨询论证</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10</w:t>
        </w:r>
      </w:hyperlink>
    </w:p>
    <w:p>
      <w:pPr>
        <w:tabs>
          <w:tab w:val="left" w:pos="667"/>
        </w:tabs>
        <w:spacing w:before="0" w:after="0" w:line="343" w:lineRule="exact"/>
        <w:ind w:left="351" w:firstLine="0"/>
        <w:jc w:val="left"/>
      </w:pPr>
      <w:hyperlink w:anchor="14" w:history="1">
        <w:r>
          <w:rPr>
            <w:rStyle w:val="Hyperlink"/>
            <w:rFonts w:ascii="宋体" w:hAnsi="宋体" w:cs="宋体"/>
            <w:color w:val="000000"/>
            <w:spacing w:val="0"/>
            <w:w w:val="100"/>
            <w:position w:val="0"/>
            <w:sz w:val="21"/>
            <w:u w:val="none"/>
          </w:rPr>
          <w:t>8</w:t>
        </w:r>
      </w:hyperlink>
      <w:r>
        <w:rPr>
          <w:rFonts w:cs="Calibri"/>
          <w:w w:val="100"/>
        </w:rPr>
        <w:tab/>
      </w:r>
      <w:hyperlink w:anchor="14" w:history="1">
        <w:r>
          <w:rPr>
            <w:rStyle w:val="Hyperlink"/>
            <w:rFonts w:ascii="宋体" w:eastAsia="宋体" w:hAnsi="宋体" w:cs="宋体"/>
            <w:color w:val="000000"/>
            <w:spacing w:val="0"/>
            <w:w w:val="100"/>
            <w:position w:val="0"/>
            <w:sz w:val="21"/>
            <w:u w:val="none"/>
          </w:rPr>
          <w:t>规划报批</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10</w:t>
        </w:r>
      </w:hyperlink>
    </w:p>
    <w:p>
      <w:pPr>
        <w:tabs>
          <w:tab w:val="left" w:pos="2189"/>
        </w:tabs>
        <w:spacing w:before="0" w:after="0" w:line="343" w:lineRule="exact"/>
        <w:ind w:left="351" w:firstLine="0"/>
        <w:jc w:val="left"/>
      </w:pPr>
      <w:hyperlink w:anchor="1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A</w:t>
        </w:r>
      </w:hyperlink>
      <w:hyperlink w:anchor="15"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5" w:history="1">
        <w:r>
          <w:rPr>
            <w:rStyle w:val="Hyperlink"/>
            <w:rFonts w:ascii="宋体" w:eastAsia="宋体" w:hAnsi="宋体" w:cs="宋体"/>
            <w:color w:val="000000"/>
            <w:spacing w:val="0"/>
            <w:w w:val="100"/>
            <w:position w:val="0"/>
            <w:sz w:val="21"/>
            <w:u w:val="none"/>
          </w:rPr>
          <w:t>规划文本提纲</w:t>
        </w:r>
      </w:hyperlink>
      <w:r>
        <w:rPr>
          <w:rFonts w:ascii="Calibri" w:hAnsi="Calibri" w:cs="Calibri"/>
          <w:color w:val="000000"/>
          <w:spacing w:val="0"/>
          <w:w w:val="46"/>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5" w:history="1">
        <w:r>
          <w:rPr>
            <w:rStyle w:val="Hyperlink"/>
            <w:rFonts w:ascii="宋体" w:hAnsi="宋体" w:cs="宋体"/>
            <w:color w:val="000000"/>
            <w:spacing w:val="0"/>
            <w:w w:val="100"/>
            <w:position w:val="0"/>
            <w:sz w:val="21"/>
            <w:u w:val="none"/>
          </w:rPr>
          <w:t>11</w:t>
        </w:r>
      </w:hyperlink>
    </w:p>
    <w:p>
      <w:pPr>
        <w:tabs>
          <w:tab w:val="left" w:pos="2189"/>
        </w:tabs>
        <w:spacing w:before="0" w:after="0" w:line="343" w:lineRule="exact"/>
        <w:ind w:left="351" w:firstLine="0"/>
        <w:jc w:val="left"/>
      </w:pPr>
      <w:hyperlink w:anchor="1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B</w:t>
        </w:r>
      </w:hyperlink>
      <w:hyperlink w:anchor="18"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规划文本附表</w:t>
        </w:r>
      </w:hyperlink>
      <w:r>
        <w:rPr>
          <w:rFonts w:ascii="Calibri" w:hAnsi="Calibri" w:cs="Calibri"/>
          <w:color w:val="000000"/>
          <w:spacing w:val="0"/>
          <w:w w:val="46"/>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8" w:history="1">
        <w:r>
          <w:rPr>
            <w:rStyle w:val="Hyperlink"/>
            <w:rFonts w:ascii="宋体" w:hAnsi="宋体" w:cs="宋体"/>
            <w:color w:val="000000"/>
            <w:spacing w:val="0"/>
            <w:w w:val="100"/>
            <w:position w:val="0"/>
            <w:sz w:val="21"/>
            <w:u w:val="none"/>
          </w:rPr>
          <w:t>14</w:t>
        </w:r>
      </w:hyperlink>
    </w:p>
    <w:p>
      <w:pPr>
        <w:tabs>
          <w:tab w:val="left" w:pos="2189"/>
        </w:tabs>
        <w:spacing w:before="0" w:after="0" w:line="343" w:lineRule="exact"/>
        <w:ind w:left="351" w:firstLine="0"/>
        <w:jc w:val="left"/>
      </w:pPr>
      <w:hyperlink w:anchor="2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C</w:t>
        </w:r>
      </w:hyperlink>
      <w:hyperlink w:anchor="21"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1" w:history="1">
        <w:r>
          <w:rPr>
            <w:rStyle w:val="Hyperlink"/>
            <w:rFonts w:ascii="宋体" w:eastAsia="宋体" w:hAnsi="宋体" w:cs="宋体"/>
            <w:color w:val="000000"/>
            <w:spacing w:val="0"/>
            <w:w w:val="100"/>
            <w:position w:val="0"/>
            <w:sz w:val="21"/>
            <w:u w:val="none"/>
          </w:rPr>
          <w:t>规划图件</w:t>
        </w:r>
      </w:hyperlink>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1" w:history="1">
        <w:r>
          <w:rPr>
            <w:rStyle w:val="Hyperlink"/>
            <w:rFonts w:ascii="宋体" w:hAnsi="宋体" w:cs="宋体"/>
            <w:color w:val="000000"/>
            <w:spacing w:val="0"/>
            <w:w w:val="100"/>
            <w:position w:val="0"/>
            <w:sz w:val="21"/>
            <w:u w:val="none"/>
          </w:rPr>
          <w:t>17</w:t>
        </w:r>
      </w:hyperlink>
    </w:p>
    <w:p>
      <w:pPr>
        <w:tabs>
          <w:tab w:val="left" w:pos="2189"/>
        </w:tabs>
        <w:spacing w:before="0" w:after="0" w:line="343" w:lineRule="exact"/>
        <w:ind w:left="351" w:firstLine="0"/>
        <w:jc w:val="left"/>
      </w:pPr>
      <w:hyperlink w:anchor="2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0"/>
            <w:w w:val="100"/>
            <w:position w:val="0"/>
            <w:sz w:val="21"/>
            <w:u w:val="none"/>
          </w:rPr>
          <w:t>D</w:t>
        </w:r>
      </w:hyperlink>
      <w:hyperlink w:anchor="22"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2" w:history="1">
        <w:r>
          <w:rPr>
            <w:rStyle w:val="Hyperlink"/>
            <w:rFonts w:ascii="宋体" w:eastAsia="宋体" w:hAnsi="宋体" w:cs="宋体"/>
            <w:color w:val="000000"/>
            <w:spacing w:val="0"/>
            <w:w w:val="100"/>
            <w:position w:val="0"/>
            <w:sz w:val="21"/>
            <w:u w:val="none"/>
          </w:rPr>
          <w:t>编制说明提纲</w:t>
        </w:r>
      </w:hyperlink>
      <w:r>
        <w:rPr>
          <w:rFonts w:ascii="Calibri" w:hAnsi="Calibri" w:cs="Calibri"/>
          <w:color w:val="000000"/>
          <w:spacing w:val="0"/>
          <w:w w:val="46"/>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2" w:history="1">
        <w:r>
          <w:rPr>
            <w:rStyle w:val="Hyperlink"/>
            <w:rFonts w:ascii="宋体" w:hAnsi="宋体" w:cs="宋体"/>
            <w:color w:val="000000"/>
            <w:spacing w:val="0"/>
            <w:w w:val="100"/>
            <w:position w:val="0"/>
            <w:sz w:val="21"/>
            <w:u w:val="none"/>
          </w:rPr>
          <w:t>18</w:t>
        </w:r>
      </w:hyperlink>
    </w:p>
    <w:p>
      <w:pPr>
        <w:tabs>
          <w:tab w:val="left" w:pos="2189"/>
        </w:tabs>
        <w:spacing w:before="0" w:after="0" w:line="343" w:lineRule="exact"/>
        <w:ind w:left="351" w:firstLine="0"/>
        <w:jc w:val="left"/>
      </w:pPr>
      <w:hyperlink w:anchor="2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0"/>
            <w:w w:val="100"/>
            <w:position w:val="0"/>
            <w:sz w:val="21"/>
            <w:u w:val="none"/>
          </w:rPr>
          <w:t>E</w:t>
        </w:r>
      </w:hyperlink>
      <w:hyperlink w:anchor="24"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数据库及其他材料</w:t>
        </w:r>
      </w:hyperlink>
      <w:r>
        <w:rPr>
          <w:rFonts w:ascii="Calibri" w:hAnsi="Calibri" w:cs="Calibri"/>
          <w:color w:val="000000"/>
          <w:spacing w:val="-24"/>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4" w:history="1">
        <w:r>
          <w:rPr>
            <w:rStyle w:val="Hyperlink"/>
            <w:rFonts w:ascii="宋体" w:hAnsi="宋体" w:cs="宋体"/>
            <w:color w:val="000000"/>
            <w:spacing w:val="0"/>
            <w:w w:val="100"/>
            <w:position w:val="0"/>
            <w:sz w:val="21"/>
            <w:u w:val="none"/>
          </w:rPr>
          <w:t>20</w:t>
        </w:r>
      </w:hyperlink>
    </w:p>
    <w:p>
      <w:pPr>
        <w:tabs>
          <w:tab w:val="left" w:pos="9484"/>
        </w:tabs>
        <w:spacing w:before="0" w:after="0" w:line="343" w:lineRule="exact"/>
        <w:ind w:left="351" w:firstLine="0"/>
        <w:jc w:val="left"/>
      </w:pPr>
      <w:hyperlink w:anchor="25"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21</w:t>
        </w:r>
      </w:hyperlink>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02" w:lineRule="exact"/>
        <w:ind w:left="351" w:firstLine="9038"/>
        <w:jc w:val="left"/>
        <w:sectPr>
          <w:type w:val="nextPage"/>
          <w:pgSz w:w="11906" w:h="16839"/>
          <w:pgMar w:top="959" w:right="708" w:bottom="719" w:left="1068"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240" w:lineRule="exact"/>
      </w:pPr>
      <w:bookmarkStart w:id="4" w:name="4"/>
      <w:bookmarkEnd w:id="4"/>
    </w:p>
    <w:p>
      <w:pPr>
        <w:spacing w:before="0" w:after="0" w:line="250" w:lineRule="exact"/>
      </w:pPr>
    </w:p>
    <w:p>
      <w:pPr>
        <w:widowControl/>
        <w:jc w:val="left"/>
        <w:sectPr>
          <w:type w:val="continuous"/>
          <w:pgSz w:w="11906" w:h="16838"/>
          <w:pgMar w:top="959" w:right="713" w:bottom="719" w:left="1073" w:header="0" w:footer="0" w:gutter="0"/>
          <w:pgNumType w:start="8"/>
          <w:cols w:num="1" w:space="720"/>
          <w:docGrid w:type="lines" w:linePitch="312" w:charSpace="0"/>
        </w:sectPr>
      </w:pPr>
    </w:p>
    <w:p>
      <w:pPr>
        <w:spacing w:before="0" w:after="0" w:line="211" w:lineRule="exact"/>
        <w:ind w:left="60" w:firstLine="0"/>
        <w:jc w:val="left"/>
      </w:pPr>
      <w:r>
        <w:pict>
          <v:shape id="WS_polygon8" o:spid="_x0000_s1045" type="#_x0000_t12" style="width:470.6pt;height:26pt;margin-top:123.25pt;margin-left:55.2pt;mso-height-relative:page;mso-position-horizontal-relative:page;mso-position-vertical-relative:page;mso-width-relative:page;position:absolute;z-index:-251637760" coordsize="21600,21600" fillcolor="white" stroked="f">
            <v:stroke joinstyle="miter"/>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7"/>
        </w:tabs>
        <w:spacing w:before="0" w:after="0" w:line="452"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本文件由广东省自然资源厅提出、归口并组织实施。</w:t>
      </w:r>
    </w:p>
    <w:p>
      <w:pPr>
        <w:spacing w:before="0" w:after="0" w:line="313" w:lineRule="exact"/>
        <w:ind w:left="60" w:firstLine="420"/>
        <w:jc w:val="left"/>
      </w:pPr>
      <w:r>
        <w:rPr>
          <w:rFonts w:ascii="宋体" w:hAnsi="宋体" w:cs="宋体"/>
          <w:color w:val="000000"/>
          <w:spacing w:val="-3"/>
          <w:w w:val="100"/>
          <w:position w:val="0"/>
          <w:sz w:val="21"/>
          <w:u w:val="none"/>
        </w:rPr>
        <w:t>本文件起草单位：广东省科学院广州地理研究所、广东省土地开发整治中心、广东省城乡规划设计</w:t>
      </w:r>
    </w:p>
    <w:p>
      <w:pPr>
        <w:spacing w:before="0" w:after="0" w:line="312" w:lineRule="exact"/>
        <w:ind w:left="60" w:firstLine="0"/>
        <w:jc w:val="left"/>
      </w:pPr>
      <w:r>
        <w:rPr>
          <w:rFonts w:ascii="宋体" w:hAnsi="宋体" w:cs="宋体"/>
          <w:color w:val="000000"/>
          <w:spacing w:val="0"/>
          <w:w w:val="100"/>
          <w:position w:val="0"/>
          <w:sz w:val="21"/>
          <w:u w:val="none"/>
        </w:rPr>
        <w:t>研究院有限责任公司、北京大学。</w:t>
      </w:r>
    </w:p>
    <w:p>
      <w:pPr>
        <w:spacing w:before="0" w:after="0" w:line="312" w:lineRule="exact"/>
        <w:ind w:left="60" w:firstLine="420"/>
        <w:jc w:val="left"/>
      </w:pPr>
      <w:r>
        <w:rPr>
          <w:rFonts w:ascii="宋体" w:hAnsi="宋体" w:cs="宋体"/>
          <w:color w:val="000000"/>
          <w:spacing w:val="-7"/>
          <w:w w:val="100"/>
          <w:position w:val="0"/>
          <w:sz w:val="21"/>
          <w:u w:val="none"/>
        </w:rPr>
        <w:t>本文件主要起草人：叶玉瑶、张虹鸥、苏少青、明立波、彭建、李升发、宫清华、吕丹娜、刘郑倩、</w:t>
      </w:r>
    </w:p>
    <w:p>
      <w:pPr>
        <w:spacing w:before="0" w:after="0" w:line="312" w:lineRule="exact"/>
        <w:ind w:left="60" w:firstLine="0"/>
        <w:jc w:val="left"/>
      </w:pPr>
      <w:r>
        <w:rPr>
          <w:rFonts w:ascii="宋体" w:hAnsi="宋体" w:cs="宋体"/>
          <w:color w:val="000000"/>
          <w:spacing w:val="0"/>
          <w:w w:val="100"/>
          <w:position w:val="0"/>
          <w:sz w:val="21"/>
          <w:u w:val="none"/>
        </w:rPr>
        <w:t>王儒密、周霞、龚蔚霞、牛丞禹、徐子涵、金利霞、吴家龙、张子健、袁涵蒙、汪安。</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096" w:lineRule="exact"/>
        <w:ind w:left="60" w:firstLine="1700"/>
        <w:jc w:val="left"/>
        <w:rPr>
          <w:rFonts w:hint="eastAsia"/>
        </w:rPr>
      </w:pPr>
    </w:p>
    <w:p>
      <w:pPr>
        <w:widowControl/>
        <w:jc w:val="left"/>
        <w:sectPr>
          <w:type w:val="continuous"/>
          <w:pgSz w:w="11906" w:h="16838"/>
          <w:pgMar w:top="959" w:right="713" w:bottom="719" w:left="1073" w:header="0" w:footer="0" w:gutter="0"/>
          <w:pgNumType w:start="9"/>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5" w:lineRule="exact"/>
        <w:ind w:left="60" w:firstLine="1700"/>
      </w:pPr>
    </w:p>
    <w:p>
      <w:pPr>
        <w:widowControl/>
        <w:jc w:val="left"/>
        <w:sectPr>
          <w:type w:val="continuous"/>
          <w:pgSz w:w="11906" w:h="16838"/>
          <w:pgMar w:top="959" w:right="713" w:bottom="719" w:left="1073" w:header="0" w:footer="0" w:gutter="0"/>
          <w:pgNumType w:start="10"/>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959" w:right="713" w:bottom="719" w:left="1073" w:header="0" w:footer="0" w:gutter="0"/>
          <w:pgNumType w:start="11"/>
          <w:cols w:num="1" w:space="708" w:equalWidth="0">
            <w:col w:w="10121"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21" w:lineRule="exact"/>
        <w:ind w:left="456" w:firstLine="7571"/>
        <w:jc w:val="left"/>
      </w:pPr>
      <w:r>
        <w:pict>
          <v:shape id="_x0000_s2072" o:spid="_x0000_s1046" type="#_x0000_t202" style="width:332pt;height:53pt;margin-top:397.7pt;margin-left:141.6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45" o:spid="_x0000_s1047" type="#_x0000_t75" style="width:16pt;height:10pt;margin-top:483pt;margin-left:70pt;mso-height-relative:page;mso-position-horizontal-relative:page;mso-position-vertical-relative:page;mso-width-relative:page;position:absolute;z-index:-251636736" coordsize="21600,21600" filled="f">
            <v:imagedata r:id="rId23" o:title=""/>
            <o:lock v:ext="edit" aspectratio="t"/>
          </v:shape>
        </w:pict>
      </w:r>
      <w:r>
        <w:pict>
          <v:shape id="imagerId146" o:spid="_x0000_s1048" type="#_x0000_t75" style="width:17pt;height:10pt;margin-top:561pt;margin-left:70pt;mso-height-relative:page;mso-position-horizontal-relative:page;mso-position-vertical-relative:page;mso-width-relative:page;position:absolute;z-index:-251635712" coordsize="21600,21600" filled="f">
            <v:imagedata r:id="rId24" o:title=""/>
            <o:lock v:ext="edit" aspectratio="t"/>
          </v:shape>
        </w:pict>
      </w:r>
      <w:r>
        <w:pict>
          <v:shape id="imagerId147" o:spid="_x0000_s1049" type="#_x0000_t75" style="width:17pt;height:10pt;margin-top:639pt;margin-left:70pt;mso-height-relative:page;mso-position-horizontal-relative:page;mso-position-vertical-relative:page;mso-width-relative:page;position:absolute;z-index:-251634688" coordsize="21600,21600" filled="f">
            <v:imagedata r:id="rId25" o:title=""/>
            <o:lock v:ext="edit" aspectratio="t"/>
          </v:shape>
        </w:pict>
      </w:r>
      <w:r>
        <w:pict>
          <v:shape id="imagerId148" o:spid="_x0000_s1050" type="#_x0000_t75" style="width:18pt;height:10pt;margin-top:686pt;margin-left:70pt;mso-height-relative:page;mso-position-horizontal-relative:page;mso-position-vertical-relative:page;mso-width-relative:page;position:absolute;z-index:-251633664" coordsize="21600,21600" filled="f">
            <v:imagedata r:id="rId26"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428" w:lineRule="exact"/>
        <w:ind w:left="456" w:firstLine="7571"/>
      </w:pPr>
    </w:p>
    <w:p>
      <w:pPr>
        <w:spacing w:before="0" w:after="0" w:line="319" w:lineRule="exact"/>
        <w:ind w:left="456" w:firstLine="2117"/>
        <w:jc w:val="left"/>
      </w:pPr>
      <w:r>
        <w:rPr>
          <w:rFonts w:ascii="黑体" w:eastAsia="黑体" w:hAnsi="黑体" w:cs="黑体"/>
          <w:color w:val="000000"/>
          <w:spacing w:val="-1"/>
          <w:w w:val="100"/>
          <w:position w:val="0"/>
          <w:sz w:val="32"/>
          <w:u w:val="none"/>
        </w:rPr>
        <w:t>市级国土空间生态修复规划编制规程</w:t>
      </w:r>
    </w:p>
    <w:p>
      <w:pPr>
        <w:spacing w:before="0" w:after="0" w:line="240" w:lineRule="exact"/>
        <w:ind w:left="456" w:firstLine="2117"/>
      </w:pPr>
    </w:p>
    <w:p>
      <w:pPr>
        <w:spacing w:before="0" w:after="0" w:line="240" w:lineRule="exact"/>
        <w:ind w:left="456" w:firstLine="2117"/>
      </w:pPr>
    </w:p>
    <w:p>
      <w:pPr>
        <w:spacing w:before="0" w:after="0" w:line="240" w:lineRule="exact"/>
        <w:ind w:left="456" w:firstLine="2117"/>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本文件规定了市级国土空间生态修复规划编制的总体要求、基础工作、规划编制、规划论证、规划</w:t>
      </w:r>
    </w:p>
    <w:p>
      <w:pPr>
        <w:spacing w:before="0" w:after="0" w:line="310" w:lineRule="exact"/>
        <w:ind w:left="456" w:firstLine="0"/>
        <w:jc w:val="left"/>
      </w:pPr>
      <w:r>
        <w:rPr>
          <w:rFonts w:ascii="宋体" w:hAnsi="宋体" w:cs="宋体"/>
          <w:color w:val="000000"/>
          <w:spacing w:val="0"/>
          <w:w w:val="100"/>
          <w:position w:val="0"/>
          <w:sz w:val="21"/>
          <w:u w:val="none"/>
        </w:rPr>
        <w:t>报批。</w:t>
      </w:r>
    </w:p>
    <w:p>
      <w:pPr>
        <w:spacing w:before="0" w:after="0" w:line="313" w:lineRule="exact"/>
        <w:ind w:left="456" w:firstLine="420"/>
        <w:jc w:val="left"/>
      </w:pPr>
      <w:r>
        <w:rPr>
          <w:rFonts w:ascii="宋体" w:hAnsi="宋体" w:cs="宋体"/>
          <w:color w:val="000000"/>
          <w:spacing w:val="0"/>
          <w:w w:val="100"/>
          <w:position w:val="0"/>
          <w:sz w:val="21"/>
          <w:u w:val="none"/>
        </w:rPr>
        <w:t>本文件适用于市级国土空间生态修复规划编制。县（区）级国土空间生态修复规划可参照执行。</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453"/>
        </w:tabs>
        <w:spacing w:before="0" w:after="0" w:line="312" w:lineRule="exact"/>
        <w:ind w:left="456"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1171—2021</w:t>
      </w:r>
      <w:r>
        <w:rPr>
          <w:rFonts w:cs="Calibri"/>
          <w:spacing w:val="0"/>
          <w:w w:val="100"/>
        </w:rPr>
        <w:tab/>
      </w:r>
      <w:r>
        <w:rPr>
          <w:rFonts w:ascii="宋体" w:hAnsi="宋体" w:cs="宋体"/>
          <w:color w:val="000000"/>
          <w:spacing w:val="0"/>
          <w:w w:val="100"/>
          <w:position w:val="0"/>
          <w:sz w:val="21"/>
          <w:u w:val="none"/>
        </w:rPr>
        <w:t>全国生态状况调查评估技术规范——生态系统格局评估</w:t>
      </w:r>
    </w:p>
    <w:p>
      <w:pPr>
        <w:tabs>
          <w:tab w:val="left" w:pos="2453"/>
        </w:tabs>
        <w:spacing w:before="0" w:after="0" w:line="312" w:lineRule="exact"/>
        <w:ind w:left="456"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1172—2021</w:t>
      </w:r>
      <w:r>
        <w:rPr>
          <w:rFonts w:cs="Calibri"/>
          <w:spacing w:val="0"/>
          <w:w w:val="100"/>
        </w:rPr>
        <w:tab/>
      </w:r>
      <w:r>
        <w:rPr>
          <w:rFonts w:ascii="宋体" w:hAnsi="宋体" w:cs="宋体"/>
          <w:color w:val="000000"/>
          <w:spacing w:val="0"/>
          <w:w w:val="100"/>
          <w:position w:val="0"/>
          <w:sz w:val="21"/>
          <w:u w:val="none"/>
        </w:rPr>
        <w:t>全国生态状况调查评估技术规范——生态系统质量评估</w:t>
      </w:r>
    </w:p>
    <w:p>
      <w:pPr>
        <w:tabs>
          <w:tab w:val="left" w:pos="2453"/>
        </w:tabs>
        <w:spacing w:before="0" w:after="0" w:line="312" w:lineRule="exact"/>
        <w:ind w:left="456"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1173—2021</w:t>
      </w:r>
      <w:r>
        <w:rPr>
          <w:rFonts w:cs="Calibri"/>
          <w:spacing w:val="0"/>
          <w:w w:val="100"/>
        </w:rPr>
        <w:tab/>
      </w:r>
      <w:r>
        <w:rPr>
          <w:rFonts w:ascii="宋体" w:hAnsi="宋体" w:cs="宋体"/>
          <w:color w:val="000000"/>
          <w:spacing w:val="0"/>
          <w:w w:val="100"/>
          <w:position w:val="0"/>
          <w:sz w:val="21"/>
          <w:u w:val="none"/>
        </w:rPr>
        <w:t>全国生态状况调查评估技术规范——生态系统服务功能评估</w:t>
      </w:r>
    </w:p>
    <w:p>
      <w:pPr>
        <w:tabs>
          <w:tab w:val="left" w:pos="2453"/>
        </w:tabs>
        <w:spacing w:before="0" w:after="0" w:line="312" w:lineRule="exact"/>
        <w:ind w:left="456"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1174—2021</w:t>
      </w:r>
      <w:r>
        <w:rPr>
          <w:rFonts w:cs="Calibri"/>
          <w:spacing w:val="0"/>
          <w:w w:val="100"/>
        </w:rPr>
        <w:tab/>
      </w:r>
      <w:r>
        <w:rPr>
          <w:rFonts w:ascii="宋体" w:hAnsi="宋体" w:cs="宋体"/>
          <w:color w:val="000000"/>
          <w:spacing w:val="0"/>
          <w:w w:val="100"/>
          <w:position w:val="0"/>
          <w:sz w:val="21"/>
          <w:u w:val="none"/>
        </w:rPr>
        <w:t>全国生态状况调查评估技术规范——生态问题评估</w:t>
      </w:r>
    </w:p>
    <w:p>
      <w:pPr>
        <w:tabs>
          <w:tab w:val="left" w:pos="2662"/>
        </w:tabs>
        <w:spacing w:before="0" w:after="0" w:line="312" w:lineRule="exact"/>
        <w:ind w:left="456" w:firstLine="420"/>
        <w:jc w:val="left"/>
      </w:pPr>
      <w:r>
        <w:rPr>
          <w:rFonts w:ascii="宋体" w:hAnsi="宋体" w:cs="宋体"/>
          <w:color w:val="000000"/>
          <w:spacing w:val="0"/>
          <w:w w:val="100"/>
          <w:position w:val="0"/>
          <w:sz w:val="21"/>
          <w:u w:val="none"/>
        </w:rPr>
        <w:t>TD/T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1055—2019</w:t>
      </w:r>
      <w:r>
        <w:rPr>
          <w:rFonts w:cs="Calibri"/>
          <w:spacing w:val="0"/>
          <w:w w:val="100"/>
        </w:rPr>
        <w:tab/>
      </w:r>
      <w:r>
        <w:rPr>
          <w:rFonts w:ascii="宋体" w:eastAsia="宋体" w:hAnsi="宋体" w:cs="宋体"/>
          <w:color w:val="000000"/>
          <w:spacing w:val="0"/>
          <w:w w:val="100"/>
          <w:position w:val="0"/>
          <w:sz w:val="21"/>
          <w:u w:val="none"/>
        </w:rPr>
        <w:t>第三次全国国土调查技术规程</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3"/>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384" w:lineRule="exact"/>
        <w:ind w:left="456" w:firstLine="420"/>
        <w:jc w:val="left"/>
      </w:pPr>
      <w:r>
        <w:rPr>
          <w:rFonts w:ascii="黑体" w:eastAsia="黑体" w:hAnsi="黑体" w:cs="黑体"/>
          <w:color w:val="000000"/>
          <w:spacing w:val="0"/>
          <w:w w:val="100"/>
          <w:position w:val="0"/>
          <w:sz w:val="21"/>
          <w:u w:val="none"/>
        </w:rPr>
        <w:t>国土空间生态修复</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restoration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territorial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space</w:t>
      </w:r>
    </w:p>
    <w:p>
      <w:pPr>
        <w:spacing w:before="0" w:after="0" w:line="312" w:lineRule="exact"/>
        <w:ind w:left="456" w:firstLine="420"/>
        <w:jc w:val="left"/>
      </w:pPr>
      <w:r>
        <w:rPr>
          <w:rFonts w:ascii="宋体" w:eastAsia="宋体" w:hAnsi="宋体" w:cs="宋体"/>
          <w:color w:val="000000"/>
          <w:spacing w:val="0"/>
          <w:w w:val="100"/>
          <w:position w:val="0"/>
          <w:sz w:val="21"/>
          <w:u w:val="none"/>
        </w:rPr>
        <w:t>指遵循生态系统演替规律和内在机理</w:t>
      </w:r>
      <w:r>
        <w:rPr>
          <w:rFonts w:ascii="宋体" w:hAnsi="宋体" w:cs="宋体"/>
          <w:color w:val="000000"/>
          <w:spacing w:val="0"/>
          <w:w w:val="100"/>
          <w:position w:val="0"/>
          <w:sz w:val="21"/>
          <w:u w:val="none"/>
        </w:rPr>
        <w:t>,</w:t>
      </w:r>
      <w:r>
        <w:rPr>
          <w:rFonts w:ascii="宋体" w:eastAsia="宋体" w:hAnsi="宋体" w:cs="宋体"/>
          <w:color w:val="000000"/>
          <w:spacing w:val="-8"/>
          <w:w w:val="100"/>
          <w:position w:val="0"/>
          <w:sz w:val="21"/>
          <w:u w:val="none"/>
        </w:rPr>
        <w:t>基于自然地理格局，适应气候变化趋势，依据国土空间规划，</w:t>
      </w:r>
    </w:p>
    <w:p>
      <w:pPr>
        <w:spacing w:before="0" w:after="0" w:line="312" w:lineRule="exact"/>
        <w:ind w:left="456" w:firstLine="0"/>
        <w:jc w:val="left"/>
      </w:pPr>
      <w:r>
        <w:rPr>
          <w:rFonts w:ascii="宋体" w:hAnsi="宋体" w:cs="宋体"/>
          <w:color w:val="000000"/>
          <w:spacing w:val="-3"/>
          <w:w w:val="100"/>
          <w:position w:val="0"/>
          <w:sz w:val="21"/>
          <w:u w:val="none"/>
        </w:rPr>
        <w:t>对生态功能退化、生态系统受损、空间格局失衡、自然资源开发利用不合理的生态、农业、城镇国土空</w:t>
      </w:r>
    </w:p>
    <w:p>
      <w:pPr>
        <w:spacing w:before="0" w:after="0" w:line="312" w:lineRule="exact"/>
        <w:ind w:left="456" w:firstLine="0"/>
        <w:jc w:val="left"/>
      </w:pPr>
      <w:r>
        <w:rPr>
          <w:rFonts w:ascii="宋体" w:hAnsi="宋体" w:cs="宋体"/>
          <w:color w:val="000000"/>
          <w:spacing w:val="0"/>
          <w:w w:val="100"/>
          <w:position w:val="0"/>
          <w:sz w:val="21"/>
          <w:u w:val="none"/>
        </w:rPr>
        <w:t>间，统筹和科学开展山水林田湖草一体化保护修复的活动。</w:t>
      </w:r>
    </w:p>
    <w:p>
      <w:pPr>
        <w:spacing w:before="0" w:after="0" w:line="240" w:lineRule="exact"/>
        <w:ind w:left="456" w:firstLine="0"/>
      </w:pPr>
    </w:p>
    <w:p>
      <w:pPr>
        <w:spacing w:before="0" w:after="0" w:line="385" w:lineRule="exact"/>
        <w:ind w:left="456" w:firstLine="420"/>
        <w:jc w:val="left"/>
      </w:pPr>
      <w:r>
        <w:rPr>
          <w:rFonts w:ascii="黑体" w:eastAsia="黑体" w:hAnsi="黑体" w:cs="黑体"/>
          <w:color w:val="000000"/>
          <w:spacing w:val="0"/>
          <w:w w:val="100"/>
          <w:position w:val="0"/>
          <w:sz w:val="21"/>
          <w:u w:val="none"/>
        </w:rPr>
        <w:t>生态系统服务</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ecosystem</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services</w:t>
      </w:r>
    </w:p>
    <w:p>
      <w:pPr>
        <w:spacing w:before="0" w:after="0" w:line="312" w:lineRule="exact"/>
        <w:ind w:left="456" w:firstLine="420"/>
        <w:jc w:val="left"/>
      </w:pPr>
      <w:r>
        <w:rPr>
          <w:rFonts w:ascii="宋体" w:eastAsia="宋体" w:hAnsi="宋体" w:cs="宋体"/>
          <w:color w:val="000000"/>
          <w:spacing w:val="-3"/>
          <w:w w:val="100"/>
          <w:position w:val="0"/>
          <w:sz w:val="21"/>
          <w:u w:val="none"/>
        </w:rPr>
        <w:t>指生态系统与生态过程所形成及所维持的人类赖以生存的自然环境条件和效用，包括供给服务（如</w:t>
      </w:r>
    </w:p>
    <w:p>
      <w:pPr>
        <w:spacing w:before="0" w:after="0" w:line="312" w:lineRule="exact"/>
        <w:ind w:left="456" w:firstLine="0"/>
        <w:jc w:val="left"/>
      </w:pPr>
      <w:r>
        <w:rPr>
          <w:rFonts w:ascii="宋体" w:hAnsi="宋体" w:cs="宋体"/>
          <w:color w:val="000000"/>
          <w:spacing w:val="-3"/>
          <w:w w:val="100"/>
          <w:position w:val="0"/>
          <w:sz w:val="21"/>
          <w:u w:val="none"/>
        </w:rPr>
        <w:t>提供食物和水）、调节服务（如控制洪水和疾病）、文化服务（如精神健康和娱乐）以及支持服务（如</w:t>
      </w:r>
    </w:p>
    <w:p>
      <w:pPr>
        <w:spacing w:before="0" w:after="0" w:line="312" w:lineRule="exact"/>
        <w:ind w:left="456" w:firstLine="0"/>
        <w:jc w:val="left"/>
      </w:pPr>
      <w:r>
        <w:rPr>
          <w:rFonts w:ascii="宋体" w:hAnsi="宋体" w:cs="宋体"/>
          <w:color w:val="000000"/>
          <w:spacing w:val="0"/>
          <w:w w:val="100"/>
          <w:position w:val="0"/>
          <w:sz w:val="21"/>
          <w:u w:val="none"/>
        </w:rPr>
        <w:t>维持养分循环）。</w:t>
      </w:r>
    </w:p>
    <w:p>
      <w:pPr>
        <w:spacing w:before="0" w:after="0" w:line="240" w:lineRule="exact"/>
        <w:ind w:left="456" w:firstLine="0"/>
      </w:pPr>
    </w:p>
    <w:p>
      <w:pPr>
        <w:spacing w:before="0" w:after="0" w:line="384" w:lineRule="exact"/>
        <w:ind w:left="456" w:firstLine="420"/>
        <w:jc w:val="left"/>
      </w:pPr>
      <w:r>
        <w:rPr>
          <w:rFonts w:ascii="黑体" w:eastAsia="黑体" w:hAnsi="黑体" w:cs="黑体"/>
          <w:color w:val="000000"/>
          <w:spacing w:val="0"/>
          <w:w w:val="100"/>
          <w:position w:val="0"/>
          <w:sz w:val="21"/>
          <w:u w:val="none"/>
        </w:rPr>
        <w:t>生态系统恢复力</w:t>
      </w:r>
      <w:r>
        <w:rPr>
          <w:rFonts w:ascii="Calibri" w:hAnsi="Calibri" w:cs="Calibri"/>
          <w:color w:val="000000"/>
          <w:spacing w:val="0"/>
          <w:w w:val="216"/>
          <w:sz w:val="21"/>
          <w:u w:val="none"/>
        </w:rPr>
        <w:t> </w:t>
      </w:r>
      <w:r>
        <w:rPr>
          <w:rFonts w:ascii="黑体" w:hAnsi="黑体" w:cs="黑体"/>
          <w:color w:val="000000"/>
          <w:spacing w:val="-1"/>
          <w:w w:val="100"/>
          <w:position w:val="0"/>
          <w:sz w:val="21"/>
          <w:u w:val="none"/>
        </w:rPr>
        <w:t>ecosystem</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resilience</w:t>
      </w:r>
    </w:p>
    <w:p>
      <w:pPr>
        <w:spacing w:before="0" w:after="0" w:line="312" w:lineRule="exact"/>
        <w:ind w:left="456" w:firstLine="420"/>
        <w:jc w:val="left"/>
      </w:pPr>
      <w:r>
        <w:rPr>
          <w:rFonts w:ascii="宋体" w:hAnsi="宋体" w:cs="宋体"/>
          <w:color w:val="000000"/>
          <w:spacing w:val="0"/>
          <w:w w:val="100"/>
          <w:position w:val="0"/>
          <w:sz w:val="21"/>
          <w:u w:val="none"/>
        </w:rPr>
        <w:t>生态系统维持结构与格局的能力，即系统受干扰后恢复原来功能的能力。</w:t>
      </w:r>
    </w:p>
    <w:p>
      <w:pPr>
        <w:spacing w:before="0" w:after="0" w:line="240" w:lineRule="exact"/>
        <w:ind w:left="456" w:firstLine="420"/>
      </w:pPr>
    </w:p>
    <w:p>
      <w:pPr>
        <w:spacing w:before="0" w:after="0" w:line="384" w:lineRule="exact"/>
        <w:ind w:left="456" w:firstLine="420"/>
        <w:jc w:val="left"/>
      </w:pPr>
      <w:r>
        <w:rPr>
          <w:rFonts w:ascii="黑体" w:eastAsia="黑体" w:hAnsi="黑体" w:cs="黑体"/>
          <w:color w:val="000000"/>
          <w:spacing w:val="0"/>
          <w:w w:val="100"/>
          <w:position w:val="0"/>
          <w:sz w:val="21"/>
          <w:u w:val="none"/>
        </w:rPr>
        <w:t>生态胁迫</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stress</w:t>
      </w:r>
    </w:p>
    <w:p>
      <w:pPr>
        <w:spacing w:before="0" w:after="0" w:line="312" w:lineRule="exact"/>
        <w:ind w:left="456" w:firstLine="420"/>
        <w:jc w:val="left"/>
      </w:pPr>
      <w:r>
        <w:rPr>
          <w:rFonts w:ascii="宋体" w:eastAsia="宋体" w:hAnsi="宋体" w:cs="宋体"/>
          <w:color w:val="000000"/>
          <w:spacing w:val="0"/>
          <w:w w:val="100"/>
          <w:position w:val="0"/>
          <w:sz w:val="21"/>
          <w:u w:val="none"/>
        </w:rPr>
        <w:t>来自人类或自然的对生态系统正常结构和功能的干扰，这些干扰往往超出生态系统承受能力范围，</w:t>
      </w:r>
    </w:p>
    <w:p>
      <w:pPr>
        <w:spacing w:before="0" w:after="0" w:line="312" w:lineRule="exact"/>
        <w:ind w:left="456" w:firstLine="0"/>
        <w:jc w:val="left"/>
      </w:pPr>
      <w:r>
        <w:rPr>
          <w:rFonts w:ascii="宋体" w:hAnsi="宋体" w:cs="宋体"/>
          <w:color w:val="000000"/>
          <w:spacing w:val="0"/>
          <w:w w:val="100"/>
          <w:position w:val="0"/>
          <w:sz w:val="21"/>
          <w:u w:val="none"/>
        </w:rPr>
        <w:t>导致生态系统发生不可逆的变化，甚至退化或崩溃。</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:TD/T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1068—</w:t>
      </w:r>
      <w:r>
        <w:rPr>
          <w:rFonts w:ascii="宋体" w:hAnsi="宋体" w:cs="宋体"/>
          <w:color w:val="000000"/>
          <w:spacing w:val="-1"/>
          <w:w w:val="100"/>
          <w:position w:val="0"/>
          <w:sz w:val="21"/>
          <w:u w:val="none"/>
        </w:rPr>
        <w:t>2022,3.10]</w:t>
      </w:r>
    </w:p>
    <w:p>
      <w:pPr>
        <w:spacing w:before="0" w:after="0" w:line="240" w:lineRule="exact"/>
        <w:ind w:left="456" w:firstLine="420"/>
      </w:pPr>
    </w:p>
    <w:p>
      <w:pPr>
        <w:spacing w:before="0" w:after="0" w:line="406" w:lineRule="exact"/>
        <w:ind w:left="456" w:firstLine="9038"/>
        <w:jc w:val="left"/>
        <w:sectPr>
          <w:type w:val="continuous"/>
          <w:pgSz w:w="11906" w:h="16839"/>
          <w:pgMar w:top="959" w:right="603" w:bottom="719" w:left="963" w:header="0" w:footer="0" w:gutter="0"/>
          <w:pgNumType w:start="12"/>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240" w:lineRule="exact"/>
      </w:pPr>
    </w:p>
    <w:p>
      <w:pPr>
        <w:spacing w:before="0" w:after="0" w:line="221" w:lineRule="exact"/>
        <w:ind w:left="60" w:firstLine="0"/>
        <w:jc w:val="left"/>
      </w:pPr>
      <w:r>
        <w:pict>
          <v:shape id="_x0000_s2077" o:spid="_x0000_s1051" type="#_x0000_t202" style="width:332pt;height:53pt;margin-top:397.7pt;margin-left:141.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49" o:spid="_x0000_s1052" type="#_x0000_t75" style="width:17pt;height:10pt;margin-top:99pt;margin-left:56pt;mso-height-relative:page;mso-position-horizontal-relative:page;mso-position-vertical-relative:page;mso-width-relative:page;position:absolute;z-index:-251631616" coordsize="21600,21600" filled="f">
            <v:imagedata r:id="rId27" o:title=""/>
            <o:lock v:ext="edit" aspectratio="t"/>
          </v:shape>
        </w:pict>
      </w:r>
      <w:r>
        <w:pict>
          <v:shape id="imagerId150" o:spid="_x0000_s1053" type="#_x0000_t75" style="width:17pt;height:10pt;margin-top:162pt;margin-left:56pt;mso-height-relative:page;mso-position-horizontal-relative:page;mso-position-vertical-relative:page;mso-width-relative:page;position:absolute;z-index:-251630592" coordsize="21600,21600" filled="f">
            <v:imagedata r:id="rId28" o:title=""/>
            <o:lock v:ext="edit" aspectratio="t"/>
          </v:shape>
        </w:pict>
      </w:r>
      <w:r>
        <w:pict>
          <v:shape id="imagerId151" o:spid="_x0000_s1054" type="#_x0000_t75" style="width:17pt;height:9pt;margin-top:240pt;margin-left:56pt;mso-height-relative:page;mso-position-horizontal-relative:page;mso-position-vertical-relative:page;mso-width-relative:page;position:absolute;z-index:-251629568" coordsize="21600,21600" filled="f">
            <v:imagedata r:id="rId29" o:title=""/>
            <o:lock v:ext="edit" aspectratio="t"/>
          </v:shape>
        </w:pict>
      </w:r>
      <w:r>
        <w:pict>
          <v:shape id="imagerId152" o:spid="_x0000_s1055" type="#_x0000_t75" style="width:17pt;height:9pt;margin-top:287pt;margin-left:56pt;mso-height-relative:page;mso-position-horizontal-relative:page;mso-position-vertical-relative:page;mso-width-relative:page;position:absolute;z-index:-251628544" coordsize="21600,21600" filled="f">
            <v:imagedata r:id="rId30" o:title=""/>
            <o:lock v:ext="edit" aspectratio="t"/>
          </v:shape>
        </w:pict>
      </w:r>
      <w:r>
        <w:pict>
          <v:shape id="imagerId153" o:spid="_x0000_s1056" type="#_x0000_t75" style="width:17pt;height:10pt;margin-top:349pt;margin-left:56pt;mso-height-relative:page;mso-position-horizontal-relative:page;mso-position-vertical-relative:page;mso-width-relative:page;position:absolute;z-index:-251627520" coordsize="21600,21600" filled="f">
            <v:imagedata r:id="rId31" o:title=""/>
            <o:lock v:ext="edit" aspectratio="t"/>
          </v:shape>
        </w:pict>
      </w:r>
      <w:r>
        <w:pict>
          <v:shape id="imagerId154" o:spid="_x0000_s1057" type="#_x0000_t75" style="width:22pt;height:10pt;margin-top:411pt;margin-left:56pt;mso-height-relative:page;mso-position-horizontal-relative:page;mso-position-vertical-relative:page;mso-width-relative:page;position:absolute;z-index:-251626496" coordsize="21600,21600" filled="f">
            <v:imagedata r:id="rId32" o:title=""/>
            <o:lock v:ext="edit" aspectratio="t"/>
          </v:shape>
        </w:pict>
      </w:r>
      <w:r>
        <w:pict>
          <v:shape id="imagerId155" o:spid="_x0000_s1058" type="#_x0000_t75" style="width:21pt;height:9pt;margin-top:474pt;margin-left:56pt;mso-height-relative:page;mso-position-horizontal-relative:page;mso-position-vertical-relative:page;mso-width-relative:page;position:absolute;z-index:-251625472" coordsize="21600,21600" filled="f">
            <v:imagedata r:id="rId33" o:title=""/>
            <o:lock v:ext="edit" aspectratio="t"/>
          </v:shape>
        </w:pict>
      </w:r>
      <w:r>
        <w:pict>
          <v:shape id="imagerId156" o:spid="_x0000_s1059" type="#_x0000_t75" style="width:22pt;height:10pt;margin-top:536pt;margin-left:56pt;mso-height-relative:page;mso-position-horizontal-relative:page;mso-position-vertical-relative:page;mso-width-relative:page;position:absolute;z-index:-251624448" coordsize="21600,21600" filled="f">
            <v:imagedata r:id="rId34" o:title=""/>
            <o:lock v:ext="edit" aspectratio="t"/>
          </v:shape>
        </w:pict>
      </w:r>
      <w:r>
        <w:pict>
          <v:shape id="imagerId157" o:spid="_x0000_s1060" type="#_x0000_t75" style="width:22pt;height:9pt;margin-top:599pt;margin-left:56pt;mso-height-relative:page;mso-position-horizontal-relative:page;mso-position-vertical-relative:page;mso-width-relative:page;position:absolute;z-index:-251623424" coordsize="21600,21600" filled="f">
            <v:imagedata r:id="rId35" o:title=""/>
            <o:lock v:ext="edit" aspectratio="t"/>
          </v:shape>
        </w:pict>
      </w:r>
      <w:r>
        <w:pict>
          <v:shape id="imagerId158" o:spid="_x0000_s1061" type="#_x0000_t75" style="width:16pt;height:10pt;margin-top:739pt;margin-left:56pt;mso-height-relative:page;mso-position-horizontal-relative:page;mso-position-vertical-relative:page;mso-width-relative:page;position:absolute;z-index:-251622400" coordsize="21600,21600" filled="f">
            <v:imagedata r:id="rId36"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362" w:lineRule="exact"/>
        <w:ind w:left="60" w:firstLine="420"/>
        <w:jc w:val="left"/>
      </w:pPr>
      <w:r>
        <w:rPr>
          <w:rFonts w:ascii="黑体" w:eastAsia="黑体" w:hAnsi="黑体" w:cs="黑体"/>
          <w:color w:val="000000"/>
          <w:spacing w:val="0"/>
          <w:w w:val="100"/>
          <w:position w:val="0"/>
          <w:sz w:val="21"/>
          <w:u w:val="none"/>
        </w:rPr>
        <w:t>生态安全格局</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regional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pattern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ecological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security</w:t>
      </w:r>
    </w:p>
    <w:p>
      <w:pPr>
        <w:spacing w:before="0" w:after="0" w:line="312" w:lineRule="exact"/>
        <w:ind w:left="60" w:firstLine="420"/>
        <w:jc w:val="left"/>
      </w:pPr>
      <w:r>
        <w:rPr>
          <w:rFonts w:ascii="宋体" w:eastAsia="宋体" w:hAnsi="宋体" w:cs="宋体"/>
          <w:color w:val="000000"/>
          <w:spacing w:val="-3"/>
          <w:w w:val="100"/>
          <w:position w:val="0"/>
          <w:sz w:val="21"/>
          <w:u w:val="none"/>
        </w:rPr>
        <w:t>针对区域生态环境问题，在排除干扰的基础上，保护和恢复生物多样性，维持生态系统结构和过程</w:t>
      </w:r>
    </w:p>
    <w:p>
      <w:pPr>
        <w:spacing w:before="0" w:after="0" w:line="312" w:lineRule="exact"/>
        <w:ind w:left="60" w:firstLine="0"/>
        <w:jc w:val="left"/>
      </w:pPr>
      <w:r>
        <w:rPr>
          <w:rFonts w:ascii="宋体" w:hAnsi="宋体" w:cs="宋体"/>
          <w:color w:val="000000"/>
          <w:spacing w:val="0"/>
          <w:w w:val="100"/>
          <w:position w:val="0"/>
          <w:sz w:val="21"/>
          <w:u w:val="none"/>
        </w:rPr>
        <w:t>的完整性，实现对区域生态环境问题有效控制和持续改善的区域性空间格局。</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生物多样性</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biodiversity</w:t>
      </w:r>
    </w:p>
    <w:p>
      <w:pPr>
        <w:spacing w:before="0" w:after="0" w:line="312" w:lineRule="exact"/>
        <w:ind w:left="60" w:firstLine="420"/>
        <w:jc w:val="left"/>
      </w:pPr>
      <w:r>
        <w:rPr>
          <w:rFonts w:ascii="宋体" w:eastAsia="宋体" w:hAnsi="宋体" w:cs="宋体"/>
          <w:color w:val="000000"/>
          <w:spacing w:val="0"/>
          <w:w w:val="100"/>
          <w:position w:val="0"/>
          <w:sz w:val="21"/>
          <w:u w:val="none"/>
        </w:rPr>
        <w:t>指生物体及其所包含的基因和赖以生存的生态环境的多样性和变异性</w:t>
      </w:r>
      <w:r>
        <w:rPr>
          <w:rFonts w:ascii="宋体" w:hAnsi="宋体" w:cs="宋体"/>
          <w:color w:val="000000"/>
          <w:spacing w:val="0"/>
          <w:w w:val="100"/>
          <w:position w:val="0"/>
          <w:sz w:val="21"/>
          <w:u w:val="none"/>
        </w:rPr>
        <w:t>,主要包括遗传多样性、物种</w:t>
      </w:r>
    </w:p>
    <w:p>
      <w:pPr>
        <w:spacing w:before="0" w:after="0" w:line="312" w:lineRule="exact"/>
        <w:ind w:left="60" w:firstLine="0"/>
        <w:jc w:val="left"/>
      </w:pPr>
      <w:r>
        <w:rPr>
          <w:rFonts w:ascii="宋体" w:eastAsia="宋体" w:hAnsi="宋体" w:cs="宋体"/>
          <w:color w:val="000000"/>
          <w:spacing w:val="0"/>
          <w:w w:val="100"/>
          <w:position w:val="0"/>
          <w:sz w:val="21"/>
          <w:u w:val="none"/>
        </w:rPr>
        <w:t>多样性和生态系统多样性</w:t>
      </w:r>
      <w:r>
        <w:rPr>
          <w:rFonts w:ascii="宋体" w:hAnsi="宋体" w:cs="宋体"/>
          <w:color w:val="000000"/>
          <w:spacing w:val="0"/>
          <w:w w:val="100"/>
          <w:position w:val="0"/>
          <w:sz w:val="21"/>
          <w:u w:val="none"/>
        </w:rPr>
        <w:t>3个层次。</w:t>
      </w:r>
    </w:p>
    <w:p>
      <w:pPr>
        <w:spacing w:before="0" w:after="0" w:line="312" w:lineRule="exact"/>
        <w:ind w:left="60" w:firstLine="420"/>
        <w:jc w:val="left"/>
      </w:pPr>
      <w:r>
        <w:rPr>
          <w:rFonts w:ascii="宋体" w:hAnsi="宋体" w:cs="宋体"/>
          <w:color w:val="000000"/>
          <w:spacing w:val="0"/>
          <w:w w:val="100"/>
          <w:position w:val="0"/>
          <w:sz w:val="21"/>
          <w:u w:val="none"/>
        </w:rPr>
        <w:t>[来源：《省级国土空间生态修复规划编制技术规程（试行)》]</w:t>
      </w:r>
    </w:p>
    <w:p>
      <w:pPr>
        <w:spacing w:before="0" w:after="0" w:line="240" w:lineRule="exact"/>
        <w:ind w:left="60" w:firstLine="420"/>
      </w:pPr>
    </w:p>
    <w:p>
      <w:pPr>
        <w:spacing w:before="0" w:after="0" w:line="385" w:lineRule="exact"/>
        <w:ind w:left="60" w:firstLine="420"/>
        <w:jc w:val="left"/>
      </w:pPr>
      <w:r>
        <w:rPr>
          <w:rFonts w:ascii="黑体" w:eastAsia="黑体" w:hAnsi="黑体" w:cs="黑体"/>
          <w:color w:val="000000"/>
          <w:spacing w:val="0"/>
          <w:w w:val="100"/>
          <w:position w:val="0"/>
          <w:sz w:val="21"/>
          <w:u w:val="none"/>
        </w:rPr>
        <w:t>生态源地</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sources</w:t>
      </w:r>
    </w:p>
    <w:p>
      <w:pPr>
        <w:spacing w:before="0" w:after="0" w:line="312" w:lineRule="exact"/>
        <w:ind w:left="60" w:firstLine="420"/>
        <w:jc w:val="left"/>
      </w:pPr>
      <w:r>
        <w:rPr>
          <w:rFonts w:ascii="宋体" w:hAnsi="宋体" w:cs="宋体"/>
          <w:color w:val="000000"/>
          <w:spacing w:val="0"/>
          <w:w w:val="100"/>
          <w:position w:val="0"/>
          <w:sz w:val="21"/>
          <w:u w:val="none"/>
        </w:rPr>
        <w:t>对生态安全具有重要意义或者担负重要辐射功能的生境斑块。</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0"/>
          <w:w w:val="100"/>
          <w:position w:val="0"/>
          <w:sz w:val="21"/>
          <w:u w:val="none"/>
        </w:rPr>
        <w:t>生态廊道</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corridor</w:t>
      </w:r>
    </w:p>
    <w:p>
      <w:pPr>
        <w:spacing w:before="0" w:after="0" w:line="312" w:lineRule="exact"/>
        <w:ind w:left="60" w:firstLine="420"/>
        <w:jc w:val="left"/>
      </w:pPr>
      <w:r>
        <w:rPr>
          <w:rFonts w:ascii="宋体" w:hAnsi="宋体" w:cs="宋体"/>
          <w:color w:val="000000"/>
          <w:spacing w:val="0"/>
          <w:w w:val="100"/>
          <w:position w:val="0"/>
          <w:sz w:val="21"/>
          <w:u w:val="none"/>
        </w:rPr>
        <w:t>为保持或恢复有效的生态连通性，长期治理和管理、明确界定的地理空间。</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:TD/T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1068-2022,3.8]</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0"/>
          <w:w w:val="100"/>
          <w:position w:val="0"/>
          <w:sz w:val="21"/>
          <w:u w:val="none"/>
        </w:rPr>
        <w:t>生态节点</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nodes</w:t>
      </w:r>
    </w:p>
    <w:p>
      <w:pPr>
        <w:spacing w:before="0" w:after="0" w:line="312" w:lineRule="exact"/>
        <w:ind w:left="60" w:firstLine="420"/>
        <w:jc w:val="left"/>
      </w:pPr>
      <w:r>
        <w:rPr>
          <w:rFonts w:ascii="宋体" w:eastAsia="宋体" w:hAnsi="宋体" w:cs="宋体"/>
          <w:color w:val="000000"/>
          <w:spacing w:val="1"/>
          <w:w w:val="100"/>
          <w:position w:val="0"/>
          <w:sz w:val="21"/>
          <w:u w:val="none"/>
        </w:rPr>
        <w:t>在生态网络中发挥重要空间战略位置或易受人类破坏的关键地段，具有重要的生态功能或生态敏</w:t>
      </w:r>
    </w:p>
    <w:p>
      <w:pPr>
        <w:spacing w:before="0" w:after="0" w:line="312" w:lineRule="exact"/>
        <w:ind w:left="60" w:firstLine="0"/>
        <w:jc w:val="left"/>
      </w:pPr>
      <w:r>
        <w:rPr>
          <w:rFonts w:ascii="宋体" w:hAnsi="宋体" w:cs="宋体"/>
          <w:color w:val="000000"/>
          <w:spacing w:val="0"/>
          <w:w w:val="100"/>
          <w:position w:val="0"/>
          <w:sz w:val="21"/>
          <w:u w:val="none"/>
        </w:rPr>
        <w:t>感性、脆弱性，如生态廊道的交汇点、生态踏脚石、生态斑块等。</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生态产品</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products</w:t>
      </w:r>
    </w:p>
    <w:p>
      <w:pPr>
        <w:spacing w:before="0" w:after="0" w:line="312" w:lineRule="exact"/>
        <w:ind w:left="60" w:firstLine="420"/>
        <w:jc w:val="left"/>
      </w:pPr>
      <w:r>
        <w:rPr>
          <w:rFonts w:ascii="宋体" w:hAnsi="宋体" w:cs="宋体"/>
          <w:color w:val="000000"/>
          <w:spacing w:val="-3"/>
          <w:w w:val="100"/>
          <w:position w:val="0"/>
          <w:sz w:val="21"/>
          <w:u w:val="none"/>
        </w:rPr>
        <w:t>维系生态安全、保障生态调节功能、提供良好人居环境的自然要素，包括清新的空气、清洁的水源</w:t>
      </w:r>
    </w:p>
    <w:p>
      <w:pPr>
        <w:spacing w:before="0" w:after="0" w:line="312" w:lineRule="exact"/>
        <w:ind w:left="60" w:firstLine="0"/>
        <w:jc w:val="left"/>
      </w:pPr>
      <w:r>
        <w:rPr>
          <w:rFonts w:ascii="宋体" w:hAnsi="宋体" w:cs="宋体"/>
          <w:color w:val="000000"/>
          <w:spacing w:val="0"/>
          <w:w w:val="100"/>
          <w:position w:val="0"/>
          <w:sz w:val="21"/>
          <w:u w:val="none"/>
        </w:rPr>
        <w:t>和宜人的气候等。</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生态网络</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network</w:t>
      </w:r>
    </w:p>
    <w:p>
      <w:pPr>
        <w:spacing w:before="0" w:after="0" w:line="312" w:lineRule="exact"/>
        <w:ind w:left="60" w:firstLine="420"/>
        <w:jc w:val="left"/>
      </w:pPr>
      <w:r>
        <w:rPr>
          <w:rFonts w:ascii="宋体" w:eastAsia="宋体" w:hAnsi="宋体" w:cs="宋体"/>
          <w:color w:val="000000"/>
          <w:spacing w:val="0"/>
          <w:w w:val="100"/>
          <w:position w:val="0"/>
          <w:sz w:val="21"/>
          <w:u w:val="none"/>
        </w:rPr>
        <w:t>根据</w:t>
      </w:r>
      <w:r>
        <w:rPr>
          <w:rFonts w:ascii="宋体" w:hAnsi="宋体" w:cs="宋体"/>
          <w:color w:val="000000"/>
          <w:spacing w:val="0"/>
          <w:w w:val="100"/>
          <w:position w:val="0"/>
          <w:sz w:val="21"/>
          <w:u w:val="none"/>
        </w:rPr>
        <w:t>IUCN</w:t>
      </w:r>
      <w:r>
        <w:rPr>
          <w:rFonts w:ascii="宋体" w:hAnsi="宋体" w:cs="宋体"/>
          <w:color w:val="000000"/>
          <w:spacing w:val="-3"/>
          <w:w w:val="100"/>
          <w:position w:val="0"/>
          <w:sz w:val="21"/>
          <w:u w:val="none"/>
        </w:rPr>
        <w:t>的《通过生态网络和生态廊道加强保护区连通指南》，在区域（或流域）范围内，生态廊</w:t>
      </w:r>
    </w:p>
    <w:p>
      <w:pPr>
        <w:spacing w:before="0" w:after="0" w:line="312" w:lineRule="exact"/>
        <w:ind w:left="60" w:firstLine="0"/>
        <w:jc w:val="left"/>
      </w:pPr>
      <w:r>
        <w:rPr>
          <w:rFonts w:ascii="宋体" w:hAnsi="宋体" w:cs="宋体"/>
          <w:color w:val="000000"/>
          <w:spacing w:val="0"/>
          <w:w w:val="100"/>
          <w:position w:val="0"/>
          <w:sz w:val="21"/>
          <w:u w:val="none"/>
        </w:rPr>
        <w:t>道常常相互交叉形成网络，使廊道与斑块和基底的相互作用复杂化。</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城镇空间保护和修复</w:t>
      </w:r>
      <w:r>
        <w:rPr>
          <w:rFonts w:ascii="Calibri" w:hAnsi="Calibri" w:cs="Calibri"/>
          <w:color w:val="000000"/>
          <w:spacing w:val="0"/>
          <w:w w:val="216"/>
          <w:sz w:val="21"/>
          <w:u w:val="none"/>
        </w:rPr>
        <w:t> </w:t>
      </w:r>
      <w:r>
        <w:rPr>
          <w:rFonts w:ascii="黑体" w:hAnsi="黑体" w:cs="黑体"/>
          <w:color w:val="000000"/>
          <w:spacing w:val="-1"/>
          <w:w w:val="100"/>
          <w:position w:val="0"/>
          <w:sz w:val="21"/>
          <w:u w:val="none"/>
        </w:rPr>
        <w:t>urban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ecological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conservation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and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restoration</w:t>
      </w:r>
    </w:p>
    <w:p>
      <w:pPr>
        <w:spacing w:before="0" w:after="0" w:line="313" w:lineRule="exact"/>
        <w:ind w:left="60" w:firstLine="420"/>
        <w:jc w:val="left"/>
      </w:pPr>
      <w:r>
        <w:rPr>
          <w:rFonts w:ascii="宋体" w:eastAsia="宋体" w:hAnsi="宋体" w:cs="宋体"/>
          <w:color w:val="000000"/>
          <w:spacing w:val="-3"/>
          <w:w w:val="100"/>
          <w:position w:val="0"/>
          <w:sz w:val="21"/>
          <w:u w:val="none"/>
        </w:rPr>
        <w:t>统筹保护和修复城镇各类自然生态系统，修复被破坏的山体，连通河湖水系，构建绿地系统，完善</w:t>
      </w:r>
    </w:p>
    <w:p>
      <w:pPr>
        <w:spacing w:before="0" w:after="0" w:line="312" w:lineRule="exact"/>
        <w:ind w:left="60" w:firstLine="0"/>
        <w:jc w:val="left"/>
      </w:pPr>
      <w:r>
        <w:rPr>
          <w:rFonts w:ascii="宋体" w:hAnsi="宋体" w:cs="宋体"/>
          <w:color w:val="000000"/>
          <w:spacing w:val="0"/>
          <w:w w:val="100"/>
          <w:position w:val="0"/>
          <w:sz w:val="21"/>
          <w:u w:val="none"/>
        </w:rPr>
        <w:t>城镇内外蓝绿交织的生态网络，减少城镇灾害，提高城镇韧性，提升人居生态品质。</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矿山生态修复</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mine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ecological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restoration</w:t>
      </w:r>
    </w:p>
    <w:p>
      <w:pPr>
        <w:spacing w:before="0" w:after="0" w:line="312" w:lineRule="exact"/>
        <w:ind w:left="60" w:firstLine="420"/>
        <w:jc w:val="left"/>
      </w:pPr>
      <w:r>
        <w:rPr>
          <w:rFonts w:ascii="宋体" w:hAnsi="宋体" w:cs="宋体"/>
          <w:color w:val="000000"/>
          <w:spacing w:val="-3"/>
          <w:w w:val="100"/>
          <w:position w:val="0"/>
          <w:sz w:val="21"/>
          <w:u w:val="none"/>
        </w:rPr>
        <w:t>依靠自然力量或人工措施干预，对因矿产资源开采活动造成的地质安全隐患、土地损毁和植被破坏</w:t>
      </w:r>
    </w:p>
    <w:p>
      <w:pPr>
        <w:spacing w:before="0" w:after="0" w:line="312" w:lineRule="exact"/>
        <w:ind w:left="60" w:firstLine="0"/>
        <w:jc w:val="left"/>
      </w:pPr>
      <w:r>
        <w:rPr>
          <w:rFonts w:ascii="宋体" w:hAnsi="宋体" w:cs="宋体"/>
          <w:color w:val="000000"/>
          <w:spacing w:val="-3"/>
          <w:w w:val="100"/>
          <w:position w:val="0"/>
          <w:sz w:val="21"/>
          <w:u w:val="none"/>
        </w:rPr>
        <w:t>等矿山生态问题进行修复，使矿山地质环境达到稳定、损毁土地得到复垦利用、生态系统功能得到恢复</w:t>
      </w:r>
    </w:p>
    <w:p>
      <w:pPr>
        <w:spacing w:before="0" w:after="0" w:line="312" w:lineRule="exact"/>
        <w:ind w:left="60" w:firstLine="0"/>
        <w:jc w:val="left"/>
      </w:pPr>
      <w:r>
        <w:rPr>
          <w:rFonts w:ascii="宋体" w:hAnsi="宋体" w:cs="宋体"/>
          <w:color w:val="000000"/>
          <w:spacing w:val="0"/>
          <w:w w:val="100"/>
          <w:position w:val="0"/>
          <w:sz w:val="21"/>
          <w:u w:val="none"/>
        </w:rPr>
        <w:t>和改善。</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:TD/T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1070.1—2022,3.1]</w:t>
      </w:r>
    </w:p>
    <w:p>
      <w:pPr>
        <w:spacing w:before="0" w:after="0" w:line="240" w:lineRule="exact"/>
        <w:ind w:left="60" w:firstLine="42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总体要求</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规划定位</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4.1.1</w:t>
      </w:r>
      <w:r>
        <w:rPr>
          <w:rFonts w:cs="Calibri"/>
          <w:spacing w:val="0"/>
          <w:w w:val="100"/>
        </w:rPr>
        <w:tab/>
      </w:r>
      <w:r>
        <w:rPr>
          <w:rFonts w:ascii="宋体" w:eastAsia="宋体" w:hAnsi="宋体" w:cs="宋体"/>
          <w:color w:val="000000"/>
          <w:spacing w:val="0"/>
          <w:w w:val="100"/>
          <w:position w:val="0"/>
          <w:sz w:val="21"/>
          <w:u w:val="none"/>
        </w:rPr>
        <w:t>市级国土空间生态修复规划是市级国土空间总体规划不可或缺的专项规划，是一定时期内开展</w:t>
      </w:r>
    </w:p>
    <w:p>
      <w:pPr>
        <w:spacing w:before="0" w:after="0" w:line="368" w:lineRule="exact"/>
        <w:ind w:left="60" w:firstLine="197"/>
        <w:jc w:val="left"/>
        <w:sectPr>
          <w:type w:val="continuous"/>
          <w:pgSz w:w="11906" w:h="16838"/>
          <w:pgMar w:top="959" w:right="713" w:bottom="719" w:left="1073" w:header="0" w:footer="0" w:gutter="0"/>
          <w:pgNumType w:start="13"/>
          <w:cols w:num="1" w:space="720"/>
        </w:sectPr>
      </w:pPr>
      <w:r>
        <w:rPr>
          <w:rFonts w:ascii="宋体" w:hAnsi="宋体" w:cs="宋体"/>
          <w:color w:val="000000"/>
          <w:spacing w:val="-1"/>
          <w:w w:val="100"/>
          <w:position w:val="0"/>
          <w:sz w:val="18"/>
          <w:u w:val="none"/>
        </w:rPr>
        <w:t>2</w:t>
      </w:r>
    </w:p>
    <w:p>
      <w:pPr>
        <w:spacing w:before="0" w:after="0" w:line="240" w:lineRule="exact"/>
      </w:pPr>
      <w:bookmarkStart w:id="7" w:name="7"/>
      <w:bookmarkEnd w:id="7"/>
    </w:p>
    <w:p>
      <w:pPr>
        <w:spacing w:before="0" w:after="0" w:line="240" w:lineRule="exact"/>
      </w:pPr>
    </w:p>
    <w:p>
      <w:pPr>
        <w:spacing w:before="0" w:after="0" w:line="221" w:lineRule="exact"/>
        <w:ind w:left="456" w:firstLine="7571"/>
        <w:jc w:val="left"/>
      </w:pPr>
      <w:r>
        <w:pict>
          <v:shape id="_x0000_s2088" o:spid="_x0000_s1062" type="#_x0000_t202" style="width:332pt;height:53pt;margin-top:397.7pt;margin-left:141.6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59" o:spid="_x0000_s1063" type="#_x0000_t75" style="width:17pt;height:10pt;margin-top:185pt;margin-left:70pt;mso-height-relative:page;mso-position-horizontal-relative:page;mso-position-vertical-relative:page;mso-width-relative:page;position:absolute;z-index:-251620352" coordsize="21600,21600" filled="f">
            <v:imagedata r:id="rId37" o:title=""/>
            <o:lock v:ext="edit" aspectratio="t"/>
          </v:shape>
        </w:pict>
      </w:r>
      <w:r>
        <w:pict>
          <v:shape id="imagerId160" o:spid="_x0000_s1064" type="#_x0000_t75" style="width:17pt;height:9pt;margin-top:279pt;margin-left:70pt;mso-height-relative:page;mso-position-horizontal-relative:page;mso-position-vertical-relative:page;mso-width-relative:page;position:absolute;z-index:-251619328" coordsize="21600,21600" filled="f">
            <v:imagedata r:id="rId38" o:title=""/>
            <o:lock v:ext="edit" aspectratio="t"/>
          </v:shape>
        </w:pict>
      </w:r>
      <w:r>
        <w:pict>
          <v:shape id="imagerId161" o:spid="_x0000_s1065" type="#_x0000_t75" style="width:18pt;height:9pt;margin-top:630pt;margin-left:70pt;mso-height-relative:page;mso-position-horizontal-relative:page;mso-position-vertical-relative:page;mso-width-relative:page;position:absolute;z-index:-251618304" coordsize="21600,21600" filled="f">
            <v:imagedata r:id="rId39" o:title=""/>
            <o:lock v:ext="edit" aspectratio="t"/>
          </v:shape>
        </w:pict>
      </w:r>
      <w:r>
        <w:pict>
          <v:shape id="imagerId162" o:spid="_x0000_s1066" type="#_x0000_t75" style="width:17pt;height:9pt;margin-top:677pt;margin-left:70pt;mso-height-relative:page;mso-position-horizontal-relative:page;mso-position-vertical-relative:page;mso-width-relative:page;position:absolute;z-index:-251617280" coordsize="21600,21600" filled="f">
            <v:imagedata r:id="rId40"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290" w:lineRule="exact"/>
        <w:ind w:left="456" w:firstLine="0"/>
        <w:jc w:val="left"/>
      </w:pPr>
      <w:r>
        <w:rPr>
          <w:rFonts w:ascii="宋体" w:hAnsi="宋体" w:cs="宋体"/>
          <w:color w:val="000000"/>
          <w:spacing w:val="0"/>
          <w:w w:val="100"/>
          <w:position w:val="0"/>
          <w:sz w:val="21"/>
          <w:u w:val="none"/>
        </w:rPr>
        <w:t>市域国土空间生态保护和修复工作的行动纲领。</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4.1.2</w:t>
      </w:r>
      <w:r>
        <w:rPr>
          <w:rFonts w:cs="Calibri"/>
          <w:spacing w:val="0"/>
          <w:w w:val="100"/>
        </w:rPr>
        <w:tab/>
      </w:r>
      <w:r>
        <w:rPr>
          <w:rFonts w:ascii="宋体" w:eastAsia="宋体" w:hAnsi="宋体" w:cs="宋体"/>
          <w:color w:val="000000"/>
          <w:spacing w:val="0"/>
          <w:w w:val="100"/>
          <w:position w:val="0"/>
          <w:sz w:val="21"/>
          <w:u w:val="none"/>
        </w:rPr>
        <w:t>市级国土空间生态修复规划在国土空间生态修复规划体系中发挥承上启下的作用，需落实国家</w:t>
      </w:r>
    </w:p>
    <w:p>
      <w:pPr>
        <w:spacing w:before="0" w:after="0" w:line="312" w:lineRule="exact"/>
        <w:ind w:left="456" w:firstLine="0"/>
        <w:jc w:val="left"/>
      </w:pPr>
      <w:r>
        <w:rPr>
          <w:rFonts w:ascii="宋体" w:hAnsi="宋体" w:cs="宋体"/>
          <w:color w:val="000000"/>
          <w:spacing w:val="-5"/>
          <w:w w:val="100"/>
          <w:position w:val="0"/>
          <w:sz w:val="21"/>
          <w:u w:val="none"/>
        </w:rPr>
        <w:t>和省级重要生态系统保护和修复重大工程总体规划、省级国土空间生态修复规划的目标指标、格局布局、</w:t>
      </w:r>
    </w:p>
    <w:p>
      <w:pPr>
        <w:spacing w:before="0" w:after="0" w:line="312" w:lineRule="exact"/>
        <w:ind w:left="456" w:firstLine="0"/>
        <w:jc w:val="left"/>
      </w:pPr>
      <w:r>
        <w:rPr>
          <w:rFonts w:ascii="宋体" w:hAnsi="宋体" w:cs="宋体"/>
          <w:color w:val="000000"/>
          <w:spacing w:val="-3"/>
          <w:w w:val="100"/>
          <w:position w:val="0"/>
          <w:sz w:val="21"/>
          <w:u w:val="none"/>
        </w:rPr>
        <w:t>工程项目等要求，同时，要将目标指标、工程责任分解落实到县（市、区），指导县（市、区）国土空</w:t>
      </w:r>
    </w:p>
    <w:p>
      <w:pPr>
        <w:spacing w:before="0" w:after="0" w:line="312" w:lineRule="exact"/>
        <w:ind w:left="456" w:firstLine="0"/>
        <w:jc w:val="left"/>
      </w:pPr>
      <w:r>
        <w:rPr>
          <w:rFonts w:ascii="宋体" w:hAnsi="宋体" w:cs="宋体"/>
          <w:color w:val="000000"/>
          <w:spacing w:val="0"/>
          <w:w w:val="100"/>
          <w:position w:val="0"/>
          <w:sz w:val="21"/>
          <w:u w:val="none"/>
        </w:rPr>
        <w:t>间生态修复工作。</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规划范围和期限</w:t>
      </w:r>
    </w:p>
    <w:p>
      <w:pPr>
        <w:spacing w:before="0" w:after="0" w:line="240" w:lineRule="exact"/>
        <w:ind w:left="456" w:firstLine="526"/>
      </w:pPr>
    </w:p>
    <w:p>
      <w:pPr>
        <w:spacing w:before="0" w:after="0" w:line="228" w:lineRule="exact"/>
        <w:ind w:left="456" w:firstLine="420"/>
        <w:jc w:val="left"/>
      </w:pPr>
      <w:r>
        <w:rPr>
          <w:rFonts w:ascii="宋体" w:eastAsia="宋体" w:hAnsi="宋体" w:cs="宋体"/>
          <w:color w:val="000000"/>
          <w:spacing w:val="1"/>
          <w:w w:val="100"/>
          <w:position w:val="0"/>
          <w:sz w:val="21"/>
          <w:u w:val="none"/>
        </w:rPr>
        <w:t>规划范围包括市级行政辖区内全部陆域和管辖海域国土空间，规划期限与同级国土空间总体规划</w:t>
      </w:r>
    </w:p>
    <w:p>
      <w:pPr>
        <w:spacing w:before="0" w:after="0" w:line="312" w:lineRule="exact"/>
        <w:ind w:left="456" w:firstLine="0"/>
        <w:jc w:val="left"/>
      </w:pPr>
      <w:r>
        <w:rPr>
          <w:rFonts w:ascii="宋体" w:eastAsia="宋体" w:hAnsi="宋体" w:cs="宋体"/>
          <w:color w:val="000000"/>
          <w:spacing w:val="0"/>
          <w:w w:val="100"/>
          <w:position w:val="0"/>
          <w:sz w:val="21"/>
          <w:u w:val="none"/>
        </w:rPr>
        <w:t>一致，一般为</w:t>
      </w:r>
      <w:r>
        <w:rPr>
          <w:rFonts w:ascii="宋体" w:hAnsi="宋体" w:cs="宋体"/>
          <w:color w:val="000000"/>
          <w:spacing w:val="0"/>
          <w:w w:val="100"/>
          <w:position w:val="0"/>
          <w:sz w:val="21"/>
          <w:u w:val="none"/>
        </w:rPr>
        <w:t>15年。</w:t>
      </w:r>
    </w:p>
    <w:p>
      <w:pPr>
        <w:spacing w:before="0" w:after="0" w:line="296" w:lineRule="exact"/>
        <w:ind w:left="456"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以全国大陆和有居民海岛海岸线修测成果作为陆海分界线确定陆域和海域范围。海域范围暂未定界的城市可按</w:t>
      </w:r>
    </w:p>
    <w:p>
      <w:pPr>
        <w:spacing w:before="0" w:after="0" w:line="312" w:lineRule="exact"/>
        <w:ind w:left="456" w:firstLine="737"/>
        <w:jc w:val="left"/>
      </w:pPr>
      <w:r>
        <w:rPr>
          <w:rFonts w:ascii="宋体" w:hAnsi="宋体" w:cs="宋体"/>
          <w:color w:val="000000"/>
          <w:spacing w:val="-1"/>
          <w:w w:val="100"/>
          <w:position w:val="0"/>
          <w:sz w:val="18"/>
          <w:u w:val="none"/>
        </w:rPr>
        <w:t>照海洋“两空间内部一红线”的工作范围进行确定。</w:t>
      </w:r>
    </w:p>
    <w:p>
      <w:pPr>
        <w:spacing w:before="0" w:after="0" w:line="240" w:lineRule="exact"/>
        <w:ind w:left="456" w:firstLine="737"/>
      </w:pPr>
    </w:p>
    <w:p>
      <w:pPr>
        <w:spacing w:before="0" w:after="0" w:line="244" w:lineRule="exact"/>
        <w:ind w:left="456" w:firstLine="526"/>
        <w:jc w:val="left"/>
      </w:pPr>
      <w:r>
        <w:rPr>
          <w:rFonts w:ascii="黑体" w:eastAsia="黑体" w:hAnsi="黑体" w:cs="黑体"/>
          <w:color w:val="000000"/>
          <w:spacing w:val="0"/>
          <w:w w:val="100"/>
          <w:position w:val="0"/>
          <w:sz w:val="21"/>
          <w:u w:val="none"/>
        </w:rPr>
        <w:t>原则</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4.3.1</w:t>
      </w:r>
      <w:r>
        <w:rPr>
          <w:rFonts w:cs="Calibri"/>
          <w:spacing w:val="-3"/>
          <w:w w:val="100"/>
        </w:rPr>
        <w:tab/>
      </w:r>
      <w:r>
        <w:rPr>
          <w:rFonts w:ascii="黑体" w:eastAsia="黑体" w:hAnsi="黑体" w:cs="黑体"/>
          <w:color w:val="000000"/>
          <w:spacing w:val="0"/>
          <w:w w:val="100"/>
          <w:position w:val="0"/>
          <w:sz w:val="21"/>
          <w:u w:val="none"/>
        </w:rPr>
        <w:t>尊重自然，保护优先</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坚持人与自然和谐共生，坚持尊重自然、顺应自然、保护自然，坚持节约优先、保护优先、自然恢</w:t>
      </w:r>
    </w:p>
    <w:p>
      <w:pPr>
        <w:spacing w:before="0" w:after="0" w:line="312" w:lineRule="exact"/>
        <w:ind w:left="456" w:firstLine="0"/>
        <w:jc w:val="left"/>
      </w:pPr>
      <w:r>
        <w:rPr>
          <w:rFonts w:ascii="宋体" w:hAnsi="宋体" w:cs="宋体"/>
          <w:color w:val="000000"/>
          <w:spacing w:val="-3"/>
          <w:w w:val="100"/>
          <w:position w:val="0"/>
          <w:sz w:val="21"/>
          <w:u w:val="none"/>
        </w:rPr>
        <w:t>复为主、人工修复为辅，严格生态保护红线管理，充分发挥大自然的自我修复能力，坚守自然生态安全</w:t>
      </w:r>
    </w:p>
    <w:p>
      <w:pPr>
        <w:spacing w:before="0" w:after="0" w:line="312" w:lineRule="exact"/>
        <w:ind w:left="456" w:firstLine="0"/>
        <w:jc w:val="left"/>
      </w:pPr>
      <w:r>
        <w:rPr>
          <w:rFonts w:ascii="宋体" w:hAnsi="宋体" w:cs="宋体"/>
          <w:color w:val="000000"/>
          <w:spacing w:val="0"/>
          <w:w w:val="100"/>
          <w:position w:val="0"/>
          <w:sz w:val="21"/>
          <w:u w:val="none"/>
        </w:rPr>
        <w:t>边界，促进生态系统良性循环。</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4.3.2</w:t>
      </w:r>
      <w:r>
        <w:rPr>
          <w:rFonts w:cs="Calibri"/>
          <w:spacing w:val="0"/>
          <w:w w:val="100"/>
        </w:rPr>
        <w:tab/>
      </w:r>
      <w:r>
        <w:rPr>
          <w:rFonts w:ascii="黑体" w:eastAsia="黑体" w:hAnsi="黑体" w:cs="黑体"/>
          <w:color w:val="000000"/>
          <w:spacing w:val="0"/>
          <w:w w:val="100"/>
          <w:position w:val="0"/>
          <w:sz w:val="21"/>
          <w:u w:val="none"/>
        </w:rPr>
        <w:t>问题导向，因地制宜</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立足本市自然地理格局、生态系统状况和主体功能分区，准确识别突出生态问题，科学预判主要生</w:t>
      </w:r>
    </w:p>
    <w:p>
      <w:pPr>
        <w:spacing w:before="0" w:after="0" w:line="312" w:lineRule="exact"/>
        <w:ind w:left="456" w:firstLine="0"/>
        <w:jc w:val="left"/>
      </w:pPr>
      <w:r>
        <w:rPr>
          <w:rFonts w:ascii="宋体" w:hAnsi="宋体" w:cs="宋体"/>
          <w:color w:val="000000"/>
          <w:spacing w:val="-3"/>
          <w:w w:val="100"/>
          <w:position w:val="0"/>
          <w:sz w:val="21"/>
          <w:u w:val="none"/>
        </w:rPr>
        <w:t>态风险。因地制宜合理确定规划目标，明确需要解决的重大问题和重点任务，研究提出基于自然解决方</w:t>
      </w:r>
    </w:p>
    <w:p>
      <w:pPr>
        <w:spacing w:before="0" w:after="0" w:line="312" w:lineRule="exact"/>
        <w:ind w:left="456" w:firstLine="0"/>
        <w:jc w:val="left"/>
      </w:pPr>
      <w:r>
        <w:rPr>
          <w:rFonts w:ascii="宋体" w:hAnsi="宋体" w:cs="宋体"/>
          <w:color w:val="000000"/>
          <w:spacing w:val="0"/>
          <w:w w:val="100"/>
          <w:position w:val="0"/>
          <w:sz w:val="21"/>
          <w:u w:val="none"/>
        </w:rPr>
        <w:t>案的生态修复模式和措施。</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4.3.3</w:t>
      </w:r>
      <w:r>
        <w:rPr>
          <w:rFonts w:cs="Calibri"/>
          <w:spacing w:val="0"/>
          <w:w w:val="100"/>
        </w:rPr>
        <w:tab/>
      </w:r>
      <w:r>
        <w:rPr>
          <w:rFonts w:ascii="黑体" w:eastAsia="黑体" w:hAnsi="黑体" w:cs="黑体"/>
          <w:color w:val="000000"/>
          <w:spacing w:val="0"/>
          <w:w w:val="100"/>
          <w:position w:val="0"/>
          <w:sz w:val="21"/>
          <w:u w:val="none"/>
        </w:rPr>
        <w:t>承上启下，统筹兼顾</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坚持山水林田湖草是生命共同体理念，统筹考虑自然地理单元的完整性、物种栖息地的连通性以及</w:t>
      </w:r>
    </w:p>
    <w:p>
      <w:pPr>
        <w:spacing w:before="0" w:after="0" w:line="312" w:lineRule="exact"/>
        <w:ind w:left="456" w:firstLine="0"/>
        <w:jc w:val="left"/>
      </w:pPr>
      <w:r>
        <w:rPr>
          <w:rFonts w:ascii="宋体" w:hAnsi="宋体" w:cs="宋体"/>
          <w:color w:val="000000"/>
          <w:spacing w:val="-3"/>
          <w:w w:val="100"/>
          <w:position w:val="0"/>
          <w:sz w:val="21"/>
          <w:u w:val="none"/>
        </w:rPr>
        <w:t>自然生态要素与农田、城市等人工生态系统的关联性，协同推进山上山下、地上地下、岸上岸下、上游</w:t>
      </w:r>
    </w:p>
    <w:p>
      <w:pPr>
        <w:spacing w:before="0" w:after="0" w:line="312" w:lineRule="exact"/>
        <w:ind w:left="456" w:firstLine="0"/>
        <w:jc w:val="left"/>
      </w:pPr>
      <w:r>
        <w:rPr>
          <w:rFonts w:ascii="宋体" w:hAnsi="宋体" w:cs="宋体"/>
          <w:color w:val="000000"/>
          <w:spacing w:val="-3"/>
          <w:w w:val="100"/>
          <w:position w:val="0"/>
          <w:sz w:val="21"/>
          <w:u w:val="none"/>
        </w:rPr>
        <w:t>下游以及陆地海洋一体化保护和修复，体现综合治理，突出整体效益。加强与国家和区域重大战略、上</w:t>
      </w:r>
    </w:p>
    <w:p>
      <w:pPr>
        <w:spacing w:before="0" w:after="0" w:line="312" w:lineRule="exact"/>
        <w:ind w:left="456" w:firstLine="0"/>
        <w:jc w:val="left"/>
      </w:pPr>
      <w:r>
        <w:rPr>
          <w:rFonts w:ascii="宋体" w:hAnsi="宋体" w:cs="宋体"/>
          <w:color w:val="000000"/>
          <w:spacing w:val="0"/>
          <w:w w:val="100"/>
          <w:position w:val="0"/>
          <w:sz w:val="21"/>
          <w:u w:val="none"/>
        </w:rPr>
        <w:t>位规划等方面的衔接，进一步明确目标任务。</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4.3.4</w:t>
      </w:r>
      <w:r>
        <w:rPr>
          <w:rFonts w:cs="Calibri"/>
          <w:spacing w:val="0"/>
          <w:w w:val="100"/>
        </w:rPr>
        <w:tab/>
      </w:r>
      <w:r>
        <w:rPr>
          <w:rFonts w:ascii="黑体" w:eastAsia="黑体" w:hAnsi="黑体" w:cs="黑体"/>
          <w:color w:val="000000"/>
          <w:spacing w:val="0"/>
          <w:w w:val="100"/>
          <w:position w:val="0"/>
          <w:sz w:val="21"/>
          <w:u w:val="none"/>
        </w:rPr>
        <w:t>公众参与，科学务实</w:t>
      </w:r>
    </w:p>
    <w:p>
      <w:pPr>
        <w:spacing w:before="0" w:after="0" w:line="240" w:lineRule="exact"/>
        <w:ind w:left="456" w:firstLine="0"/>
      </w:pPr>
    </w:p>
    <w:p>
      <w:pPr>
        <w:spacing w:before="0" w:after="0" w:line="229" w:lineRule="exact"/>
        <w:ind w:left="456" w:firstLine="420"/>
        <w:jc w:val="left"/>
      </w:pPr>
      <w:r>
        <w:rPr>
          <w:rFonts w:ascii="宋体" w:hAnsi="宋体" w:cs="宋体"/>
          <w:color w:val="000000"/>
          <w:spacing w:val="-3"/>
          <w:w w:val="100"/>
          <w:position w:val="0"/>
          <w:sz w:val="21"/>
          <w:u w:val="none"/>
        </w:rPr>
        <w:t>坚持开门编规划，践行群众路线，将共谋、共建、共享、共治贯穿规划工作全过程，广泛凝聚社会</w:t>
      </w:r>
    </w:p>
    <w:p>
      <w:pPr>
        <w:spacing w:before="0" w:after="0" w:line="312" w:lineRule="exact"/>
        <w:ind w:left="456" w:firstLine="0"/>
        <w:jc w:val="left"/>
      </w:pPr>
      <w:r>
        <w:rPr>
          <w:rFonts w:ascii="宋体" w:hAnsi="宋体" w:cs="宋体"/>
          <w:color w:val="000000"/>
          <w:spacing w:val="-3"/>
          <w:w w:val="100"/>
          <w:position w:val="0"/>
          <w:sz w:val="21"/>
          <w:u w:val="none"/>
        </w:rPr>
        <w:t>智慧。坚持因地制宜，防止形式主义，杜绝违背自然生态系统演化规律、以生态建设之名行生态损毁之</w:t>
      </w:r>
    </w:p>
    <w:p>
      <w:pPr>
        <w:spacing w:before="0" w:after="0" w:line="312" w:lineRule="exact"/>
        <w:ind w:left="456" w:firstLine="0"/>
        <w:jc w:val="left"/>
      </w:pPr>
      <w:r>
        <w:rPr>
          <w:rFonts w:ascii="宋体" w:hAnsi="宋体" w:cs="宋体"/>
          <w:color w:val="000000"/>
          <w:spacing w:val="0"/>
          <w:w w:val="100"/>
          <w:position w:val="0"/>
          <w:sz w:val="21"/>
          <w:u w:val="none"/>
        </w:rPr>
        <w:t>实的面子工程、形象工程。坚持分步实施，量力而行，久久为功。</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编制程序</w:t>
      </w:r>
    </w:p>
    <w:p>
      <w:pPr>
        <w:spacing w:before="0" w:after="0" w:line="240" w:lineRule="exact"/>
        <w:ind w:left="456" w:firstLine="526"/>
      </w:pPr>
    </w:p>
    <w:p>
      <w:pPr>
        <w:spacing w:before="0" w:after="0" w:line="228" w:lineRule="exact"/>
        <w:ind w:left="456" w:firstLine="420"/>
        <w:jc w:val="left"/>
      </w:pPr>
      <w:r>
        <w:rPr>
          <w:rFonts w:ascii="宋体" w:hAnsi="宋体" w:cs="宋体"/>
          <w:color w:val="000000"/>
          <w:spacing w:val="0"/>
          <w:w w:val="100"/>
          <w:position w:val="0"/>
          <w:sz w:val="21"/>
          <w:u w:val="none"/>
        </w:rPr>
        <w:t>编制程序主要包括基础工作、规划编制、咨询论证、规划报批等。</w:t>
      </w:r>
    </w:p>
    <w:p>
      <w:pPr>
        <w:spacing w:before="0" w:after="0" w:line="240" w:lineRule="exact"/>
        <w:ind w:left="456" w:firstLine="420"/>
      </w:pPr>
    </w:p>
    <w:p>
      <w:pPr>
        <w:spacing w:before="0" w:after="0" w:line="228" w:lineRule="exact"/>
        <w:ind w:left="456" w:firstLine="526"/>
        <w:jc w:val="left"/>
      </w:pPr>
      <w:r>
        <w:rPr>
          <w:rFonts w:ascii="黑体" w:eastAsia="黑体" w:hAnsi="黑体" w:cs="黑体"/>
          <w:color w:val="000000"/>
          <w:spacing w:val="0"/>
          <w:w w:val="100"/>
          <w:position w:val="0"/>
          <w:sz w:val="21"/>
          <w:u w:val="none"/>
        </w:rPr>
        <w:t>技术路线</w:t>
      </w:r>
    </w:p>
    <w:p>
      <w:pPr>
        <w:spacing w:before="0" w:after="0" w:line="240" w:lineRule="exact"/>
        <w:ind w:left="456" w:firstLine="526"/>
      </w:pPr>
    </w:p>
    <w:p>
      <w:pPr>
        <w:spacing w:before="0" w:after="0" w:line="228" w:lineRule="exact"/>
        <w:ind w:left="456" w:firstLine="420"/>
        <w:jc w:val="left"/>
      </w:pPr>
      <w:r>
        <w:rPr>
          <w:rFonts w:ascii="宋体" w:hAnsi="宋体" w:cs="宋体"/>
          <w:color w:val="000000"/>
          <w:spacing w:val="-3"/>
          <w:w w:val="100"/>
          <w:position w:val="0"/>
          <w:sz w:val="21"/>
          <w:u w:val="none"/>
        </w:rPr>
        <w:t>按照“摸清问题—制定目标—优化布局—明确任务—谋划工程—实施保障”的技术路线展开，具体</w:t>
      </w:r>
    </w:p>
    <w:p>
      <w:pPr>
        <w:spacing w:before="0" w:after="0" w:line="312" w:lineRule="exact"/>
        <w:ind w:left="456" w:firstLine="0"/>
        <w:jc w:val="left"/>
      </w:pPr>
      <w:r>
        <w:rPr>
          <w:rFonts w:ascii="宋体" w:eastAsia="宋体" w:hAnsi="宋体" w:cs="宋体"/>
          <w:color w:val="000000"/>
          <w:spacing w:val="0"/>
          <w:w w:val="100"/>
          <w:position w:val="0"/>
          <w:sz w:val="21"/>
          <w:u w:val="none"/>
        </w:rPr>
        <w:t>包括：</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摸清问题。开展生态基础分析和调查，进行生态系统功能重要性、脆弱性、生态系统恢复力评</w:t>
      </w:r>
    </w:p>
    <w:p>
      <w:pPr>
        <w:spacing w:before="0" w:after="0" w:line="312" w:lineRule="exact"/>
        <w:ind w:left="456" w:firstLine="852"/>
        <w:jc w:val="left"/>
      </w:pPr>
      <w:r>
        <w:rPr>
          <w:rFonts w:ascii="宋体" w:hAnsi="宋体" w:cs="宋体"/>
          <w:color w:val="000000"/>
          <w:spacing w:val="0"/>
          <w:w w:val="100"/>
          <w:position w:val="0"/>
          <w:sz w:val="21"/>
          <w:u w:val="none"/>
        </w:rPr>
        <w:t>价、生态系统退化评价，系统诊断生态问题，预判重大生态风险；</w:t>
      </w:r>
    </w:p>
    <w:p>
      <w:pPr>
        <w:spacing w:before="0" w:after="0" w:line="240" w:lineRule="exact"/>
        <w:ind w:left="456" w:firstLine="852"/>
      </w:pPr>
    </w:p>
    <w:p>
      <w:pPr>
        <w:spacing w:before="0" w:after="0" w:line="240" w:lineRule="exact"/>
        <w:ind w:left="456" w:firstLine="852"/>
      </w:pPr>
    </w:p>
    <w:p>
      <w:pPr>
        <w:spacing w:before="0" w:after="0" w:line="200" w:lineRule="exact"/>
        <w:ind w:left="456" w:firstLine="9038"/>
        <w:jc w:val="left"/>
        <w:sectPr>
          <w:type w:val="continuous"/>
          <w:pgSz w:w="11906" w:h="16839"/>
          <w:pgMar w:top="959" w:right="603" w:bottom="719" w:left="963" w:header="0" w:footer="0" w:gutter="0"/>
          <w:pgNumType w:start="14"/>
          <w:cols w:num="1" w:space="720"/>
        </w:sectPr>
      </w:pPr>
      <w:r>
        <w:rPr>
          <w:rFonts w:ascii="宋体" w:hAnsi="宋体" w:cs="宋体"/>
          <w:color w:val="000000"/>
          <w:spacing w:val="-1"/>
          <w:w w:val="100"/>
          <w:position w:val="0"/>
          <w:sz w:val="18"/>
          <w:u w:val="none"/>
        </w:rPr>
        <w:t>3</w:t>
      </w:r>
    </w:p>
    <w:p>
      <w:pPr>
        <w:spacing w:before="0" w:after="0" w:line="240" w:lineRule="exact"/>
      </w:pPr>
      <w:bookmarkStart w:id="8" w:name="8"/>
      <w:bookmarkEnd w:id="8"/>
    </w:p>
    <w:p>
      <w:pPr>
        <w:spacing w:before="0" w:after="0" w:line="250" w:lineRule="exact"/>
      </w:pPr>
    </w:p>
    <w:p>
      <w:pPr>
        <w:widowControl/>
        <w:jc w:val="left"/>
        <w:sectPr>
          <w:type w:val="continuous"/>
          <w:pgSz w:w="11906" w:h="16838"/>
          <w:pgMar w:top="959" w:right="713" w:bottom="719" w:left="1073" w:header="0" w:footer="0" w:gutter="0"/>
          <w:pgNumType w:start="15"/>
          <w:cols w:num="1" w:space="720"/>
          <w:docGrid w:type="lines" w:linePitch="312" w:charSpace="0"/>
        </w:sectPr>
      </w:pPr>
    </w:p>
    <w:p>
      <w:pPr>
        <w:spacing w:before="0" w:after="0" w:line="211" w:lineRule="exact"/>
        <w:ind w:left="60" w:firstLine="0"/>
        <w:jc w:val="left"/>
      </w:pPr>
      <w:r>
        <w:pict>
          <v:shape id="imagerId163" o:spid="_x0000_s1067" type="#_x0000_t75" style="width:17pt;height:10pt;margin-top:294pt;margin-left:56pt;mso-height-relative:page;mso-position-horizontal-relative:page;mso-position-vertical-relative:page;mso-width-relative:page;position:absolute;z-index:-251615232" coordsize="21600,21600" filled="f">
            <v:imagedata r:id="rId41" o:title=""/>
            <o:lock v:ext="edit" aspectratio="t"/>
          </v:shape>
        </w:pict>
      </w:r>
      <w:r>
        <w:pict>
          <v:shape id="imagerId164" o:spid="_x0000_s1068" type="#_x0000_t75" style="width:16pt;height:10pt;margin-top:427pt;margin-left:56pt;mso-height-relative:page;mso-position-horizontal-relative:page;mso-position-vertical-relative:page;mso-width-relative:page;position:absolute;z-index:-251614208" coordsize="21600,21600" filled="f">
            <v:imagedata r:id="rId42"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制定目标。统筹兼顾，上下衔接，科学确定国土空间生态修复近期、远期分阶段的战略目标和</w:t>
      </w:r>
    </w:p>
    <w:p>
      <w:pPr>
        <w:spacing w:before="0" w:after="0" w:line="312" w:lineRule="exact"/>
        <w:ind w:left="60" w:firstLine="852"/>
        <w:jc w:val="left"/>
      </w:pPr>
      <w:r>
        <w:rPr>
          <w:rFonts w:ascii="宋体" w:eastAsia="宋体" w:hAnsi="宋体" w:cs="宋体"/>
          <w:color w:val="000000"/>
          <w:spacing w:val="0"/>
          <w:w w:val="100"/>
          <w:position w:val="0"/>
          <w:sz w:val="21"/>
          <w:u w:val="none"/>
        </w:rPr>
        <w:t>各项指标；</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优化布局。明确市级生态安全格局，遵循生态、农业、城镇三大空间生态演化规律，统筹考虑</w:t>
      </w:r>
    </w:p>
    <w:p>
      <w:pPr>
        <w:spacing w:before="0" w:after="0" w:line="312" w:lineRule="exact"/>
        <w:ind w:left="60" w:firstLine="852"/>
        <w:jc w:val="left"/>
      </w:pPr>
      <w:r>
        <w:rPr>
          <w:rFonts w:ascii="宋体" w:hAnsi="宋体" w:cs="宋体"/>
          <w:color w:val="000000"/>
          <w:spacing w:val="-3"/>
          <w:w w:val="100"/>
          <w:position w:val="0"/>
          <w:sz w:val="21"/>
          <w:u w:val="none"/>
        </w:rPr>
        <w:t>系统完整性、地理单元的连续性和经济社会发展的可持续性，提出生态修复分区布局方案，明</w:t>
      </w:r>
    </w:p>
    <w:p>
      <w:pPr>
        <w:spacing w:before="0" w:after="0" w:line="312" w:lineRule="exact"/>
        <w:ind w:left="60" w:firstLine="852"/>
        <w:jc w:val="left"/>
      </w:pPr>
      <w:r>
        <w:rPr>
          <w:rFonts w:ascii="宋体" w:eastAsia="宋体" w:hAnsi="宋体" w:cs="宋体"/>
          <w:color w:val="000000"/>
          <w:spacing w:val="0"/>
          <w:w w:val="100"/>
          <w:position w:val="0"/>
          <w:sz w:val="21"/>
          <w:u w:val="none"/>
        </w:rPr>
        <w:t>确保护修复的重点区域，形成总体布局一张图；</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明确任务。统筹推进生态系统保护修复、农业空间修复整治、城镇空间生态提质和重要生态廊</w:t>
      </w:r>
    </w:p>
    <w:p>
      <w:pPr>
        <w:spacing w:before="0" w:after="0" w:line="312" w:lineRule="exact"/>
        <w:ind w:left="60" w:firstLine="852"/>
        <w:jc w:val="left"/>
      </w:pPr>
      <w:r>
        <w:rPr>
          <w:rFonts w:ascii="宋体" w:hAnsi="宋体" w:cs="宋体"/>
          <w:color w:val="000000"/>
          <w:spacing w:val="-3"/>
          <w:w w:val="100"/>
          <w:position w:val="0"/>
          <w:sz w:val="21"/>
          <w:u w:val="none"/>
        </w:rPr>
        <w:t>道与生物多样性网络构建等生态修复任务。遵循自然规律和经济社会发展规律，形成各有侧重、</w:t>
      </w:r>
    </w:p>
    <w:p>
      <w:pPr>
        <w:spacing w:before="0" w:after="0" w:line="312" w:lineRule="exact"/>
        <w:ind w:left="60" w:firstLine="852"/>
        <w:jc w:val="left"/>
      </w:pPr>
      <w:r>
        <w:rPr>
          <w:rFonts w:ascii="宋体" w:eastAsia="宋体" w:hAnsi="宋体" w:cs="宋体"/>
          <w:color w:val="000000"/>
          <w:spacing w:val="0"/>
          <w:w w:val="100"/>
          <w:position w:val="0"/>
          <w:sz w:val="21"/>
          <w:u w:val="none"/>
        </w:rPr>
        <w:t>基于自然的解决方案；</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8"/>
          <w:w w:val="100"/>
          <w:position w:val="0"/>
          <w:sz w:val="21"/>
          <w:u w:val="none"/>
        </w:rPr>
        <w:t>谋划工程。统筹好当前与长远、局部与全局关系，聚焦重点区域与重点领域，系统谋划项目库，</w:t>
      </w:r>
    </w:p>
    <w:p>
      <w:pPr>
        <w:spacing w:before="0" w:after="0" w:line="313" w:lineRule="exact"/>
        <w:ind w:left="60" w:firstLine="852"/>
        <w:jc w:val="left"/>
      </w:pPr>
      <w:r>
        <w:rPr>
          <w:rFonts w:ascii="宋体" w:eastAsia="宋体" w:hAnsi="宋体" w:cs="宋体"/>
          <w:color w:val="000000"/>
          <w:spacing w:val="0"/>
          <w:w w:val="100"/>
          <w:position w:val="0"/>
          <w:sz w:val="21"/>
          <w:u w:val="none"/>
        </w:rPr>
        <w:t>明确主体责任和建设时序；</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实施保障。建立健全部门协同、市县联动、生态补偿与市场化、评估监管与能力建设等配套机</w:t>
      </w:r>
    </w:p>
    <w:p>
      <w:pPr>
        <w:spacing w:before="0" w:after="0" w:line="312" w:lineRule="exact"/>
        <w:ind w:left="60" w:firstLine="852"/>
        <w:jc w:val="left"/>
      </w:pPr>
      <w:r>
        <w:rPr>
          <w:rFonts w:ascii="宋体" w:hAnsi="宋体" w:cs="宋体"/>
          <w:color w:val="000000"/>
          <w:spacing w:val="0"/>
          <w:w w:val="100"/>
          <w:position w:val="0"/>
          <w:sz w:val="21"/>
          <w:u w:val="none"/>
        </w:rPr>
        <w:t>制，提出加强区域协调、部门协同、上下联动的国土空间生态修复规划制度和保障措施。</w:t>
      </w:r>
    </w:p>
    <w:p>
      <w:pPr>
        <w:spacing w:before="0" w:after="0" w:line="240" w:lineRule="exact"/>
        <w:ind w:left="60" w:firstLine="852"/>
      </w:pPr>
    </w:p>
    <w:p>
      <w:pPr>
        <w:spacing w:before="0" w:after="0" w:line="228" w:lineRule="exact"/>
        <w:ind w:left="60" w:firstLine="526"/>
        <w:jc w:val="left"/>
      </w:pPr>
      <w:r>
        <w:rPr>
          <w:rFonts w:ascii="黑体" w:eastAsia="黑体" w:hAnsi="黑体" w:cs="黑体"/>
          <w:color w:val="000000"/>
          <w:spacing w:val="0"/>
          <w:w w:val="100"/>
          <w:position w:val="0"/>
          <w:sz w:val="21"/>
          <w:u w:val="none"/>
        </w:rPr>
        <w:t>成果建议</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提出统筹和科学推进市级国土空间生态修复的总体思路、目标任务、总体布局、重点项目、时序安</w:t>
      </w:r>
    </w:p>
    <w:p>
      <w:pPr>
        <w:spacing w:before="0" w:after="0" w:line="312" w:lineRule="exact"/>
        <w:ind w:left="60" w:firstLine="0"/>
        <w:jc w:val="left"/>
      </w:pPr>
      <w:r>
        <w:rPr>
          <w:rFonts w:ascii="宋体" w:hAnsi="宋体" w:cs="宋体"/>
          <w:color w:val="000000"/>
          <w:spacing w:val="-5"/>
          <w:w w:val="100"/>
          <w:position w:val="0"/>
          <w:sz w:val="21"/>
          <w:u w:val="none"/>
        </w:rPr>
        <w:t>排、资金估算、政策措施等，形成市级国土空间生态修复规划文本（见附录</w:t>
      </w:r>
      <w:r>
        <w:rPr>
          <w:rFonts w:ascii="宋体" w:hAnsi="宋体" w:cs="宋体"/>
          <w:color w:val="000000"/>
          <w:spacing w:val="0"/>
          <w:w w:val="100"/>
          <w:position w:val="0"/>
          <w:sz w:val="21"/>
          <w:u w:val="none"/>
        </w:rPr>
        <w:t>A</w:t>
      </w:r>
      <w:r>
        <w:rPr>
          <w:rFonts w:ascii="宋体" w:hAnsi="宋体" w:cs="宋体"/>
          <w:color w:val="000000"/>
          <w:spacing w:val="-12"/>
          <w:w w:val="100"/>
          <w:position w:val="0"/>
          <w:sz w:val="21"/>
          <w:u w:val="none"/>
        </w:rPr>
        <w:t>）、规划附表（见附录</w:t>
      </w:r>
      <w:r>
        <w:rPr>
          <w:rFonts w:ascii="宋体" w:hAnsi="宋体" w:cs="宋体"/>
          <w:color w:val="000000"/>
          <w:spacing w:val="0"/>
          <w:w w:val="100"/>
          <w:position w:val="0"/>
          <w:sz w:val="21"/>
          <w:u w:val="none"/>
        </w:rPr>
        <w:t>B</w:t>
      </w:r>
      <w:r>
        <w:rPr>
          <w:rFonts w:ascii="宋体" w:hAnsi="宋体" w:cs="宋体"/>
          <w:color w:val="000000"/>
          <w:spacing w:val="-18"/>
          <w:w w:val="100"/>
          <w:position w:val="0"/>
          <w:sz w:val="21"/>
          <w:u w:val="none"/>
        </w:rPr>
        <w:t>）、</w:t>
      </w:r>
    </w:p>
    <w:p>
      <w:pPr>
        <w:spacing w:before="0" w:after="0" w:line="312" w:lineRule="exact"/>
        <w:ind w:left="60" w:firstLine="0"/>
        <w:jc w:val="left"/>
      </w:pPr>
      <w:r>
        <w:rPr>
          <w:rFonts w:ascii="宋体" w:eastAsia="宋体" w:hAnsi="宋体" w:cs="宋体"/>
          <w:color w:val="000000"/>
          <w:spacing w:val="0"/>
          <w:w w:val="100"/>
          <w:position w:val="0"/>
          <w:sz w:val="21"/>
          <w:u w:val="none"/>
        </w:rPr>
        <w:t>规划图件（见附录</w:t>
      </w:r>
      <w:r>
        <w:rPr>
          <w:rFonts w:ascii="宋体" w:hAnsi="宋体" w:cs="宋体"/>
          <w:color w:val="000000"/>
          <w:spacing w:val="0"/>
          <w:w w:val="100"/>
          <w:position w:val="0"/>
          <w:sz w:val="21"/>
          <w:u w:val="none"/>
        </w:rPr>
        <w:t>C）、编制说明（见附录D）、专题研究报告、数据库及其他材料（见附录E</w:t>
      </w:r>
      <w:r>
        <w:rPr>
          <w:rFonts w:ascii="宋体" w:eastAsia="宋体" w:hAnsi="宋体" w:cs="宋体"/>
          <w:color w:val="000000"/>
          <w:spacing w:val="0"/>
          <w:w w:val="100"/>
          <w:position w:val="0"/>
          <w:sz w:val="21"/>
          <w:u w:val="none"/>
        </w:rPr>
        <w:t>）等相关</w:t>
      </w:r>
    </w:p>
    <w:p>
      <w:pPr>
        <w:spacing w:before="0" w:after="0" w:line="312" w:lineRule="exact"/>
        <w:ind w:left="60" w:firstLine="0"/>
        <w:jc w:val="left"/>
      </w:pPr>
      <w:r>
        <w:rPr>
          <w:rFonts w:ascii="宋体" w:hAnsi="宋体" w:cs="宋体"/>
          <w:color w:val="000000"/>
          <w:spacing w:val="0"/>
          <w:w w:val="100"/>
          <w:position w:val="0"/>
          <w:sz w:val="21"/>
          <w:u w:val="none"/>
        </w:rPr>
        <w:t>成果。</w:t>
      </w:r>
    </w:p>
    <w:p>
      <w:pPr>
        <w:widowControl/>
        <w:jc w:val="left"/>
        <w:sectPr>
          <w:type w:val="continuous"/>
          <w:pgSz w:w="11906" w:h="16838"/>
          <w:pgMar w:top="959" w:right="713" w:bottom="719" w:left="1073" w:header="0" w:footer="0" w:gutter="0"/>
          <w:pgNumType w:start="16"/>
          <w:cols w:num="1" w:space="708" w:equalWidth="0">
            <w:col w:w="10121" w:space="0"/>
          </w:cols>
          <w:docGrid w:type="lines" w:linePitch="312" w:charSpace="0"/>
        </w:sectPr>
      </w:pPr>
    </w:p>
    <w:p>
      <w:pPr>
        <w:spacing w:before="0" w:after="0" w:line="413" w:lineRule="exact"/>
        <w:ind w:left="60" w:firstLine="0"/>
      </w:pPr>
    </w:p>
    <w:p>
      <w:pPr>
        <w:widowControl/>
        <w:jc w:val="left"/>
        <w:sectPr>
          <w:type w:val="continuous"/>
          <w:pgSz w:w="11906" w:h="16838"/>
          <w:pgMar w:top="959" w:right="713" w:bottom="719" w:left="1073" w:header="0" w:footer="0" w:gutter="0"/>
          <w:pgNumType w:start="17"/>
          <w:cols w:num="1" w:space="720"/>
          <w:docGrid w:type="lines" w:linePitch="312" w:charSpace="0"/>
        </w:sectPr>
      </w:pPr>
    </w:p>
    <w:p>
      <w:pPr>
        <w:tabs>
          <w:tab w:val="left" w:pos="375"/>
        </w:tabs>
        <w:spacing w:before="0" w:after="0" w:line="211"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基础工作</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准备工作</w:t>
      </w:r>
    </w:p>
    <w:p>
      <w:pPr>
        <w:spacing w:before="0" w:after="0" w:line="1007" w:lineRule="exact"/>
        <w:ind w:firstLine="0"/>
        <w:jc w:val="left"/>
        <w:rPr>
          <w:rFonts w:hint="eastAsia"/>
        </w:rPr>
      </w:pPr>
      <w:r>
        <w:br w:type="column"/>
      </w:r>
    </w:p>
    <w:p>
      <w:pPr>
        <w:widowControl/>
        <w:jc w:val="left"/>
        <w:sectPr>
          <w:type w:val="continuous"/>
          <w:pgSz w:w="11906" w:h="16838"/>
          <w:pgMar w:top="959" w:right="713" w:bottom="719" w:left="1073" w:header="0" w:footer="0" w:gutter="0"/>
          <w:pgNumType w:start="18"/>
          <w:cols w:num="2" w:space="708" w:equalWidth="0">
            <w:col w:w="1760" w:space="0"/>
            <w:col w:w="8360" w:space="0"/>
          </w:cols>
          <w:docGrid w:type="lines" w:linePitch="312" w:charSpace="0"/>
        </w:sectPr>
      </w:pPr>
    </w:p>
    <w:p>
      <w:pPr>
        <w:spacing w:before="0" w:after="0" w:line="85" w:lineRule="exact"/>
        <w:ind w:firstLine="0"/>
      </w:pPr>
    </w:p>
    <w:p>
      <w:pPr>
        <w:widowControl/>
        <w:jc w:val="left"/>
        <w:sectPr>
          <w:type w:val="continuous"/>
          <w:pgSz w:w="11906" w:h="16838"/>
          <w:pgMar w:top="959" w:right="713" w:bottom="719" w:left="1073" w:header="0" w:footer="0" w:gutter="0"/>
          <w:pgNumType w:start="19"/>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5.1.1</w:t>
      </w:r>
      <w:r>
        <w:rPr>
          <w:rFonts w:cs="Calibri"/>
          <w:spacing w:val="0"/>
          <w:w w:val="100"/>
        </w:rPr>
        <w:tab/>
      </w:r>
      <w:r>
        <w:rPr>
          <w:rFonts w:ascii="黑体" w:eastAsia="黑体" w:hAnsi="黑体" w:cs="黑体"/>
          <w:color w:val="000000"/>
          <w:spacing w:val="0"/>
          <w:w w:val="100"/>
          <w:position w:val="0"/>
          <w:sz w:val="21"/>
          <w:u w:val="none"/>
        </w:rPr>
        <w:t>组建团队</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市级自然资源主管部门牵头组建规划编制工作团队，建议涵盖地理、生态、规划等专业领域，负责</w:t>
      </w:r>
    </w:p>
    <w:p>
      <w:pPr>
        <w:spacing w:before="0" w:after="0" w:line="312" w:lineRule="exact"/>
        <w:ind w:left="60" w:firstLine="0"/>
        <w:jc w:val="left"/>
      </w:pPr>
      <w:r>
        <w:rPr>
          <w:rFonts w:ascii="宋体" w:hAnsi="宋体" w:cs="宋体"/>
          <w:color w:val="000000"/>
          <w:spacing w:val="0"/>
          <w:w w:val="100"/>
          <w:position w:val="0"/>
          <w:sz w:val="21"/>
          <w:u w:val="none"/>
        </w:rPr>
        <w:t>方案制定、调查分析、基础研究、成果编制等工作。</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技术准备</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5.1.2.1</w:t>
      </w:r>
      <w:r>
        <w:rPr>
          <w:rFonts w:cs="Calibri"/>
          <w:spacing w:val="0"/>
          <w:w w:val="100"/>
        </w:rPr>
        <w:tab/>
      </w:r>
      <w:r>
        <w:rPr>
          <w:rFonts w:ascii="黑体" w:eastAsia="黑体" w:hAnsi="黑体" w:cs="黑体"/>
          <w:color w:val="000000"/>
          <w:spacing w:val="0"/>
          <w:w w:val="100"/>
          <w:position w:val="0"/>
          <w:sz w:val="21"/>
          <w:u w:val="none"/>
        </w:rPr>
        <w:t>拟订工作方案</w:t>
      </w:r>
    </w:p>
    <w:p>
      <w:pPr>
        <w:spacing w:before="0" w:after="0" w:line="240" w:lineRule="exact"/>
        <w:ind w:left="60" w:firstLine="0"/>
      </w:pPr>
    </w:p>
    <w:p>
      <w:pPr>
        <w:spacing w:before="0" w:after="0" w:line="229" w:lineRule="exact"/>
        <w:ind w:left="60" w:firstLine="420"/>
        <w:jc w:val="left"/>
      </w:pPr>
      <w:r>
        <w:rPr>
          <w:rFonts w:ascii="宋体" w:hAnsi="宋体" w:cs="宋体"/>
          <w:color w:val="000000"/>
          <w:spacing w:val="-3"/>
          <w:w w:val="100"/>
          <w:position w:val="0"/>
          <w:sz w:val="21"/>
          <w:u w:val="none"/>
        </w:rPr>
        <w:t>明确编制工作的指导思想、基本原则、目标任务、技术路线、专题设置、进度安排、成果要求、工</w:t>
      </w:r>
    </w:p>
    <w:p>
      <w:pPr>
        <w:spacing w:before="0" w:after="0" w:line="312" w:lineRule="exact"/>
        <w:ind w:left="60" w:firstLine="0"/>
        <w:jc w:val="left"/>
      </w:pPr>
      <w:r>
        <w:rPr>
          <w:rFonts w:ascii="宋体" w:hAnsi="宋体" w:cs="宋体"/>
          <w:color w:val="000000"/>
          <w:spacing w:val="0"/>
          <w:w w:val="100"/>
          <w:position w:val="0"/>
          <w:sz w:val="21"/>
          <w:u w:val="none"/>
        </w:rPr>
        <w:t>作组织和经费保障等。</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5.1.2.2</w:t>
      </w:r>
      <w:r>
        <w:rPr>
          <w:rFonts w:cs="Calibri"/>
          <w:spacing w:val="0"/>
          <w:w w:val="100"/>
        </w:rPr>
        <w:tab/>
      </w:r>
      <w:r>
        <w:rPr>
          <w:rFonts w:ascii="黑体" w:eastAsia="黑体" w:hAnsi="黑体" w:cs="黑体"/>
          <w:color w:val="000000"/>
          <w:spacing w:val="0"/>
          <w:w w:val="100"/>
          <w:position w:val="0"/>
          <w:sz w:val="21"/>
          <w:u w:val="none"/>
        </w:rPr>
        <w:t>收集基础资料</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具体如下：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自然地理数据及资料。包括相应层级行政边界等基础测绘和地理国情监测数据，以及地形或地</w:t>
      </w:r>
    </w:p>
    <w:p>
      <w:pPr>
        <w:spacing w:before="0" w:after="0" w:line="312" w:lineRule="exact"/>
        <w:ind w:left="60" w:firstLine="852"/>
        <w:jc w:val="left"/>
      </w:pPr>
      <w:r>
        <w:rPr>
          <w:rFonts w:ascii="宋体" w:hAnsi="宋体" w:cs="宋体"/>
          <w:color w:val="000000"/>
          <w:spacing w:val="0"/>
          <w:w w:val="100"/>
          <w:position w:val="0"/>
          <w:sz w:val="21"/>
          <w:u w:val="none"/>
        </w:rPr>
        <w:t>貌、地质、水文、气候、土壤、生物等自然地理信息；</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生态基础数据资料。包括历史多期全市主要生态系统调查监测数据，生物多样性、石漠化、水</w:t>
      </w:r>
    </w:p>
    <w:p>
      <w:pPr>
        <w:spacing w:before="0" w:after="0" w:line="312" w:lineRule="exact"/>
        <w:ind w:left="60" w:firstLine="852"/>
        <w:jc w:val="left"/>
      </w:pPr>
      <w:r>
        <w:rPr>
          <w:rFonts w:ascii="宋体" w:hAnsi="宋体" w:cs="宋体"/>
          <w:color w:val="000000"/>
          <w:spacing w:val="-8"/>
          <w:w w:val="100"/>
          <w:position w:val="0"/>
          <w:sz w:val="21"/>
          <w:u w:val="none"/>
        </w:rPr>
        <w:t>土流失、矿山地质环境、海岸带和海岛海域、海岸线修测等专项调查监测成果，相关科研成果；</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自然资源调查监测数据资料。包括第三次全国国土调查成果（以下简称“三调”）、历史多期</w:t>
      </w:r>
    </w:p>
    <w:p>
      <w:pPr>
        <w:spacing w:before="0" w:after="0" w:line="312" w:lineRule="exact"/>
        <w:ind w:left="60" w:firstLine="852"/>
        <w:jc w:val="left"/>
      </w:pPr>
      <w:r>
        <w:rPr>
          <w:rFonts w:ascii="宋体" w:hAnsi="宋体" w:cs="宋体"/>
          <w:color w:val="000000"/>
          <w:spacing w:val="-3"/>
          <w:w w:val="100"/>
          <w:position w:val="0"/>
          <w:sz w:val="21"/>
          <w:u w:val="none"/>
        </w:rPr>
        <w:t>全市土地利用调查数据、土地利用变更调查数据，耕地、森林、湿地、水、海洋、矿产等自然</w:t>
      </w:r>
    </w:p>
    <w:p>
      <w:pPr>
        <w:spacing w:before="0" w:after="0" w:line="312" w:lineRule="exact"/>
        <w:ind w:left="60" w:firstLine="852"/>
        <w:jc w:val="left"/>
      </w:pPr>
      <w:r>
        <w:rPr>
          <w:rFonts w:ascii="宋体" w:eastAsia="宋体" w:hAnsi="宋体" w:cs="宋体"/>
          <w:color w:val="000000"/>
          <w:spacing w:val="0"/>
          <w:w w:val="100"/>
          <w:position w:val="0"/>
          <w:sz w:val="21"/>
          <w:u w:val="none"/>
        </w:rPr>
        <w:t>资源调查监测成果数据；</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经济社会数据资料。包括人口、经济、农业、城镇建设，以及相关部门、行业的专项数据；</w:t>
      </w:r>
    </w:p>
    <w:p>
      <w:pPr>
        <w:spacing w:before="0" w:after="0" w:line="240" w:lineRule="exact"/>
        <w:ind w:left="60" w:firstLine="425"/>
      </w:pPr>
    </w:p>
    <w:p>
      <w:pPr>
        <w:spacing w:before="0" w:after="0" w:line="240" w:lineRule="exact"/>
        <w:ind w:left="60" w:firstLine="425"/>
      </w:pPr>
    </w:p>
    <w:p>
      <w:pPr>
        <w:spacing w:before="0" w:after="0" w:line="200" w:lineRule="exact"/>
        <w:ind w:left="60" w:firstLine="197"/>
        <w:jc w:val="left"/>
      </w:pPr>
      <w:r>
        <w:rPr>
          <w:rFonts w:ascii="宋体" w:hAnsi="宋体" w:cs="宋体"/>
          <w:color w:val="000000"/>
          <w:spacing w:val="-1"/>
          <w:w w:val="100"/>
          <w:position w:val="0"/>
          <w:sz w:val="18"/>
          <w:u w:val="none"/>
        </w:rPr>
        <w:t>4</w:t>
      </w:r>
    </w:p>
    <w:p>
      <w:pPr>
        <w:widowControl/>
        <w:jc w:val="left"/>
        <w:sectPr>
          <w:type w:val="continuous"/>
          <w:pgSz w:w="11906" w:h="16838"/>
          <w:pgMar w:top="959" w:right="713" w:bottom="719" w:left="1073" w:header="0" w:footer="0" w:gutter="0"/>
          <w:pgNumType w:start="20"/>
          <w:cols w:num="1" w:space="708" w:equalWidth="0">
            <w:col w:w="10121" w:space="0"/>
          </w:cols>
          <w:docGrid w:type="lines" w:linePitch="312" w:charSpace="0"/>
        </w:sectPr>
      </w:pPr>
    </w:p>
    <w:p>
      <w:pPr>
        <w:spacing w:before="0" w:after="0" w:line="240" w:lineRule="exact"/>
      </w:pPr>
      <w:bookmarkStart w:id="9" w:name="9"/>
      <w:bookmarkEnd w:id="9"/>
    </w:p>
    <w:p>
      <w:pPr>
        <w:spacing w:before="0" w:after="0" w:line="240" w:lineRule="exact"/>
      </w:pPr>
    </w:p>
    <w:p>
      <w:pPr>
        <w:spacing w:before="0" w:after="0" w:line="221" w:lineRule="exact"/>
        <w:ind w:left="559" w:firstLine="7571"/>
        <w:jc w:val="left"/>
      </w:pPr>
      <w:r>
        <w:pict>
          <v:shape id="_x0000_s2095" o:spid="_x0000_s1069" type="#_x0000_t202" style="width:332pt;height:53pt;margin-top:397.7pt;margin-left:141.6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65" o:spid="_x0000_s1070" type="#_x0000_t75" style="width:17pt;height:9pt;margin-top:326pt;margin-left:70pt;mso-height-relative:page;mso-position-horizontal-relative:page;mso-position-vertical-relative:page;mso-width-relative:page;position:absolute;z-index:-251613184" coordsize="21600,21600" filled="f">
            <v:imagedata r:id="rId43"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559" w:firstLine="7571"/>
      </w:pPr>
    </w:p>
    <w:p>
      <w:pPr>
        <w:spacing w:before="0" w:after="0" w:line="290" w:lineRule="exact"/>
        <w:ind w:left="55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相关规划和成果。包括生态保护红线、永久基本农田、城镇开发边界三条控制线划定成果，市</w:t>
      </w:r>
    </w:p>
    <w:p>
      <w:pPr>
        <w:spacing w:before="0" w:after="0" w:line="312" w:lineRule="exact"/>
        <w:ind w:left="559" w:firstLine="852"/>
        <w:jc w:val="left"/>
      </w:pPr>
      <w:r>
        <w:rPr>
          <w:rFonts w:ascii="宋体" w:hAnsi="宋体" w:cs="宋体"/>
          <w:color w:val="000000"/>
          <w:spacing w:val="-8"/>
          <w:w w:val="100"/>
          <w:position w:val="0"/>
          <w:sz w:val="21"/>
          <w:u w:val="none"/>
        </w:rPr>
        <w:t>级国土空间总体规划资源环境承载能力和国土空间开发适宜性评价成果（以下简称“双评价”），</w:t>
      </w:r>
    </w:p>
    <w:p>
      <w:pPr>
        <w:spacing w:before="0" w:after="0" w:line="312" w:lineRule="exact"/>
        <w:ind w:left="559" w:firstLine="852"/>
        <w:jc w:val="left"/>
      </w:pPr>
      <w:r>
        <w:rPr>
          <w:rFonts w:ascii="宋体" w:hAnsi="宋体" w:cs="宋体"/>
          <w:color w:val="000000"/>
          <w:spacing w:val="-8"/>
          <w:w w:val="100"/>
          <w:position w:val="0"/>
          <w:sz w:val="21"/>
          <w:u w:val="none"/>
        </w:rPr>
        <w:t>城市体检评估成果等其他有关的国土空间规划成果，自然保护地建设情况，林草、矿产、海洋、</w:t>
      </w:r>
    </w:p>
    <w:p>
      <w:pPr>
        <w:spacing w:before="0" w:after="0" w:line="312" w:lineRule="exact"/>
        <w:ind w:left="559" w:firstLine="852"/>
        <w:jc w:val="left"/>
      </w:pPr>
      <w:r>
        <w:rPr>
          <w:rFonts w:ascii="宋体" w:hAnsi="宋体" w:cs="宋体"/>
          <w:color w:val="000000"/>
          <w:spacing w:val="0"/>
          <w:w w:val="100"/>
          <w:position w:val="0"/>
          <w:sz w:val="21"/>
          <w:u w:val="none"/>
        </w:rPr>
        <w:t>产业、交通、水利等相关领域规划或成果等。</w:t>
      </w:r>
    </w:p>
    <w:p>
      <w:pPr>
        <w:spacing w:before="0" w:after="0" w:line="240" w:lineRule="exact"/>
        <w:ind w:left="559" w:firstLine="852"/>
      </w:pPr>
    </w:p>
    <w:p>
      <w:pPr>
        <w:tabs>
          <w:tab w:val="left" w:pos="1505"/>
        </w:tabs>
        <w:spacing w:before="0" w:after="0" w:line="228" w:lineRule="exact"/>
        <w:ind w:left="559" w:firstLine="0"/>
        <w:jc w:val="left"/>
      </w:pPr>
      <w:r>
        <w:rPr>
          <w:rFonts w:ascii="黑体" w:hAnsi="黑体" w:cs="黑体"/>
          <w:color w:val="000000"/>
          <w:spacing w:val="0"/>
          <w:w w:val="100"/>
          <w:position w:val="0"/>
          <w:sz w:val="21"/>
          <w:u w:val="none"/>
        </w:rPr>
        <w:t>5.1.2.3</w:t>
      </w:r>
      <w:r>
        <w:rPr>
          <w:rFonts w:cs="Calibri"/>
          <w:spacing w:val="0"/>
          <w:w w:val="100"/>
        </w:rPr>
        <w:tab/>
      </w:r>
      <w:r>
        <w:rPr>
          <w:rFonts w:ascii="黑体" w:eastAsia="黑体" w:hAnsi="黑体" w:cs="黑体"/>
          <w:color w:val="000000"/>
          <w:spacing w:val="0"/>
          <w:w w:val="100"/>
          <w:position w:val="0"/>
          <w:sz w:val="21"/>
          <w:u w:val="none"/>
        </w:rPr>
        <w:t>确定底数底图</w:t>
      </w:r>
    </w:p>
    <w:p>
      <w:pPr>
        <w:spacing w:before="0" w:after="0" w:line="240" w:lineRule="exact"/>
        <w:ind w:left="559" w:firstLine="0"/>
      </w:pPr>
    </w:p>
    <w:p>
      <w:pPr>
        <w:spacing w:before="0" w:after="0" w:line="228" w:lineRule="exact"/>
        <w:ind w:left="559" w:firstLine="420"/>
        <w:jc w:val="left"/>
      </w:pPr>
      <w:r>
        <w:rPr>
          <w:rFonts w:ascii="宋体" w:hAnsi="宋体" w:cs="宋体"/>
          <w:color w:val="000000"/>
          <w:spacing w:val="-3"/>
          <w:w w:val="100"/>
          <w:position w:val="0"/>
          <w:sz w:val="21"/>
          <w:u w:val="none"/>
        </w:rPr>
        <w:t>在“三调”成果的基础上，采用规划基准年的年度国土变更调查现状数据作为规划现状底图和底数</w:t>
      </w:r>
    </w:p>
    <w:p>
      <w:pPr>
        <w:spacing w:before="0" w:after="0" w:line="312" w:lineRule="exact"/>
        <w:ind w:left="559" w:firstLine="0"/>
        <w:jc w:val="left"/>
      </w:pPr>
      <w:r>
        <w:rPr>
          <w:rFonts w:ascii="宋体" w:eastAsia="宋体" w:hAnsi="宋体" w:cs="宋体"/>
          <w:color w:val="000000"/>
          <w:spacing w:val="-5"/>
          <w:w w:val="100"/>
          <w:position w:val="0"/>
          <w:sz w:val="21"/>
          <w:u w:val="none"/>
        </w:rPr>
        <w:t>基础，以其他各类调查监测成果为补充，统一采用</w:t>
      </w:r>
      <w:r>
        <w:rPr>
          <w:rFonts w:ascii="宋体" w:hAnsi="宋体" w:cs="宋体"/>
          <w:color w:val="000000"/>
          <w:spacing w:val="0"/>
          <w:w w:val="100"/>
          <w:position w:val="0"/>
          <w:sz w:val="21"/>
          <w:u w:val="none"/>
        </w:rPr>
        <w:t>2000</w:t>
      </w:r>
      <w:r>
        <w:rPr>
          <w:rFonts w:ascii="宋体" w:eastAsia="宋体" w:hAnsi="宋体" w:cs="宋体"/>
          <w:color w:val="000000"/>
          <w:spacing w:val="0"/>
          <w:w w:val="100"/>
          <w:position w:val="0"/>
          <w:sz w:val="21"/>
          <w:u w:val="none"/>
        </w:rPr>
        <w:t>国家大地坐标系和</w:t>
      </w:r>
      <w:r>
        <w:rPr>
          <w:rFonts w:ascii="宋体" w:hAnsi="宋体" w:cs="宋体"/>
          <w:color w:val="000000"/>
          <w:spacing w:val="0"/>
          <w:w w:val="100"/>
          <w:position w:val="0"/>
          <w:sz w:val="21"/>
          <w:u w:val="none"/>
        </w:rPr>
        <w:t>1985</w:t>
      </w:r>
      <w:r>
        <w:rPr>
          <w:rFonts w:ascii="宋体" w:eastAsia="宋体" w:hAnsi="宋体" w:cs="宋体"/>
          <w:color w:val="000000"/>
          <w:spacing w:val="0"/>
          <w:w w:val="100"/>
          <w:position w:val="0"/>
          <w:sz w:val="21"/>
          <w:u w:val="none"/>
        </w:rPr>
        <w:t>国家高程基准作为空间定</w:t>
      </w:r>
    </w:p>
    <w:p>
      <w:pPr>
        <w:spacing w:before="0" w:after="0" w:line="312" w:lineRule="exact"/>
        <w:ind w:left="559" w:firstLine="0"/>
        <w:jc w:val="left"/>
      </w:pPr>
      <w:r>
        <w:rPr>
          <w:rFonts w:ascii="宋体" w:hAnsi="宋体" w:cs="宋体"/>
          <w:color w:val="000000"/>
          <w:spacing w:val="0"/>
          <w:w w:val="100"/>
          <w:position w:val="0"/>
          <w:sz w:val="21"/>
          <w:u w:val="none"/>
        </w:rPr>
        <w:t>位基础，形成坐标一致、边界吻合、上下贯通的工作底图。涉海地区要增加所辖海域海岛底图底数。</w:t>
      </w:r>
    </w:p>
    <w:p>
      <w:pPr>
        <w:spacing w:before="0" w:after="0" w:line="240" w:lineRule="exact"/>
        <w:ind w:left="559" w:firstLine="0"/>
      </w:pPr>
    </w:p>
    <w:p>
      <w:pPr>
        <w:tabs>
          <w:tab w:val="left" w:pos="1505"/>
        </w:tabs>
        <w:spacing w:before="0" w:after="0" w:line="229" w:lineRule="exact"/>
        <w:ind w:left="559" w:firstLine="0"/>
        <w:jc w:val="left"/>
      </w:pPr>
      <w:r>
        <w:rPr>
          <w:rFonts w:ascii="黑体" w:hAnsi="黑体" w:cs="黑体"/>
          <w:color w:val="000000"/>
          <w:spacing w:val="0"/>
          <w:w w:val="100"/>
          <w:position w:val="0"/>
          <w:sz w:val="21"/>
          <w:u w:val="none"/>
        </w:rPr>
        <w:t>5.1.2.4</w:t>
      </w:r>
      <w:r>
        <w:rPr>
          <w:rFonts w:cs="Calibri"/>
          <w:spacing w:val="-3"/>
          <w:w w:val="100"/>
        </w:rPr>
        <w:tab/>
      </w:r>
      <w:r>
        <w:rPr>
          <w:rFonts w:ascii="黑体" w:eastAsia="黑体" w:hAnsi="黑体" w:cs="黑体"/>
          <w:color w:val="000000"/>
          <w:spacing w:val="0"/>
          <w:w w:val="100"/>
          <w:position w:val="0"/>
          <w:sz w:val="21"/>
          <w:u w:val="none"/>
        </w:rPr>
        <w:t>评估既往工作</w:t>
      </w:r>
    </w:p>
    <w:p>
      <w:pPr>
        <w:spacing w:before="0" w:after="0" w:line="240" w:lineRule="exact"/>
        <w:ind w:left="559" w:firstLine="0"/>
      </w:pPr>
    </w:p>
    <w:p>
      <w:pPr>
        <w:spacing w:before="0" w:after="0" w:line="228" w:lineRule="exact"/>
        <w:ind w:left="559" w:firstLine="420"/>
        <w:jc w:val="left"/>
      </w:pPr>
      <w:r>
        <w:rPr>
          <w:rFonts w:ascii="宋体" w:hAnsi="宋体" w:cs="宋体"/>
          <w:color w:val="000000"/>
          <w:spacing w:val="0"/>
          <w:w w:val="100"/>
          <w:position w:val="0"/>
          <w:sz w:val="21"/>
          <w:u w:val="none"/>
        </w:rPr>
        <w:t>针对本行政区范围内涉及生态修复的各类规划及相关工作（如山水林田湖草沙一体化保护和修复、</w:t>
      </w:r>
    </w:p>
    <w:p>
      <w:pPr>
        <w:spacing w:before="0" w:after="0" w:line="312" w:lineRule="exact"/>
        <w:ind w:left="559" w:firstLine="0"/>
        <w:jc w:val="left"/>
      </w:pPr>
      <w:r>
        <w:rPr>
          <w:rFonts w:ascii="宋体" w:hAnsi="宋体" w:cs="宋体"/>
          <w:color w:val="000000"/>
          <w:spacing w:val="-3"/>
          <w:w w:val="100"/>
          <w:position w:val="0"/>
          <w:sz w:val="21"/>
          <w:u w:val="none"/>
        </w:rPr>
        <w:t>全域土地综合整治、国土绿化、绿美广东生态建设、自然保护地建设、矿山生态修复、海洋生态保护修</w:t>
      </w:r>
    </w:p>
    <w:p>
      <w:pPr>
        <w:spacing w:before="0" w:after="0" w:line="312" w:lineRule="exact"/>
        <w:ind w:left="559" w:firstLine="0"/>
        <w:jc w:val="left"/>
      </w:pPr>
      <w:r>
        <w:rPr>
          <w:rFonts w:ascii="宋体" w:hAnsi="宋体" w:cs="宋体"/>
          <w:color w:val="000000"/>
          <w:spacing w:val="0"/>
          <w:w w:val="100"/>
          <w:position w:val="0"/>
          <w:sz w:val="21"/>
          <w:u w:val="none"/>
        </w:rPr>
        <w:t>复等）开展情况，进行简要评估，总结实施成效与不足等。</w:t>
      </w:r>
    </w:p>
    <w:p>
      <w:pPr>
        <w:spacing w:before="0" w:after="0" w:line="240" w:lineRule="exact"/>
        <w:ind w:left="559" w:firstLine="0"/>
      </w:pPr>
    </w:p>
    <w:p>
      <w:pPr>
        <w:spacing w:before="0" w:after="0" w:line="228" w:lineRule="exact"/>
        <w:ind w:left="559" w:firstLine="526"/>
        <w:jc w:val="left"/>
      </w:pPr>
      <w:r>
        <w:rPr>
          <w:rFonts w:ascii="黑体" w:eastAsia="黑体" w:hAnsi="黑体" w:cs="黑体"/>
          <w:color w:val="000000"/>
          <w:spacing w:val="0"/>
          <w:w w:val="100"/>
          <w:position w:val="0"/>
          <w:sz w:val="21"/>
          <w:u w:val="none"/>
        </w:rPr>
        <w:t>分析评价</w:t>
      </w:r>
    </w:p>
    <w:p>
      <w:pPr>
        <w:spacing w:before="0" w:after="0" w:line="240" w:lineRule="exact"/>
        <w:ind w:left="559" w:firstLine="526"/>
      </w:pPr>
    </w:p>
    <w:p>
      <w:pPr>
        <w:tabs>
          <w:tab w:val="left" w:pos="1293"/>
        </w:tabs>
        <w:spacing w:before="0" w:after="0" w:line="228" w:lineRule="exact"/>
        <w:ind w:left="559" w:firstLine="0"/>
        <w:jc w:val="left"/>
      </w:pPr>
      <w:r>
        <w:rPr>
          <w:rFonts w:ascii="黑体" w:hAnsi="黑体" w:cs="黑体"/>
          <w:color w:val="000000"/>
          <w:spacing w:val="0"/>
          <w:w w:val="100"/>
          <w:position w:val="0"/>
          <w:sz w:val="21"/>
          <w:u w:val="none"/>
        </w:rPr>
        <w:t>5.2.1</w:t>
      </w:r>
      <w:r>
        <w:rPr>
          <w:rFonts w:cs="Calibri"/>
          <w:spacing w:val="0"/>
          <w:w w:val="100"/>
        </w:rPr>
        <w:tab/>
      </w:r>
      <w:r>
        <w:rPr>
          <w:rFonts w:ascii="黑体" w:eastAsia="黑体" w:hAnsi="黑体" w:cs="黑体"/>
          <w:color w:val="000000"/>
          <w:spacing w:val="0"/>
          <w:w w:val="100"/>
          <w:position w:val="0"/>
          <w:sz w:val="21"/>
          <w:u w:val="none"/>
        </w:rPr>
        <w:t>生态基础补充调查</w:t>
      </w:r>
    </w:p>
    <w:p>
      <w:pPr>
        <w:spacing w:before="0" w:after="0" w:line="240" w:lineRule="exact"/>
        <w:ind w:left="559" w:firstLine="0"/>
      </w:pPr>
    </w:p>
    <w:p>
      <w:pPr>
        <w:tabs>
          <w:tab w:val="left" w:pos="1505"/>
        </w:tabs>
        <w:spacing w:before="0" w:after="0" w:line="228" w:lineRule="exact"/>
        <w:ind w:left="559" w:firstLine="0"/>
        <w:jc w:val="left"/>
      </w:pPr>
      <w:r>
        <w:rPr>
          <w:rFonts w:ascii="黑体" w:hAnsi="黑体" w:cs="黑体"/>
          <w:color w:val="000000"/>
          <w:spacing w:val="0"/>
          <w:w w:val="100"/>
          <w:position w:val="0"/>
          <w:sz w:val="21"/>
          <w:u w:val="none"/>
        </w:rPr>
        <w:t>5.2.1.1</w:t>
      </w:r>
      <w:r>
        <w:rPr>
          <w:rFonts w:cs="Calibri"/>
          <w:spacing w:val="0"/>
          <w:w w:val="100"/>
        </w:rPr>
        <w:tab/>
      </w:r>
      <w:r>
        <w:rPr>
          <w:rFonts w:ascii="黑体" w:eastAsia="黑体" w:hAnsi="黑体" w:cs="黑体"/>
          <w:color w:val="000000"/>
          <w:spacing w:val="0"/>
          <w:w w:val="100"/>
          <w:position w:val="0"/>
          <w:sz w:val="21"/>
          <w:u w:val="none"/>
        </w:rPr>
        <w:t>关键区域与关键生态系统调查</w:t>
      </w:r>
    </w:p>
    <w:p>
      <w:pPr>
        <w:spacing w:before="0" w:after="0" w:line="240" w:lineRule="exact"/>
        <w:ind w:left="559" w:firstLine="0"/>
      </w:pPr>
    </w:p>
    <w:p>
      <w:pPr>
        <w:spacing w:before="0" w:after="0" w:line="228" w:lineRule="exact"/>
        <w:ind w:left="559" w:firstLine="420"/>
        <w:jc w:val="left"/>
      </w:pPr>
      <w:r>
        <w:rPr>
          <w:rFonts w:ascii="宋体" w:hAnsi="宋体" w:cs="宋体"/>
          <w:color w:val="000000"/>
          <w:spacing w:val="-12"/>
          <w:w w:val="100"/>
          <w:position w:val="0"/>
          <w:sz w:val="21"/>
          <w:u w:val="none"/>
        </w:rPr>
        <w:t>充分利用“三调”和森林、湿地、海洋、矿产、水、土壤等自然资源专项调查成果，市级“双评价”、</w:t>
      </w:r>
    </w:p>
    <w:p>
      <w:pPr>
        <w:spacing w:before="0" w:after="0" w:line="312" w:lineRule="exact"/>
        <w:ind w:left="559" w:firstLine="0"/>
        <w:jc w:val="left"/>
      </w:pPr>
      <w:r>
        <w:rPr>
          <w:rFonts w:ascii="宋体" w:eastAsia="宋体" w:hAnsi="宋体" w:cs="宋体"/>
          <w:color w:val="000000"/>
          <w:spacing w:val="0"/>
          <w:w w:val="100"/>
          <w:position w:val="0"/>
          <w:sz w:val="21"/>
          <w:u w:val="none"/>
        </w:rPr>
        <w:t>城市体检评估成果以及其他专项生态评价成果，有条件的地市可按</w:t>
      </w:r>
      <w:r>
        <w:rPr>
          <w:rFonts w:ascii="宋体" w:hAnsi="宋体" w:cs="宋体"/>
          <w:color w:val="000000"/>
          <w:spacing w:val="0"/>
          <w:w w:val="100"/>
          <w:position w:val="0"/>
          <w:sz w:val="21"/>
          <w:u w:val="none"/>
        </w:rPr>
        <w:t>TD/T</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1055—2019</w:t>
      </w:r>
      <w:r>
        <w:rPr>
          <w:rFonts w:ascii="宋体" w:eastAsia="宋体" w:hAnsi="宋体" w:cs="宋体"/>
          <w:color w:val="000000"/>
          <w:spacing w:val="0"/>
          <w:w w:val="100"/>
          <w:position w:val="0"/>
          <w:sz w:val="21"/>
          <w:u w:val="none"/>
        </w:rPr>
        <w:t>的规定针对关键区</w:t>
      </w:r>
    </w:p>
    <w:p>
      <w:pPr>
        <w:spacing w:before="0" w:after="0" w:line="312" w:lineRule="exact"/>
        <w:ind w:left="559" w:firstLine="0"/>
        <w:jc w:val="left"/>
      </w:pPr>
      <w:r>
        <w:rPr>
          <w:rFonts w:ascii="宋体" w:eastAsia="宋体" w:hAnsi="宋体" w:cs="宋体"/>
          <w:color w:val="000000"/>
          <w:spacing w:val="-3"/>
          <w:w w:val="100"/>
          <w:position w:val="0"/>
          <w:sz w:val="21"/>
          <w:u w:val="none"/>
        </w:rPr>
        <w:t>域与关键生态系统开展补充调查，分析生态系统状况及演替规律，明确本行政区域自身生态系统在全省</w:t>
      </w:r>
    </w:p>
    <w:p>
      <w:pPr>
        <w:spacing w:before="0" w:after="0" w:line="312" w:lineRule="exact"/>
        <w:ind w:left="559" w:firstLine="0"/>
        <w:jc w:val="left"/>
      </w:pPr>
      <w:r>
        <w:rPr>
          <w:rFonts w:ascii="宋体" w:hAnsi="宋体" w:cs="宋体"/>
          <w:color w:val="000000"/>
          <w:spacing w:val="-3"/>
          <w:w w:val="100"/>
          <w:position w:val="0"/>
          <w:sz w:val="21"/>
          <w:u w:val="none"/>
        </w:rPr>
        <w:t>自然地理格局和生态安全格局中的类型、位置，系统厘清自然保护地类型及空间布局，形成相关基础分</w:t>
      </w:r>
    </w:p>
    <w:p>
      <w:pPr>
        <w:spacing w:before="0" w:after="0" w:line="312" w:lineRule="exact"/>
        <w:ind w:left="559" w:firstLine="0"/>
        <w:jc w:val="left"/>
      </w:pPr>
      <w:r>
        <w:rPr>
          <w:rFonts w:ascii="宋体" w:hAnsi="宋体" w:cs="宋体"/>
          <w:color w:val="000000"/>
          <w:spacing w:val="0"/>
          <w:w w:val="100"/>
          <w:position w:val="0"/>
          <w:sz w:val="21"/>
          <w:u w:val="none"/>
        </w:rPr>
        <w:t>析图件。</w:t>
      </w:r>
    </w:p>
    <w:p>
      <w:pPr>
        <w:spacing w:before="0" w:after="0" w:line="240" w:lineRule="exact"/>
        <w:ind w:left="559" w:firstLine="0"/>
      </w:pPr>
    </w:p>
    <w:p>
      <w:pPr>
        <w:tabs>
          <w:tab w:val="left" w:pos="1505"/>
        </w:tabs>
        <w:spacing w:before="0" w:after="0" w:line="228" w:lineRule="exact"/>
        <w:ind w:left="559" w:firstLine="0"/>
        <w:jc w:val="left"/>
      </w:pPr>
      <w:r>
        <w:rPr>
          <w:rFonts w:ascii="黑体" w:hAnsi="黑体" w:cs="黑体"/>
          <w:color w:val="000000"/>
          <w:spacing w:val="0"/>
          <w:w w:val="100"/>
          <w:position w:val="0"/>
          <w:sz w:val="21"/>
          <w:u w:val="none"/>
        </w:rPr>
        <w:t>5.2.1.2</w:t>
      </w:r>
      <w:r>
        <w:rPr>
          <w:rFonts w:cs="Calibri"/>
          <w:spacing w:val="-3"/>
          <w:w w:val="100"/>
        </w:rPr>
        <w:tab/>
      </w:r>
      <w:r>
        <w:rPr>
          <w:rFonts w:ascii="黑体" w:eastAsia="黑体" w:hAnsi="黑体" w:cs="黑体"/>
          <w:color w:val="000000"/>
          <w:spacing w:val="0"/>
          <w:w w:val="100"/>
          <w:position w:val="0"/>
          <w:sz w:val="21"/>
          <w:u w:val="none"/>
        </w:rPr>
        <w:t>野生动植物调查</w:t>
      </w:r>
    </w:p>
    <w:p>
      <w:pPr>
        <w:spacing w:before="0" w:after="0" w:line="240" w:lineRule="exact"/>
        <w:ind w:left="559" w:firstLine="0"/>
      </w:pPr>
    </w:p>
    <w:p>
      <w:pPr>
        <w:spacing w:before="0" w:after="0" w:line="228" w:lineRule="exact"/>
        <w:ind w:left="559" w:firstLine="420"/>
        <w:jc w:val="left"/>
      </w:pPr>
      <w:r>
        <w:rPr>
          <w:rFonts w:ascii="宋体" w:hAnsi="宋体" w:cs="宋体"/>
          <w:color w:val="000000"/>
          <w:spacing w:val="-3"/>
          <w:w w:val="100"/>
          <w:position w:val="0"/>
          <w:sz w:val="21"/>
          <w:u w:val="none"/>
        </w:rPr>
        <w:t>依托市、县野生动物监测站点网络，对区域内特有野生动植物资源开展补充调查，收集动植物近五</w:t>
      </w:r>
    </w:p>
    <w:p>
      <w:pPr>
        <w:spacing w:before="0" w:after="0" w:line="312" w:lineRule="exact"/>
        <w:ind w:left="559" w:firstLine="0"/>
        <w:jc w:val="left"/>
      </w:pPr>
      <w:r>
        <w:rPr>
          <w:rFonts w:ascii="宋体" w:hAnsi="宋体" w:cs="宋体"/>
          <w:color w:val="000000"/>
          <w:spacing w:val="-3"/>
          <w:w w:val="100"/>
          <w:position w:val="0"/>
          <w:sz w:val="21"/>
          <w:u w:val="none"/>
        </w:rPr>
        <w:t>年变化情况。调查选取物种包含但不限于以下内容：列入国家重点保护野生动植物名录的物种，敏感物</w:t>
      </w:r>
    </w:p>
    <w:p>
      <w:pPr>
        <w:spacing w:before="0" w:after="0" w:line="312" w:lineRule="exact"/>
        <w:ind w:left="559" w:firstLine="0"/>
        <w:jc w:val="left"/>
      </w:pPr>
      <w:r>
        <w:rPr>
          <w:rFonts w:ascii="宋体" w:hAnsi="宋体" w:cs="宋体"/>
          <w:color w:val="000000"/>
          <w:spacing w:val="-3"/>
          <w:w w:val="100"/>
          <w:position w:val="0"/>
          <w:sz w:val="21"/>
          <w:u w:val="none"/>
        </w:rPr>
        <w:t>种、生态指示物种和社会关注度高的陆生野生动植物，其他调查中新发现未记录过或多年未曾记录的重</w:t>
      </w:r>
    </w:p>
    <w:p>
      <w:pPr>
        <w:spacing w:before="0" w:after="0" w:line="312" w:lineRule="exact"/>
        <w:ind w:left="559" w:firstLine="0"/>
        <w:jc w:val="left"/>
      </w:pPr>
      <w:r>
        <w:rPr>
          <w:rFonts w:ascii="宋体" w:hAnsi="宋体" w:cs="宋体"/>
          <w:color w:val="000000"/>
          <w:spacing w:val="0"/>
          <w:w w:val="100"/>
          <w:position w:val="0"/>
          <w:sz w:val="21"/>
          <w:u w:val="none"/>
        </w:rPr>
        <w:t>要陆生野生动植物。</w:t>
      </w:r>
    </w:p>
    <w:p>
      <w:pPr>
        <w:spacing w:before="0" w:after="0" w:line="240" w:lineRule="exact"/>
        <w:ind w:left="559" w:firstLine="0"/>
      </w:pPr>
    </w:p>
    <w:p>
      <w:pPr>
        <w:tabs>
          <w:tab w:val="left" w:pos="1505"/>
        </w:tabs>
        <w:spacing w:before="0" w:after="0" w:line="229" w:lineRule="exact"/>
        <w:ind w:left="559" w:firstLine="0"/>
        <w:jc w:val="left"/>
      </w:pPr>
      <w:r>
        <w:rPr>
          <w:rFonts w:ascii="黑体" w:hAnsi="黑体" w:cs="黑体"/>
          <w:color w:val="000000"/>
          <w:spacing w:val="0"/>
          <w:w w:val="100"/>
          <w:position w:val="0"/>
          <w:sz w:val="21"/>
          <w:u w:val="none"/>
        </w:rPr>
        <w:t>5.2.1.3</w:t>
      </w:r>
      <w:r>
        <w:rPr>
          <w:rFonts w:cs="Calibri"/>
          <w:spacing w:val="-3"/>
          <w:w w:val="100"/>
        </w:rPr>
        <w:tab/>
      </w:r>
      <w:r>
        <w:rPr>
          <w:rFonts w:ascii="黑体" w:eastAsia="黑体" w:hAnsi="黑体" w:cs="黑体"/>
          <w:color w:val="000000"/>
          <w:spacing w:val="0"/>
          <w:w w:val="100"/>
          <w:position w:val="0"/>
          <w:sz w:val="21"/>
          <w:u w:val="none"/>
        </w:rPr>
        <w:t>工矿废弃土地土壤污染调查</w:t>
      </w:r>
    </w:p>
    <w:p>
      <w:pPr>
        <w:spacing w:before="0" w:after="0" w:line="240" w:lineRule="exact"/>
        <w:ind w:left="559" w:firstLine="0"/>
      </w:pPr>
    </w:p>
    <w:p>
      <w:pPr>
        <w:spacing w:before="0" w:after="0" w:line="228" w:lineRule="exact"/>
        <w:ind w:left="559" w:firstLine="420"/>
        <w:jc w:val="left"/>
      </w:pPr>
      <w:r>
        <w:rPr>
          <w:rFonts w:ascii="宋体" w:hAnsi="宋体" w:cs="宋体"/>
          <w:color w:val="000000"/>
          <w:spacing w:val="-3"/>
          <w:w w:val="100"/>
          <w:position w:val="0"/>
          <w:sz w:val="21"/>
          <w:u w:val="none"/>
        </w:rPr>
        <w:t>开展区域工矿废弃地土壤污染调查和风险评价，调查宜采用资料收集与分析、现场踏勘采样、访谈</w:t>
      </w:r>
    </w:p>
    <w:p>
      <w:pPr>
        <w:spacing w:before="0" w:after="0" w:line="312" w:lineRule="exact"/>
        <w:ind w:left="559" w:firstLine="0"/>
        <w:jc w:val="left"/>
      </w:pPr>
      <w:r>
        <w:rPr>
          <w:rFonts w:ascii="宋体" w:hAnsi="宋体" w:cs="宋体"/>
          <w:color w:val="000000"/>
          <w:spacing w:val="0"/>
          <w:w w:val="100"/>
          <w:position w:val="0"/>
          <w:sz w:val="21"/>
          <w:u w:val="none"/>
        </w:rPr>
        <w:t>等相结合的方式，调查内容包括环境特征、污染成因、受损程度等。</w:t>
      </w:r>
    </w:p>
    <w:p>
      <w:pPr>
        <w:spacing w:before="0" w:after="0" w:line="312" w:lineRule="exact"/>
        <w:ind w:left="559" w:firstLine="420"/>
        <w:jc w:val="left"/>
      </w:pPr>
      <w:r>
        <w:rPr>
          <w:rFonts w:ascii="宋体" w:hAnsi="宋体" w:cs="宋体"/>
          <w:color w:val="000000"/>
          <w:spacing w:val="0"/>
          <w:w w:val="100"/>
          <w:position w:val="0"/>
          <w:sz w:val="21"/>
          <w:u w:val="none"/>
        </w:rPr>
        <w:t>各市根据规划编制需要有选择的进行补充调查。</w:t>
      </w:r>
    </w:p>
    <w:p>
      <w:pPr>
        <w:spacing w:before="0" w:after="0" w:line="240" w:lineRule="exact"/>
        <w:ind w:left="559" w:firstLine="420"/>
      </w:pPr>
    </w:p>
    <w:p>
      <w:pPr>
        <w:tabs>
          <w:tab w:val="left" w:pos="1293"/>
        </w:tabs>
        <w:spacing w:before="0" w:after="0" w:line="228" w:lineRule="exact"/>
        <w:ind w:left="559" w:firstLine="0"/>
        <w:jc w:val="left"/>
      </w:pPr>
      <w:r>
        <w:rPr>
          <w:rFonts w:ascii="黑体" w:hAnsi="黑体" w:cs="黑体"/>
          <w:color w:val="000000"/>
          <w:spacing w:val="0"/>
          <w:w w:val="100"/>
          <w:position w:val="0"/>
          <w:sz w:val="21"/>
          <w:u w:val="none"/>
        </w:rPr>
        <w:t>5.2.2</w:t>
      </w:r>
      <w:r>
        <w:rPr>
          <w:rFonts w:cs="Calibri"/>
          <w:spacing w:val="0"/>
          <w:w w:val="100"/>
        </w:rPr>
        <w:tab/>
      </w:r>
      <w:r>
        <w:rPr>
          <w:rFonts w:ascii="黑体" w:eastAsia="黑体" w:hAnsi="黑体" w:cs="黑体"/>
          <w:color w:val="000000"/>
          <w:spacing w:val="0"/>
          <w:w w:val="100"/>
          <w:position w:val="0"/>
          <w:sz w:val="21"/>
          <w:u w:val="none"/>
        </w:rPr>
        <w:t>生态系统状况分析</w:t>
      </w:r>
    </w:p>
    <w:p>
      <w:pPr>
        <w:spacing w:before="0" w:after="0" w:line="240" w:lineRule="exact"/>
        <w:ind w:left="559" w:firstLine="0"/>
      </w:pPr>
    </w:p>
    <w:p>
      <w:pPr>
        <w:spacing w:before="0" w:after="0" w:line="228" w:lineRule="exact"/>
        <w:ind w:left="559" w:firstLine="420"/>
        <w:jc w:val="left"/>
      </w:pPr>
      <w:r>
        <w:rPr>
          <w:rFonts w:ascii="宋体" w:eastAsia="宋体" w:hAnsi="宋体" w:cs="宋体"/>
          <w:color w:val="000000"/>
          <w:spacing w:val="1"/>
          <w:w w:val="100"/>
          <w:position w:val="0"/>
          <w:sz w:val="21"/>
          <w:u w:val="none"/>
        </w:rPr>
        <w:t>利用资源环境承载能力评价和国土空间开发适宜性评价中生态系统服务功能重要性和生态脆弱性</w:t>
      </w:r>
    </w:p>
    <w:p>
      <w:pPr>
        <w:spacing w:before="0" w:after="0" w:line="312" w:lineRule="exact"/>
        <w:ind w:left="559" w:firstLine="0"/>
        <w:jc w:val="left"/>
      </w:pPr>
      <w:r>
        <w:rPr>
          <w:rFonts w:ascii="宋体" w:hAnsi="宋体" w:cs="宋体"/>
          <w:color w:val="000000"/>
          <w:spacing w:val="-3"/>
          <w:w w:val="100"/>
          <w:position w:val="0"/>
          <w:sz w:val="21"/>
          <w:u w:val="none"/>
        </w:rPr>
        <w:t>评价结果，因地制宜分析水源涵养、洪涝调蓄、水土保持、固碳释氧、海岸防护、生物多样性维护、休</w:t>
      </w:r>
    </w:p>
    <w:p>
      <w:pPr>
        <w:spacing w:before="0" w:after="0" w:line="312" w:lineRule="exact"/>
        <w:ind w:left="559" w:firstLine="0"/>
        <w:jc w:val="left"/>
      </w:pPr>
      <w:r>
        <w:rPr>
          <w:rFonts w:ascii="宋体" w:hAnsi="宋体" w:cs="宋体"/>
          <w:color w:val="000000"/>
          <w:spacing w:val="0"/>
          <w:w w:val="100"/>
          <w:position w:val="0"/>
          <w:sz w:val="21"/>
          <w:u w:val="none"/>
        </w:rPr>
        <w:t>闲游憩等多项生态系统服务状况。</w:t>
      </w:r>
    </w:p>
    <w:p>
      <w:pPr>
        <w:spacing w:before="0" w:after="0" w:line="312" w:lineRule="exact"/>
        <w:ind w:left="559" w:firstLine="420"/>
        <w:jc w:val="left"/>
      </w:pPr>
      <w:r>
        <w:rPr>
          <w:rFonts w:ascii="宋体" w:hAnsi="宋体" w:cs="宋体"/>
          <w:color w:val="000000"/>
          <w:spacing w:val="0"/>
          <w:w w:val="100"/>
          <w:position w:val="0"/>
          <w:sz w:val="21"/>
          <w:u w:val="none"/>
        </w:rPr>
        <w:t>参考《资源环境承载能力和国土空间开发适宜性评价指南(</w:t>
      </w:r>
      <w:r>
        <w:rPr>
          <w:rFonts w:ascii="宋体" w:eastAsia="宋体" w:hAnsi="宋体" w:cs="宋体"/>
          <w:color w:val="000000"/>
          <w:spacing w:val="0"/>
          <w:w w:val="100"/>
          <w:position w:val="0"/>
          <w:sz w:val="21"/>
          <w:u w:val="none"/>
        </w:rPr>
        <w:t>试行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评价生态系统服务重要性及其</w:t>
      </w:r>
    </w:p>
    <w:p>
      <w:pPr>
        <w:spacing w:before="0" w:after="0" w:line="312" w:lineRule="exact"/>
        <w:ind w:left="559" w:firstLine="0"/>
        <w:jc w:val="left"/>
      </w:pPr>
      <w:r>
        <w:rPr>
          <w:rFonts w:ascii="宋体" w:hAnsi="宋体" w:cs="宋体"/>
          <w:color w:val="000000"/>
          <w:spacing w:val="-7"/>
          <w:w w:val="100"/>
          <w:position w:val="0"/>
          <w:sz w:val="21"/>
          <w:u w:val="none"/>
        </w:rPr>
        <w:t>空间分布，识别评价单元内的主导服务类型；分析水土流失、石漠化、海岸侵蚀等生态系统脆弱性状况，</w:t>
      </w:r>
    </w:p>
    <w:p>
      <w:pPr>
        <w:spacing w:before="0" w:after="0" w:line="240" w:lineRule="exact"/>
        <w:ind w:left="559" w:firstLine="0"/>
      </w:pPr>
    </w:p>
    <w:p>
      <w:pPr>
        <w:spacing w:before="0" w:after="0" w:line="240" w:lineRule="exact"/>
        <w:ind w:left="559" w:firstLine="0"/>
      </w:pPr>
    </w:p>
    <w:p>
      <w:pPr>
        <w:spacing w:before="0" w:after="0" w:line="356" w:lineRule="exact"/>
        <w:ind w:left="559" w:firstLine="9038"/>
        <w:jc w:val="left"/>
        <w:sectPr>
          <w:type w:val="continuous"/>
          <w:pgSz w:w="11906" w:h="16839"/>
          <w:pgMar w:top="959" w:right="500" w:bottom="719" w:left="860" w:header="0" w:footer="0" w:gutter="0"/>
          <w:pgNumType w:start="21"/>
          <w:cols w:num="1" w:space="720"/>
        </w:sectPr>
      </w:pPr>
      <w:r>
        <w:rPr>
          <w:rFonts w:ascii="宋体" w:hAnsi="宋体" w:cs="宋体"/>
          <w:color w:val="000000"/>
          <w:spacing w:val="-1"/>
          <w:w w:val="100"/>
          <w:position w:val="0"/>
          <w:sz w:val="18"/>
          <w:u w:val="none"/>
        </w:rPr>
        <w:t>5</w:t>
      </w:r>
    </w:p>
    <w:p>
      <w:pPr>
        <w:spacing w:before="0" w:after="0" w:line="240" w:lineRule="exact"/>
      </w:pPr>
      <w:bookmarkStart w:id="10" w:name="10"/>
      <w:bookmarkEnd w:id="10"/>
    </w:p>
    <w:p>
      <w:pPr>
        <w:spacing w:before="0" w:after="0" w:line="240" w:lineRule="exact"/>
      </w:pPr>
    </w:p>
    <w:p>
      <w:pPr>
        <w:spacing w:before="0" w:after="0" w:line="221" w:lineRule="exact"/>
        <w:ind w:left="60" w:firstLine="0"/>
        <w:jc w:val="left"/>
      </w:pPr>
      <w:r>
        <w:pict>
          <v:shape id="_x0000_s2097" o:spid="_x0000_s1071" type="#_x0000_t202" style="width:332pt;height:53pt;margin-top:397.7pt;margin-left:141.6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66" o:spid="_x0000_s1072" type="#_x0000_t75" style="width:17pt;height:10pt;margin-top:341pt;margin-left:56pt;mso-height-relative:page;mso-position-horizontal-relative:page;mso-position-vertical-relative:page;mso-width-relative:page;position:absolute;z-index:-251611136" coordsize="21600,21600" filled="f">
            <v:imagedata r:id="rId44"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0"/>
        <w:jc w:val="left"/>
      </w:pPr>
      <w:r>
        <w:rPr>
          <w:rFonts w:ascii="宋体" w:hAnsi="宋体" w:cs="宋体"/>
          <w:color w:val="000000"/>
          <w:spacing w:val="-3"/>
          <w:w w:val="100"/>
          <w:position w:val="0"/>
          <w:sz w:val="21"/>
          <w:u w:val="none"/>
        </w:rPr>
        <w:t>识别生态系统受损、退化程度等及其空间分布，分析各类生态系统演替规律及生态系统恢复力，形成相</w:t>
      </w:r>
    </w:p>
    <w:p>
      <w:pPr>
        <w:spacing w:before="0" w:after="0" w:line="312" w:lineRule="exact"/>
        <w:ind w:left="60" w:firstLine="0"/>
        <w:jc w:val="left"/>
      </w:pPr>
      <w:r>
        <w:rPr>
          <w:rFonts w:ascii="宋体" w:hAnsi="宋体" w:cs="宋体"/>
          <w:color w:val="000000"/>
          <w:spacing w:val="0"/>
          <w:w w:val="100"/>
          <w:position w:val="0"/>
          <w:sz w:val="21"/>
          <w:u w:val="none"/>
        </w:rPr>
        <w:t>关评价分析图件。</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5.2.3</w:t>
      </w:r>
      <w:r>
        <w:rPr>
          <w:rFonts w:cs="Calibri"/>
          <w:spacing w:val="0"/>
          <w:w w:val="100"/>
        </w:rPr>
        <w:tab/>
      </w:r>
      <w:r>
        <w:rPr>
          <w:rFonts w:ascii="黑体" w:eastAsia="黑体" w:hAnsi="黑体" w:cs="黑体"/>
          <w:color w:val="000000"/>
          <w:spacing w:val="0"/>
          <w:w w:val="100"/>
          <w:position w:val="0"/>
          <w:sz w:val="21"/>
          <w:u w:val="none"/>
        </w:rPr>
        <w:t>生态安全格局分析</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综合考虑生物多样性保护、固碳能力提升、水资源利用、自然灾害防范等目标，可参考《资源环境</w:t>
      </w:r>
    </w:p>
    <w:p>
      <w:pPr>
        <w:spacing w:before="0" w:after="0" w:line="312" w:lineRule="exact"/>
        <w:ind w:left="60" w:firstLine="0"/>
        <w:jc w:val="left"/>
      </w:pPr>
      <w:r>
        <w:rPr>
          <w:rFonts w:ascii="宋体" w:eastAsia="宋体" w:hAnsi="宋体" w:cs="宋体"/>
          <w:color w:val="000000"/>
          <w:spacing w:val="0"/>
          <w:w w:val="100"/>
          <w:position w:val="0"/>
          <w:sz w:val="21"/>
          <w:u w:val="none"/>
        </w:rPr>
        <w:t>承载能力和国土空间开发适宜性评价指南</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试行</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》，识别生态功能重要性强、生态系统服务价值高的生</w:t>
      </w:r>
    </w:p>
    <w:p>
      <w:pPr>
        <w:spacing w:before="0" w:after="0" w:line="312" w:lineRule="exact"/>
        <w:ind w:left="60" w:firstLine="0"/>
        <w:jc w:val="left"/>
      </w:pPr>
      <w:r>
        <w:rPr>
          <w:rFonts w:ascii="宋体" w:hAnsi="宋体" w:cs="宋体"/>
          <w:color w:val="000000"/>
          <w:spacing w:val="-3"/>
          <w:w w:val="100"/>
          <w:position w:val="0"/>
          <w:sz w:val="21"/>
          <w:u w:val="none"/>
        </w:rPr>
        <w:t>态源地；参考《通过生态网络和生态走廊保护连通性的指南》，根据目标保护物种的生活习性、土地利</w:t>
      </w:r>
    </w:p>
    <w:p>
      <w:pPr>
        <w:spacing w:before="0" w:after="0" w:line="312" w:lineRule="exact"/>
        <w:ind w:left="60" w:firstLine="0"/>
        <w:jc w:val="left"/>
      </w:pPr>
      <w:r>
        <w:rPr>
          <w:rFonts w:ascii="宋体" w:eastAsia="宋体" w:hAnsi="宋体" w:cs="宋体"/>
          <w:color w:val="000000"/>
          <w:spacing w:val="-3"/>
          <w:w w:val="100"/>
          <w:position w:val="0"/>
          <w:sz w:val="21"/>
          <w:u w:val="none"/>
        </w:rPr>
        <w:t>用类型和人类活动影响，探索识别多目标导向下生态廊道的走向和范围；综合生态源地和生态廊道识别</w:t>
      </w:r>
    </w:p>
    <w:p>
      <w:pPr>
        <w:spacing w:before="0" w:after="0" w:line="312" w:lineRule="exact"/>
        <w:ind w:left="60" w:firstLine="0"/>
        <w:jc w:val="left"/>
      </w:pPr>
      <w:r>
        <w:rPr>
          <w:rFonts w:ascii="宋体" w:hAnsi="宋体" w:cs="宋体"/>
          <w:color w:val="000000"/>
          <w:spacing w:val="0"/>
          <w:w w:val="100"/>
          <w:position w:val="0"/>
          <w:sz w:val="21"/>
          <w:u w:val="none"/>
        </w:rPr>
        <w:t>关键的生态节点，形成相关图件。</w:t>
      </w:r>
    </w:p>
    <w:p>
      <w:pPr>
        <w:spacing w:before="0" w:after="0" w:line="240" w:lineRule="exact"/>
        <w:ind w:left="60" w:firstLine="0"/>
      </w:pPr>
    </w:p>
    <w:p>
      <w:pPr>
        <w:tabs>
          <w:tab w:val="left" w:pos="795"/>
        </w:tabs>
        <w:spacing w:before="0" w:after="0" w:line="229" w:lineRule="exact"/>
        <w:ind w:left="60" w:firstLine="0"/>
        <w:jc w:val="left"/>
      </w:pPr>
      <w:r>
        <w:rPr>
          <w:rFonts w:ascii="黑体" w:hAnsi="黑体" w:cs="黑体"/>
          <w:color w:val="000000"/>
          <w:spacing w:val="0"/>
          <w:w w:val="100"/>
          <w:position w:val="0"/>
          <w:sz w:val="21"/>
          <w:u w:val="none"/>
        </w:rPr>
        <w:t>5.2.4</w:t>
      </w:r>
      <w:r>
        <w:rPr>
          <w:rFonts w:cs="Calibri"/>
          <w:spacing w:val="-1"/>
          <w:w w:val="100"/>
        </w:rPr>
        <w:tab/>
      </w:r>
      <w:r>
        <w:rPr>
          <w:rFonts w:ascii="黑体" w:eastAsia="黑体" w:hAnsi="黑体" w:cs="黑体"/>
          <w:color w:val="000000"/>
          <w:spacing w:val="0"/>
          <w:w w:val="100"/>
          <w:position w:val="0"/>
          <w:sz w:val="21"/>
          <w:u w:val="none"/>
        </w:rPr>
        <w:t>生态修复潜力分析</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结合行政区域内当前和历史生态状况（按</w:t>
      </w:r>
      <w:r>
        <w:rPr>
          <w:rFonts w:ascii="宋体" w:hAnsi="宋体" w:cs="宋体"/>
          <w:color w:val="000000"/>
          <w:spacing w:val="0"/>
          <w:w w:val="100"/>
          <w:position w:val="0"/>
          <w:sz w:val="21"/>
          <w:u w:val="none"/>
        </w:rPr>
        <w:t>HJ</w:t>
      </w:r>
      <w:r>
        <w:rPr>
          <w:rFonts w:ascii="Calibri" w:hAnsi="Calibri" w:cs="Calibri"/>
          <w:color w:val="000000"/>
          <w:spacing w:val="0"/>
          <w:w w:val="328"/>
          <w:sz w:val="21"/>
          <w:u w:val="none"/>
        </w:rPr>
        <w:t> </w:t>
      </w:r>
      <w:r>
        <w:rPr>
          <w:rFonts w:ascii="宋体" w:hAnsi="宋体" w:cs="宋体"/>
          <w:color w:val="000000"/>
          <w:spacing w:val="0"/>
          <w:w w:val="100"/>
          <w:position w:val="0"/>
          <w:sz w:val="21"/>
          <w:u w:val="none"/>
        </w:rPr>
        <w:t>1171—2021、HJ</w:t>
      </w:r>
      <w:r>
        <w:rPr>
          <w:rFonts w:ascii="Calibri" w:hAnsi="Calibri" w:cs="Calibri"/>
          <w:color w:val="000000"/>
          <w:spacing w:val="0"/>
          <w:w w:val="328"/>
          <w:sz w:val="21"/>
          <w:u w:val="none"/>
        </w:rPr>
        <w:t> </w:t>
      </w:r>
      <w:r>
        <w:rPr>
          <w:rFonts w:ascii="宋体" w:hAnsi="宋体" w:cs="宋体"/>
          <w:color w:val="000000"/>
          <w:spacing w:val="0"/>
          <w:w w:val="100"/>
          <w:position w:val="0"/>
          <w:sz w:val="21"/>
          <w:u w:val="none"/>
        </w:rPr>
        <w:t>1172—2021、HJ</w:t>
      </w:r>
      <w:r>
        <w:rPr>
          <w:rFonts w:ascii="Calibri" w:hAnsi="Calibri" w:cs="Calibri"/>
          <w:color w:val="000000"/>
          <w:spacing w:val="0"/>
          <w:w w:val="328"/>
          <w:sz w:val="21"/>
          <w:u w:val="none"/>
        </w:rPr>
        <w:t> </w:t>
      </w:r>
      <w:r>
        <w:rPr>
          <w:rFonts w:ascii="宋体" w:hAnsi="宋体" w:cs="宋体"/>
          <w:color w:val="000000"/>
          <w:spacing w:val="0"/>
          <w:w w:val="100"/>
          <w:position w:val="0"/>
          <w:sz w:val="21"/>
          <w:u w:val="none"/>
        </w:rPr>
        <w:t>1173—2021、</w:t>
      </w:r>
      <w:r>
        <w:rPr>
          <w:rFonts w:ascii="宋体" w:hAnsi="宋体" w:cs="宋体"/>
          <w:color w:val="000000"/>
          <w:spacing w:val="-2"/>
          <w:w w:val="100"/>
          <w:position w:val="0"/>
          <w:sz w:val="21"/>
          <w:u w:val="none"/>
        </w:rPr>
        <w:t>HJ</w:t>
      </w:r>
    </w:p>
    <w:p>
      <w:pPr>
        <w:spacing w:before="0" w:after="0" w:line="312" w:lineRule="exact"/>
        <w:ind w:left="60" w:firstLine="0"/>
        <w:jc w:val="left"/>
      </w:pPr>
      <w:r>
        <w:rPr>
          <w:rFonts w:ascii="宋体" w:hAnsi="宋体" w:cs="宋体"/>
          <w:color w:val="000000"/>
          <w:spacing w:val="0"/>
          <w:w w:val="100"/>
          <w:position w:val="0"/>
          <w:sz w:val="21"/>
          <w:u w:val="none"/>
        </w:rPr>
        <w:t>1174—2021</w:t>
      </w:r>
      <w:r>
        <w:rPr>
          <w:rFonts w:ascii="宋体" w:hAnsi="宋体" w:cs="宋体"/>
          <w:color w:val="000000"/>
          <w:spacing w:val="-3"/>
          <w:w w:val="100"/>
          <w:position w:val="0"/>
          <w:sz w:val="21"/>
          <w:u w:val="none"/>
        </w:rPr>
        <w:t>的要求评估），考虑生态系统恢复力、生态系统服务需求以及社会经济承受能力，分析改善</w:t>
      </w:r>
    </w:p>
    <w:p>
      <w:pPr>
        <w:spacing w:before="0" w:after="0" w:line="312" w:lineRule="exact"/>
        <w:ind w:left="60" w:firstLine="0"/>
        <w:jc w:val="left"/>
      </w:pPr>
      <w:r>
        <w:rPr>
          <w:rFonts w:ascii="宋体" w:hAnsi="宋体" w:cs="宋体"/>
          <w:color w:val="000000"/>
          <w:spacing w:val="-3"/>
          <w:w w:val="100"/>
          <w:position w:val="0"/>
          <w:sz w:val="21"/>
          <w:u w:val="none"/>
        </w:rPr>
        <w:t>生态功能、优化生态结构和空间格局、维护生物多样性、提高防御自然灾害能力等的潜力和可行性，形</w:t>
      </w:r>
    </w:p>
    <w:p>
      <w:pPr>
        <w:spacing w:before="0" w:after="0" w:line="312" w:lineRule="exact"/>
        <w:ind w:left="60" w:firstLine="0"/>
        <w:jc w:val="left"/>
      </w:pPr>
      <w:r>
        <w:rPr>
          <w:rFonts w:ascii="宋体" w:hAnsi="宋体" w:cs="宋体"/>
          <w:color w:val="000000"/>
          <w:spacing w:val="0"/>
          <w:w w:val="100"/>
          <w:position w:val="0"/>
          <w:sz w:val="21"/>
          <w:u w:val="none"/>
        </w:rPr>
        <w:t>成相关分析图件。</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问题识别</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5.3.1</w:t>
      </w:r>
      <w:r>
        <w:rPr>
          <w:rFonts w:cs="Calibri"/>
          <w:spacing w:val="0"/>
          <w:w w:val="100"/>
        </w:rPr>
        <w:tab/>
      </w:r>
      <w:r>
        <w:rPr>
          <w:rFonts w:ascii="宋体" w:hAnsi="宋体" w:cs="宋体"/>
          <w:color w:val="000000"/>
          <w:spacing w:val="0"/>
          <w:w w:val="100"/>
          <w:position w:val="0"/>
          <w:sz w:val="21"/>
          <w:u w:val="none"/>
        </w:rPr>
        <w:t>依据调查评价结果，诊断国土空间全域及生态、农业、城镇空间的突出生态问题，形成相关评</w:t>
      </w:r>
    </w:p>
    <w:p>
      <w:pPr>
        <w:spacing w:before="0" w:after="0" w:line="312" w:lineRule="exact"/>
        <w:ind w:left="60" w:firstLine="0"/>
        <w:jc w:val="left"/>
      </w:pPr>
      <w:r>
        <w:rPr>
          <w:rFonts w:ascii="宋体" w:hAnsi="宋体" w:cs="宋体"/>
          <w:color w:val="000000"/>
          <w:spacing w:val="0"/>
          <w:w w:val="100"/>
          <w:position w:val="0"/>
          <w:sz w:val="21"/>
          <w:u w:val="none"/>
        </w:rPr>
        <w:t>价分析图件。</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5.3.2</w:t>
      </w:r>
      <w:r>
        <w:rPr>
          <w:rFonts w:cs="Calibri"/>
          <w:spacing w:val="0"/>
          <w:w w:val="100"/>
        </w:rPr>
        <w:tab/>
      </w:r>
      <w:r>
        <w:rPr>
          <w:rFonts w:ascii="黑体" w:eastAsia="黑体" w:hAnsi="黑体" w:cs="黑体"/>
          <w:color w:val="000000"/>
          <w:spacing w:val="0"/>
          <w:w w:val="100"/>
          <w:position w:val="0"/>
          <w:sz w:val="21"/>
          <w:u w:val="none"/>
        </w:rPr>
        <w:t>全域系统性问题分析</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研判城市扩张、交通设施建设、工业园区建设、农业灌溉等社会经济活动对土地利用、植被覆盖、</w:t>
      </w:r>
    </w:p>
    <w:p>
      <w:pPr>
        <w:spacing w:before="0" w:after="0" w:line="312" w:lineRule="exact"/>
        <w:ind w:left="60" w:firstLine="0"/>
        <w:jc w:val="left"/>
      </w:pPr>
      <w:r>
        <w:rPr>
          <w:rFonts w:ascii="宋体" w:hAnsi="宋体" w:cs="宋体"/>
          <w:color w:val="000000"/>
          <w:spacing w:val="-3"/>
          <w:w w:val="100"/>
          <w:position w:val="0"/>
          <w:sz w:val="21"/>
          <w:u w:val="none"/>
        </w:rPr>
        <w:t>海洋、河流水质、生物多样性等方面的影响。重点关注山上山下、岸上岸下、上游下游等区域关联性影</w:t>
      </w:r>
    </w:p>
    <w:p>
      <w:pPr>
        <w:spacing w:before="0" w:after="0" w:line="312" w:lineRule="exact"/>
        <w:ind w:left="60" w:firstLine="0"/>
        <w:jc w:val="left"/>
      </w:pPr>
      <w:r>
        <w:rPr>
          <w:rFonts w:ascii="宋体" w:hAnsi="宋体" w:cs="宋体"/>
          <w:color w:val="000000"/>
          <w:spacing w:val="-7"/>
          <w:w w:val="100"/>
          <w:position w:val="0"/>
          <w:sz w:val="21"/>
          <w:u w:val="none"/>
        </w:rPr>
        <w:t>响问题，违背生态系统自身演替规律等生态修复科学性问题。研判生态风险，评估极端气象、地质灾害、</w:t>
      </w:r>
    </w:p>
    <w:p>
      <w:pPr>
        <w:spacing w:before="0" w:after="0" w:line="312" w:lineRule="exact"/>
        <w:ind w:left="60" w:firstLine="0"/>
        <w:jc w:val="left"/>
      </w:pPr>
      <w:r>
        <w:rPr>
          <w:rFonts w:ascii="宋体" w:hAnsi="宋体" w:cs="宋体"/>
          <w:color w:val="000000"/>
          <w:spacing w:val="0"/>
          <w:w w:val="100"/>
          <w:position w:val="0"/>
          <w:sz w:val="21"/>
          <w:u w:val="none"/>
        </w:rPr>
        <w:t>外来物种入侵、森林火灾对生态系统和生物多样性的潜在威胁。</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5.3.3</w:t>
      </w:r>
      <w:r>
        <w:rPr>
          <w:rFonts w:cs="Calibri"/>
          <w:spacing w:val="0"/>
          <w:w w:val="100"/>
        </w:rPr>
        <w:tab/>
      </w:r>
      <w:r>
        <w:rPr>
          <w:rFonts w:ascii="黑体" w:eastAsia="黑体" w:hAnsi="黑体" w:cs="黑体"/>
          <w:color w:val="000000"/>
          <w:spacing w:val="0"/>
          <w:w w:val="100"/>
          <w:position w:val="0"/>
          <w:sz w:val="21"/>
          <w:u w:val="none"/>
        </w:rPr>
        <w:t>生态空间生态问题诊断</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可参照</w:t>
      </w:r>
      <w:r>
        <w:rPr>
          <w:rFonts w:ascii="宋体" w:hAnsi="宋体" w:cs="宋体"/>
          <w:color w:val="000000"/>
          <w:spacing w:val="0"/>
          <w:w w:val="100"/>
          <w:position w:val="0"/>
          <w:sz w:val="21"/>
          <w:u w:val="none"/>
        </w:rPr>
        <w:t>HJ</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1174—2021的规定，识别陆域和海域典型生态系统面积减少、结构受损、功能退化、生</w:t>
      </w:r>
    </w:p>
    <w:p>
      <w:pPr>
        <w:spacing w:before="0" w:after="0" w:line="312" w:lineRule="exact"/>
        <w:ind w:left="60" w:firstLine="0"/>
        <w:jc w:val="left"/>
      </w:pPr>
      <w:r>
        <w:rPr>
          <w:rFonts w:ascii="宋体" w:hAnsi="宋体" w:cs="宋体"/>
          <w:color w:val="000000"/>
          <w:spacing w:val="-5"/>
          <w:w w:val="100"/>
          <w:position w:val="0"/>
          <w:sz w:val="21"/>
          <w:u w:val="none"/>
        </w:rPr>
        <w:t>物多样性降低等问题的空间范围和程度，从自然和人为两方面诊断生态胁迫因素，识别生态保护红线内、</w:t>
      </w:r>
    </w:p>
    <w:p>
      <w:pPr>
        <w:spacing w:before="0" w:after="0" w:line="312" w:lineRule="exact"/>
        <w:ind w:left="60" w:firstLine="0"/>
        <w:jc w:val="left"/>
      </w:pPr>
      <w:r>
        <w:rPr>
          <w:rFonts w:ascii="宋体" w:hAnsi="宋体" w:cs="宋体"/>
          <w:color w:val="000000"/>
          <w:spacing w:val="1"/>
          <w:w w:val="100"/>
          <w:position w:val="0"/>
          <w:sz w:val="21"/>
          <w:u w:val="none"/>
        </w:rPr>
        <w:t>饮用水水源地等重要生态功能区以及河流湖泊周边的矿山开发、围填海等人类活动造成的退化生态空</w:t>
      </w:r>
    </w:p>
    <w:p>
      <w:pPr>
        <w:spacing w:before="0" w:after="0" w:line="313" w:lineRule="exact"/>
        <w:ind w:left="60" w:firstLine="0"/>
        <w:jc w:val="left"/>
      </w:pPr>
      <w:r>
        <w:rPr>
          <w:rFonts w:ascii="宋体" w:hAnsi="宋体" w:cs="宋体"/>
          <w:color w:val="000000"/>
          <w:spacing w:val="0"/>
          <w:w w:val="100"/>
          <w:position w:val="0"/>
          <w:sz w:val="21"/>
          <w:u w:val="none"/>
        </w:rPr>
        <w:t>间的分布、程度、趋势及区域关联影响，识别生态问题分布聚集或生态问题关联性大的关键区域。</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5.3.4</w:t>
      </w:r>
      <w:r>
        <w:rPr>
          <w:rFonts w:cs="Calibri"/>
          <w:spacing w:val="0"/>
          <w:w w:val="100"/>
        </w:rPr>
        <w:tab/>
      </w:r>
      <w:r>
        <w:rPr>
          <w:rFonts w:ascii="黑体" w:eastAsia="黑体" w:hAnsi="黑体" w:cs="黑体"/>
          <w:color w:val="000000"/>
          <w:spacing w:val="0"/>
          <w:w w:val="100"/>
          <w:position w:val="0"/>
          <w:sz w:val="21"/>
          <w:u w:val="none"/>
        </w:rPr>
        <w:t>农业空间生态问题诊断</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2"/>
          <w:w w:val="100"/>
          <w:position w:val="0"/>
          <w:sz w:val="21"/>
          <w:u w:val="none"/>
        </w:rPr>
        <w:t>识别农业面源污染（参照</w:t>
      </w:r>
      <w:r>
        <w:rPr>
          <w:rFonts w:ascii="宋体" w:hAnsi="宋体" w:cs="宋体"/>
          <w:color w:val="000000"/>
          <w:spacing w:val="-1"/>
          <w:w w:val="100"/>
          <w:position w:val="0"/>
          <w:sz w:val="21"/>
          <w:u w:val="none"/>
        </w:rPr>
        <w:t>GB</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15618—2018</w:t>
      </w:r>
      <w:r>
        <w:rPr>
          <w:rFonts w:ascii="宋体" w:hAnsi="宋体" w:cs="宋体"/>
          <w:color w:val="000000"/>
          <w:spacing w:val="-2"/>
          <w:w w:val="100"/>
          <w:position w:val="0"/>
          <w:sz w:val="21"/>
          <w:u w:val="none"/>
        </w:rPr>
        <w:t>的规定）、农用地生境破碎化和退化、农田周边生态过渡</w:t>
      </w:r>
    </w:p>
    <w:p>
      <w:pPr>
        <w:spacing w:before="0" w:after="0" w:line="312" w:lineRule="exact"/>
        <w:ind w:left="60" w:firstLine="0"/>
        <w:jc w:val="left"/>
      </w:pPr>
      <w:r>
        <w:rPr>
          <w:rFonts w:ascii="宋体" w:hAnsi="宋体" w:cs="宋体"/>
          <w:color w:val="000000"/>
          <w:spacing w:val="-3"/>
          <w:w w:val="100"/>
          <w:position w:val="0"/>
          <w:sz w:val="21"/>
          <w:u w:val="none"/>
        </w:rPr>
        <w:t>带萎缩和生境丰富度下降问题，居民点、农用地周边矿山生态破坏、土地损毁问题，以及农村自然风貌</w:t>
      </w:r>
    </w:p>
    <w:p>
      <w:pPr>
        <w:spacing w:before="0" w:after="0" w:line="312" w:lineRule="exact"/>
        <w:ind w:left="60" w:firstLine="0"/>
        <w:jc w:val="left"/>
      </w:pPr>
      <w:r>
        <w:rPr>
          <w:rFonts w:ascii="宋体" w:hAnsi="宋体" w:cs="宋体"/>
          <w:color w:val="000000"/>
          <w:spacing w:val="0"/>
          <w:w w:val="100"/>
          <w:position w:val="0"/>
          <w:sz w:val="21"/>
          <w:u w:val="none"/>
        </w:rPr>
        <w:t>破坏、过度樵采和围垦养殖、农业空间生态价值下降、人居环境恶化和生态基础设施不足等问题。</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5.3.5</w:t>
      </w:r>
      <w:r>
        <w:rPr>
          <w:rFonts w:cs="Calibri"/>
          <w:spacing w:val="0"/>
          <w:w w:val="100"/>
        </w:rPr>
        <w:tab/>
      </w:r>
      <w:r>
        <w:rPr>
          <w:rFonts w:ascii="黑体" w:eastAsia="黑体" w:hAnsi="黑体" w:cs="黑体"/>
          <w:color w:val="000000"/>
          <w:spacing w:val="0"/>
          <w:w w:val="100"/>
          <w:position w:val="0"/>
          <w:sz w:val="21"/>
          <w:u w:val="none"/>
        </w:rPr>
        <w:t>城镇空间生态问题诊断</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5"/>
          <w:w w:val="100"/>
          <w:position w:val="0"/>
          <w:sz w:val="21"/>
          <w:u w:val="none"/>
        </w:rPr>
        <w:t>识别城镇内部及周边山体和河湖水系生态破坏问题、城镇内外蓝绿网络连通性问题，分析雨洪调蓄、</w:t>
      </w:r>
    </w:p>
    <w:p>
      <w:pPr>
        <w:spacing w:before="0" w:after="0" w:line="312" w:lineRule="exact"/>
        <w:ind w:left="60" w:firstLine="0"/>
        <w:jc w:val="left"/>
      </w:pPr>
      <w:r>
        <w:rPr>
          <w:rFonts w:ascii="宋体" w:hAnsi="宋体" w:cs="宋体"/>
          <w:color w:val="000000"/>
          <w:spacing w:val="1"/>
          <w:w w:val="100"/>
          <w:position w:val="0"/>
          <w:sz w:val="21"/>
          <w:u w:val="none"/>
        </w:rPr>
        <w:t>热岛缓解等生态功能退化以及城市建设或重大基础设施建设对生态空间造成的连通性受损、景观破碎</w:t>
      </w:r>
    </w:p>
    <w:p>
      <w:pPr>
        <w:spacing w:before="0" w:after="0" w:line="312" w:lineRule="exact"/>
        <w:ind w:left="60" w:firstLine="0"/>
        <w:jc w:val="left"/>
      </w:pPr>
      <w:r>
        <w:rPr>
          <w:rFonts w:ascii="宋体" w:hAnsi="宋体" w:cs="宋体"/>
          <w:color w:val="000000"/>
          <w:spacing w:val="0"/>
          <w:w w:val="100"/>
          <w:position w:val="0"/>
          <w:sz w:val="21"/>
          <w:u w:val="none"/>
        </w:rPr>
        <w:t>化等问题。</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5.3.6</w:t>
      </w:r>
      <w:r>
        <w:rPr>
          <w:rFonts w:cs="Calibri"/>
          <w:spacing w:val="0"/>
          <w:w w:val="100"/>
        </w:rPr>
        <w:tab/>
      </w:r>
      <w:r>
        <w:rPr>
          <w:rFonts w:ascii="黑体" w:eastAsia="黑体" w:hAnsi="黑体" w:cs="黑体"/>
          <w:color w:val="000000"/>
          <w:spacing w:val="0"/>
          <w:w w:val="100"/>
          <w:position w:val="0"/>
          <w:sz w:val="21"/>
          <w:u w:val="none"/>
        </w:rPr>
        <w:t>三类空间相邻或冲突区域生态问题分析</w:t>
      </w:r>
    </w:p>
    <w:p>
      <w:pPr>
        <w:spacing w:before="0" w:after="0" w:line="240" w:lineRule="exact"/>
        <w:ind w:left="60" w:firstLine="0"/>
      </w:pPr>
    </w:p>
    <w:p>
      <w:pPr>
        <w:spacing w:before="0" w:after="0" w:line="240" w:lineRule="exact"/>
        <w:ind w:left="60" w:firstLine="0"/>
      </w:pPr>
    </w:p>
    <w:p>
      <w:pPr>
        <w:spacing w:before="0" w:after="0" w:line="200" w:lineRule="exact"/>
        <w:ind w:left="60" w:firstLine="197"/>
        <w:jc w:val="left"/>
        <w:sectPr>
          <w:type w:val="continuous"/>
          <w:pgSz w:w="11906" w:h="16838"/>
          <w:pgMar w:top="959" w:right="713" w:bottom="719" w:left="1073" w:header="0" w:footer="0" w:gutter="0"/>
          <w:pgNumType w:start="22"/>
          <w:cols w:num="1" w:space="720"/>
        </w:sectPr>
      </w:pPr>
      <w:r>
        <w:rPr>
          <w:rFonts w:ascii="宋体" w:hAnsi="宋体" w:cs="宋体"/>
          <w:color w:val="000000"/>
          <w:spacing w:val="-1"/>
          <w:w w:val="100"/>
          <w:position w:val="0"/>
          <w:sz w:val="18"/>
          <w:u w:val="none"/>
        </w:rPr>
        <w:t>6</w:t>
      </w:r>
    </w:p>
    <w:p>
      <w:pPr>
        <w:spacing w:before="0" w:after="0" w:line="240" w:lineRule="exact"/>
      </w:pPr>
      <w:bookmarkStart w:id="11" w:name="11"/>
      <w:bookmarkEnd w:id="11"/>
    </w:p>
    <w:p>
      <w:pPr>
        <w:spacing w:before="0" w:after="0" w:line="240" w:lineRule="exact"/>
      </w:pPr>
    </w:p>
    <w:p>
      <w:pPr>
        <w:spacing w:before="0" w:after="0" w:line="221" w:lineRule="exact"/>
        <w:ind w:left="456" w:firstLine="7571"/>
        <w:jc w:val="left"/>
      </w:pPr>
      <w:r>
        <w:pict>
          <v:shape id="wondershare_1" o:spid="_x0000_s1073" type="#_x0000_t202" style="width:332pt;height:53pt;margin-top:397.7pt;margin-left:141.6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67" o:spid="_x0000_s1074" type="#_x0000_t75" style="width:18pt;height:10pt;margin-top:154pt;margin-left:70pt;mso-height-relative:page;mso-position-horizontal-relative:page;mso-position-vertical-relative:page;mso-width-relative:page;position:absolute;z-index:-251609088" coordsize="21600,21600" filled="f">
            <v:imagedata r:id="rId45" o:title=""/>
            <o:lock v:ext="edit" aspectratio="t"/>
          </v:shape>
        </w:pict>
      </w:r>
      <w:r>
        <w:pict>
          <v:shape id="imagerId168" o:spid="_x0000_s1075" type="#_x0000_t75" style="width:16pt;height:9pt;margin-top:365pt;margin-left:70pt;mso-height-relative:page;mso-position-horizontal-relative:page;mso-position-vertical-relative:page;mso-width-relative:page;position:absolute;z-index:-251608064" coordsize="21600,21600" filled="f">
            <v:imagedata r:id="rId46" o:title=""/>
            <o:lock v:ext="edit" aspectratio="t"/>
          </v:shape>
        </w:pict>
      </w:r>
      <w:r>
        <w:pict>
          <v:shape id="imagerId169" o:spid="_x0000_s1076" type="#_x0000_t75" style="width:17pt;height:10pt;margin-top:528pt;margin-left:70pt;mso-height-relative:page;mso-position-horizontal-relative:page;mso-position-vertical-relative:page;mso-width-relative:page;position:absolute;z-index:-251607040" coordsize="21600,21600" filled="f">
            <v:imagedata r:id="rId47"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290" w:lineRule="exact"/>
        <w:ind w:left="456" w:firstLine="420"/>
        <w:jc w:val="left"/>
      </w:pPr>
      <w:r>
        <w:rPr>
          <w:rFonts w:ascii="宋体" w:hAnsi="宋体" w:cs="宋体"/>
          <w:color w:val="000000"/>
          <w:spacing w:val="-3"/>
          <w:w w:val="100"/>
          <w:position w:val="0"/>
          <w:sz w:val="21"/>
          <w:u w:val="none"/>
        </w:rPr>
        <w:t>重点识别生态、农业、城镇三类空间相邻和冲突区生态问题，如边缘地带缺少缓冲过渡、生境破碎</w:t>
      </w:r>
    </w:p>
    <w:p>
      <w:pPr>
        <w:spacing w:before="0" w:after="0" w:line="312" w:lineRule="exact"/>
        <w:ind w:left="456" w:firstLine="0"/>
        <w:jc w:val="left"/>
      </w:pPr>
      <w:r>
        <w:rPr>
          <w:rFonts w:ascii="宋体" w:hAnsi="宋体" w:cs="宋体"/>
          <w:color w:val="000000"/>
          <w:spacing w:val="-7"/>
          <w:w w:val="100"/>
          <w:position w:val="0"/>
          <w:sz w:val="21"/>
          <w:u w:val="none"/>
        </w:rPr>
        <w:t>化、生态连通性差等问题，明确相邻和冲突区内的土地利用状况（土地利用现状分类可参照</w:t>
      </w:r>
      <w:r>
        <w:rPr>
          <w:rFonts w:ascii="宋体" w:hAnsi="宋体" w:cs="宋体"/>
          <w:color w:val="000000"/>
          <w:spacing w:val="0"/>
          <w:w w:val="100"/>
          <w:position w:val="0"/>
          <w:sz w:val="21"/>
          <w:u w:val="none"/>
        </w:rPr>
        <w:t>GB/T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21010—</w:t>
      </w:r>
    </w:p>
    <w:p>
      <w:pPr>
        <w:spacing w:before="0" w:after="0" w:line="312" w:lineRule="exact"/>
        <w:ind w:left="456" w:firstLine="0"/>
        <w:jc w:val="left"/>
      </w:pPr>
      <w:r>
        <w:rPr>
          <w:rFonts w:ascii="宋体" w:hAnsi="宋体" w:cs="宋体"/>
          <w:color w:val="000000"/>
          <w:spacing w:val="0"/>
          <w:w w:val="100"/>
          <w:position w:val="0"/>
          <w:sz w:val="21"/>
          <w:u w:val="none"/>
        </w:rPr>
        <w:t>2017的规定）和生态短板，识别需要生态保护和修复的关键区域。</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专题研究</w:t>
      </w:r>
    </w:p>
    <w:p>
      <w:pPr>
        <w:spacing w:before="0" w:after="0" w:line="240" w:lineRule="exact"/>
        <w:ind w:left="456" w:firstLine="526"/>
      </w:pPr>
    </w:p>
    <w:p>
      <w:pPr>
        <w:spacing w:before="0" w:after="0" w:line="228" w:lineRule="exact"/>
        <w:ind w:left="456" w:firstLine="420"/>
        <w:jc w:val="left"/>
      </w:pPr>
      <w:r>
        <w:rPr>
          <w:rFonts w:ascii="宋体" w:eastAsia="宋体" w:hAnsi="宋体" w:cs="宋体"/>
          <w:color w:val="000000"/>
          <w:spacing w:val="0"/>
          <w:w w:val="100"/>
          <w:position w:val="0"/>
          <w:sz w:val="21"/>
          <w:u w:val="none"/>
        </w:rPr>
        <w:t>根据规划编制需要和工作基础，因地制宜，合理设置重大专题研究，可包括但不限于：</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生态基础调查与综合评价。分析区域重大生态问题、生态风险及其限制因素；</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生态保护与修复工作实施评价。系统梳理市域范围内已开展的或正在开展的涉及生态修复的</w:t>
      </w:r>
    </w:p>
    <w:p>
      <w:pPr>
        <w:spacing w:before="0" w:after="0" w:line="312" w:lineRule="exact"/>
        <w:ind w:left="456" w:firstLine="852"/>
        <w:jc w:val="left"/>
      </w:pPr>
      <w:r>
        <w:rPr>
          <w:rFonts w:ascii="宋体" w:eastAsia="宋体" w:hAnsi="宋体" w:cs="宋体"/>
          <w:color w:val="000000"/>
          <w:spacing w:val="0"/>
          <w:w w:val="100"/>
          <w:position w:val="0"/>
          <w:sz w:val="21"/>
          <w:u w:val="none"/>
        </w:rPr>
        <w:t>各类规划及相关工作</w:t>
      </w:r>
      <w:r>
        <w:rPr>
          <w:rFonts w:ascii="宋体" w:hAnsi="宋体" w:cs="宋体"/>
          <w:color w:val="000000"/>
          <w:spacing w:val="0"/>
          <w:w w:val="100"/>
          <w:position w:val="0"/>
          <w:sz w:val="21"/>
          <w:u w:val="none"/>
        </w:rPr>
        <w:t>(国土整治与绿化、自然保护地建设、矿山生态修复、山水林田湖草沙一</w:t>
      </w:r>
    </w:p>
    <w:p>
      <w:pPr>
        <w:spacing w:before="0" w:after="0" w:line="313" w:lineRule="exact"/>
        <w:ind w:left="456" w:firstLine="852"/>
        <w:jc w:val="left"/>
      </w:pPr>
      <w:r>
        <w:rPr>
          <w:rFonts w:ascii="宋体" w:eastAsia="宋体" w:hAnsi="宋体" w:cs="宋体"/>
          <w:color w:val="000000"/>
          <w:spacing w:val="0"/>
          <w:w w:val="100"/>
          <w:position w:val="0"/>
          <w:sz w:val="21"/>
          <w:u w:val="none"/>
        </w:rPr>
        <w:t>体化保护和修复等</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进展情况，对已开展的项目或工程进行空间落位并进行成效评估，总结实</w:t>
      </w:r>
    </w:p>
    <w:p>
      <w:pPr>
        <w:spacing w:before="0" w:after="0" w:line="312" w:lineRule="exact"/>
        <w:ind w:left="456" w:firstLine="852"/>
        <w:jc w:val="left"/>
      </w:pPr>
      <w:r>
        <w:rPr>
          <w:rFonts w:ascii="宋体" w:hAnsi="宋体" w:cs="宋体"/>
          <w:color w:val="000000"/>
          <w:spacing w:val="0"/>
          <w:w w:val="100"/>
          <w:position w:val="0"/>
          <w:sz w:val="21"/>
          <w:u w:val="none"/>
        </w:rPr>
        <w:t>施成效并分析原因，提出促进规划有效实施的对策建议，并总结修复模式示范。</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规划布局和策略。包括格局布局、修复分区、一体化修复策略等。其中，“一核”所涉及的市</w:t>
      </w:r>
    </w:p>
    <w:p>
      <w:pPr>
        <w:spacing w:before="0" w:after="0" w:line="312" w:lineRule="exact"/>
        <w:ind w:left="456" w:firstLine="852"/>
        <w:jc w:val="left"/>
      </w:pPr>
      <w:r>
        <w:rPr>
          <w:rFonts w:ascii="宋体" w:hAnsi="宋体" w:cs="宋体"/>
          <w:color w:val="000000"/>
          <w:spacing w:val="-3"/>
          <w:w w:val="100"/>
          <w:position w:val="0"/>
          <w:sz w:val="21"/>
          <w:u w:val="none"/>
        </w:rPr>
        <w:t>建议关注高度城市化地区生态修复策略和区域协同治理，“一带”所涉及的市地区建议关注陆</w:t>
      </w:r>
    </w:p>
    <w:p>
      <w:pPr>
        <w:spacing w:before="0" w:after="0" w:line="312" w:lineRule="exact"/>
        <w:ind w:left="456" w:firstLine="852"/>
        <w:jc w:val="left"/>
      </w:pPr>
      <w:r>
        <w:rPr>
          <w:rFonts w:ascii="宋体" w:hAnsi="宋体" w:cs="宋体"/>
          <w:color w:val="000000"/>
          <w:spacing w:val="0"/>
          <w:w w:val="100"/>
          <w:position w:val="0"/>
          <w:sz w:val="21"/>
          <w:u w:val="none"/>
        </w:rPr>
        <w:t>海统筹修复策略，“一区”所涉及的市建议关注流域系统修复策略。</w:t>
      </w:r>
    </w:p>
    <w:p>
      <w:pPr>
        <w:spacing w:before="0" w:after="0" w:line="240" w:lineRule="exact"/>
        <w:ind w:left="456" w:firstLine="852"/>
      </w:pPr>
    </w:p>
    <w:p>
      <w:pPr>
        <w:tabs>
          <w:tab w:val="left" w:pos="770"/>
        </w:tabs>
        <w:spacing w:before="0" w:after="0" w:line="384" w:lineRule="exact"/>
        <w:ind w:left="456" w:firstLine="0"/>
        <w:jc w:val="left"/>
      </w:pPr>
      <w:r>
        <w:rPr>
          <w:rFonts w:ascii="黑体" w:hAnsi="黑体" w:cs="黑体"/>
          <w:color w:val="000000"/>
          <w:spacing w:val="0"/>
          <w:w w:val="100"/>
          <w:position w:val="0"/>
          <w:sz w:val="21"/>
          <w:u w:val="none"/>
        </w:rPr>
        <w:t>6</w:t>
      </w:r>
      <w:r>
        <w:rPr>
          <w:rFonts w:cs="Calibri"/>
          <w:spacing w:val="1"/>
          <w:w w:val="100"/>
        </w:rPr>
        <w:tab/>
      </w:r>
      <w:r>
        <w:rPr>
          <w:rFonts w:ascii="黑体" w:eastAsia="黑体" w:hAnsi="黑体" w:cs="黑体"/>
          <w:color w:val="000000"/>
          <w:spacing w:val="0"/>
          <w:w w:val="100"/>
          <w:position w:val="0"/>
          <w:sz w:val="21"/>
          <w:u w:val="none"/>
        </w:rPr>
        <w:t>规划编制</w:t>
      </w:r>
    </w:p>
    <w:p>
      <w:pPr>
        <w:spacing w:before="0" w:after="0" w:line="240" w:lineRule="exact"/>
        <w:ind w:left="456" w:firstLine="0"/>
      </w:pPr>
    </w:p>
    <w:p>
      <w:pPr>
        <w:spacing w:before="0" w:after="0" w:line="384" w:lineRule="exact"/>
        <w:ind w:left="456" w:firstLine="526"/>
        <w:jc w:val="left"/>
      </w:pPr>
      <w:r>
        <w:rPr>
          <w:rFonts w:ascii="黑体" w:eastAsia="黑体" w:hAnsi="黑体" w:cs="黑体"/>
          <w:color w:val="000000"/>
          <w:spacing w:val="0"/>
          <w:w w:val="100"/>
          <w:position w:val="0"/>
          <w:sz w:val="21"/>
          <w:u w:val="none"/>
        </w:rPr>
        <w:t>目标指标</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6.1.1</w:t>
      </w:r>
      <w:r>
        <w:rPr>
          <w:rFonts w:cs="Calibri"/>
          <w:spacing w:val="0"/>
          <w:w w:val="100"/>
        </w:rPr>
        <w:tab/>
      </w:r>
      <w:r>
        <w:rPr>
          <w:rFonts w:ascii="黑体" w:eastAsia="黑体" w:hAnsi="黑体" w:cs="黑体"/>
          <w:color w:val="000000"/>
          <w:spacing w:val="0"/>
          <w:w w:val="100"/>
          <w:position w:val="0"/>
          <w:sz w:val="21"/>
          <w:u w:val="none"/>
        </w:rPr>
        <w:t>修复目标</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围绕党中央国务院关于生态文明建设的总体部署，立足落实国家、省和区域重大战略安排，衔接相</w:t>
      </w:r>
    </w:p>
    <w:p>
      <w:pPr>
        <w:spacing w:before="0" w:after="0" w:line="312" w:lineRule="exact"/>
        <w:ind w:left="456" w:firstLine="0"/>
        <w:jc w:val="left"/>
      </w:pPr>
      <w:r>
        <w:rPr>
          <w:rFonts w:ascii="宋体" w:hAnsi="宋体" w:cs="宋体"/>
          <w:color w:val="000000"/>
          <w:spacing w:val="-5"/>
          <w:w w:val="100"/>
          <w:position w:val="0"/>
          <w:sz w:val="21"/>
          <w:u w:val="none"/>
        </w:rPr>
        <w:t>关规划目标及任务要求，结合市域生态修复实际，以山水林田湖草沙一体化保护和修复为主线促进安全、</w:t>
      </w:r>
    </w:p>
    <w:p>
      <w:pPr>
        <w:spacing w:before="0" w:after="0" w:line="312" w:lineRule="exact"/>
        <w:ind w:left="456" w:firstLine="0"/>
        <w:jc w:val="left"/>
      </w:pPr>
      <w:r>
        <w:rPr>
          <w:rFonts w:ascii="宋体" w:hAnsi="宋体" w:cs="宋体"/>
          <w:color w:val="000000"/>
          <w:spacing w:val="0"/>
          <w:w w:val="100"/>
          <w:position w:val="0"/>
          <w:sz w:val="21"/>
          <w:u w:val="none"/>
        </w:rPr>
        <w:t>繁荣、和谐、美丽国土构建，提出近期、远期分阶段国土空间生态修复目标。</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6.1.2</w:t>
      </w:r>
      <w:r>
        <w:rPr>
          <w:rFonts w:cs="Calibri"/>
          <w:spacing w:val="-5"/>
          <w:w w:val="100"/>
        </w:rPr>
        <w:tab/>
      </w:r>
      <w:r>
        <w:rPr>
          <w:rFonts w:ascii="黑体" w:eastAsia="黑体" w:hAnsi="黑体" w:cs="黑体"/>
          <w:color w:val="000000"/>
          <w:spacing w:val="0"/>
          <w:w w:val="100"/>
          <w:position w:val="0"/>
          <w:sz w:val="21"/>
          <w:u w:val="none"/>
        </w:rPr>
        <w:t>修复指标</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合理设定市级国土空间生态修复指标体系（推荐指标见附录</w:t>
      </w:r>
      <w:r>
        <w:rPr>
          <w:rFonts w:ascii="宋体" w:hAnsi="宋体" w:cs="宋体"/>
          <w:color w:val="000000"/>
          <w:spacing w:val="0"/>
          <w:w w:val="100"/>
          <w:position w:val="0"/>
          <w:sz w:val="21"/>
          <w:u w:val="none"/>
        </w:rPr>
        <w:t>B.1），主要包括生态质量、修复治理</w:t>
      </w:r>
    </w:p>
    <w:p>
      <w:pPr>
        <w:spacing w:before="0" w:after="0" w:line="312" w:lineRule="exact"/>
        <w:ind w:left="456" w:firstLine="0"/>
        <w:jc w:val="left"/>
      </w:pPr>
      <w:r>
        <w:rPr>
          <w:rFonts w:ascii="宋体" w:hAnsi="宋体" w:cs="宋体"/>
          <w:color w:val="000000"/>
          <w:spacing w:val="0"/>
          <w:w w:val="100"/>
          <w:position w:val="0"/>
          <w:sz w:val="21"/>
          <w:u w:val="none"/>
        </w:rPr>
        <w:t>两类指标。各地可结合自身需要，增设或适当减少指标。</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总体布局</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6.2.1</w:t>
      </w:r>
      <w:r>
        <w:rPr>
          <w:rFonts w:cs="Calibri"/>
          <w:spacing w:val="0"/>
          <w:w w:val="100"/>
        </w:rPr>
        <w:tab/>
      </w:r>
      <w:r>
        <w:rPr>
          <w:rFonts w:ascii="黑体" w:eastAsia="黑体" w:hAnsi="黑体" w:cs="黑体"/>
          <w:color w:val="000000"/>
          <w:spacing w:val="0"/>
          <w:w w:val="100"/>
          <w:position w:val="0"/>
          <w:sz w:val="21"/>
          <w:u w:val="none"/>
        </w:rPr>
        <w:t>重大格局</w:t>
      </w:r>
    </w:p>
    <w:p>
      <w:pPr>
        <w:spacing w:before="0" w:after="0" w:line="240" w:lineRule="exact"/>
        <w:ind w:left="456" w:firstLine="0"/>
      </w:pPr>
    </w:p>
    <w:p>
      <w:pPr>
        <w:spacing w:before="0" w:after="0" w:line="229" w:lineRule="exact"/>
        <w:ind w:left="456" w:firstLine="420"/>
        <w:jc w:val="left"/>
      </w:pPr>
      <w:r>
        <w:rPr>
          <w:rFonts w:ascii="宋体" w:hAnsi="宋体" w:cs="宋体"/>
          <w:color w:val="000000"/>
          <w:spacing w:val="-3"/>
          <w:w w:val="100"/>
          <w:position w:val="0"/>
          <w:sz w:val="21"/>
          <w:u w:val="none"/>
        </w:rPr>
        <w:t>生态修复的布局要着眼于自上而下的整体谋划，明确市域生态安全格局、生物多样性保护格局以及</w:t>
      </w:r>
    </w:p>
    <w:p>
      <w:pPr>
        <w:spacing w:before="0" w:after="0" w:line="312" w:lineRule="exact"/>
        <w:ind w:left="456" w:firstLine="0"/>
        <w:jc w:val="left"/>
      </w:pPr>
      <w:r>
        <w:rPr>
          <w:rFonts w:ascii="宋体" w:hAnsi="宋体" w:cs="宋体"/>
          <w:color w:val="000000"/>
          <w:spacing w:val="-3"/>
          <w:w w:val="100"/>
          <w:position w:val="0"/>
          <w:sz w:val="21"/>
          <w:u w:val="none"/>
        </w:rPr>
        <w:t>高质量发展格局，从生态修复筑牢生态安全、保护生物多样性、支撑高质量发展的战略需求出发，明确</w:t>
      </w:r>
    </w:p>
    <w:p>
      <w:pPr>
        <w:spacing w:before="0" w:after="0" w:line="312" w:lineRule="exact"/>
        <w:ind w:left="456" w:firstLine="0"/>
        <w:jc w:val="left"/>
      </w:pPr>
      <w:r>
        <w:rPr>
          <w:rFonts w:ascii="宋体" w:hAnsi="宋体" w:cs="宋体"/>
          <w:color w:val="000000"/>
          <w:spacing w:val="0"/>
          <w:w w:val="100"/>
          <w:position w:val="0"/>
          <w:sz w:val="21"/>
          <w:u w:val="none"/>
        </w:rPr>
        <w:t>生态修复的总体框架。</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6.2.2</w:t>
      </w:r>
      <w:r>
        <w:rPr>
          <w:rFonts w:cs="Calibri"/>
          <w:spacing w:val="0"/>
          <w:w w:val="100"/>
        </w:rPr>
        <w:tab/>
      </w:r>
      <w:r>
        <w:rPr>
          <w:rFonts w:ascii="黑体" w:eastAsia="黑体" w:hAnsi="黑体" w:cs="黑体"/>
          <w:color w:val="000000"/>
          <w:spacing w:val="0"/>
          <w:w w:val="100"/>
          <w:position w:val="0"/>
          <w:sz w:val="21"/>
          <w:u w:val="none"/>
        </w:rPr>
        <w:t>修复分区</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分区布局要贯彻山水林田湖草是生命共同体的理念，对接国土空间规划分区，面向生态、农业、城</w:t>
      </w:r>
    </w:p>
    <w:p>
      <w:pPr>
        <w:spacing w:before="0" w:after="0" w:line="312" w:lineRule="exact"/>
        <w:ind w:left="456" w:firstLine="0"/>
        <w:jc w:val="left"/>
      </w:pPr>
      <w:r>
        <w:rPr>
          <w:rFonts w:ascii="宋体" w:hAnsi="宋体" w:cs="宋体"/>
          <w:color w:val="000000"/>
          <w:spacing w:val="0"/>
          <w:w w:val="100"/>
          <w:position w:val="0"/>
          <w:sz w:val="21"/>
          <w:u w:val="none"/>
        </w:rPr>
        <w:t>镇三大空间，形成各有侧重的生态修复分区布局与任务要求。</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6.2.3</w:t>
      </w:r>
      <w:r>
        <w:rPr>
          <w:rFonts w:cs="Calibri"/>
          <w:spacing w:val="0"/>
          <w:w w:val="100"/>
        </w:rPr>
        <w:tab/>
      </w:r>
      <w:r>
        <w:rPr>
          <w:rFonts w:ascii="黑体" w:eastAsia="黑体" w:hAnsi="黑体" w:cs="黑体"/>
          <w:color w:val="000000"/>
          <w:spacing w:val="0"/>
          <w:w w:val="100"/>
          <w:position w:val="0"/>
          <w:sz w:val="21"/>
          <w:u w:val="none"/>
        </w:rPr>
        <w:t>重点区域</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1"/>
          <w:w w:val="100"/>
          <w:position w:val="0"/>
          <w:sz w:val="21"/>
          <w:u w:val="none"/>
        </w:rPr>
        <w:t>重点区域是修复任务落地和重大工程布局的空间载体。重点区域要衔接省级国土空间生态修复规</w:t>
      </w:r>
    </w:p>
    <w:p>
      <w:pPr>
        <w:spacing w:before="0" w:after="0" w:line="312" w:lineRule="exact"/>
        <w:ind w:left="456" w:firstLine="0"/>
        <w:jc w:val="left"/>
      </w:pPr>
      <w:r>
        <w:rPr>
          <w:rFonts w:ascii="宋体" w:hAnsi="宋体" w:cs="宋体"/>
          <w:color w:val="000000"/>
          <w:spacing w:val="-3"/>
          <w:w w:val="100"/>
          <w:position w:val="0"/>
          <w:sz w:val="21"/>
          <w:u w:val="none"/>
        </w:rPr>
        <w:t>划和市级国土空间总体规划确定的生态保护修复重点区域，综合考虑生态、农业、城镇三大空间生态演</w:t>
      </w:r>
    </w:p>
    <w:p>
      <w:pPr>
        <w:spacing w:before="0" w:after="0" w:line="312" w:lineRule="exact"/>
        <w:ind w:left="456" w:firstLine="0"/>
        <w:jc w:val="left"/>
      </w:pPr>
      <w:r>
        <w:rPr>
          <w:rFonts w:ascii="宋体" w:hAnsi="宋体" w:cs="宋体"/>
          <w:color w:val="000000"/>
          <w:spacing w:val="-7"/>
          <w:w w:val="100"/>
          <w:position w:val="0"/>
          <w:sz w:val="21"/>
          <w:u w:val="none"/>
        </w:rPr>
        <w:t>化规律以及系统完整性，综合生态评价和问题识别的结论，基于重点流域、海域、重要山脉等自然单元，</w:t>
      </w:r>
    </w:p>
    <w:p>
      <w:pPr>
        <w:spacing w:before="0" w:after="0" w:line="312" w:lineRule="exact"/>
        <w:ind w:left="456" w:firstLine="0"/>
        <w:jc w:val="left"/>
      </w:pPr>
      <w:r>
        <w:rPr>
          <w:rFonts w:ascii="宋体" w:hAnsi="宋体" w:cs="宋体"/>
          <w:color w:val="000000"/>
          <w:spacing w:val="0"/>
          <w:w w:val="100"/>
          <w:position w:val="0"/>
          <w:sz w:val="21"/>
          <w:u w:val="none"/>
        </w:rPr>
        <w:t>并结合城市的详规单元综合确定。</w:t>
      </w:r>
    </w:p>
    <w:p>
      <w:pPr>
        <w:spacing w:before="0" w:after="0" w:line="368" w:lineRule="exact"/>
        <w:ind w:left="456" w:firstLine="9038"/>
        <w:jc w:val="left"/>
        <w:sectPr>
          <w:type w:val="continuous"/>
          <w:pgSz w:w="11906" w:h="16839"/>
          <w:pgMar w:top="959" w:right="603" w:bottom="719" w:left="963" w:header="0" w:footer="0" w:gutter="0"/>
          <w:pgNumType w:start="23"/>
          <w:cols w:num="1" w:space="720"/>
        </w:sectPr>
      </w:pPr>
      <w:r>
        <w:rPr>
          <w:rFonts w:ascii="宋体" w:hAnsi="宋体" w:cs="宋体"/>
          <w:color w:val="000000"/>
          <w:spacing w:val="-1"/>
          <w:w w:val="100"/>
          <w:position w:val="0"/>
          <w:sz w:val="18"/>
          <w:u w:val="none"/>
        </w:rPr>
        <w:t>7</w:t>
      </w:r>
    </w:p>
    <w:p>
      <w:pPr>
        <w:spacing w:before="0" w:after="0" w:line="240" w:lineRule="exact"/>
      </w:pPr>
      <w:bookmarkStart w:id="12" w:name="12"/>
      <w:bookmarkEnd w:id="12"/>
    </w:p>
    <w:p>
      <w:pPr>
        <w:spacing w:before="0" w:after="0" w:line="240" w:lineRule="exact"/>
      </w:pPr>
    </w:p>
    <w:p>
      <w:pPr>
        <w:spacing w:before="0" w:after="0" w:line="221" w:lineRule="exact"/>
        <w:ind w:left="60" w:firstLine="0"/>
        <w:jc w:val="left"/>
      </w:pPr>
      <w:r>
        <w:pict>
          <v:shape id="_x0000_s2103" o:spid="_x0000_s1077" type="#_x0000_t202" style="width:332pt;height:53pt;margin-top:397.7pt;margin-left:141.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70" o:spid="_x0000_s1078" type="#_x0000_t75" style="width:17pt;height:10pt;margin-top:263pt;margin-left:56pt;mso-height-relative:page;mso-position-horizontal-relative:page;mso-position-vertical-relative:page;mso-width-relative:page;position:absolute;z-index:-251604992" coordsize="21600,21600" filled="f">
            <v:imagedata r:id="rId48"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2455</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0"/>
        <w:jc w:val="left"/>
      </w:pPr>
      <w:r>
        <w:rPr>
          <w:rFonts w:ascii="宋体" w:hAnsi="宋体" w:cs="宋体"/>
          <w:color w:val="000000"/>
          <w:spacing w:val="-12"/>
          <w:w w:val="100"/>
          <w:position w:val="0"/>
          <w:sz w:val="21"/>
          <w:u w:val="none"/>
        </w:rPr>
        <w:t>按照“自然地理单元</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主导生态功能或主要生态问题</w:t>
      </w:r>
      <w:r>
        <w:rPr>
          <w:rFonts w:ascii="宋体" w:hAnsi="宋体" w:cs="宋体"/>
          <w:color w:val="000000"/>
          <w:spacing w:val="0"/>
          <w:w w:val="100"/>
          <w:position w:val="0"/>
          <w:sz w:val="21"/>
          <w:u w:val="none"/>
        </w:rPr>
        <w:t>+</w:t>
      </w:r>
      <w:r>
        <w:rPr>
          <w:rFonts w:ascii="宋体" w:hAnsi="宋体" w:cs="宋体"/>
          <w:color w:val="000000"/>
          <w:spacing w:val="-10"/>
          <w:w w:val="100"/>
          <w:position w:val="0"/>
          <w:sz w:val="21"/>
          <w:u w:val="none"/>
        </w:rPr>
        <w:t>保护修复方向”的方式，对重点区域进行命名，</w:t>
      </w:r>
    </w:p>
    <w:p>
      <w:pPr>
        <w:spacing w:before="0" w:after="0" w:line="312" w:lineRule="exact"/>
        <w:ind w:left="60" w:firstLine="0"/>
        <w:jc w:val="left"/>
      </w:pPr>
      <w:r>
        <w:rPr>
          <w:rFonts w:ascii="宋体" w:eastAsia="宋体" w:hAnsi="宋体" w:cs="宋体"/>
          <w:color w:val="000000"/>
          <w:spacing w:val="0"/>
          <w:w w:val="100"/>
          <w:position w:val="0"/>
          <w:sz w:val="21"/>
          <w:u w:val="none"/>
        </w:rPr>
        <w:t>具体如下：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自然地理单元。体现区内主要的自然地理单元或生态系统，如柘林湾海湾、珠江河口、川山群</w:t>
      </w:r>
    </w:p>
    <w:p>
      <w:pPr>
        <w:spacing w:before="0" w:after="0" w:line="312" w:lineRule="exact"/>
        <w:ind w:left="60" w:firstLine="852"/>
        <w:jc w:val="left"/>
      </w:pPr>
      <w:r>
        <w:rPr>
          <w:rFonts w:ascii="宋体" w:hAnsi="宋体" w:cs="宋体"/>
          <w:color w:val="000000"/>
          <w:spacing w:val="0"/>
          <w:w w:val="100"/>
          <w:position w:val="0"/>
          <w:sz w:val="21"/>
          <w:u w:val="none"/>
        </w:rPr>
        <w:t>岛海岛、东江流域、白云山生态屏障等；</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主导生态功能。体现区内主导生态功能，如水源涵养、水土保持、生物多样性保护、岸线保护</w:t>
      </w:r>
    </w:p>
    <w:p>
      <w:pPr>
        <w:spacing w:before="0" w:after="0" w:line="312" w:lineRule="exact"/>
        <w:ind w:left="60" w:firstLine="852"/>
        <w:jc w:val="left"/>
      </w:pPr>
      <w:r>
        <w:rPr>
          <w:rFonts w:ascii="宋体" w:eastAsia="宋体" w:hAnsi="宋体" w:cs="宋体"/>
          <w:color w:val="000000"/>
          <w:spacing w:val="0"/>
          <w:w w:val="100"/>
          <w:position w:val="0"/>
          <w:sz w:val="21"/>
          <w:u w:val="none"/>
        </w:rPr>
        <w:t>等；</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主要生态问题。体现区内存在的主要生态问题，如水土流失、石漠化等；</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8"/>
          <w:w w:val="100"/>
          <w:position w:val="0"/>
          <w:sz w:val="21"/>
          <w:u w:val="none"/>
        </w:rPr>
        <w:t>保护修复主导方向。与主导生态功能或主要生态问题对应，引导保护修复方向，如保护、保育、</w:t>
      </w:r>
    </w:p>
    <w:p>
      <w:pPr>
        <w:spacing w:before="0" w:after="0" w:line="312" w:lineRule="exact"/>
        <w:ind w:left="60" w:firstLine="852"/>
        <w:jc w:val="left"/>
      </w:pPr>
      <w:r>
        <w:rPr>
          <w:rFonts w:ascii="宋体" w:hAnsi="宋体" w:cs="宋体"/>
          <w:color w:val="000000"/>
          <w:spacing w:val="0"/>
          <w:w w:val="100"/>
          <w:position w:val="0"/>
          <w:sz w:val="21"/>
          <w:u w:val="none"/>
        </w:rPr>
        <w:t>修复、整治、治理等。</w:t>
      </w:r>
    </w:p>
    <w:p>
      <w:pPr>
        <w:spacing w:before="0" w:after="0" w:line="296" w:lineRule="exact"/>
        <w:ind w:left="60" w:firstLine="363"/>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重点区域作为规划实施的优先区，为安排生态保护修复重点工程提供依据。</w:t>
      </w:r>
    </w:p>
    <w:p>
      <w:pPr>
        <w:spacing w:before="0" w:after="0" w:line="240" w:lineRule="exact"/>
        <w:ind w:left="60" w:firstLine="363"/>
      </w:pPr>
    </w:p>
    <w:p>
      <w:pPr>
        <w:spacing w:before="0" w:after="0" w:line="244" w:lineRule="exact"/>
        <w:ind w:left="60" w:firstLine="526"/>
        <w:jc w:val="left"/>
      </w:pPr>
      <w:r>
        <w:rPr>
          <w:rFonts w:ascii="黑体" w:eastAsia="黑体" w:hAnsi="黑体" w:cs="黑体"/>
          <w:color w:val="000000"/>
          <w:spacing w:val="0"/>
          <w:w w:val="100"/>
          <w:position w:val="0"/>
          <w:sz w:val="21"/>
          <w:u w:val="none"/>
        </w:rPr>
        <w:t>修复任务</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6.3.1</w:t>
      </w:r>
      <w:r>
        <w:rPr>
          <w:rFonts w:cs="Calibri"/>
          <w:spacing w:val="0"/>
          <w:w w:val="100"/>
        </w:rPr>
        <w:tab/>
      </w:r>
      <w:r>
        <w:rPr>
          <w:rFonts w:ascii="黑体" w:eastAsia="黑体" w:hAnsi="黑体" w:cs="黑体"/>
          <w:color w:val="000000"/>
          <w:spacing w:val="0"/>
          <w:w w:val="100"/>
          <w:position w:val="0"/>
          <w:sz w:val="21"/>
          <w:u w:val="none"/>
        </w:rPr>
        <w:t>生态空间保护修复</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重点关注重要生态屏障、生态廊道、生态系统、生态保护红线内部生态资源不合理利用和生态系统</w:t>
      </w:r>
    </w:p>
    <w:p>
      <w:pPr>
        <w:spacing w:before="0" w:after="0" w:line="312" w:lineRule="exact"/>
        <w:ind w:left="60" w:firstLine="0"/>
        <w:jc w:val="left"/>
      </w:pPr>
      <w:r>
        <w:rPr>
          <w:rFonts w:ascii="宋体" w:hAnsi="宋体" w:cs="宋体"/>
          <w:color w:val="000000"/>
          <w:spacing w:val="0"/>
          <w:w w:val="100"/>
          <w:position w:val="0"/>
          <w:sz w:val="21"/>
          <w:u w:val="none"/>
        </w:rPr>
        <w:t>受损、退化问题，消除或避免生态胁迫，改善生态系统服务，提升生态系统多样性、稳定性、持续性。</w:t>
      </w:r>
    </w:p>
    <w:p>
      <w:pPr>
        <w:spacing w:before="0" w:after="0" w:line="312" w:lineRule="exact"/>
        <w:ind w:left="60" w:firstLine="0"/>
        <w:jc w:val="left"/>
      </w:pPr>
      <w:r>
        <w:rPr>
          <w:rFonts w:ascii="宋体" w:eastAsia="宋体" w:hAnsi="宋体" w:cs="宋体"/>
          <w:color w:val="000000"/>
          <w:spacing w:val="0"/>
          <w:w w:val="100"/>
          <w:position w:val="0"/>
          <w:sz w:val="21"/>
          <w:u w:val="none"/>
        </w:rPr>
        <w:t>主要任务为：</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优先保护原生生态系统和重要物种栖息地；</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加强重要河流湖泊湿地保护修复，推进以小流域为单元生态保护修复；</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开展国土绿化行动和绿美广东生态建设，实施森林生态系统修复，推进石漠化、水土流失综合</w:t>
      </w:r>
    </w:p>
    <w:p>
      <w:pPr>
        <w:spacing w:before="0" w:after="0" w:line="312" w:lineRule="exact"/>
        <w:ind w:left="60" w:firstLine="852"/>
        <w:jc w:val="left"/>
      </w:pPr>
      <w:r>
        <w:rPr>
          <w:rFonts w:ascii="宋体" w:eastAsia="宋体" w:hAnsi="宋体" w:cs="宋体"/>
          <w:color w:val="000000"/>
          <w:spacing w:val="0"/>
          <w:w w:val="100"/>
          <w:position w:val="0"/>
          <w:sz w:val="21"/>
          <w:u w:val="none"/>
        </w:rPr>
        <w:t>治理；</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开展海洋生态修复，实施重要河口、海湾、海岸线、滨海湿地、海岛生态保护和修复，加强红</w:t>
      </w:r>
    </w:p>
    <w:p>
      <w:pPr>
        <w:spacing w:before="0" w:after="0" w:line="312" w:lineRule="exact"/>
        <w:ind w:left="60" w:firstLine="852"/>
        <w:jc w:val="left"/>
      </w:pPr>
      <w:r>
        <w:rPr>
          <w:rFonts w:ascii="宋体" w:hAnsi="宋体" w:cs="宋体"/>
          <w:color w:val="000000"/>
          <w:spacing w:val="-3"/>
          <w:w w:val="100"/>
          <w:position w:val="0"/>
          <w:sz w:val="21"/>
          <w:u w:val="none"/>
        </w:rPr>
        <w:t>树林、海草床、珊瑚礁等典型海洋生态系统保护修复（具体措施参考《海洋生态修复技术指南</w:t>
      </w:r>
    </w:p>
    <w:p>
      <w:pPr>
        <w:spacing w:before="0" w:after="0" w:line="312" w:lineRule="exact"/>
        <w:ind w:left="60" w:firstLine="852"/>
        <w:jc w:val="left"/>
      </w:pPr>
      <w:r>
        <w:rPr>
          <w:rFonts w:ascii="宋体" w:hAnsi="宋体" w:cs="宋体"/>
          <w:color w:val="000000"/>
          <w:spacing w:val="0"/>
          <w:w w:val="100"/>
          <w:position w:val="0"/>
          <w:sz w:val="21"/>
          <w:u w:val="none"/>
        </w:rPr>
        <w:t>（试行）》）；</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开展矿山生态修复，提高生态功能，保障生态安全。</w:t>
      </w:r>
    </w:p>
    <w:p>
      <w:pPr>
        <w:spacing w:before="0" w:after="0" w:line="240" w:lineRule="exact"/>
        <w:ind w:left="60" w:firstLine="425"/>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6.3.2</w:t>
      </w:r>
      <w:r>
        <w:rPr>
          <w:rFonts w:cs="Calibri"/>
          <w:spacing w:val="0"/>
          <w:w w:val="100"/>
        </w:rPr>
        <w:tab/>
      </w:r>
      <w:r>
        <w:rPr>
          <w:rFonts w:ascii="黑体" w:eastAsia="黑体" w:hAnsi="黑体" w:cs="黑体"/>
          <w:color w:val="000000"/>
          <w:spacing w:val="0"/>
          <w:w w:val="100"/>
          <w:position w:val="0"/>
          <w:sz w:val="21"/>
          <w:u w:val="none"/>
        </w:rPr>
        <w:t>农业空间修复整治</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5"/>
          <w:w w:val="100"/>
          <w:position w:val="0"/>
          <w:sz w:val="21"/>
          <w:u w:val="none"/>
        </w:rPr>
        <w:t>重点关注耕地、园地、坑塘等农用地的生态资源不合理利用和农田生态系统生物多样性下降等问题，</w:t>
      </w:r>
    </w:p>
    <w:p>
      <w:pPr>
        <w:spacing w:before="0" w:after="0" w:line="312" w:lineRule="exact"/>
        <w:ind w:left="60" w:firstLine="0"/>
        <w:jc w:val="left"/>
      </w:pPr>
      <w:r>
        <w:rPr>
          <w:rFonts w:ascii="宋体" w:hAnsi="宋体" w:cs="宋体"/>
          <w:color w:val="000000"/>
          <w:spacing w:val="0"/>
          <w:w w:val="100"/>
          <w:position w:val="0"/>
          <w:sz w:val="21"/>
          <w:u w:val="none"/>
        </w:rPr>
        <w:t>修复提升农田生态功能，优化乡村生态系统。主要任务为：</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修复治理污染退化农田，保护农业生产空间，保障农产品质量安全；保护特色农业生态系统，</w:t>
      </w:r>
    </w:p>
    <w:p>
      <w:pPr>
        <w:spacing w:before="0" w:after="0" w:line="313" w:lineRule="exact"/>
        <w:ind w:left="60" w:firstLine="852"/>
        <w:jc w:val="left"/>
      </w:pPr>
      <w:r>
        <w:rPr>
          <w:rFonts w:ascii="宋体" w:eastAsia="宋体" w:hAnsi="宋体" w:cs="宋体"/>
          <w:color w:val="000000"/>
          <w:spacing w:val="0"/>
          <w:w w:val="100"/>
          <w:position w:val="0"/>
          <w:sz w:val="21"/>
          <w:u w:val="none"/>
        </w:rPr>
        <w:t>增强生态功能，维护农田生物多样性；</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修复农田及村庄周边历史遗留矿山；</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开展全域土地综合整治，整体推进农用地整理、建设用地整理、乡村生态保护修复、乡村风貌</w:t>
      </w:r>
    </w:p>
    <w:p>
      <w:pPr>
        <w:spacing w:before="0" w:after="0" w:line="312" w:lineRule="exact"/>
        <w:ind w:left="60" w:firstLine="852"/>
        <w:jc w:val="left"/>
      </w:pPr>
      <w:r>
        <w:rPr>
          <w:rFonts w:ascii="宋体" w:eastAsia="宋体" w:hAnsi="宋体" w:cs="宋体"/>
          <w:color w:val="000000"/>
          <w:spacing w:val="0"/>
          <w:w w:val="100"/>
          <w:position w:val="0"/>
          <w:sz w:val="21"/>
          <w:u w:val="none"/>
        </w:rPr>
        <w:t>提升与历史文化保护；</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合理开发农业景观、自然景观资源，形成生态宜居、乡韵浓郁、欣欣向荣的农业空间。</w:t>
      </w:r>
    </w:p>
    <w:p>
      <w:pPr>
        <w:spacing w:before="0" w:after="0" w:line="240" w:lineRule="exact"/>
        <w:ind w:left="60" w:firstLine="425"/>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6.3.3</w:t>
      </w:r>
      <w:r>
        <w:rPr>
          <w:rFonts w:cs="Calibri"/>
          <w:spacing w:val="0"/>
          <w:w w:val="100"/>
        </w:rPr>
        <w:tab/>
      </w:r>
      <w:r>
        <w:rPr>
          <w:rFonts w:ascii="黑体" w:eastAsia="黑体" w:hAnsi="黑体" w:cs="黑体"/>
          <w:color w:val="000000"/>
          <w:spacing w:val="0"/>
          <w:w w:val="100"/>
          <w:position w:val="0"/>
          <w:sz w:val="21"/>
          <w:u w:val="none"/>
        </w:rPr>
        <w:t>城镇空间生态提质</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重点关注重点镇、工业集中区等区域城市生态系统功能下降、生态资源配置不均衡、人居环境恶化</w:t>
      </w:r>
    </w:p>
    <w:p>
      <w:pPr>
        <w:spacing w:before="0" w:after="0" w:line="312" w:lineRule="exact"/>
        <w:ind w:left="60" w:firstLine="0"/>
        <w:jc w:val="left"/>
      </w:pPr>
      <w:r>
        <w:rPr>
          <w:rFonts w:ascii="宋体" w:hAnsi="宋体" w:cs="宋体"/>
          <w:color w:val="000000"/>
          <w:spacing w:val="0"/>
          <w:w w:val="100"/>
          <w:position w:val="0"/>
          <w:sz w:val="21"/>
          <w:u w:val="none"/>
        </w:rPr>
        <w:t>等问题，开展城镇空间保护和修复，提升城镇空间生态品质。主要任务为：</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统筹城内城外，保护和修复各类自然生态系统，构建互联互通的城市绿地网络，塑造城市水清</w:t>
      </w:r>
    </w:p>
    <w:p>
      <w:pPr>
        <w:spacing w:before="0" w:after="0" w:line="312" w:lineRule="exact"/>
        <w:ind w:left="60" w:firstLine="852"/>
        <w:jc w:val="left"/>
      </w:pPr>
      <w:r>
        <w:rPr>
          <w:rFonts w:ascii="宋体" w:eastAsia="宋体" w:hAnsi="宋体" w:cs="宋体"/>
          <w:color w:val="000000"/>
          <w:spacing w:val="0"/>
          <w:w w:val="100"/>
          <w:position w:val="0"/>
          <w:sz w:val="21"/>
          <w:u w:val="none"/>
        </w:rPr>
        <w:t>岸绿优美蓝带；</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修复提升城市特色风貌和人文景观，提升绿道、碧道、古驿道等线性开敞空间沿线生态系统；</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加强对城市坑塘、河湖、湿地等自然水体形态的保护和修复，建设通风廊道缓解城市热岛，提</w:t>
      </w:r>
    </w:p>
    <w:p>
      <w:pPr>
        <w:spacing w:before="0" w:after="0" w:line="312" w:lineRule="exact"/>
        <w:ind w:left="60" w:firstLine="852"/>
        <w:jc w:val="left"/>
      </w:pPr>
      <w:r>
        <w:rPr>
          <w:rFonts w:ascii="宋体" w:eastAsia="宋体" w:hAnsi="宋体" w:cs="宋体"/>
          <w:color w:val="000000"/>
          <w:spacing w:val="0"/>
          <w:w w:val="100"/>
          <w:position w:val="0"/>
          <w:sz w:val="21"/>
          <w:u w:val="none"/>
        </w:rPr>
        <w:t>高城市韧性缓解城市内涝；</w:t>
      </w:r>
    </w:p>
    <w:p>
      <w:pPr>
        <w:spacing w:before="0" w:after="0" w:line="368" w:lineRule="exact"/>
        <w:ind w:left="60" w:firstLine="197"/>
        <w:jc w:val="left"/>
      </w:pPr>
      <w:r>
        <w:rPr>
          <w:rFonts w:ascii="宋体" w:hAnsi="宋体" w:cs="宋体"/>
          <w:color w:val="000000"/>
          <w:spacing w:val="-1"/>
          <w:w w:val="100"/>
          <w:position w:val="0"/>
          <w:sz w:val="18"/>
          <w:u w:val="none"/>
        </w:rPr>
        <w:t>8</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https://d.book118.com/557041105034006052</w:t>
        </w:r>
      </w:hyperlink>
    </w:p>
    <w:p>
      <w:pPr>
        <w:spacing w:before="0" w:after="0" w:line="368" w:lineRule="exact"/>
        <w:ind w:left="60" w:firstLine="197"/>
        <w:jc w:val="left"/>
      </w:pPr>
    </w:p>
    <w:sectPr>
      <w:type w:val="continuous"/>
      <w:pgSz w:w="11906" w:h="16838"/>
      <w:pgMar w:top="959" w:right="713" w:bottom="719" w:left="1073" w:header="0" w:footer="0" w:gutter="0"/>
      <w:pgNumType w:start="24"/>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F0B302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hyperlink" Target="https://d.book118.com/557041105034006052" TargetMode="External" /><Relationship Id="rId5" Type="http://schemas.openxmlformats.org/officeDocument/2006/relationships/image" Target="media/image1.jpe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2024-03-13T01:50:20Z</dcterms:created>
  <dcterms:modified xsi:type="dcterms:W3CDTF">2024-03-13T01:50:29Z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5C83574A604D48B5B984E81B998CD20D_12</vt:lpwstr>
  </property>
  <property fmtid="{D5CDD505-2E9C-101B-9397-08002B2CF9AE}" pid="3" name="KSOProductBuildVer">
    <vt:lpwstr>2052-12.1.0.16399</vt:lpwstr>
  </property>
</Properties>
</file>