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18"/>
        </w:rPr>
      </w:pPr>
    </w:p>
    <w:p>
      <w:pPr>
        <w:pStyle w:val="Title"/>
        <w:spacing w:line="809" w:lineRule="exact"/>
      </w:pPr>
      <w:r>
        <w:t>浙江省高速公路沥青路面规范化</w:t>
      </w:r>
    </w:p>
    <w:p>
      <w:pPr>
        <w:pStyle w:val="Title"/>
        <w:spacing w:before="81"/>
      </w:pPr>
      <w:r>
        <w:t>施工指南</w:t>
      </w:r>
    </w:p>
    <w:p>
      <w:pPr>
        <w:pStyle w:val="BodyText"/>
        <w:rPr>
          <w:rFonts w:ascii="方正小标宋简体"/>
          <w:sz w:val="70"/>
        </w:rPr>
      </w:pPr>
    </w:p>
    <w:p>
      <w:pPr>
        <w:pStyle w:val="BodyText"/>
        <w:rPr>
          <w:rFonts w:ascii="方正小标宋简体"/>
          <w:sz w:val="70"/>
        </w:rPr>
      </w:pPr>
    </w:p>
    <w:p>
      <w:pPr>
        <w:pStyle w:val="BodyText"/>
        <w:rPr>
          <w:rFonts w:ascii="方正小标宋简体"/>
          <w:sz w:val="70"/>
        </w:rPr>
      </w:pPr>
    </w:p>
    <w:p>
      <w:pPr>
        <w:pStyle w:val="BodyText"/>
        <w:rPr>
          <w:rFonts w:ascii="方正小标宋简体"/>
          <w:sz w:val="70"/>
        </w:rPr>
      </w:pPr>
    </w:p>
    <w:p>
      <w:pPr>
        <w:pStyle w:val="BodyText"/>
        <w:spacing w:before="14"/>
        <w:rPr>
          <w:rFonts w:ascii="方正小标宋简体"/>
          <w:sz w:val="63"/>
        </w:rPr>
      </w:pPr>
    </w:p>
    <w:p>
      <w:pPr>
        <w:spacing w:before="0"/>
        <w:ind w:left="200" w:right="0" w:firstLine="0"/>
        <w:jc w:val="center"/>
        <w:rPr>
          <w:rFonts w:ascii="黑体" w:eastAsia="黑体" w:hint="eastAsia"/>
          <w:sz w:val="32"/>
        </w:rPr>
      </w:pPr>
      <w:r>
        <w:rPr>
          <w:rFonts w:ascii="黑体" w:eastAsia="黑体" w:hint="eastAsia"/>
          <w:sz w:val="32"/>
        </w:rPr>
        <w:t>2019</w:t>
      </w:r>
      <w:r>
        <w:rPr>
          <w:rFonts w:ascii="黑体" w:eastAsia="黑体" w:hint="eastAsia"/>
          <w:spacing w:val="-54"/>
          <w:sz w:val="32"/>
        </w:rPr>
        <w:t xml:space="preserve"> 年 </w:t>
      </w:r>
      <w:r>
        <w:rPr>
          <w:rFonts w:ascii="黑体" w:eastAsia="黑体" w:hint="eastAsia"/>
          <w:sz w:val="32"/>
        </w:rPr>
        <w:t>6</w:t>
      </w:r>
      <w:r>
        <w:rPr>
          <w:rFonts w:ascii="黑体" w:eastAsia="黑体" w:hint="eastAsia"/>
          <w:spacing w:val="-42"/>
          <w:sz w:val="32"/>
        </w:rPr>
        <w:t xml:space="preserve"> 月</w:t>
      </w:r>
    </w:p>
    <w:p>
      <w:pPr>
        <w:spacing w:after="0"/>
        <w:jc w:val="center"/>
        <w:rPr>
          <w:rFonts w:ascii="黑体" w:eastAsia="黑体" w:hint="eastAsia"/>
          <w:sz w:val="32"/>
        </w:rPr>
        <w:sectPr>
          <w:type w:val="continuous"/>
          <w:pgSz w:w="11910" w:h="16840"/>
          <w:pgMar w:top="1580" w:right="820" w:bottom="280" w:left="900" w:header="708" w:footer="708"/>
          <w:cols w:space="708"/>
        </w:sectPr>
      </w:pPr>
    </w:p>
    <w:p>
      <w:pPr>
        <w:tabs>
          <w:tab w:val="left" w:pos="1158"/>
        </w:tabs>
        <w:spacing w:before="36"/>
        <w:ind w:left="198" w:right="0" w:firstLine="0"/>
        <w:jc w:val="center"/>
        <w:rPr>
          <w:rFonts w:ascii="黑体" w:eastAsia="黑体" w:hint="eastAsia"/>
          <w:sz w:val="32"/>
        </w:rPr>
      </w:pPr>
      <w:bookmarkStart w:id="0" w:name="目  次"/>
      <w:bookmarkEnd w:id="0"/>
      <w:bookmarkStart w:id="1" w:name="_bookmark0"/>
      <w:bookmarkEnd w:id="1"/>
      <w:r>
        <w:rPr>
          <w:rFonts w:ascii="黑体" w:eastAsia="黑体" w:hint="eastAsia"/>
          <w:sz w:val="32"/>
        </w:rPr>
        <w:t>目</w:t>
        <w:tab/>
        <w:t>次</w:t>
      </w:r>
    </w:p>
    <w:p>
      <w:pPr>
        <w:spacing w:after="0"/>
        <w:jc w:val="center"/>
        <w:rPr>
          <w:rFonts w:ascii="黑体" w:eastAsia="黑体" w:hint="eastAsia"/>
          <w:sz w:val="32"/>
        </w:rPr>
        <w:sectPr>
          <w:footerReference w:type="even" r:id="rId4"/>
          <w:footerReference w:type="default" r:id="rId5"/>
          <w:pgSz w:w="11910" w:h="16840"/>
          <w:pgMar w:top="1200" w:right="820" w:bottom="1142" w:left="900" w:header="0" w:footer="1495"/>
          <w:pgNumType w:start="2"/>
          <w:cols w:space="708"/>
        </w:sectPr>
      </w:pPr>
    </w:p>
    <w:sdt>
      <w:sdtPr>
        <w:id w:val="454401717"/>
        <w:docPartObj>
          <w:docPartGallery w:val="Table of Contents"/>
          <w:docPartUnique/>
        </w:docPartObj>
      </w:sdtPr>
      <w:sdtContent>
        <w:p>
          <w:pPr>
            <w:pStyle w:val="TOC3"/>
            <w:tabs>
              <w:tab w:val="right" w:leader="dot" w:pos="9755"/>
            </w:tabs>
            <w:spacing w:before="585"/>
            <w:ind w:left="515" w:firstLine="0"/>
          </w:pPr>
          <w:hyperlink w:anchor="_bookmark0" w:history="1">
            <w:r>
              <w:t>前言</w:t>
            </w:r>
          </w:hyperlink>
          <w:r>
            <w:tab/>
            <w:t>III</w:t>
          </w:r>
        </w:p>
        <w:p>
          <w:pPr>
            <w:pStyle w:val="TOC3"/>
            <w:numPr>
              <w:ilvl w:val="0"/>
              <w:numId w:val="28"/>
            </w:numPr>
            <w:tabs>
              <w:tab w:val="left" w:pos="832"/>
              <w:tab w:val="left" w:pos="833"/>
              <w:tab w:val="right" w:leader="dot" w:pos="9755"/>
            </w:tabs>
            <w:spacing w:before="120" w:after="0" w:line="240" w:lineRule="auto"/>
            <w:ind w:left="832" w:right="0" w:hanging="318"/>
            <w:jc w:val="left"/>
          </w:pPr>
          <w:hyperlink w:anchor="_bookmark1" w:history="1">
            <w:r>
              <w:t>总则</w:t>
              <w:tab/>
              <w:t>1</w:t>
            </w:r>
          </w:hyperlink>
        </w:p>
        <w:p>
          <w:pPr>
            <w:pStyle w:val="TOC3"/>
            <w:numPr>
              <w:ilvl w:val="0"/>
              <w:numId w:val="28"/>
            </w:numPr>
            <w:tabs>
              <w:tab w:val="left" w:pos="832"/>
              <w:tab w:val="left" w:pos="833"/>
              <w:tab w:val="right" w:leader="dot" w:pos="9755"/>
            </w:tabs>
            <w:spacing w:before="122" w:after="0" w:line="240" w:lineRule="auto"/>
            <w:ind w:left="832" w:right="0" w:hanging="318"/>
            <w:jc w:val="left"/>
          </w:pPr>
          <w:hyperlink w:anchor="_bookmark2" w:history="1">
            <w:r>
              <w:t>编制依据</w:t>
              <w:tab/>
              <w:t>1</w:t>
            </w:r>
          </w:hyperlink>
        </w:p>
        <w:p>
          <w:pPr>
            <w:pStyle w:val="TOC3"/>
            <w:numPr>
              <w:ilvl w:val="0"/>
              <w:numId w:val="28"/>
            </w:numPr>
            <w:tabs>
              <w:tab w:val="left" w:pos="832"/>
              <w:tab w:val="left" w:pos="833"/>
              <w:tab w:val="right" w:leader="dot" w:pos="9755"/>
            </w:tabs>
            <w:spacing w:before="120" w:after="0" w:line="240" w:lineRule="auto"/>
            <w:ind w:left="832" w:right="0" w:hanging="318"/>
            <w:jc w:val="left"/>
          </w:pPr>
          <w:hyperlink w:anchor="_bookmark3" w:history="1">
            <w:r>
              <w:t>术语和定义</w:t>
              <w:tab/>
              <w:t>1</w:t>
            </w:r>
          </w:hyperlink>
        </w:p>
        <w:p>
          <w:pPr>
            <w:pStyle w:val="TOC3"/>
            <w:numPr>
              <w:ilvl w:val="0"/>
              <w:numId w:val="28"/>
            </w:numPr>
            <w:tabs>
              <w:tab w:val="left" w:pos="832"/>
              <w:tab w:val="left" w:pos="833"/>
              <w:tab w:val="right" w:leader="dot" w:pos="9755"/>
            </w:tabs>
            <w:spacing w:before="122" w:after="0" w:line="240" w:lineRule="auto"/>
            <w:ind w:left="832" w:right="0" w:hanging="318"/>
            <w:jc w:val="left"/>
          </w:pPr>
          <w:hyperlink w:anchor="_bookmark4" w:history="1">
            <w:r>
              <w:t>基本规定</w:t>
              <w:tab/>
              <w:t>1</w:t>
            </w:r>
          </w:hyperlink>
        </w:p>
        <w:p>
          <w:pPr>
            <w:pStyle w:val="TOC4"/>
            <w:numPr>
              <w:ilvl w:val="1"/>
              <w:numId w:val="28"/>
            </w:numPr>
            <w:tabs>
              <w:tab w:val="left" w:pos="1252"/>
              <w:tab w:val="left" w:pos="1253"/>
              <w:tab w:val="right" w:leader="dot" w:pos="9756"/>
            </w:tabs>
            <w:spacing w:before="120" w:after="0" w:line="240" w:lineRule="auto"/>
            <w:ind w:left="1252" w:right="0" w:hanging="526"/>
            <w:jc w:val="left"/>
          </w:pPr>
          <w:hyperlink w:anchor="_bookmark5" w:history="1">
            <w:r>
              <w:t>一</w:t>
            </w:r>
            <w:r>
              <w:rPr>
                <w:spacing w:val="-3"/>
              </w:rPr>
              <w:t>般</w:t>
            </w:r>
            <w:r>
              <w:t>规定</w:t>
              <w:tab/>
              <w:t>2</w:t>
            </w:r>
          </w:hyperlink>
        </w:p>
        <w:p>
          <w:pPr>
            <w:pStyle w:val="TOC4"/>
            <w:numPr>
              <w:ilvl w:val="1"/>
              <w:numId w:val="28"/>
            </w:numPr>
            <w:tabs>
              <w:tab w:val="left" w:pos="1252"/>
              <w:tab w:val="left" w:pos="1254"/>
              <w:tab w:val="right" w:leader="dot" w:pos="9756"/>
            </w:tabs>
            <w:spacing w:before="43" w:after="0" w:line="240" w:lineRule="auto"/>
            <w:ind w:left="1253" w:right="0" w:hanging="527"/>
            <w:jc w:val="left"/>
          </w:pPr>
          <w:hyperlink w:anchor="_bookmark6" w:history="1">
            <w:r>
              <w:t>标</w:t>
            </w:r>
            <w:r>
              <w:rPr>
                <w:spacing w:val="-3"/>
              </w:rPr>
              <w:t>化</w:t>
            </w:r>
            <w:r>
              <w:t>建设</w:t>
              <w:tab/>
              <w:t>2</w:t>
            </w:r>
          </w:hyperlink>
        </w:p>
        <w:p>
          <w:pPr>
            <w:pStyle w:val="TOC4"/>
            <w:numPr>
              <w:ilvl w:val="1"/>
              <w:numId w:val="28"/>
            </w:numPr>
            <w:tabs>
              <w:tab w:val="left" w:pos="1253"/>
              <w:tab w:val="left" w:pos="1254"/>
              <w:tab w:val="right" w:leader="dot" w:pos="9756"/>
            </w:tabs>
            <w:spacing w:before="43" w:after="0" w:line="240" w:lineRule="auto"/>
            <w:ind w:left="1253" w:right="0" w:hanging="527"/>
            <w:jc w:val="left"/>
          </w:pPr>
          <w:hyperlink w:anchor="_bookmark7" w:history="1">
            <w:r>
              <w:t>信</w:t>
            </w:r>
            <w:r>
              <w:rPr>
                <w:spacing w:val="-3"/>
              </w:rPr>
              <w:t>息</w:t>
            </w:r>
            <w:r>
              <w:t>化</w:t>
            </w:r>
            <w:r>
              <w:rPr>
                <w:spacing w:val="-3"/>
              </w:rPr>
              <w:t>管理</w:t>
              <w:tab/>
            </w:r>
            <w:r>
              <w:t>3</w:t>
            </w:r>
          </w:hyperlink>
        </w:p>
        <w:p>
          <w:pPr>
            <w:pStyle w:val="TOC4"/>
            <w:numPr>
              <w:ilvl w:val="1"/>
              <w:numId w:val="28"/>
            </w:numPr>
            <w:tabs>
              <w:tab w:val="left" w:pos="1253"/>
              <w:tab w:val="left" w:pos="1254"/>
              <w:tab w:val="right" w:leader="dot" w:pos="9756"/>
            </w:tabs>
            <w:spacing w:before="42" w:after="0" w:line="240" w:lineRule="auto"/>
            <w:ind w:left="1253" w:right="0" w:hanging="527"/>
            <w:jc w:val="left"/>
          </w:pPr>
          <w:hyperlink w:anchor="_bookmark8" w:history="1">
            <w:r>
              <w:t>工</w:t>
            </w:r>
            <w:r>
              <w:rPr>
                <w:spacing w:val="-3"/>
              </w:rPr>
              <w:t>作</w:t>
            </w:r>
            <w:r>
              <w:t>面</w:t>
            </w:r>
            <w:r>
              <w:rPr>
                <w:spacing w:val="-3"/>
              </w:rPr>
              <w:t>交验</w:t>
              <w:tab/>
            </w:r>
            <w:r>
              <w:t>4</w:t>
            </w:r>
          </w:hyperlink>
        </w:p>
        <w:p>
          <w:pPr>
            <w:pStyle w:val="TOC3"/>
            <w:numPr>
              <w:ilvl w:val="0"/>
              <w:numId w:val="28"/>
            </w:numPr>
            <w:tabs>
              <w:tab w:val="left" w:pos="832"/>
              <w:tab w:val="left" w:pos="833"/>
              <w:tab w:val="right" w:leader="dot" w:pos="9755"/>
            </w:tabs>
            <w:spacing w:before="120" w:after="0" w:line="240" w:lineRule="auto"/>
            <w:ind w:left="832" w:right="0" w:hanging="318"/>
            <w:jc w:val="left"/>
          </w:pPr>
          <w:hyperlink w:anchor="_bookmark9" w:history="1">
            <w:r>
              <w:t>原材料及设备</w:t>
              <w:tab/>
              <w:t>6</w:t>
            </w:r>
          </w:hyperlink>
        </w:p>
        <w:p>
          <w:pPr>
            <w:pStyle w:val="TOC4"/>
            <w:numPr>
              <w:ilvl w:val="1"/>
              <w:numId w:val="28"/>
            </w:numPr>
            <w:tabs>
              <w:tab w:val="left" w:pos="1252"/>
              <w:tab w:val="left" w:pos="1253"/>
              <w:tab w:val="right" w:leader="dot" w:pos="9756"/>
            </w:tabs>
            <w:spacing w:before="122" w:after="0" w:line="240" w:lineRule="auto"/>
            <w:ind w:left="1252" w:right="0" w:hanging="526"/>
            <w:jc w:val="left"/>
          </w:pPr>
          <w:hyperlink w:anchor="_bookmark10" w:history="1">
            <w:r>
              <w:t>一</w:t>
            </w:r>
            <w:r>
              <w:rPr>
                <w:spacing w:val="-3"/>
              </w:rPr>
              <w:t>般</w:t>
            </w:r>
            <w:r>
              <w:t>规定</w:t>
              <w:tab/>
              <w:t>6</w:t>
            </w:r>
          </w:hyperlink>
        </w:p>
        <w:p>
          <w:pPr>
            <w:pStyle w:val="TOC4"/>
            <w:numPr>
              <w:ilvl w:val="1"/>
              <w:numId w:val="28"/>
            </w:numPr>
            <w:tabs>
              <w:tab w:val="left" w:pos="1252"/>
              <w:tab w:val="left" w:pos="1254"/>
              <w:tab w:val="right" w:leader="dot" w:pos="9756"/>
            </w:tabs>
            <w:spacing w:before="43" w:after="0" w:line="240" w:lineRule="auto"/>
            <w:ind w:left="1253" w:right="0" w:hanging="527"/>
            <w:jc w:val="left"/>
          </w:pPr>
          <w:hyperlink w:anchor="_bookmark11" w:history="1">
            <w:r>
              <w:t>原</w:t>
            </w:r>
            <w:r>
              <w:rPr>
                <w:spacing w:val="-3"/>
              </w:rPr>
              <w:t>材料</w:t>
              <w:tab/>
            </w:r>
            <w:r>
              <w:t>7</w:t>
            </w:r>
          </w:hyperlink>
        </w:p>
        <w:p>
          <w:pPr>
            <w:pStyle w:val="TOC4"/>
            <w:tabs>
              <w:tab w:val="left" w:pos="1253"/>
              <w:tab w:val="right" w:leader="dot" w:pos="9756"/>
            </w:tabs>
            <w:ind w:left="727" w:firstLine="0"/>
          </w:pPr>
          <w:hyperlink w:anchor="_bookmark12" w:history="1">
            <w:r>
              <w:t>5.3</w:t>
              <w:tab/>
              <w:t>设备</w:t>
              <w:tab/>
              <w:t>11</w:t>
            </w:r>
          </w:hyperlink>
        </w:p>
        <w:p>
          <w:pPr>
            <w:pStyle w:val="TOC3"/>
            <w:numPr>
              <w:ilvl w:val="0"/>
              <w:numId w:val="28"/>
            </w:numPr>
            <w:tabs>
              <w:tab w:val="left" w:pos="832"/>
              <w:tab w:val="left" w:pos="833"/>
              <w:tab w:val="right" w:leader="dot" w:pos="9755"/>
            </w:tabs>
            <w:spacing w:before="120" w:after="0" w:line="240" w:lineRule="auto"/>
            <w:ind w:left="832" w:right="0" w:hanging="318"/>
            <w:jc w:val="left"/>
          </w:pPr>
          <w:hyperlink w:anchor="_bookmark13" w:history="1">
            <w:r>
              <w:t>试验路段</w:t>
              <w:tab/>
              <w:t>14</w:t>
            </w:r>
          </w:hyperlink>
        </w:p>
        <w:p>
          <w:pPr>
            <w:pStyle w:val="TOC4"/>
            <w:numPr>
              <w:ilvl w:val="1"/>
              <w:numId w:val="28"/>
            </w:numPr>
            <w:tabs>
              <w:tab w:val="left" w:pos="1252"/>
              <w:tab w:val="left" w:pos="1253"/>
              <w:tab w:val="right" w:leader="dot" w:pos="9756"/>
            </w:tabs>
            <w:spacing w:before="122" w:after="0" w:line="240" w:lineRule="auto"/>
            <w:ind w:left="1252" w:right="0" w:hanging="526"/>
            <w:jc w:val="left"/>
          </w:pPr>
          <w:hyperlink w:anchor="_bookmark14" w:history="1">
            <w:r>
              <w:t>一</w:t>
            </w:r>
            <w:r>
              <w:rPr>
                <w:spacing w:val="-3"/>
              </w:rPr>
              <w:t>般</w:t>
            </w:r>
            <w:r>
              <w:t>规定</w:t>
              <w:tab/>
              <w:t>14</w:t>
            </w:r>
          </w:hyperlink>
        </w:p>
        <w:p>
          <w:pPr>
            <w:pStyle w:val="TOC4"/>
            <w:numPr>
              <w:ilvl w:val="1"/>
              <w:numId w:val="28"/>
            </w:numPr>
            <w:tabs>
              <w:tab w:val="left" w:pos="1252"/>
              <w:tab w:val="left" w:pos="1254"/>
              <w:tab w:val="right" w:leader="dot" w:pos="9756"/>
            </w:tabs>
            <w:spacing w:before="43" w:after="0" w:line="240" w:lineRule="auto"/>
            <w:ind w:left="1253" w:right="0" w:hanging="527"/>
            <w:jc w:val="left"/>
          </w:pPr>
          <w:hyperlink w:anchor="_bookmark15" w:history="1">
            <w:r>
              <w:t>水</w:t>
            </w:r>
            <w:r>
              <w:rPr>
                <w:spacing w:val="-3"/>
              </w:rPr>
              <w:t>泥</w:t>
            </w:r>
            <w:r>
              <w:t>稳</w:t>
            </w:r>
            <w:r>
              <w:rPr>
                <w:spacing w:val="-3"/>
              </w:rPr>
              <w:t>定</w:t>
            </w:r>
            <w:r>
              <w:t>碎</w:t>
            </w:r>
            <w:r>
              <w:rPr>
                <w:spacing w:val="-3"/>
              </w:rPr>
              <w:t>石</w:t>
            </w:r>
            <w:r>
              <w:t>底</w:t>
            </w:r>
            <w:r>
              <w:rPr>
                <w:spacing w:val="-3"/>
              </w:rPr>
              <w:t>基层</w:t>
            </w:r>
            <w:r>
              <w:t>、基</w:t>
            </w:r>
            <w:r>
              <w:rPr>
                <w:spacing w:val="-3"/>
              </w:rPr>
              <w:t>层</w:t>
            </w:r>
            <w:r>
              <w:t>试</w:t>
            </w:r>
            <w:r>
              <w:rPr>
                <w:spacing w:val="-3"/>
              </w:rPr>
              <w:t>验</w:t>
            </w:r>
            <w:r>
              <w:t>路段</w:t>
              <w:tab/>
              <w:t>14</w:t>
            </w:r>
          </w:hyperlink>
        </w:p>
        <w:p>
          <w:pPr>
            <w:pStyle w:val="TOC4"/>
            <w:numPr>
              <w:ilvl w:val="1"/>
              <w:numId w:val="28"/>
            </w:numPr>
            <w:tabs>
              <w:tab w:val="left" w:pos="1253"/>
              <w:tab w:val="left" w:pos="1254"/>
              <w:tab w:val="right" w:leader="dot" w:pos="9756"/>
            </w:tabs>
            <w:spacing w:before="43" w:after="0" w:line="240" w:lineRule="auto"/>
            <w:ind w:left="1253" w:right="0" w:hanging="527"/>
            <w:jc w:val="left"/>
          </w:pPr>
          <w:hyperlink w:anchor="_bookmark16" w:history="1">
            <w:r>
              <w:t>下</w:t>
            </w:r>
            <w:r>
              <w:rPr>
                <w:spacing w:val="-3"/>
              </w:rPr>
              <w:t>封</w:t>
            </w:r>
            <w:r>
              <w:t>层</w:t>
            </w:r>
            <w:r>
              <w:rPr>
                <w:spacing w:val="-3"/>
              </w:rPr>
              <w:t>试</w:t>
            </w:r>
            <w:r>
              <w:t>验</w:t>
            </w:r>
            <w:r>
              <w:rPr>
                <w:spacing w:val="-3"/>
              </w:rPr>
              <w:t>路段</w:t>
              <w:tab/>
            </w:r>
            <w:r>
              <w:t>15</w:t>
            </w:r>
          </w:hyperlink>
        </w:p>
        <w:p>
          <w:pPr>
            <w:pStyle w:val="TOC4"/>
            <w:numPr>
              <w:ilvl w:val="1"/>
              <w:numId w:val="28"/>
            </w:numPr>
            <w:tabs>
              <w:tab w:val="left" w:pos="1253"/>
              <w:tab w:val="left" w:pos="1254"/>
              <w:tab w:val="right" w:leader="dot" w:pos="9756"/>
            </w:tabs>
            <w:spacing w:before="43" w:after="0" w:line="240" w:lineRule="auto"/>
            <w:ind w:left="1253" w:right="0" w:hanging="527"/>
            <w:jc w:val="left"/>
          </w:pPr>
          <w:hyperlink w:anchor="_bookmark17" w:history="1">
            <w:r>
              <w:t>沥</w:t>
            </w:r>
            <w:r>
              <w:rPr>
                <w:spacing w:val="-3"/>
              </w:rPr>
              <w:t>青</w:t>
            </w:r>
            <w:r>
              <w:t>路</w:t>
            </w:r>
            <w:r>
              <w:rPr>
                <w:spacing w:val="-3"/>
              </w:rPr>
              <w:t>面</w:t>
            </w:r>
            <w:r>
              <w:t>面</w:t>
            </w:r>
            <w:r>
              <w:rPr>
                <w:spacing w:val="-3"/>
              </w:rPr>
              <w:t>层</w:t>
            </w:r>
            <w:r>
              <w:t>试</w:t>
            </w:r>
            <w:r>
              <w:rPr>
                <w:spacing w:val="-3"/>
              </w:rPr>
              <w:t>验路段</w:t>
              <w:tab/>
            </w:r>
            <w:r>
              <w:t>15</w:t>
            </w:r>
          </w:hyperlink>
        </w:p>
        <w:p>
          <w:pPr>
            <w:pStyle w:val="TOC3"/>
            <w:numPr>
              <w:ilvl w:val="0"/>
              <w:numId w:val="28"/>
            </w:numPr>
            <w:tabs>
              <w:tab w:val="left" w:pos="832"/>
              <w:tab w:val="left" w:pos="833"/>
              <w:tab w:val="right" w:leader="dot" w:pos="9755"/>
            </w:tabs>
            <w:spacing w:before="120" w:after="0" w:line="240" w:lineRule="auto"/>
            <w:ind w:left="832" w:right="0" w:hanging="318"/>
            <w:jc w:val="left"/>
          </w:pPr>
          <w:r>
            <w:t>水泥稳定碎石底基</w:t>
          </w:r>
          <w:r>
            <w:rPr>
              <w:spacing w:val="-3"/>
            </w:rPr>
            <w:t>层、</w:t>
          </w:r>
          <w:r>
            <w:t>基层施工</w:t>
            <w:tab/>
            <w:t>16</w:t>
          </w:r>
        </w:p>
        <w:p>
          <w:pPr>
            <w:pStyle w:val="TOC4"/>
            <w:numPr>
              <w:ilvl w:val="1"/>
              <w:numId w:val="28"/>
            </w:numPr>
            <w:tabs>
              <w:tab w:val="left" w:pos="1252"/>
              <w:tab w:val="left" w:pos="1253"/>
              <w:tab w:val="right" w:leader="dot" w:pos="9756"/>
            </w:tabs>
            <w:spacing w:before="122" w:after="0" w:line="240" w:lineRule="auto"/>
            <w:ind w:left="1252" w:right="0" w:hanging="526"/>
            <w:jc w:val="left"/>
          </w:pPr>
          <w:hyperlink w:anchor="_bookmark18" w:history="1">
            <w:r>
              <w:t>一</w:t>
            </w:r>
            <w:r>
              <w:rPr>
                <w:spacing w:val="-3"/>
              </w:rPr>
              <w:t>般</w:t>
            </w:r>
            <w:r>
              <w:t>规定</w:t>
              <w:tab/>
              <w:t>16</w:t>
            </w:r>
          </w:hyperlink>
        </w:p>
        <w:p>
          <w:pPr>
            <w:pStyle w:val="TOC4"/>
            <w:numPr>
              <w:ilvl w:val="1"/>
              <w:numId w:val="28"/>
            </w:numPr>
            <w:tabs>
              <w:tab w:val="left" w:pos="1252"/>
              <w:tab w:val="left" w:pos="1254"/>
              <w:tab w:val="right" w:leader="dot" w:pos="9756"/>
            </w:tabs>
            <w:spacing w:before="43" w:after="0" w:line="240" w:lineRule="auto"/>
            <w:ind w:left="1253" w:right="0" w:hanging="527"/>
            <w:jc w:val="left"/>
          </w:pPr>
          <w:hyperlink w:anchor="_bookmark19" w:history="1">
            <w:r>
              <w:t>施</w:t>
            </w:r>
            <w:r>
              <w:rPr>
                <w:spacing w:val="-3"/>
              </w:rPr>
              <w:t>工</w:t>
            </w:r>
            <w:r>
              <w:t>准备</w:t>
              <w:tab/>
              <w:t>17</w:t>
            </w:r>
          </w:hyperlink>
        </w:p>
        <w:p>
          <w:pPr>
            <w:pStyle w:val="TOC4"/>
            <w:numPr>
              <w:ilvl w:val="1"/>
              <w:numId w:val="28"/>
            </w:numPr>
            <w:tabs>
              <w:tab w:val="left" w:pos="1253"/>
              <w:tab w:val="left" w:pos="1254"/>
              <w:tab w:val="right" w:leader="dot" w:pos="9756"/>
            </w:tabs>
            <w:spacing w:before="43" w:after="0" w:line="240" w:lineRule="auto"/>
            <w:ind w:left="1253" w:right="0" w:hanging="527"/>
            <w:jc w:val="left"/>
          </w:pPr>
          <w:hyperlink w:anchor="_bookmark20" w:history="1">
            <w:r>
              <w:t>配</w:t>
            </w:r>
            <w:r>
              <w:rPr>
                <w:spacing w:val="-3"/>
              </w:rPr>
              <w:t>合</w:t>
            </w:r>
            <w:r>
              <w:t>比</w:t>
            </w:r>
            <w:r>
              <w:rPr>
                <w:spacing w:val="-3"/>
              </w:rPr>
              <w:t>设计</w:t>
              <w:tab/>
            </w:r>
            <w:r>
              <w:t>17</w:t>
            </w:r>
          </w:hyperlink>
        </w:p>
        <w:p>
          <w:pPr>
            <w:pStyle w:val="TOC4"/>
            <w:numPr>
              <w:ilvl w:val="1"/>
              <w:numId w:val="28"/>
            </w:numPr>
            <w:tabs>
              <w:tab w:val="left" w:pos="1253"/>
              <w:tab w:val="left" w:pos="1254"/>
              <w:tab w:val="right" w:leader="dot" w:pos="9756"/>
            </w:tabs>
            <w:spacing w:before="43" w:after="0" w:line="240" w:lineRule="auto"/>
            <w:ind w:left="1253" w:right="0" w:hanging="527"/>
            <w:jc w:val="left"/>
          </w:pPr>
          <w:hyperlink w:anchor="_bookmark21" w:history="1">
            <w:r>
              <w:t>混</w:t>
            </w:r>
            <w:r>
              <w:rPr>
                <w:spacing w:val="-3"/>
              </w:rPr>
              <w:t>合</w:t>
            </w:r>
            <w:r>
              <w:t>料</w:t>
            </w:r>
            <w:r>
              <w:rPr>
                <w:spacing w:val="-3"/>
              </w:rPr>
              <w:t>的</w:t>
            </w:r>
            <w:r>
              <w:t>拌制</w:t>
              <w:tab/>
              <w:t>18</w:t>
            </w:r>
          </w:hyperlink>
        </w:p>
        <w:p>
          <w:pPr>
            <w:pStyle w:val="TOC4"/>
            <w:numPr>
              <w:ilvl w:val="1"/>
              <w:numId w:val="28"/>
            </w:numPr>
            <w:tabs>
              <w:tab w:val="left" w:pos="1253"/>
              <w:tab w:val="left" w:pos="1254"/>
              <w:tab w:val="right" w:leader="dot" w:pos="9756"/>
            </w:tabs>
            <w:spacing w:before="42" w:after="0" w:line="240" w:lineRule="auto"/>
            <w:ind w:left="1253" w:right="0" w:hanging="526"/>
            <w:jc w:val="left"/>
          </w:pPr>
          <w:hyperlink w:anchor="_bookmark22" w:history="1">
            <w:r>
              <w:t>混</w:t>
            </w:r>
            <w:r>
              <w:rPr>
                <w:spacing w:val="-3"/>
              </w:rPr>
              <w:t>合</w:t>
            </w:r>
            <w:r>
              <w:t>料</w:t>
            </w:r>
            <w:r>
              <w:rPr>
                <w:spacing w:val="-3"/>
              </w:rPr>
              <w:t>的</w:t>
            </w:r>
            <w:r>
              <w:t>运输</w:t>
              <w:tab/>
              <w:t>19</w:t>
            </w:r>
          </w:hyperlink>
        </w:p>
        <w:p>
          <w:pPr>
            <w:pStyle w:val="TOC4"/>
            <w:numPr>
              <w:ilvl w:val="1"/>
              <w:numId w:val="28"/>
            </w:numPr>
            <w:tabs>
              <w:tab w:val="left" w:pos="1253"/>
              <w:tab w:val="left" w:pos="1254"/>
              <w:tab w:val="right" w:leader="dot" w:pos="9757"/>
            </w:tabs>
            <w:spacing w:before="43" w:after="0" w:line="240" w:lineRule="auto"/>
            <w:ind w:left="1253" w:right="0" w:hanging="526"/>
            <w:jc w:val="left"/>
          </w:pPr>
          <w:hyperlink w:anchor="_bookmark23" w:history="1">
            <w:r>
              <w:t>混</w:t>
            </w:r>
            <w:r>
              <w:rPr>
                <w:spacing w:val="-3"/>
              </w:rPr>
              <w:t>合</w:t>
            </w:r>
            <w:r>
              <w:t>料</w:t>
            </w:r>
            <w:r>
              <w:rPr>
                <w:spacing w:val="-3"/>
              </w:rPr>
              <w:t>的</w:t>
            </w:r>
            <w:r>
              <w:t>摊铺</w:t>
              <w:tab/>
              <w:t>19</w:t>
            </w:r>
          </w:hyperlink>
        </w:p>
        <w:p>
          <w:pPr>
            <w:pStyle w:val="TOC4"/>
            <w:numPr>
              <w:ilvl w:val="1"/>
              <w:numId w:val="28"/>
            </w:numPr>
            <w:tabs>
              <w:tab w:val="left" w:pos="1254"/>
              <w:tab w:val="left" w:pos="1255"/>
              <w:tab w:val="right" w:leader="dot" w:pos="9757"/>
            </w:tabs>
            <w:spacing w:before="43" w:after="0" w:line="240" w:lineRule="auto"/>
            <w:ind w:left="1254" w:right="0" w:hanging="527"/>
            <w:jc w:val="left"/>
          </w:pPr>
          <w:hyperlink w:anchor="_bookmark24" w:history="1">
            <w:r>
              <w:t>基</w:t>
            </w:r>
            <w:r>
              <w:rPr>
                <w:spacing w:val="-3"/>
              </w:rPr>
              <w:t>层</w:t>
            </w:r>
            <w:r>
              <w:t>、</w:t>
            </w:r>
            <w:r>
              <w:rPr>
                <w:spacing w:val="-3"/>
              </w:rPr>
              <w:t>底</w:t>
            </w:r>
            <w:r>
              <w:t>基</w:t>
            </w:r>
            <w:r>
              <w:rPr>
                <w:spacing w:val="-3"/>
              </w:rPr>
              <w:t>层</w:t>
            </w:r>
            <w:r>
              <w:t>的</w:t>
            </w:r>
            <w:r>
              <w:rPr>
                <w:spacing w:val="-3"/>
              </w:rPr>
              <w:t>压实</w:t>
            </w:r>
            <w:r>
              <w:t>及成型</w:t>
              <w:tab/>
              <w:t>19</w:t>
            </w:r>
          </w:hyperlink>
        </w:p>
        <w:p>
          <w:pPr>
            <w:pStyle w:val="TOC4"/>
            <w:tabs>
              <w:tab w:val="left" w:pos="1254"/>
              <w:tab w:val="right" w:leader="dot" w:pos="9757"/>
            </w:tabs>
            <w:ind w:left="728" w:firstLine="0"/>
          </w:pPr>
          <w:hyperlink w:anchor="_bookmark25" w:history="1">
            <w:r>
              <w:t>7.8</w:t>
              <w:tab/>
              <w:t>接缝</w:t>
              <w:tab/>
              <w:t>20</w:t>
            </w:r>
          </w:hyperlink>
        </w:p>
        <w:p>
          <w:pPr>
            <w:pStyle w:val="TOC4"/>
            <w:tabs>
              <w:tab w:val="left" w:pos="1254"/>
              <w:tab w:val="right" w:leader="dot" w:pos="9757"/>
            </w:tabs>
            <w:ind w:left="728" w:firstLine="0"/>
          </w:pPr>
          <w:hyperlink w:anchor="_bookmark26" w:history="1">
            <w:r>
              <w:t>7.9</w:t>
              <w:tab/>
              <w:t>养</w:t>
            </w:r>
            <w:r>
              <w:rPr>
                <w:spacing w:val="-3"/>
              </w:rPr>
              <w:t>生</w:t>
            </w:r>
            <w:r>
              <w:t>与</w:t>
            </w:r>
            <w:r>
              <w:rPr>
                <w:spacing w:val="-3"/>
              </w:rPr>
              <w:t>开</w:t>
            </w:r>
            <w:r>
              <w:t>放</w:t>
            </w:r>
            <w:r>
              <w:rPr>
                <w:spacing w:val="-3"/>
              </w:rPr>
              <w:t>交通</w:t>
              <w:tab/>
            </w:r>
            <w:r>
              <w:t>20</w:t>
            </w:r>
          </w:hyperlink>
        </w:p>
        <w:p>
          <w:pPr>
            <w:pStyle w:val="TOC3"/>
            <w:numPr>
              <w:ilvl w:val="0"/>
              <w:numId w:val="28"/>
            </w:numPr>
            <w:tabs>
              <w:tab w:val="left" w:pos="832"/>
              <w:tab w:val="left" w:pos="833"/>
              <w:tab w:val="right" w:leader="dot" w:pos="9755"/>
            </w:tabs>
            <w:spacing w:before="120" w:after="0" w:line="240" w:lineRule="auto"/>
            <w:ind w:left="832" w:right="0" w:hanging="318"/>
            <w:jc w:val="left"/>
          </w:pPr>
          <w:hyperlink w:anchor="_bookmark27" w:history="1">
            <w:r>
              <w:t>下封层、粘层、桥</w:t>
            </w:r>
            <w:r>
              <w:rPr>
                <w:spacing w:val="-3"/>
              </w:rPr>
              <w:t>面（</w:t>
            </w:r>
            <w:r>
              <w:t>隧道）防水粘结层</w:t>
            </w:r>
            <w:r>
              <w:rPr>
                <w:spacing w:val="-3"/>
              </w:rPr>
              <w:t>施</w:t>
            </w:r>
            <w:r>
              <w:t>工</w:t>
              <w:tab/>
              <w:t>21</w:t>
            </w:r>
          </w:hyperlink>
        </w:p>
        <w:p>
          <w:pPr>
            <w:pStyle w:val="TOC4"/>
            <w:numPr>
              <w:ilvl w:val="1"/>
              <w:numId w:val="28"/>
            </w:numPr>
            <w:tabs>
              <w:tab w:val="left" w:pos="1252"/>
              <w:tab w:val="left" w:pos="1253"/>
              <w:tab w:val="right" w:leader="dot" w:pos="9756"/>
            </w:tabs>
            <w:spacing w:before="122" w:after="0" w:line="240" w:lineRule="auto"/>
            <w:ind w:left="1252" w:right="0" w:hanging="526"/>
            <w:jc w:val="left"/>
          </w:pPr>
          <w:hyperlink w:anchor="_bookmark28" w:history="1">
            <w:r>
              <w:t>一</w:t>
            </w:r>
            <w:r>
              <w:rPr>
                <w:spacing w:val="-3"/>
              </w:rPr>
              <w:t>般</w:t>
            </w:r>
            <w:r>
              <w:t>规定</w:t>
              <w:tab/>
              <w:t>21</w:t>
            </w:r>
          </w:hyperlink>
        </w:p>
        <w:p>
          <w:pPr>
            <w:pStyle w:val="TOC4"/>
            <w:numPr>
              <w:ilvl w:val="1"/>
              <w:numId w:val="28"/>
            </w:numPr>
            <w:tabs>
              <w:tab w:val="left" w:pos="1252"/>
              <w:tab w:val="left" w:pos="1254"/>
              <w:tab w:val="right" w:leader="dot" w:pos="9756"/>
            </w:tabs>
            <w:spacing w:before="43" w:after="0" w:line="240" w:lineRule="auto"/>
            <w:ind w:left="1253" w:right="0" w:hanging="527"/>
            <w:jc w:val="left"/>
          </w:pPr>
          <w:hyperlink w:anchor="_bookmark29" w:history="1">
            <w:r>
              <w:t>下</w:t>
            </w:r>
            <w:r>
              <w:rPr>
                <w:spacing w:val="-3"/>
              </w:rPr>
              <w:t>封</w:t>
            </w:r>
            <w:r>
              <w:t>层</w:t>
            </w:r>
            <w:r>
              <w:rPr>
                <w:spacing w:val="-3"/>
              </w:rPr>
              <w:t>施工</w:t>
              <w:tab/>
            </w:r>
            <w:r>
              <w:t>21</w:t>
            </w:r>
          </w:hyperlink>
        </w:p>
        <w:p>
          <w:pPr>
            <w:pStyle w:val="TOC4"/>
            <w:numPr>
              <w:ilvl w:val="1"/>
              <w:numId w:val="28"/>
            </w:numPr>
            <w:tabs>
              <w:tab w:val="left" w:pos="1253"/>
              <w:tab w:val="left" w:pos="1254"/>
              <w:tab w:val="right" w:leader="dot" w:pos="9756"/>
            </w:tabs>
            <w:spacing w:before="43" w:after="0" w:line="240" w:lineRule="auto"/>
            <w:ind w:left="1253" w:right="0" w:hanging="527"/>
            <w:jc w:val="left"/>
          </w:pPr>
          <w:hyperlink w:anchor="_bookmark30" w:history="1">
            <w:r>
              <w:t>粘</w:t>
            </w:r>
            <w:r>
              <w:rPr>
                <w:spacing w:val="-3"/>
              </w:rPr>
              <w:t>层</w:t>
            </w:r>
            <w:r>
              <w:t>施工</w:t>
              <w:tab/>
              <w:t>22</w:t>
            </w:r>
          </w:hyperlink>
        </w:p>
        <w:p>
          <w:pPr>
            <w:pStyle w:val="TOC4"/>
            <w:numPr>
              <w:ilvl w:val="1"/>
              <w:numId w:val="28"/>
            </w:numPr>
            <w:tabs>
              <w:tab w:val="left" w:pos="1253"/>
              <w:tab w:val="left" w:pos="1254"/>
              <w:tab w:val="right" w:leader="dot" w:pos="9756"/>
            </w:tabs>
            <w:spacing w:before="43" w:after="0" w:line="240" w:lineRule="auto"/>
            <w:ind w:left="1253" w:right="0" w:hanging="527"/>
            <w:jc w:val="left"/>
          </w:pPr>
          <w:hyperlink w:anchor="_bookmark31" w:history="1">
            <w:r>
              <w:t>桥</w:t>
            </w:r>
            <w:r>
              <w:rPr>
                <w:spacing w:val="-3"/>
              </w:rPr>
              <w:t>面</w:t>
            </w:r>
            <w:r>
              <w:t>（</w:t>
            </w:r>
            <w:r>
              <w:rPr>
                <w:spacing w:val="-3"/>
              </w:rPr>
              <w:t>隧</w:t>
            </w:r>
            <w:r>
              <w:t>道</w:t>
            </w:r>
            <w:r>
              <w:rPr>
                <w:spacing w:val="-3"/>
              </w:rPr>
              <w:t>）</w:t>
            </w:r>
            <w:r>
              <w:t>防</w:t>
            </w:r>
            <w:r>
              <w:rPr>
                <w:spacing w:val="-3"/>
              </w:rPr>
              <w:t>水粘</w:t>
            </w:r>
            <w:r>
              <w:t>结层</w:t>
            </w:r>
            <w:r>
              <w:rPr>
                <w:spacing w:val="-3"/>
              </w:rPr>
              <w:t>施工</w:t>
              <w:tab/>
            </w:r>
            <w:r>
              <w:t>22</w:t>
            </w:r>
          </w:hyperlink>
        </w:p>
        <w:p>
          <w:pPr>
            <w:pStyle w:val="TOC3"/>
            <w:numPr>
              <w:ilvl w:val="0"/>
              <w:numId w:val="28"/>
            </w:numPr>
            <w:tabs>
              <w:tab w:val="left" w:pos="832"/>
              <w:tab w:val="left" w:pos="833"/>
              <w:tab w:val="right" w:leader="dot" w:pos="9755"/>
            </w:tabs>
            <w:spacing w:before="120" w:after="0" w:line="240" w:lineRule="auto"/>
            <w:ind w:left="832" w:right="0" w:hanging="318"/>
            <w:jc w:val="left"/>
          </w:pPr>
          <w:hyperlink w:anchor="_bookmark32" w:history="1">
            <w:r>
              <w:t>沥青路面面层施工</w:t>
              <w:tab/>
              <w:t>24</w:t>
            </w:r>
          </w:hyperlink>
        </w:p>
        <w:p>
          <w:pPr>
            <w:pStyle w:val="TOC4"/>
            <w:numPr>
              <w:ilvl w:val="1"/>
              <w:numId w:val="28"/>
            </w:numPr>
            <w:tabs>
              <w:tab w:val="left" w:pos="1252"/>
              <w:tab w:val="left" w:pos="1253"/>
              <w:tab w:val="right" w:leader="dot" w:pos="9756"/>
            </w:tabs>
            <w:spacing w:before="122" w:after="0" w:line="240" w:lineRule="auto"/>
            <w:ind w:left="1252" w:right="0" w:hanging="526"/>
            <w:jc w:val="left"/>
          </w:pPr>
          <w:hyperlink w:anchor="_bookmark33" w:history="1">
            <w:r>
              <w:t>一</w:t>
            </w:r>
            <w:r>
              <w:rPr>
                <w:spacing w:val="-3"/>
              </w:rPr>
              <w:t>般</w:t>
            </w:r>
            <w:r>
              <w:t>规定</w:t>
              <w:tab/>
              <w:t>24</w:t>
            </w:r>
          </w:hyperlink>
        </w:p>
        <w:p>
          <w:pPr>
            <w:pStyle w:val="TOC4"/>
            <w:numPr>
              <w:ilvl w:val="1"/>
              <w:numId w:val="28"/>
            </w:numPr>
            <w:tabs>
              <w:tab w:val="left" w:pos="1252"/>
              <w:tab w:val="left" w:pos="1254"/>
              <w:tab w:val="right" w:leader="dot" w:pos="9756"/>
            </w:tabs>
            <w:spacing w:before="43" w:after="0" w:line="240" w:lineRule="auto"/>
            <w:ind w:left="1253" w:right="0" w:hanging="527"/>
            <w:jc w:val="left"/>
          </w:pPr>
          <w:r>
            <w:t>施</w:t>
          </w:r>
          <w:r>
            <w:rPr>
              <w:spacing w:val="-3"/>
            </w:rPr>
            <w:t>工</w:t>
          </w:r>
          <w:r>
            <w:t>准备</w:t>
            <w:tab/>
            <w:t>24</w:t>
          </w:r>
        </w:p>
        <w:p>
          <w:pPr>
            <w:pStyle w:val="TOC4"/>
            <w:numPr>
              <w:ilvl w:val="1"/>
              <w:numId w:val="28"/>
            </w:numPr>
            <w:tabs>
              <w:tab w:val="left" w:pos="1253"/>
              <w:tab w:val="left" w:pos="1254"/>
              <w:tab w:val="right" w:leader="dot" w:pos="9756"/>
            </w:tabs>
            <w:spacing w:before="43" w:after="240" w:line="240" w:lineRule="auto"/>
            <w:ind w:left="1253" w:right="0" w:hanging="527"/>
            <w:jc w:val="left"/>
            <w:sectPr>
              <w:footerReference w:type="even" r:id="rId6"/>
              <w:footerReference w:type="default" r:id="rId7"/>
              <w:type w:val="continuous"/>
              <w:pgSz w:w="11910" w:h="16840"/>
              <w:pgMar w:top="540" w:right="820" w:bottom="1142" w:left="900" w:header="708" w:footer="708"/>
              <w:pgNumType w:start="3"/>
              <w:cols w:space="708"/>
            </w:sectPr>
          </w:pPr>
          <w:hyperlink w:anchor="_bookmark34" w:history="1">
            <w:r>
              <w:t>配</w:t>
            </w:r>
            <w:r>
              <w:rPr>
                <w:spacing w:val="-3"/>
              </w:rPr>
              <w:t>合</w:t>
            </w:r>
            <w:r>
              <w:t>比</w:t>
            </w:r>
            <w:r>
              <w:rPr>
                <w:spacing w:val="-3"/>
              </w:rPr>
              <w:t>设计</w:t>
              <w:tab/>
            </w:r>
            <w:r>
              <w:t>25</w:t>
            </w:r>
          </w:hyperlink>
        </w:p>
      </w:sdtContent>
    </w:sdt>
    <w:sdt>
      <w:sdtPr>
        <w:id w:val="1427819207"/>
        <w:docPartObj>
          <w:docPartGallery w:val="Table of Contents"/>
          <w:docPartUnique/>
        </w:docPartObj>
      </w:sdtPr>
      <w:sdtContent>
        <w:p>
          <w:pPr>
            <w:pStyle w:val="TOC2"/>
            <w:numPr>
              <w:ilvl w:val="1"/>
              <w:numId w:val="28"/>
            </w:numPr>
            <w:tabs>
              <w:tab w:val="left" w:pos="969"/>
              <w:tab w:val="left" w:pos="970"/>
              <w:tab w:val="right" w:leader="dot" w:pos="9472"/>
            </w:tabs>
            <w:spacing w:before="50" w:after="0" w:line="240" w:lineRule="auto"/>
            <w:ind w:left="969" w:right="0" w:hanging="526"/>
            <w:jc w:val="left"/>
          </w:pPr>
          <w:hyperlink w:anchor="_bookmark35" w:history="1">
            <w:r>
              <w:t>混</w:t>
            </w:r>
            <w:r>
              <w:rPr>
                <w:spacing w:val="-3"/>
              </w:rPr>
              <w:t>合</w:t>
            </w:r>
            <w:r>
              <w:t>料</w:t>
            </w:r>
            <w:r>
              <w:rPr>
                <w:spacing w:val="-3"/>
              </w:rPr>
              <w:t>的</w:t>
            </w:r>
            <w:r>
              <w:t>拌制</w:t>
              <w:tab/>
              <w:t>30</w:t>
            </w:r>
          </w:hyperlink>
        </w:p>
        <w:p>
          <w:pPr>
            <w:pStyle w:val="TOC2"/>
            <w:numPr>
              <w:ilvl w:val="1"/>
              <w:numId w:val="28"/>
            </w:numPr>
            <w:tabs>
              <w:tab w:val="left" w:pos="969"/>
              <w:tab w:val="left" w:pos="970"/>
              <w:tab w:val="right" w:leader="dot" w:pos="9473"/>
            </w:tabs>
            <w:spacing w:before="43" w:after="0" w:line="240" w:lineRule="auto"/>
            <w:ind w:left="969" w:right="0" w:hanging="526"/>
            <w:jc w:val="left"/>
          </w:pPr>
          <w:hyperlink w:anchor="_bookmark36" w:history="1">
            <w:r>
              <w:t>混</w:t>
            </w:r>
            <w:r>
              <w:rPr>
                <w:spacing w:val="-3"/>
              </w:rPr>
              <w:t>合</w:t>
            </w:r>
            <w:r>
              <w:t>料</w:t>
            </w:r>
            <w:r>
              <w:rPr>
                <w:spacing w:val="-3"/>
              </w:rPr>
              <w:t>的</w:t>
            </w:r>
            <w:r>
              <w:t>运输</w:t>
              <w:tab/>
              <w:t>31</w:t>
            </w:r>
          </w:hyperlink>
        </w:p>
        <w:p>
          <w:pPr>
            <w:pStyle w:val="TOC2"/>
            <w:numPr>
              <w:ilvl w:val="1"/>
              <w:numId w:val="28"/>
            </w:numPr>
            <w:tabs>
              <w:tab w:val="left" w:pos="970"/>
              <w:tab w:val="left" w:pos="971"/>
              <w:tab w:val="right" w:leader="dot" w:pos="9473"/>
            </w:tabs>
            <w:spacing w:before="43" w:after="0" w:line="240" w:lineRule="auto"/>
            <w:ind w:left="970" w:right="0" w:hanging="527"/>
            <w:jc w:val="left"/>
          </w:pPr>
          <w:hyperlink w:anchor="_bookmark37" w:history="1">
            <w:r>
              <w:t>混</w:t>
            </w:r>
            <w:r>
              <w:rPr>
                <w:spacing w:val="-3"/>
              </w:rPr>
              <w:t>合</w:t>
            </w:r>
            <w:r>
              <w:t>料</w:t>
            </w:r>
            <w:r>
              <w:rPr>
                <w:spacing w:val="-3"/>
              </w:rPr>
              <w:t>的</w:t>
            </w:r>
            <w:r>
              <w:t>摊铺</w:t>
              <w:tab/>
              <w:t>32</w:t>
            </w:r>
          </w:hyperlink>
        </w:p>
        <w:p>
          <w:pPr>
            <w:pStyle w:val="TOC2"/>
            <w:numPr>
              <w:ilvl w:val="1"/>
              <w:numId w:val="28"/>
            </w:numPr>
            <w:tabs>
              <w:tab w:val="left" w:pos="970"/>
              <w:tab w:val="left" w:pos="971"/>
              <w:tab w:val="right" w:leader="dot" w:pos="9473"/>
            </w:tabs>
            <w:spacing w:before="43" w:after="0" w:line="240" w:lineRule="auto"/>
            <w:ind w:left="970" w:right="0" w:hanging="527"/>
            <w:jc w:val="left"/>
          </w:pPr>
          <w:hyperlink w:anchor="_bookmark38" w:history="1">
            <w:r>
              <w:t>沥</w:t>
            </w:r>
            <w:r>
              <w:rPr>
                <w:spacing w:val="-3"/>
              </w:rPr>
              <w:t>青</w:t>
            </w:r>
            <w:r>
              <w:t>路</w:t>
            </w:r>
            <w:r>
              <w:rPr>
                <w:spacing w:val="-3"/>
              </w:rPr>
              <w:t>面</w:t>
            </w:r>
            <w:r>
              <w:t>的</w:t>
            </w:r>
            <w:r>
              <w:rPr>
                <w:spacing w:val="-3"/>
              </w:rPr>
              <w:t>压</w:t>
            </w:r>
            <w:r>
              <w:t>实</w:t>
            </w:r>
            <w:r>
              <w:rPr>
                <w:spacing w:val="-3"/>
              </w:rPr>
              <w:t>成型</w:t>
              <w:tab/>
            </w:r>
            <w:r>
              <w:t>32</w:t>
            </w:r>
          </w:hyperlink>
        </w:p>
        <w:p>
          <w:pPr>
            <w:pStyle w:val="TOC2"/>
            <w:tabs>
              <w:tab w:val="left" w:pos="970"/>
              <w:tab w:val="right" w:leader="dot" w:pos="9473"/>
            </w:tabs>
            <w:ind w:left="444" w:firstLine="0"/>
          </w:pPr>
          <w:hyperlink w:anchor="_bookmark39" w:history="1">
            <w:r>
              <w:t>9.8</w:t>
              <w:tab/>
              <w:t>接缝</w:t>
              <w:tab/>
              <w:t>33</w:t>
            </w:r>
          </w:hyperlink>
        </w:p>
        <w:p>
          <w:pPr>
            <w:pStyle w:val="TOC2"/>
            <w:numPr>
              <w:ilvl w:val="1"/>
              <w:numId w:val="27"/>
            </w:numPr>
            <w:tabs>
              <w:tab w:val="left" w:pos="970"/>
              <w:tab w:val="left" w:pos="971"/>
              <w:tab w:val="right" w:leader="dot" w:pos="9473"/>
            </w:tabs>
            <w:spacing w:before="43" w:after="0" w:line="240" w:lineRule="auto"/>
            <w:ind w:left="970" w:right="0" w:hanging="526"/>
            <w:jc w:val="left"/>
          </w:pPr>
          <w:hyperlink w:anchor="_bookmark40" w:history="1">
            <w:r>
              <w:t>水</w:t>
            </w:r>
            <w:r>
              <w:rPr>
                <w:spacing w:val="-3"/>
              </w:rPr>
              <w:t>泥</w:t>
            </w:r>
            <w:r>
              <w:t>混</w:t>
            </w:r>
            <w:r>
              <w:rPr>
                <w:spacing w:val="-3"/>
              </w:rPr>
              <w:t>凝</w:t>
            </w:r>
            <w:r>
              <w:t>土</w:t>
            </w:r>
            <w:r>
              <w:rPr>
                <w:spacing w:val="-3"/>
              </w:rPr>
              <w:t>桥</w:t>
            </w:r>
            <w:r>
              <w:t>面</w:t>
            </w:r>
            <w:r>
              <w:rPr>
                <w:spacing w:val="-3"/>
              </w:rPr>
              <w:t>的沥</w:t>
            </w:r>
            <w:r>
              <w:t>青铺</w:t>
            </w:r>
            <w:r>
              <w:rPr>
                <w:spacing w:val="-3"/>
              </w:rPr>
              <w:t>装</w:t>
            </w:r>
            <w:r>
              <w:t>层</w:t>
            </w:r>
            <w:r>
              <w:rPr>
                <w:spacing w:val="-3"/>
              </w:rPr>
              <w:t>、</w:t>
            </w:r>
            <w:r>
              <w:t>隧</w:t>
            </w:r>
            <w:r>
              <w:rPr>
                <w:spacing w:val="-3"/>
              </w:rPr>
              <w:t>道</w:t>
            </w:r>
            <w:r>
              <w:t>沥</w:t>
            </w:r>
            <w:r>
              <w:rPr>
                <w:spacing w:val="-3"/>
              </w:rPr>
              <w:t>青</w:t>
            </w:r>
            <w:r>
              <w:t>路</w:t>
            </w:r>
            <w:r>
              <w:rPr>
                <w:spacing w:val="-3"/>
              </w:rPr>
              <w:t>面</w:t>
            </w:r>
            <w:r>
              <w:t>及匝</w:t>
            </w:r>
            <w:r>
              <w:rPr>
                <w:spacing w:val="-3"/>
              </w:rPr>
              <w:t>道</w:t>
            </w:r>
            <w:r>
              <w:t>沥</w:t>
            </w:r>
            <w:r>
              <w:rPr>
                <w:spacing w:val="-3"/>
              </w:rPr>
              <w:t>青</w:t>
            </w:r>
            <w:r>
              <w:t>路</w:t>
            </w:r>
            <w:r>
              <w:rPr>
                <w:spacing w:val="-3"/>
              </w:rPr>
              <w:t>面</w:t>
            </w:r>
            <w:r>
              <w:t>施工</w:t>
              <w:tab/>
              <w:t>33</w:t>
            </w:r>
          </w:hyperlink>
        </w:p>
        <w:p>
          <w:pPr>
            <w:pStyle w:val="TOC2"/>
            <w:numPr>
              <w:ilvl w:val="1"/>
              <w:numId w:val="27"/>
            </w:numPr>
            <w:tabs>
              <w:tab w:val="left" w:pos="1076"/>
              <w:tab w:val="left" w:pos="1077"/>
              <w:tab w:val="right" w:leader="dot" w:pos="9474"/>
            </w:tabs>
            <w:spacing w:before="43" w:after="0" w:line="240" w:lineRule="auto"/>
            <w:ind w:left="1076" w:right="0" w:hanging="632"/>
            <w:jc w:val="left"/>
          </w:pPr>
          <w:hyperlink w:anchor="_bookmark41" w:history="1">
            <w:r>
              <w:t>开</w:t>
            </w:r>
            <w:r>
              <w:rPr>
                <w:spacing w:val="-3"/>
              </w:rPr>
              <w:t>放</w:t>
            </w:r>
            <w:r>
              <w:t>交</w:t>
            </w:r>
            <w:r>
              <w:rPr>
                <w:spacing w:val="-3"/>
              </w:rPr>
              <w:t>通</w:t>
            </w:r>
            <w:r>
              <w:t>及</w:t>
            </w:r>
            <w:r>
              <w:rPr>
                <w:spacing w:val="-3"/>
              </w:rPr>
              <w:t>其他</w:t>
              <w:tab/>
            </w:r>
            <w:r>
              <w:t>34</w:t>
            </w:r>
          </w:hyperlink>
        </w:p>
        <w:p>
          <w:pPr>
            <w:pStyle w:val="TOC1"/>
            <w:numPr>
              <w:ilvl w:val="0"/>
              <w:numId w:val="28"/>
            </w:numPr>
            <w:tabs>
              <w:tab w:val="left" w:pos="655"/>
              <w:tab w:val="left" w:pos="656"/>
              <w:tab w:val="right" w:leader="dot" w:pos="9472"/>
            </w:tabs>
            <w:spacing w:before="120" w:after="0" w:line="240" w:lineRule="auto"/>
            <w:ind w:left="655" w:right="0" w:hanging="424"/>
            <w:jc w:val="left"/>
          </w:pPr>
          <w:hyperlink w:anchor="_bookmark42" w:history="1">
            <w:r>
              <w:t>附属工程施工</w:t>
              <w:tab/>
              <w:t>35</w:t>
            </w:r>
          </w:hyperlink>
        </w:p>
        <w:p>
          <w:pPr>
            <w:pStyle w:val="TOC2"/>
            <w:numPr>
              <w:ilvl w:val="1"/>
              <w:numId w:val="28"/>
            </w:numPr>
            <w:tabs>
              <w:tab w:val="left" w:pos="1075"/>
              <w:tab w:val="left" w:pos="1076"/>
              <w:tab w:val="right" w:leader="dot" w:pos="9472"/>
            </w:tabs>
            <w:spacing w:before="122" w:after="0" w:line="240" w:lineRule="auto"/>
            <w:ind w:left="1075" w:right="0" w:hanging="633"/>
            <w:jc w:val="left"/>
          </w:pPr>
          <w:hyperlink w:anchor="_bookmark43" w:history="1">
            <w:r>
              <w:t>一</w:t>
            </w:r>
            <w:r>
              <w:rPr>
                <w:spacing w:val="-3"/>
              </w:rPr>
              <w:t>般</w:t>
            </w:r>
            <w:r>
              <w:t>规定</w:t>
              <w:tab/>
              <w:t>35</w:t>
            </w:r>
          </w:hyperlink>
        </w:p>
        <w:p>
          <w:pPr>
            <w:pStyle w:val="TOC2"/>
            <w:numPr>
              <w:ilvl w:val="1"/>
              <w:numId w:val="28"/>
            </w:numPr>
            <w:tabs>
              <w:tab w:val="left" w:pos="1075"/>
              <w:tab w:val="left" w:pos="1076"/>
              <w:tab w:val="right" w:leader="dot" w:pos="9472"/>
            </w:tabs>
            <w:spacing w:before="43" w:after="0" w:line="240" w:lineRule="auto"/>
            <w:ind w:left="1075" w:right="0" w:hanging="633"/>
            <w:jc w:val="left"/>
          </w:pPr>
          <w:hyperlink w:anchor="_bookmark44" w:history="1">
            <w:r>
              <w:t>桥</w:t>
            </w:r>
            <w:r>
              <w:rPr>
                <w:spacing w:val="-3"/>
              </w:rPr>
              <w:t>梁</w:t>
            </w:r>
            <w:r>
              <w:t>伸</w:t>
            </w:r>
            <w:r>
              <w:rPr>
                <w:spacing w:val="-3"/>
              </w:rPr>
              <w:t>缩</w:t>
            </w:r>
            <w:r>
              <w:t>装</w:t>
            </w:r>
            <w:r>
              <w:rPr>
                <w:spacing w:val="-3"/>
              </w:rPr>
              <w:t>置</w:t>
            </w:r>
            <w:r>
              <w:t>施工</w:t>
              <w:tab/>
              <w:t>35</w:t>
            </w:r>
          </w:hyperlink>
        </w:p>
        <w:p>
          <w:pPr>
            <w:pStyle w:val="TOC2"/>
            <w:numPr>
              <w:ilvl w:val="1"/>
              <w:numId w:val="28"/>
            </w:numPr>
            <w:tabs>
              <w:tab w:val="left" w:pos="1075"/>
              <w:tab w:val="left" w:pos="1076"/>
              <w:tab w:val="right" w:leader="dot" w:pos="9473"/>
            </w:tabs>
            <w:spacing w:before="43" w:after="0" w:line="240" w:lineRule="auto"/>
            <w:ind w:left="1075" w:right="0" w:hanging="632"/>
            <w:jc w:val="left"/>
          </w:pPr>
          <w:hyperlink w:anchor="_bookmark45" w:history="1">
            <w:r>
              <w:t>路</w:t>
            </w:r>
            <w:r>
              <w:rPr>
                <w:spacing w:val="-3"/>
              </w:rPr>
              <w:t>面</w:t>
            </w:r>
            <w:r>
              <w:t>排</w:t>
            </w:r>
            <w:r>
              <w:rPr>
                <w:spacing w:val="-3"/>
              </w:rPr>
              <w:t>水</w:t>
            </w:r>
            <w:r>
              <w:t>设</w:t>
            </w:r>
            <w:r>
              <w:rPr>
                <w:spacing w:val="-3"/>
              </w:rPr>
              <w:t>施</w:t>
            </w:r>
            <w:r>
              <w:t>施工</w:t>
              <w:tab/>
              <w:t>38</w:t>
            </w:r>
          </w:hyperlink>
        </w:p>
        <w:p>
          <w:pPr>
            <w:pStyle w:val="TOC2"/>
            <w:numPr>
              <w:ilvl w:val="1"/>
              <w:numId w:val="28"/>
            </w:numPr>
            <w:tabs>
              <w:tab w:val="left" w:pos="1075"/>
              <w:tab w:val="left" w:pos="1076"/>
              <w:tab w:val="right" w:leader="dot" w:pos="9473"/>
            </w:tabs>
            <w:spacing w:before="43" w:after="0" w:line="240" w:lineRule="auto"/>
            <w:ind w:left="1075" w:right="0" w:hanging="632"/>
            <w:jc w:val="left"/>
          </w:pPr>
          <w:hyperlink w:anchor="_bookmark46" w:history="1">
            <w:r>
              <w:t>路</w:t>
            </w:r>
            <w:r>
              <w:rPr>
                <w:spacing w:val="-3"/>
              </w:rPr>
              <w:t>缘</w:t>
            </w:r>
            <w:r>
              <w:t>石</w:t>
            </w:r>
            <w:r>
              <w:rPr>
                <w:spacing w:val="-3"/>
              </w:rPr>
              <w:t>安</w:t>
            </w:r>
            <w:r>
              <w:t>装</w:t>
            </w:r>
            <w:r>
              <w:rPr>
                <w:spacing w:val="-3"/>
              </w:rPr>
              <w:t>施工</w:t>
              <w:tab/>
            </w:r>
            <w:r>
              <w:t>39</w:t>
            </w:r>
          </w:hyperlink>
        </w:p>
        <w:p>
          <w:pPr>
            <w:pStyle w:val="TOC1"/>
            <w:numPr>
              <w:ilvl w:val="0"/>
              <w:numId w:val="28"/>
            </w:numPr>
            <w:tabs>
              <w:tab w:val="left" w:pos="655"/>
              <w:tab w:val="left" w:pos="656"/>
              <w:tab w:val="right" w:leader="dot" w:pos="9472"/>
            </w:tabs>
            <w:spacing w:before="120" w:after="0" w:line="240" w:lineRule="auto"/>
            <w:ind w:left="655" w:right="0" w:hanging="424"/>
            <w:jc w:val="left"/>
          </w:pPr>
          <w:r>
            <w:t>质量管理与检验</w:t>
            <w:tab/>
            <w:t>39</w:t>
          </w:r>
        </w:p>
        <w:p>
          <w:pPr>
            <w:pStyle w:val="TOC2"/>
            <w:numPr>
              <w:ilvl w:val="1"/>
              <w:numId w:val="28"/>
            </w:numPr>
            <w:tabs>
              <w:tab w:val="left" w:pos="1075"/>
              <w:tab w:val="left" w:pos="1076"/>
              <w:tab w:val="right" w:leader="dot" w:pos="9472"/>
            </w:tabs>
            <w:spacing w:before="122" w:after="0" w:line="240" w:lineRule="auto"/>
            <w:ind w:left="1075" w:right="0" w:hanging="633"/>
            <w:jc w:val="left"/>
          </w:pPr>
          <w:r>
            <w:t>一</w:t>
          </w:r>
          <w:r>
            <w:rPr>
              <w:spacing w:val="-3"/>
            </w:rPr>
            <w:t>般</w:t>
          </w:r>
          <w:r>
            <w:t>规定</w:t>
            <w:tab/>
            <w:t>39</w:t>
          </w:r>
        </w:p>
        <w:p>
          <w:pPr>
            <w:pStyle w:val="TOC2"/>
            <w:numPr>
              <w:ilvl w:val="1"/>
              <w:numId w:val="28"/>
            </w:numPr>
            <w:tabs>
              <w:tab w:val="left" w:pos="1075"/>
              <w:tab w:val="left" w:pos="1076"/>
              <w:tab w:val="right" w:leader="dot" w:pos="9472"/>
            </w:tabs>
            <w:spacing w:before="43" w:after="0" w:line="240" w:lineRule="auto"/>
            <w:ind w:left="1075" w:right="0" w:hanging="633"/>
            <w:jc w:val="left"/>
          </w:pPr>
          <w:hyperlink w:anchor="_bookmark48" w:history="1">
            <w:r>
              <w:t>水</w:t>
            </w:r>
            <w:r>
              <w:rPr>
                <w:spacing w:val="-3"/>
              </w:rPr>
              <w:t>泥</w:t>
            </w:r>
            <w:r>
              <w:t>稳</w:t>
            </w:r>
            <w:r>
              <w:rPr>
                <w:spacing w:val="-3"/>
              </w:rPr>
              <w:t>定</w:t>
            </w:r>
            <w:r>
              <w:t>碎</w:t>
            </w:r>
            <w:r>
              <w:rPr>
                <w:spacing w:val="-3"/>
              </w:rPr>
              <w:t>石</w:t>
            </w:r>
            <w:r>
              <w:t>基</w:t>
            </w:r>
            <w:r>
              <w:rPr>
                <w:spacing w:val="-3"/>
              </w:rPr>
              <w:t>层</w:t>
            </w:r>
            <w:r>
              <w:t>质量</w:t>
            </w:r>
            <w:r>
              <w:rPr>
                <w:spacing w:val="-3"/>
              </w:rPr>
              <w:t>检</w:t>
            </w:r>
            <w:r>
              <w:t>验</w:t>
            </w:r>
            <w:r>
              <w:rPr>
                <w:spacing w:val="-3"/>
              </w:rPr>
              <w:t>要</w:t>
            </w:r>
            <w:r>
              <w:t>求</w:t>
              <w:tab/>
              <w:t>40</w:t>
            </w:r>
          </w:hyperlink>
        </w:p>
        <w:p>
          <w:pPr>
            <w:pStyle w:val="TOC2"/>
            <w:numPr>
              <w:ilvl w:val="1"/>
              <w:numId w:val="28"/>
            </w:numPr>
            <w:tabs>
              <w:tab w:val="left" w:pos="1075"/>
              <w:tab w:val="left" w:pos="1076"/>
              <w:tab w:val="right" w:leader="dot" w:pos="9472"/>
            </w:tabs>
            <w:spacing w:before="42" w:after="0" w:line="240" w:lineRule="auto"/>
            <w:ind w:left="1075" w:right="0" w:hanging="632"/>
            <w:jc w:val="left"/>
          </w:pPr>
          <w:hyperlink w:anchor="_bookmark47" w:history="1">
            <w:r>
              <w:t>下</w:t>
            </w:r>
            <w:r>
              <w:rPr>
                <w:spacing w:val="-3"/>
              </w:rPr>
              <w:t>封</w:t>
            </w:r>
            <w:r>
              <w:t>层</w:t>
            </w:r>
            <w:r>
              <w:rPr>
                <w:spacing w:val="-3"/>
              </w:rPr>
              <w:t>质</w:t>
            </w:r>
            <w:r>
              <w:t>量</w:t>
            </w:r>
            <w:r>
              <w:rPr>
                <w:spacing w:val="-3"/>
              </w:rPr>
              <w:t>检</w:t>
            </w:r>
            <w:r>
              <w:t>验</w:t>
            </w:r>
            <w:r>
              <w:rPr>
                <w:spacing w:val="-3"/>
              </w:rPr>
              <w:t>要求</w:t>
              <w:tab/>
            </w:r>
            <w:r>
              <w:t>40</w:t>
            </w:r>
          </w:hyperlink>
        </w:p>
        <w:p>
          <w:pPr>
            <w:pStyle w:val="TOC2"/>
            <w:numPr>
              <w:ilvl w:val="1"/>
              <w:numId w:val="28"/>
            </w:numPr>
            <w:tabs>
              <w:tab w:val="left" w:pos="1075"/>
              <w:tab w:val="left" w:pos="1076"/>
              <w:tab w:val="right" w:leader="dot" w:pos="9473"/>
            </w:tabs>
            <w:spacing w:before="43" w:after="0" w:line="240" w:lineRule="auto"/>
            <w:ind w:left="1075" w:right="0" w:hanging="632"/>
            <w:jc w:val="left"/>
          </w:pPr>
          <w:hyperlink w:anchor="_TOC_250000" w:history="1">
            <w:r>
              <w:t>桥</w:t>
            </w:r>
            <w:r>
              <w:rPr>
                <w:spacing w:val="-3"/>
              </w:rPr>
              <w:t>面</w:t>
            </w:r>
            <w:r>
              <w:t>（</w:t>
            </w:r>
            <w:r>
              <w:rPr>
                <w:spacing w:val="-3"/>
              </w:rPr>
              <w:t>隧</w:t>
            </w:r>
            <w:r>
              <w:t>道</w:t>
            </w:r>
            <w:r>
              <w:rPr>
                <w:spacing w:val="-3"/>
              </w:rPr>
              <w:t>）</w:t>
            </w:r>
            <w:r>
              <w:t>防</w:t>
            </w:r>
            <w:r>
              <w:rPr>
                <w:spacing w:val="-3"/>
              </w:rPr>
              <w:t>水</w:t>
            </w:r>
            <w:r>
              <w:t>粘结</w:t>
            </w:r>
            <w:r>
              <w:rPr>
                <w:spacing w:val="-3"/>
              </w:rPr>
              <w:t>层</w:t>
            </w:r>
            <w:r>
              <w:t>质</w:t>
            </w:r>
            <w:r>
              <w:rPr>
                <w:spacing w:val="-3"/>
              </w:rPr>
              <w:t>量</w:t>
            </w:r>
            <w:r>
              <w:t>检</w:t>
            </w:r>
            <w:r>
              <w:rPr>
                <w:spacing w:val="-3"/>
              </w:rPr>
              <w:t>验</w:t>
            </w:r>
            <w:r>
              <w:t>要求</w:t>
              <w:tab/>
              <w:t>41</w:t>
            </w:r>
          </w:hyperlink>
        </w:p>
        <w:p>
          <w:pPr>
            <w:pStyle w:val="TOC2"/>
            <w:numPr>
              <w:ilvl w:val="1"/>
              <w:numId w:val="28"/>
            </w:numPr>
            <w:tabs>
              <w:tab w:val="left" w:pos="1075"/>
              <w:tab w:val="left" w:pos="1076"/>
              <w:tab w:val="right" w:leader="dot" w:pos="9473"/>
            </w:tabs>
            <w:spacing w:before="43" w:after="0" w:line="240" w:lineRule="auto"/>
            <w:ind w:left="1075" w:right="0" w:hanging="632"/>
            <w:jc w:val="left"/>
          </w:pPr>
          <w:r>
            <w:t>沥</w:t>
          </w:r>
          <w:r>
            <w:rPr>
              <w:spacing w:val="-3"/>
            </w:rPr>
            <w:t>青</w:t>
          </w:r>
          <w:r>
            <w:t>路</w:t>
          </w:r>
          <w:r>
            <w:rPr>
              <w:spacing w:val="-3"/>
            </w:rPr>
            <w:t>面</w:t>
          </w:r>
          <w:r>
            <w:t>质</w:t>
          </w:r>
          <w:r>
            <w:rPr>
              <w:spacing w:val="-3"/>
            </w:rPr>
            <w:t>量</w:t>
          </w:r>
          <w:r>
            <w:t>检</w:t>
          </w:r>
          <w:r>
            <w:rPr>
              <w:spacing w:val="-3"/>
            </w:rPr>
            <w:t>验</w:t>
          </w:r>
          <w:r>
            <w:t>要求</w:t>
            <w:tab/>
            <w:t>41</w:t>
          </w:r>
        </w:p>
        <w:p>
          <w:pPr>
            <w:pStyle w:val="TOC2"/>
            <w:numPr>
              <w:ilvl w:val="1"/>
              <w:numId w:val="28"/>
            </w:numPr>
            <w:tabs>
              <w:tab w:val="left" w:pos="1075"/>
              <w:tab w:val="left" w:pos="1076"/>
              <w:tab w:val="right" w:leader="dot" w:pos="9473"/>
            </w:tabs>
            <w:spacing w:before="43" w:after="0" w:line="240" w:lineRule="auto"/>
            <w:ind w:left="1075" w:right="0" w:hanging="632"/>
            <w:jc w:val="left"/>
          </w:pPr>
          <w:hyperlink w:anchor="_bookmark47" w:history="1">
            <w:r>
              <w:t>路</w:t>
            </w:r>
            <w:r>
              <w:rPr>
                <w:spacing w:val="-3"/>
              </w:rPr>
              <w:t>面</w:t>
            </w:r>
            <w:r>
              <w:t>排</w:t>
            </w:r>
            <w:r>
              <w:rPr>
                <w:spacing w:val="-3"/>
              </w:rPr>
              <w:t>水</w:t>
            </w:r>
            <w:r>
              <w:t>设</w:t>
            </w:r>
            <w:r>
              <w:rPr>
                <w:spacing w:val="-3"/>
              </w:rPr>
              <w:t>施</w:t>
            </w:r>
            <w:r>
              <w:t>质</w:t>
            </w:r>
            <w:r>
              <w:rPr>
                <w:spacing w:val="-3"/>
              </w:rPr>
              <w:t>量</w:t>
            </w:r>
            <w:r>
              <w:t>检验</w:t>
            </w:r>
            <w:r>
              <w:rPr>
                <w:spacing w:val="-3"/>
              </w:rPr>
              <w:t>要</w:t>
            </w:r>
            <w:r>
              <w:t>求</w:t>
              <w:tab/>
              <w:t>43</w:t>
            </w:r>
          </w:hyperlink>
        </w:p>
        <w:p>
          <w:pPr>
            <w:pStyle w:val="TOC2"/>
            <w:numPr>
              <w:ilvl w:val="1"/>
              <w:numId w:val="28"/>
            </w:numPr>
            <w:tabs>
              <w:tab w:val="left" w:pos="1076"/>
              <w:tab w:val="left" w:pos="1077"/>
              <w:tab w:val="right" w:leader="dot" w:pos="9473"/>
            </w:tabs>
            <w:spacing w:before="43" w:after="0" w:line="240" w:lineRule="auto"/>
            <w:ind w:left="1076" w:right="0" w:hanging="633"/>
            <w:jc w:val="left"/>
          </w:pPr>
          <w:hyperlink w:anchor="_bookmark48" w:history="1">
            <w:r>
              <w:t>桥</w:t>
            </w:r>
            <w:r>
              <w:rPr>
                <w:spacing w:val="-3"/>
              </w:rPr>
              <w:t>梁</w:t>
            </w:r>
            <w:r>
              <w:t>伸</w:t>
            </w:r>
            <w:r>
              <w:rPr>
                <w:spacing w:val="-3"/>
              </w:rPr>
              <w:t>缩</w:t>
            </w:r>
            <w:r>
              <w:t>装</w:t>
            </w:r>
            <w:r>
              <w:rPr>
                <w:spacing w:val="-3"/>
              </w:rPr>
              <w:t>置</w:t>
            </w:r>
            <w:r>
              <w:t>质</w:t>
            </w:r>
            <w:r>
              <w:rPr>
                <w:spacing w:val="-3"/>
              </w:rPr>
              <w:t>量</w:t>
            </w:r>
            <w:r>
              <w:t>检验</w:t>
            </w:r>
            <w:r>
              <w:rPr>
                <w:spacing w:val="-3"/>
              </w:rPr>
              <w:t>要</w:t>
            </w:r>
            <w:r>
              <w:t>求</w:t>
              <w:tab/>
              <w:t>43</w:t>
            </w:r>
          </w:hyperlink>
        </w:p>
        <w:p>
          <w:pPr>
            <w:pStyle w:val="TOC2"/>
            <w:numPr>
              <w:ilvl w:val="1"/>
              <w:numId w:val="28"/>
            </w:numPr>
            <w:tabs>
              <w:tab w:val="left" w:pos="1076"/>
              <w:tab w:val="left" w:pos="1077"/>
              <w:tab w:val="right" w:leader="dot" w:pos="9473"/>
            </w:tabs>
            <w:spacing w:before="43" w:after="0" w:line="240" w:lineRule="auto"/>
            <w:ind w:left="1076" w:right="0" w:hanging="632"/>
            <w:jc w:val="left"/>
          </w:pPr>
          <w:hyperlink w:anchor="_bookmark48" w:history="1">
            <w:r>
              <w:t>路</w:t>
            </w:r>
            <w:r>
              <w:rPr>
                <w:spacing w:val="-3"/>
              </w:rPr>
              <w:t>缘</w:t>
            </w:r>
            <w:r>
              <w:t>石</w:t>
            </w:r>
            <w:r>
              <w:rPr>
                <w:spacing w:val="-3"/>
              </w:rPr>
              <w:t>铺</w:t>
            </w:r>
            <w:r>
              <w:t>设</w:t>
            </w:r>
            <w:r>
              <w:rPr>
                <w:spacing w:val="-3"/>
              </w:rPr>
              <w:t>质</w:t>
            </w:r>
            <w:r>
              <w:t>量</w:t>
            </w:r>
            <w:r>
              <w:rPr>
                <w:spacing w:val="-3"/>
              </w:rPr>
              <w:t>检</w:t>
            </w:r>
            <w:r>
              <w:t>验要求</w:t>
              <w:tab/>
              <w:t>43</w:t>
            </w:r>
          </w:hyperlink>
        </w:p>
        <w:p>
          <w:pPr>
            <w:pStyle w:val="TOC1"/>
            <w:tabs>
              <w:tab w:val="left" w:pos="1183"/>
              <w:tab w:val="left" w:pos="2867"/>
              <w:tab w:val="right" w:leader="dot" w:pos="9472"/>
            </w:tabs>
          </w:pPr>
          <w:hyperlink w:anchor="_bookmark49" w:history="1">
            <w:r>
              <w:t>附</w:t>
            </w:r>
            <w:r>
              <w:rPr>
                <w:spacing w:val="-1"/>
              </w:rPr>
              <w:t xml:space="preserve"> </w:t>
            </w:r>
            <w:r>
              <w:t>录</w:t>
            </w:r>
            <w:r>
              <w:rPr>
                <w:spacing w:val="-1"/>
              </w:rPr>
              <w:t xml:space="preserve"> </w:t>
            </w:r>
            <w:r>
              <w:t>A</w:t>
              <w:tab/>
              <w:t>（资料性附</w:t>
            </w:r>
            <w:r>
              <w:rPr>
                <w:spacing w:val="-3"/>
              </w:rPr>
              <w:t>录</w:t>
            </w:r>
            <w:r>
              <w:t>）</w:t>
              <w:tab/>
              <w:t>工作面缺陷处理</w:t>
            </w:r>
            <w:r>
              <w:rPr>
                <w:spacing w:val="-3"/>
              </w:rPr>
              <w:t>及</w:t>
            </w:r>
            <w:r>
              <w:t>缺</w:t>
            </w:r>
            <w:r>
              <w:rPr>
                <w:spacing w:val="-3"/>
              </w:rPr>
              <w:t>陷</w:t>
            </w:r>
            <w:r>
              <w:t>防治</w:t>
              <w:tab/>
              <w:t>45</w:t>
            </w:r>
          </w:hyperlink>
        </w:p>
        <w:p>
          <w:pPr>
            <w:pStyle w:val="TOC1"/>
            <w:tabs>
              <w:tab w:val="left" w:pos="1183"/>
              <w:tab w:val="left" w:pos="2867"/>
              <w:tab w:val="right" w:leader="dot" w:pos="9472"/>
            </w:tabs>
            <w:spacing w:before="122"/>
          </w:pPr>
          <w:hyperlink w:anchor="_bookmark49" w:history="1">
            <w:r>
              <w:t>附</w:t>
            </w:r>
            <w:r>
              <w:rPr>
                <w:spacing w:val="-1"/>
              </w:rPr>
              <w:t xml:space="preserve"> </w:t>
            </w:r>
            <w:r>
              <w:t>录</w:t>
            </w:r>
            <w:r>
              <w:rPr>
                <w:spacing w:val="-1"/>
              </w:rPr>
              <w:t xml:space="preserve"> </w:t>
            </w:r>
            <w:r>
              <w:t>B</w:t>
              <w:tab/>
              <w:t>（资料性附</w:t>
            </w:r>
            <w:r>
              <w:rPr>
                <w:spacing w:val="-3"/>
              </w:rPr>
              <w:t>录</w:t>
            </w:r>
            <w:r>
              <w:t>）</w:t>
              <w:tab/>
              <w:t>路面施工主要设</w:t>
            </w:r>
            <w:r>
              <w:rPr>
                <w:spacing w:val="-3"/>
              </w:rPr>
              <w:t>备</w:t>
            </w:r>
            <w:r>
              <w:t>配</w:t>
            </w:r>
            <w:r>
              <w:rPr>
                <w:spacing w:val="-3"/>
              </w:rPr>
              <w:t>备</w:t>
            </w:r>
            <w:r>
              <w:t>参考表</w:t>
              <w:tab/>
              <w:t>47</w:t>
            </w:r>
          </w:hyperlink>
        </w:p>
        <w:p>
          <w:pPr>
            <w:pStyle w:val="TOC1"/>
            <w:tabs>
              <w:tab w:val="left" w:pos="1183"/>
              <w:tab w:val="left" w:pos="2867"/>
              <w:tab w:val="right" w:leader="dot" w:pos="9472"/>
            </w:tabs>
            <w:spacing w:before="122"/>
          </w:pPr>
          <w:hyperlink w:anchor="_bookmark50" w:history="1">
            <w:r>
              <w:t>附</w:t>
            </w:r>
            <w:r>
              <w:rPr>
                <w:spacing w:val="-1"/>
              </w:rPr>
              <w:t xml:space="preserve"> </w:t>
            </w:r>
            <w:r>
              <w:t>录</w:t>
            </w:r>
            <w:r>
              <w:rPr>
                <w:spacing w:val="-1"/>
              </w:rPr>
              <w:t xml:space="preserve"> </w:t>
            </w:r>
            <w:r>
              <w:t>C</w:t>
              <w:tab/>
              <w:t>（资料性附</w:t>
            </w:r>
            <w:r>
              <w:rPr>
                <w:spacing w:val="-3"/>
              </w:rPr>
              <w:t>录</w:t>
            </w:r>
            <w:r>
              <w:t>）</w:t>
              <w:tab/>
              <w:t>沥青混合料拌和</w:t>
            </w:r>
            <w:r>
              <w:rPr>
                <w:spacing w:val="-3"/>
              </w:rPr>
              <w:t>设</w:t>
            </w:r>
            <w:r>
              <w:t>备</w:t>
            </w:r>
            <w:r>
              <w:rPr>
                <w:spacing w:val="-3"/>
              </w:rPr>
              <w:t>基</w:t>
            </w:r>
            <w:r>
              <w:t>本配置参考表</w:t>
              <w:tab/>
              <w:t>48</w:t>
            </w:r>
          </w:hyperlink>
        </w:p>
        <w:p>
          <w:pPr>
            <w:pStyle w:val="TOC1"/>
            <w:tabs>
              <w:tab w:val="left" w:pos="1183"/>
              <w:tab w:val="left" w:pos="2867"/>
              <w:tab w:val="right" w:leader="dot" w:pos="9472"/>
            </w:tabs>
          </w:pPr>
          <w:hyperlink w:anchor="_bookmark51" w:history="1">
            <w:r>
              <w:t>附</w:t>
            </w:r>
            <w:r>
              <w:rPr>
                <w:spacing w:val="-1"/>
              </w:rPr>
              <w:t xml:space="preserve"> </w:t>
            </w:r>
            <w:r>
              <w:t>录</w:t>
            </w:r>
            <w:r>
              <w:rPr>
                <w:spacing w:val="-1"/>
              </w:rPr>
              <w:t xml:space="preserve"> </w:t>
            </w:r>
            <w:r>
              <w:t>D</w:t>
              <w:tab/>
              <w:t>（资料性附</w:t>
            </w:r>
            <w:r>
              <w:rPr>
                <w:spacing w:val="-3"/>
              </w:rPr>
              <w:t>录</w:t>
            </w:r>
            <w:r>
              <w:t>）</w:t>
              <w:tab/>
              <w:t>基层主要检测仪</w:t>
            </w:r>
            <w:r>
              <w:rPr>
                <w:spacing w:val="-3"/>
              </w:rPr>
              <w:t>器</w:t>
            </w:r>
            <w:r>
              <w:t>配</w:t>
            </w:r>
            <w:r>
              <w:rPr>
                <w:spacing w:val="-3"/>
              </w:rPr>
              <w:t>备</w:t>
            </w:r>
            <w:r>
              <w:t>参考表</w:t>
              <w:tab/>
              <w:t>49</w:t>
            </w:r>
          </w:hyperlink>
        </w:p>
        <w:p>
          <w:pPr>
            <w:pStyle w:val="TOC1"/>
            <w:tabs>
              <w:tab w:val="left" w:pos="1183"/>
              <w:tab w:val="left" w:pos="2867"/>
              <w:tab w:val="right" w:leader="dot" w:pos="9472"/>
            </w:tabs>
            <w:spacing w:before="122"/>
          </w:pPr>
          <w:hyperlink w:anchor="_bookmark52" w:history="1">
            <w:r>
              <w:t>附</w:t>
            </w:r>
            <w:r>
              <w:rPr>
                <w:spacing w:val="-1"/>
              </w:rPr>
              <w:t xml:space="preserve"> </w:t>
            </w:r>
            <w:r>
              <w:t>录</w:t>
            </w:r>
            <w:r>
              <w:rPr>
                <w:spacing w:val="-1"/>
              </w:rPr>
              <w:t xml:space="preserve"> </w:t>
            </w:r>
            <w:r>
              <w:t>E</w:t>
              <w:tab/>
              <w:t>（资料性附</w:t>
            </w:r>
            <w:r>
              <w:rPr>
                <w:spacing w:val="-3"/>
              </w:rPr>
              <w:t>录</w:t>
            </w:r>
            <w:r>
              <w:t>）</w:t>
              <w:tab/>
              <w:t>面层主要检测仪</w:t>
            </w:r>
            <w:r>
              <w:rPr>
                <w:spacing w:val="-3"/>
              </w:rPr>
              <w:t>器</w:t>
            </w:r>
            <w:r>
              <w:t>配</w:t>
            </w:r>
            <w:r>
              <w:rPr>
                <w:spacing w:val="-3"/>
              </w:rPr>
              <w:t>备</w:t>
            </w:r>
            <w:r>
              <w:t>参考表</w:t>
              <w:tab/>
              <w:t>50</w:t>
            </w:r>
          </w:hyperlink>
        </w:p>
        <w:p>
          <w:pPr>
            <w:pStyle w:val="TOC1"/>
            <w:tabs>
              <w:tab w:val="left" w:pos="1183"/>
              <w:tab w:val="left" w:pos="2867"/>
              <w:tab w:val="right" w:leader="dot" w:pos="9472"/>
            </w:tabs>
          </w:pPr>
          <w:hyperlink w:anchor="_bookmark53" w:history="1">
            <w:r>
              <w:t>附</w:t>
            </w:r>
            <w:r>
              <w:rPr>
                <w:spacing w:val="-1"/>
              </w:rPr>
              <w:t xml:space="preserve"> </w:t>
            </w:r>
            <w:r>
              <w:t>录</w:t>
            </w:r>
            <w:r>
              <w:rPr>
                <w:spacing w:val="-1"/>
              </w:rPr>
              <w:t xml:space="preserve"> </w:t>
            </w:r>
            <w:r>
              <w:t>F</w:t>
              <w:tab/>
              <w:t>（规范性附</w:t>
            </w:r>
            <w:r>
              <w:rPr>
                <w:spacing w:val="-3"/>
              </w:rPr>
              <w:t>录</w:t>
            </w:r>
            <w:r>
              <w:t>）</w:t>
              <w:tab/>
              <w:t>方解石含量试验</w:t>
            </w:r>
            <w:r>
              <w:rPr>
                <w:spacing w:val="-3"/>
              </w:rPr>
              <w:t>方</w:t>
            </w:r>
            <w:r>
              <w:t>法</w:t>
              <w:tab/>
              <w:t>52</w:t>
            </w:r>
          </w:hyperlink>
        </w:p>
        <w:p>
          <w:pPr>
            <w:pStyle w:val="TOC1"/>
            <w:tabs>
              <w:tab w:val="left" w:pos="1183"/>
              <w:tab w:val="left" w:pos="2867"/>
              <w:tab w:val="right" w:leader="dot" w:pos="9472"/>
            </w:tabs>
            <w:spacing w:before="122"/>
          </w:pPr>
          <w:hyperlink w:anchor="_bookmark54" w:history="1">
            <w:r>
              <w:t>附</w:t>
            </w:r>
            <w:r>
              <w:rPr>
                <w:spacing w:val="-1"/>
              </w:rPr>
              <w:t xml:space="preserve"> </w:t>
            </w:r>
            <w:r>
              <w:t>录</w:t>
            </w:r>
            <w:r>
              <w:rPr>
                <w:spacing w:val="-1"/>
              </w:rPr>
              <w:t xml:space="preserve"> </w:t>
            </w:r>
            <w:r>
              <w:t>G</w:t>
              <w:tab/>
              <w:t>（资料性附</w:t>
            </w:r>
            <w:r>
              <w:rPr>
                <w:spacing w:val="-3"/>
              </w:rPr>
              <w:t>录</w:t>
            </w:r>
            <w:r>
              <w:t>）</w:t>
              <w:tab/>
              <w:t>水泥稳定碎石底</w:t>
            </w:r>
            <w:r>
              <w:rPr>
                <w:spacing w:val="-3"/>
              </w:rPr>
              <w:t>基</w:t>
            </w:r>
            <w:r>
              <w:t>层</w:t>
            </w:r>
            <w:r>
              <w:rPr>
                <w:spacing w:val="-3"/>
              </w:rPr>
              <w:t>、</w:t>
            </w:r>
            <w:r>
              <w:t>基层试验路段总结</w:t>
            </w:r>
            <w:r>
              <w:rPr>
                <w:spacing w:val="-3"/>
              </w:rPr>
              <w:t>编</w:t>
            </w:r>
            <w:r>
              <w:t>写</w:t>
            </w:r>
            <w:r>
              <w:rPr>
                <w:spacing w:val="-3"/>
              </w:rPr>
              <w:t>格</w:t>
            </w:r>
            <w:r>
              <w:t>式与要求</w:t>
              <w:tab/>
              <w:t>54</w:t>
            </w:r>
          </w:hyperlink>
        </w:p>
        <w:p>
          <w:pPr>
            <w:pStyle w:val="TOC1"/>
            <w:tabs>
              <w:tab w:val="left" w:pos="1183"/>
              <w:tab w:val="left" w:pos="2867"/>
              <w:tab w:val="right" w:leader="dot" w:pos="9472"/>
            </w:tabs>
          </w:pPr>
          <w:hyperlink w:anchor="_bookmark55" w:history="1">
            <w:r>
              <w:t>附</w:t>
            </w:r>
            <w:r>
              <w:rPr>
                <w:spacing w:val="-1"/>
              </w:rPr>
              <w:t xml:space="preserve"> </w:t>
            </w:r>
            <w:r>
              <w:t>录</w:t>
            </w:r>
            <w:r>
              <w:rPr>
                <w:spacing w:val="-1"/>
              </w:rPr>
              <w:t xml:space="preserve"> </w:t>
            </w:r>
            <w:r>
              <w:t>H</w:t>
              <w:tab/>
              <w:t>（资料性附</w:t>
            </w:r>
            <w:r>
              <w:rPr>
                <w:spacing w:val="-3"/>
              </w:rPr>
              <w:t>录</w:t>
            </w:r>
            <w:r>
              <w:t>）</w:t>
              <w:tab/>
              <w:t>沥青路面面层试</w:t>
            </w:r>
            <w:r>
              <w:rPr>
                <w:spacing w:val="-3"/>
              </w:rPr>
              <w:t>验</w:t>
            </w:r>
            <w:r>
              <w:t>路</w:t>
            </w:r>
            <w:r>
              <w:rPr>
                <w:spacing w:val="-3"/>
              </w:rPr>
              <w:t>段</w:t>
            </w:r>
            <w:r>
              <w:t>总结编写格式与要求</w:t>
              <w:tab/>
              <w:t>56</w:t>
            </w:r>
          </w:hyperlink>
        </w:p>
        <w:p>
          <w:pPr>
            <w:pStyle w:val="TOC1"/>
            <w:tabs>
              <w:tab w:val="left" w:pos="1183"/>
              <w:tab w:val="left" w:pos="2867"/>
              <w:tab w:val="right" w:leader="dot" w:pos="9472"/>
            </w:tabs>
            <w:spacing w:before="122"/>
          </w:pPr>
          <w:hyperlink w:anchor="_bookmark56" w:history="1">
            <w:r>
              <w:t>附</w:t>
            </w:r>
            <w:r>
              <w:rPr>
                <w:spacing w:val="-1"/>
              </w:rPr>
              <w:t xml:space="preserve"> </w:t>
            </w:r>
            <w:r>
              <w:t>录</w:t>
            </w:r>
            <w:r>
              <w:rPr>
                <w:spacing w:val="-1"/>
              </w:rPr>
              <w:t xml:space="preserve"> </w:t>
            </w:r>
            <w:r>
              <w:t>I</w:t>
              <w:tab/>
              <w:t>（资料性附</w:t>
            </w:r>
            <w:r>
              <w:rPr>
                <w:spacing w:val="-3"/>
              </w:rPr>
              <w:t>录</w:t>
            </w:r>
            <w:r>
              <w:t>）</w:t>
              <w:tab/>
              <w:t>水泥稳定碎石基</w:t>
            </w:r>
            <w:r>
              <w:rPr>
                <w:spacing w:val="-3"/>
              </w:rPr>
              <w:t>层</w:t>
            </w:r>
            <w:r>
              <w:t>、</w:t>
            </w:r>
            <w:r>
              <w:rPr>
                <w:spacing w:val="-3"/>
              </w:rPr>
              <w:t>底</w:t>
            </w:r>
            <w:r>
              <w:t>基层质量通病预防</w:t>
            </w:r>
            <w:r>
              <w:rPr>
                <w:spacing w:val="-3"/>
              </w:rPr>
              <w:t>措</w:t>
            </w:r>
            <w:r>
              <w:t>施</w:t>
              <w:tab/>
              <w:t>58</w:t>
            </w:r>
          </w:hyperlink>
        </w:p>
        <w:p>
          <w:pPr>
            <w:pStyle w:val="TOC1"/>
            <w:tabs>
              <w:tab w:val="left" w:pos="1183"/>
              <w:tab w:val="left" w:pos="2867"/>
              <w:tab w:val="right" w:leader="dot" w:pos="9472"/>
            </w:tabs>
          </w:pPr>
          <w:hyperlink w:anchor="_bookmark57" w:history="1">
            <w:r>
              <w:t>附</w:t>
            </w:r>
            <w:r>
              <w:rPr>
                <w:spacing w:val="-1"/>
              </w:rPr>
              <w:t xml:space="preserve"> </w:t>
            </w:r>
            <w:r>
              <w:t>录</w:t>
            </w:r>
            <w:r>
              <w:rPr>
                <w:spacing w:val="-1"/>
              </w:rPr>
              <w:t xml:space="preserve"> </w:t>
            </w:r>
            <w:r>
              <w:t>G</w:t>
              <w:tab/>
              <w:t>（资料性附</w:t>
            </w:r>
            <w:r>
              <w:rPr>
                <w:spacing w:val="-3"/>
              </w:rPr>
              <w:t>录</w:t>
            </w:r>
            <w:r>
              <w:t>）</w:t>
              <w:tab/>
              <w:t>沥青路面面层质</w:t>
            </w:r>
            <w:r>
              <w:rPr>
                <w:spacing w:val="-3"/>
              </w:rPr>
              <w:t>量</w:t>
            </w:r>
            <w:r>
              <w:t>通</w:t>
            </w:r>
            <w:r>
              <w:rPr>
                <w:spacing w:val="-3"/>
              </w:rPr>
              <w:t>病</w:t>
            </w:r>
            <w:r>
              <w:t>预防措施</w:t>
              <w:tab/>
              <w:t>59</w:t>
            </w:r>
          </w:hyperlink>
        </w:p>
        <w:p>
          <w:pPr>
            <w:pStyle w:val="TOC1"/>
            <w:tabs>
              <w:tab w:val="left" w:pos="1183"/>
              <w:tab w:val="left" w:pos="2867"/>
              <w:tab w:val="right" w:leader="dot" w:pos="9472"/>
            </w:tabs>
            <w:spacing w:before="122"/>
          </w:pPr>
          <w:hyperlink w:anchor="_bookmark57" w:history="1">
            <w:r>
              <w:t>附</w:t>
            </w:r>
            <w:r>
              <w:rPr>
                <w:spacing w:val="-1"/>
              </w:rPr>
              <w:t xml:space="preserve"> </w:t>
            </w:r>
            <w:r>
              <w:t>录</w:t>
            </w:r>
            <w:r>
              <w:rPr>
                <w:spacing w:val="-1"/>
              </w:rPr>
              <w:t xml:space="preserve"> </w:t>
            </w:r>
            <w:r>
              <w:t>K</w:t>
              <w:tab/>
              <w:t>（资料性附</w:t>
            </w:r>
            <w:r>
              <w:rPr>
                <w:spacing w:val="-3"/>
              </w:rPr>
              <w:t>录</w:t>
            </w:r>
            <w:r>
              <w:t>）</w:t>
              <w:tab/>
              <w:t>某高速公路沥青</w:t>
            </w:r>
            <w:r>
              <w:rPr>
                <w:spacing w:val="-3"/>
              </w:rPr>
              <w:t>路</w:t>
            </w:r>
            <w:r>
              <w:t>面</w:t>
            </w:r>
            <w:r>
              <w:rPr>
                <w:spacing w:val="-3"/>
              </w:rPr>
              <w:t>施</w:t>
            </w:r>
            <w:r>
              <w:t>工场地建设标准化</w:t>
            </w:r>
            <w:r>
              <w:rPr>
                <w:spacing w:val="-3"/>
              </w:rPr>
              <w:t>管</w:t>
            </w:r>
            <w:r>
              <w:t>理</w:t>
            </w:r>
            <w:r>
              <w:rPr>
                <w:spacing w:val="-3"/>
              </w:rPr>
              <w:t>案</w:t>
            </w:r>
            <w:r>
              <w:t>例</w:t>
              <w:tab/>
              <w:t>60</w:t>
            </w:r>
          </w:hyperlink>
        </w:p>
      </w:sdtContent>
    </w:sdt>
    <w:p>
      <w:pPr>
        <w:spacing w:after="0"/>
        <w:sectPr>
          <w:footerReference w:type="even" r:id="rId8"/>
          <w:footerReference w:type="default" r:id="rId9"/>
          <w:type w:val="nextPage"/>
          <w:pgSz w:w="11910" w:h="16840"/>
          <w:pgMar w:top="540" w:right="820" w:bottom="1142" w:left="900" w:header="708" w:footer="708"/>
          <w:pgNumType w:start="4"/>
          <w:cols w:space="708"/>
          <w:titlePg w:val="0"/>
        </w:sectPr>
      </w:pPr>
    </w:p>
    <w:p>
      <w:pPr>
        <w:spacing w:before="529"/>
        <w:ind w:left="198" w:right="0" w:firstLine="0"/>
        <w:jc w:val="center"/>
        <w:rPr>
          <w:rFonts w:ascii="黑体" w:eastAsia="黑体" w:hint="eastAsia"/>
          <w:sz w:val="32"/>
        </w:rPr>
      </w:pPr>
      <w:bookmarkStart w:id="2" w:name="浙江省高速公路沥青路面规范化施工指南"/>
      <w:bookmarkEnd w:id="2"/>
      <w:r>
        <w:rPr>
          <w:rFonts w:ascii="黑体" w:eastAsia="黑体" w:hint="eastAsia"/>
          <w:sz w:val="32"/>
        </w:rPr>
        <w:t>浙江省高速公路沥青路面规范化施工指南</w:t>
      </w:r>
    </w:p>
    <w:p>
      <w:pPr>
        <w:pStyle w:val="BodyText"/>
        <w:rPr>
          <w:rFonts w:ascii="黑体"/>
          <w:sz w:val="20"/>
        </w:rPr>
      </w:pPr>
    </w:p>
    <w:p>
      <w:pPr>
        <w:pStyle w:val="BodyText"/>
        <w:spacing w:before="9"/>
        <w:rPr>
          <w:rFonts w:ascii="黑体"/>
          <w:sz w:val="25"/>
        </w:rPr>
      </w:pPr>
    </w:p>
    <w:p>
      <w:pPr>
        <w:pStyle w:val="ListParagraph"/>
        <w:numPr>
          <w:ilvl w:val="0"/>
          <w:numId w:val="29"/>
        </w:numPr>
        <w:tabs>
          <w:tab w:val="left" w:pos="876"/>
          <w:tab w:val="left" w:pos="877"/>
        </w:tabs>
        <w:spacing w:before="0" w:after="0" w:line="240" w:lineRule="auto"/>
        <w:ind w:left="876" w:right="0" w:hanging="362"/>
        <w:jc w:val="left"/>
        <w:rPr>
          <w:rFonts w:ascii="黑体" w:eastAsia="黑体" w:hint="eastAsia"/>
          <w:sz w:val="21"/>
        </w:rPr>
      </w:pPr>
      <w:bookmarkStart w:id="3" w:name="总则"/>
      <w:bookmarkEnd w:id="3"/>
      <w:bookmarkStart w:id="4" w:name="_bookmark1"/>
      <w:bookmarkEnd w:id="4"/>
      <w:r>
        <w:rPr>
          <w:rFonts w:ascii="黑体" w:eastAsia="黑体" w:hint="eastAsia"/>
          <w:sz w:val="21"/>
        </w:rPr>
        <w:t>总则</w:t>
      </w:r>
    </w:p>
    <w:p>
      <w:pPr>
        <w:pStyle w:val="BodyText"/>
        <w:spacing w:before="9"/>
        <w:rPr>
          <w:rFonts w:ascii="黑体"/>
          <w:sz w:val="27"/>
        </w:rPr>
      </w:pPr>
    </w:p>
    <w:p>
      <w:pPr>
        <w:pStyle w:val="ListParagraph"/>
        <w:numPr>
          <w:ilvl w:val="1"/>
          <w:numId w:val="29"/>
        </w:numPr>
        <w:tabs>
          <w:tab w:val="left" w:pos="1042"/>
        </w:tabs>
        <w:spacing w:before="0" w:after="0" w:line="278" w:lineRule="auto"/>
        <w:ind w:left="516" w:right="313" w:firstLine="0"/>
        <w:jc w:val="both"/>
        <w:rPr>
          <w:sz w:val="21"/>
        </w:rPr>
      </w:pPr>
      <w:bookmarkStart w:id="5" w:name="1.1  为适应我省高速公路沥青路面工程建设的需要，规范沥青路面的施工，保证施工"/>
      <w:bookmarkEnd w:id="5"/>
      <w:r>
        <w:rPr>
          <w:spacing w:val="-11"/>
          <w:sz w:val="21"/>
        </w:rPr>
        <w:t>为适应我省高速公路沥青路面工程建设的需要，规范沥青路面的施工，保证施工质量和使用性能，</w:t>
      </w:r>
      <w:r>
        <w:rPr>
          <w:spacing w:val="-11"/>
          <w:sz w:val="21"/>
        </w:rPr>
        <w:t xml:space="preserve"> </w:t>
      </w:r>
      <w:r>
        <w:rPr>
          <w:spacing w:val="-2"/>
          <w:sz w:val="21"/>
        </w:rPr>
        <w:t>制定本指南。</w:t>
      </w:r>
    </w:p>
    <w:p>
      <w:pPr>
        <w:pStyle w:val="ListParagraph"/>
        <w:numPr>
          <w:ilvl w:val="1"/>
          <w:numId w:val="29"/>
        </w:numPr>
        <w:tabs>
          <w:tab w:val="left" w:pos="1042"/>
        </w:tabs>
        <w:spacing w:before="0" w:after="0" w:line="269" w:lineRule="exact"/>
        <w:ind w:left="1041" w:right="0" w:hanging="526"/>
        <w:jc w:val="both"/>
        <w:rPr>
          <w:sz w:val="21"/>
        </w:rPr>
      </w:pPr>
      <w:bookmarkStart w:id="6" w:name="1.2  本指南适用于浙江省新（改）建高速公路沥青路面施工及质量管理。"/>
      <w:bookmarkEnd w:id="6"/>
      <w:r>
        <w:rPr>
          <w:spacing w:val="-3"/>
          <w:sz w:val="21"/>
        </w:rPr>
        <w:t>本指南适用于浙江省新</w:t>
      </w:r>
      <w:r>
        <w:rPr>
          <w:sz w:val="21"/>
        </w:rPr>
        <w:t>（</w:t>
      </w:r>
      <w:r>
        <w:rPr>
          <w:spacing w:val="-3"/>
          <w:sz w:val="21"/>
        </w:rPr>
        <w:t>改</w:t>
      </w:r>
      <w:r>
        <w:rPr>
          <w:sz w:val="21"/>
        </w:rPr>
        <w:t>）</w:t>
      </w:r>
      <w:r>
        <w:rPr>
          <w:spacing w:val="-3"/>
          <w:sz w:val="21"/>
        </w:rPr>
        <w:t>建高速公路沥青路面施工及质量管理。</w:t>
      </w:r>
    </w:p>
    <w:p>
      <w:pPr>
        <w:pStyle w:val="ListParagraph"/>
        <w:numPr>
          <w:ilvl w:val="1"/>
          <w:numId w:val="29"/>
        </w:numPr>
        <w:tabs>
          <w:tab w:val="left" w:pos="1043"/>
        </w:tabs>
        <w:spacing w:before="43" w:after="0" w:line="278" w:lineRule="auto"/>
        <w:ind w:left="516" w:right="310" w:firstLine="0"/>
        <w:jc w:val="both"/>
        <w:rPr>
          <w:sz w:val="21"/>
        </w:rPr>
      </w:pPr>
      <w:bookmarkStart w:id="7" w:name="1.3  沥青路面施工是打造项目品质工程的重要组成部分，应建立健全质量、安全和环"/>
      <w:bookmarkEnd w:id="7"/>
      <w:r>
        <w:rPr>
          <w:spacing w:val="-3"/>
          <w:sz w:val="21"/>
        </w:rPr>
        <w:t>沥青路面施工是打造项目品质工程的重要组成部分，应建立健全质量、安全和环境保护的保证体</w:t>
      </w:r>
      <w:r>
        <w:rPr>
          <w:spacing w:val="-11"/>
          <w:sz w:val="21"/>
        </w:rPr>
        <w:t>系，明确相应责任，加强工序管理和施工过程控制，积极推行标准化施工技术，实现品质优良、生产安</w:t>
      </w:r>
      <w:r>
        <w:rPr>
          <w:spacing w:val="-6"/>
          <w:sz w:val="21"/>
        </w:rPr>
        <w:t>全、文明环保的目标。</w:t>
      </w:r>
    </w:p>
    <w:p>
      <w:pPr>
        <w:pStyle w:val="ListParagraph"/>
        <w:numPr>
          <w:ilvl w:val="1"/>
          <w:numId w:val="29"/>
        </w:numPr>
        <w:tabs>
          <w:tab w:val="left" w:pos="1043"/>
        </w:tabs>
        <w:spacing w:before="0" w:after="0" w:line="269" w:lineRule="exact"/>
        <w:ind w:left="1042" w:right="0" w:hanging="527"/>
        <w:jc w:val="both"/>
        <w:rPr>
          <w:sz w:val="21"/>
        </w:rPr>
      </w:pPr>
      <w:bookmarkStart w:id="8" w:name="1.4  沥青路面规范化施工除应符合本指南外，尚应符合国家现行的有关标准、规范的"/>
      <w:bookmarkEnd w:id="8"/>
      <w:r>
        <w:rPr>
          <w:spacing w:val="-3"/>
          <w:sz w:val="21"/>
        </w:rPr>
        <w:t>沥青路面规范化施工除应符合本指南外，尚应符合国家现行的有关标准、规范的规定。</w:t>
      </w:r>
    </w:p>
    <w:p>
      <w:pPr>
        <w:pStyle w:val="BodyText"/>
        <w:spacing w:before="12"/>
        <w:rPr>
          <w:sz w:val="27"/>
        </w:rPr>
      </w:pPr>
    </w:p>
    <w:p>
      <w:pPr>
        <w:pStyle w:val="ListParagraph"/>
        <w:numPr>
          <w:ilvl w:val="0"/>
          <w:numId w:val="29"/>
        </w:numPr>
        <w:tabs>
          <w:tab w:val="left" w:pos="833"/>
          <w:tab w:val="left" w:pos="834"/>
        </w:tabs>
        <w:spacing w:before="0" w:after="0" w:line="240" w:lineRule="auto"/>
        <w:ind w:left="833" w:right="0" w:hanging="318"/>
        <w:jc w:val="left"/>
        <w:rPr>
          <w:rFonts w:ascii="黑体" w:eastAsia="黑体" w:hint="eastAsia"/>
          <w:sz w:val="21"/>
        </w:rPr>
      </w:pPr>
      <w:bookmarkStart w:id="9" w:name="2  编制依据"/>
      <w:bookmarkEnd w:id="9"/>
      <w:bookmarkStart w:id="10" w:name="_bookmark2"/>
      <w:bookmarkEnd w:id="10"/>
      <w:r>
        <w:rPr>
          <w:rFonts w:ascii="黑体" w:eastAsia="黑体" w:hint="eastAsia"/>
          <w:spacing w:val="-3"/>
          <w:sz w:val="21"/>
        </w:rPr>
        <w:t>编制依据</w:t>
      </w:r>
    </w:p>
    <w:p>
      <w:pPr>
        <w:pStyle w:val="BodyText"/>
        <w:spacing w:before="6"/>
        <w:rPr>
          <w:rFonts w:ascii="黑体"/>
          <w:sz w:val="27"/>
        </w:rPr>
      </w:pPr>
    </w:p>
    <w:p>
      <w:pPr>
        <w:pStyle w:val="BodyText"/>
        <w:tabs>
          <w:tab w:val="left" w:pos="3141"/>
          <w:tab w:val="left" w:pos="5033"/>
        </w:tabs>
        <w:ind w:left="936"/>
      </w:pPr>
      <w:r>
        <w:t>GB/T 1345</w:t>
        <w:tab/>
      </w:r>
      <w:r>
        <w:rPr>
          <w:spacing w:val="-3"/>
        </w:rPr>
        <w:t>水</w:t>
      </w:r>
      <w:r>
        <w:t>泥细</w:t>
      </w:r>
      <w:r>
        <w:rPr>
          <w:spacing w:val="-3"/>
        </w:rPr>
        <w:t>度</w:t>
      </w:r>
      <w:r>
        <w:t>检</w:t>
      </w:r>
      <w:r>
        <w:rPr>
          <w:spacing w:val="-3"/>
        </w:rPr>
        <w:t>验</w:t>
      </w:r>
      <w:r>
        <w:t>方法</w:t>
        <w:tab/>
      </w:r>
      <w:r>
        <w:rPr>
          <w:spacing w:val="-3"/>
        </w:rPr>
        <w:t>筛</w:t>
      </w:r>
      <w:r>
        <w:t>析法</w:t>
      </w:r>
    </w:p>
    <w:p>
      <w:pPr>
        <w:pStyle w:val="BodyText"/>
        <w:tabs>
          <w:tab w:val="left" w:pos="3142"/>
        </w:tabs>
        <w:spacing w:before="43"/>
        <w:ind w:left="936"/>
      </w:pPr>
      <w:r>
        <w:t>GB/T 1346</w:t>
        <w:tab/>
      </w:r>
      <w:r>
        <w:rPr>
          <w:spacing w:val="-3"/>
        </w:rPr>
        <w:t>水泥标准稠度用水量、凝结时间、安定性检验方法</w:t>
      </w:r>
    </w:p>
    <w:p>
      <w:pPr>
        <w:pStyle w:val="BodyText"/>
        <w:tabs>
          <w:tab w:val="left" w:pos="3142"/>
        </w:tabs>
        <w:spacing w:before="43"/>
        <w:ind w:left="936"/>
      </w:pPr>
      <w:r>
        <w:t>GB/T</w:t>
      </w:r>
      <w:r>
        <w:rPr>
          <w:spacing w:val="1"/>
        </w:rPr>
        <w:t xml:space="preserve"> </w:t>
      </w:r>
      <w:r>
        <w:t>17808</w:t>
        <w:tab/>
      </w:r>
      <w:r>
        <w:rPr>
          <w:spacing w:val="-3"/>
        </w:rPr>
        <w:t>道路施工与养护机械设备沥青混合料搅拌设备</w:t>
      </w:r>
    </w:p>
    <w:p>
      <w:pPr>
        <w:pStyle w:val="BodyText"/>
        <w:tabs>
          <w:tab w:val="left" w:pos="3141"/>
        </w:tabs>
        <w:spacing w:before="43" w:line="278" w:lineRule="auto"/>
        <w:ind w:left="936" w:right="4205"/>
      </w:pPr>
      <w:r>
        <w:t>GB/T</w:t>
      </w:r>
      <w:r>
        <w:rPr>
          <w:spacing w:val="1"/>
        </w:rPr>
        <w:t xml:space="preserve"> </w:t>
      </w:r>
      <w:r>
        <w:t>17671</w:t>
        <w:tab/>
      </w:r>
      <w:r>
        <w:rPr>
          <w:spacing w:val="-3"/>
        </w:rPr>
        <w:t>水</w:t>
      </w:r>
      <w:r>
        <w:t>泥胶</w:t>
      </w:r>
      <w:r>
        <w:rPr>
          <w:spacing w:val="-3"/>
        </w:rPr>
        <w:t>砂</w:t>
      </w:r>
      <w:r>
        <w:t>强</w:t>
      </w:r>
      <w:r>
        <w:rPr>
          <w:spacing w:val="-3"/>
        </w:rPr>
        <w:t>度</w:t>
      </w:r>
      <w:r>
        <w:t>检</w:t>
      </w:r>
      <w:r>
        <w:rPr>
          <w:spacing w:val="-3"/>
        </w:rPr>
        <w:t>验</w:t>
      </w:r>
      <w:r>
        <w:t>方</w:t>
      </w:r>
      <w:r>
        <w:rPr>
          <w:spacing w:val="-3"/>
        </w:rPr>
        <w:t>法</w:t>
      </w:r>
      <w:r>
        <w:t>(ISO法</w:t>
      </w:r>
      <w:r>
        <w:rPr>
          <w:spacing w:val="-13"/>
        </w:rPr>
        <w:t xml:space="preserve">) </w:t>
      </w:r>
      <w:r>
        <w:t>JTG F40-2004</w:t>
        <w:tab/>
      </w:r>
      <w:r>
        <w:rPr>
          <w:spacing w:val="-3"/>
        </w:rPr>
        <w:t>公</w:t>
      </w:r>
      <w:r>
        <w:t>路沥</w:t>
      </w:r>
      <w:r>
        <w:rPr>
          <w:spacing w:val="-3"/>
        </w:rPr>
        <w:t>青</w:t>
      </w:r>
      <w:r>
        <w:t>路</w:t>
      </w:r>
      <w:r>
        <w:rPr>
          <w:spacing w:val="-3"/>
        </w:rPr>
        <w:t>面</w:t>
      </w:r>
      <w:r>
        <w:t>施</w:t>
      </w:r>
      <w:r>
        <w:rPr>
          <w:spacing w:val="-3"/>
        </w:rPr>
        <w:t>工</w:t>
      </w:r>
      <w:r>
        <w:t>技</w:t>
      </w:r>
      <w:r>
        <w:rPr>
          <w:spacing w:val="-3"/>
        </w:rPr>
        <w:t>术</w:t>
      </w:r>
      <w:r>
        <w:t>规范 JTG F80/1-2017</w:t>
        <w:tab/>
      </w:r>
      <w:r>
        <w:rPr>
          <w:spacing w:val="-3"/>
        </w:rPr>
        <w:t>公</w:t>
      </w:r>
      <w:r>
        <w:t>路工</w:t>
      </w:r>
      <w:r>
        <w:rPr>
          <w:spacing w:val="-3"/>
        </w:rPr>
        <w:t>程</w:t>
      </w:r>
      <w:r>
        <w:t>质</w:t>
      </w:r>
      <w:r>
        <w:rPr>
          <w:spacing w:val="-3"/>
        </w:rPr>
        <w:t>量</w:t>
      </w:r>
      <w:r>
        <w:t>检</w:t>
      </w:r>
      <w:r>
        <w:rPr>
          <w:spacing w:val="-3"/>
        </w:rPr>
        <w:t>验</w:t>
      </w:r>
      <w:r>
        <w:t>评</w:t>
      </w:r>
      <w:r>
        <w:rPr>
          <w:spacing w:val="-3"/>
        </w:rPr>
        <w:t>定</w:t>
      </w:r>
      <w:r>
        <w:t>标准</w:t>
      </w:r>
    </w:p>
    <w:p>
      <w:pPr>
        <w:pStyle w:val="BodyText"/>
        <w:tabs>
          <w:tab w:val="left" w:pos="3141"/>
        </w:tabs>
        <w:spacing w:line="269" w:lineRule="exact"/>
        <w:ind w:left="936"/>
      </w:pPr>
      <w:r>
        <w:t>JTJ E20-2011</w:t>
        <w:tab/>
      </w:r>
      <w:r>
        <w:rPr>
          <w:spacing w:val="-3"/>
        </w:rPr>
        <w:t>公路工程沥青及沥青混合料试验规程</w:t>
      </w:r>
    </w:p>
    <w:p>
      <w:pPr>
        <w:pStyle w:val="BodyText"/>
        <w:spacing w:before="7"/>
        <w:rPr>
          <w:sz w:val="5"/>
        </w:rPr>
      </w:pPr>
    </w:p>
    <w:tbl>
      <w:tblPr>
        <w:tblStyle w:val="TableNormal0"/>
        <w:tblW w:w="0" w:type="auto"/>
        <w:jc w:val="left"/>
        <w:tblInd w:w="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8"/>
        <w:gridCol w:w="2025"/>
        <w:gridCol w:w="4987"/>
      </w:tblGrid>
      <w:tr>
        <w:tblPrEx>
          <w:tblW w:w="0" w:type="auto"/>
          <w:jc w:val="left"/>
          <w:tblInd w:w="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61"/>
          <w:jc w:val="left"/>
        </w:trPr>
        <w:tc>
          <w:tcPr>
            <w:tcW w:w="388" w:type="dxa"/>
            <w:vMerge w:val="restart"/>
          </w:tcPr>
          <w:p>
            <w:pPr>
              <w:pStyle w:val="TableParagraph"/>
              <w:spacing w:before="0"/>
              <w:jc w:val="left"/>
              <w:rPr>
                <w:rFonts w:ascii="Times New Roman"/>
                <w:sz w:val="20"/>
              </w:rPr>
            </w:pPr>
          </w:p>
        </w:tc>
        <w:tc>
          <w:tcPr>
            <w:tcW w:w="2025" w:type="dxa"/>
          </w:tcPr>
          <w:p>
            <w:pPr>
              <w:pStyle w:val="TableParagraph"/>
              <w:spacing w:before="0" w:line="241" w:lineRule="exact"/>
              <w:ind w:left="81"/>
              <w:jc w:val="left"/>
              <w:rPr>
                <w:sz w:val="21"/>
              </w:rPr>
            </w:pPr>
            <w:r>
              <w:rPr>
                <w:sz w:val="21"/>
              </w:rPr>
              <w:t>2018 年版</w:t>
            </w:r>
          </w:p>
        </w:tc>
        <w:tc>
          <w:tcPr>
            <w:tcW w:w="4987" w:type="dxa"/>
          </w:tcPr>
          <w:p>
            <w:pPr>
              <w:pStyle w:val="TableParagraph"/>
              <w:spacing w:before="0" w:line="241" w:lineRule="exact"/>
              <w:ind w:left="262"/>
              <w:jc w:val="left"/>
              <w:rPr>
                <w:sz w:val="21"/>
              </w:rPr>
            </w:pPr>
            <w:r>
              <w:rPr>
                <w:sz w:val="21"/>
              </w:rPr>
              <w:t>公路工程标准施工招标文件（2018 年版·第二册）</w:t>
            </w:r>
          </w:p>
        </w:tc>
      </w:tr>
      <w:tr>
        <w:tblPrEx>
          <w:tblW w:w="0" w:type="auto"/>
          <w:jc w:val="left"/>
          <w:tblInd w:w="474" w:type="dxa"/>
          <w:tblLayout w:type="fixed"/>
          <w:tblCellMar>
            <w:top w:w="0" w:type="dxa"/>
            <w:left w:w="0" w:type="dxa"/>
            <w:bottom w:w="0" w:type="dxa"/>
            <w:right w:w="0" w:type="dxa"/>
          </w:tblCellMar>
          <w:tblLook w:val="01E0"/>
        </w:tblPrEx>
        <w:trPr>
          <w:trHeight w:val="311"/>
          <w:jc w:val="left"/>
        </w:trPr>
        <w:tc>
          <w:tcPr>
            <w:tcW w:w="388" w:type="dxa"/>
            <w:vMerge/>
            <w:tcBorders>
              <w:top w:val="nil"/>
            </w:tcBorders>
          </w:tcPr>
          <w:p>
            <w:pPr>
              <w:rPr>
                <w:sz w:val="2"/>
                <w:szCs w:val="2"/>
              </w:rPr>
            </w:pPr>
          </w:p>
        </w:tc>
        <w:tc>
          <w:tcPr>
            <w:tcW w:w="2025" w:type="dxa"/>
          </w:tcPr>
          <w:p>
            <w:pPr>
              <w:pStyle w:val="TableParagraph"/>
              <w:spacing w:before="22"/>
              <w:ind w:left="81"/>
              <w:jc w:val="left"/>
              <w:rPr>
                <w:sz w:val="21"/>
              </w:rPr>
            </w:pPr>
            <w:r>
              <w:rPr>
                <w:sz w:val="21"/>
              </w:rPr>
              <w:t>DB 33/T 836-2011</w:t>
            </w:r>
          </w:p>
        </w:tc>
        <w:tc>
          <w:tcPr>
            <w:tcW w:w="4987" w:type="dxa"/>
          </w:tcPr>
          <w:p>
            <w:pPr>
              <w:pStyle w:val="TableParagraph"/>
              <w:spacing w:before="22"/>
              <w:ind w:left="262"/>
              <w:jc w:val="left"/>
              <w:rPr>
                <w:sz w:val="21"/>
              </w:rPr>
            </w:pPr>
            <w:r>
              <w:rPr>
                <w:sz w:val="21"/>
              </w:rPr>
              <w:t>公路水泥稳定碎石基层振动成型法施工技术规范</w:t>
            </w:r>
          </w:p>
        </w:tc>
      </w:tr>
      <w:tr>
        <w:tblPrEx>
          <w:tblW w:w="0" w:type="auto"/>
          <w:jc w:val="left"/>
          <w:tblInd w:w="474" w:type="dxa"/>
          <w:tblLayout w:type="fixed"/>
          <w:tblCellMar>
            <w:top w:w="0" w:type="dxa"/>
            <w:left w:w="0" w:type="dxa"/>
            <w:bottom w:w="0" w:type="dxa"/>
            <w:right w:w="0" w:type="dxa"/>
          </w:tblCellMar>
          <w:tblLook w:val="01E0"/>
        </w:tblPrEx>
        <w:trPr>
          <w:trHeight w:val="311"/>
          <w:jc w:val="left"/>
        </w:trPr>
        <w:tc>
          <w:tcPr>
            <w:tcW w:w="388" w:type="dxa"/>
            <w:vMerge/>
            <w:tcBorders>
              <w:top w:val="nil"/>
            </w:tcBorders>
          </w:tcPr>
          <w:p>
            <w:pPr>
              <w:rPr>
                <w:sz w:val="2"/>
                <w:szCs w:val="2"/>
              </w:rPr>
            </w:pPr>
          </w:p>
        </w:tc>
        <w:tc>
          <w:tcPr>
            <w:tcW w:w="2025" w:type="dxa"/>
          </w:tcPr>
          <w:p>
            <w:pPr>
              <w:pStyle w:val="TableParagraph"/>
              <w:spacing w:before="22"/>
              <w:ind w:left="81"/>
              <w:jc w:val="left"/>
              <w:rPr>
                <w:sz w:val="21"/>
              </w:rPr>
            </w:pPr>
            <w:r>
              <w:rPr>
                <w:sz w:val="21"/>
              </w:rPr>
              <w:t>DB 33/T 896</w:t>
            </w:r>
          </w:p>
        </w:tc>
        <w:tc>
          <w:tcPr>
            <w:tcW w:w="4987" w:type="dxa"/>
          </w:tcPr>
          <w:p>
            <w:pPr>
              <w:pStyle w:val="TableParagraph"/>
              <w:spacing w:before="22"/>
              <w:ind w:left="262"/>
              <w:jc w:val="left"/>
              <w:rPr>
                <w:sz w:val="21"/>
              </w:rPr>
            </w:pPr>
            <w:r>
              <w:rPr>
                <w:sz w:val="21"/>
              </w:rPr>
              <w:t>高等级公路沥青路面设计规范</w:t>
            </w:r>
          </w:p>
        </w:tc>
      </w:tr>
      <w:tr>
        <w:tblPrEx>
          <w:tblW w:w="0" w:type="auto"/>
          <w:jc w:val="left"/>
          <w:tblInd w:w="474" w:type="dxa"/>
          <w:tblLayout w:type="fixed"/>
          <w:tblCellMar>
            <w:top w:w="0" w:type="dxa"/>
            <w:left w:w="0" w:type="dxa"/>
            <w:bottom w:w="0" w:type="dxa"/>
            <w:right w:w="0" w:type="dxa"/>
          </w:tblCellMar>
          <w:tblLook w:val="01E0"/>
        </w:tblPrEx>
        <w:trPr>
          <w:trHeight w:val="469"/>
          <w:jc w:val="left"/>
        </w:trPr>
        <w:tc>
          <w:tcPr>
            <w:tcW w:w="388" w:type="dxa"/>
            <w:vMerge/>
            <w:tcBorders>
              <w:top w:val="nil"/>
            </w:tcBorders>
          </w:tcPr>
          <w:p>
            <w:pPr>
              <w:rPr>
                <w:sz w:val="2"/>
                <w:szCs w:val="2"/>
              </w:rPr>
            </w:pPr>
          </w:p>
        </w:tc>
        <w:tc>
          <w:tcPr>
            <w:tcW w:w="2025" w:type="dxa"/>
          </w:tcPr>
          <w:p>
            <w:pPr>
              <w:pStyle w:val="TableParagraph"/>
              <w:spacing w:before="22"/>
              <w:ind w:left="81"/>
              <w:jc w:val="left"/>
              <w:rPr>
                <w:sz w:val="21"/>
              </w:rPr>
            </w:pPr>
            <w:r>
              <w:rPr>
                <w:sz w:val="21"/>
              </w:rPr>
              <w:t>DB 33/T 989</w:t>
            </w:r>
          </w:p>
        </w:tc>
        <w:tc>
          <w:tcPr>
            <w:tcW w:w="4987" w:type="dxa"/>
          </w:tcPr>
          <w:p>
            <w:pPr>
              <w:pStyle w:val="TableParagraph"/>
              <w:spacing w:before="22"/>
              <w:ind w:left="262"/>
              <w:jc w:val="left"/>
              <w:rPr>
                <w:sz w:val="21"/>
              </w:rPr>
            </w:pPr>
            <w:r>
              <w:rPr>
                <w:sz w:val="21"/>
              </w:rPr>
              <w:t>改性沥青中 SBS 含量的测定红外光谱法</w:t>
            </w:r>
          </w:p>
        </w:tc>
      </w:tr>
      <w:tr>
        <w:tblPrEx>
          <w:tblW w:w="0" w:type="auto"/>
          <w:jc w:val="left"/>
          <w:tblInd w:w="474" w:type="dxa"/>
          <w:tblLayout w:type="fixed"/>
          <w:tblCellMar>
            <w:top w:w="0" w:type="dxa"/>
            <w:left w:w="0" w:type="dxa"/>
            <w:bottom w:w="0" w:type="dxa"/>
            <w:right w:w="0" w:type="dxa"/>
          </w:tblCellMar>
          <w:tblLook w:val="01E0"/>
        </w:tblPrEx>
        <w:trPr>
          <w:trHeight w:val="623"/>
          <w:jc w:val="left"/>
        </w:trPr>
        <w:tc>
          <w:tcPr>
            <w:tcW w:w="388" w:type="dxa"/>
          </w:tcPr>
          <w:p>
            <w:pPr>
              <w:pStyle w:val="TableParagraph"/>
              <w:spacing w:before="179"/>
              <w:ind w:left="50"/>
              <w:jc w:val="left"/>
              <w:rPr>
                <w:rFonts w:ascii="黑体"/>
                <w:sz w:val="21"/>
              </w:rPr>
            </w:pPr>
            <w:bookmarkStart w:id="11" w:name="术语和定义"/>
            <w:bookmarkEnd w:id="11"/>
            <w:bookmarkStart w:id="12" w:name="_bookmark3"/>
            <w:bookmarkEnd w:id="12"/>
            <w:r>
              <w:rPr>
                <w:rFonts w:ascii="黑体"/>
                <w:w w:val="100"/>
                <w:sz w:val="21"/>
              </w:rPr>
              <w:t>3</w:t>
            </w:r>
          </w:p>
        </w:tc>
        <w:tc>
          <w:tcPr>
            <w:tcW w:w="2025" w:type="dxa"/>
          </w:tcPr>
          <w:p>
            <w:pPr>
              <w:pStyle w:val="TableParagraph"/>
              <w:spacing w:before="179"/>
              <w:ind w:left="22"/>
              <w:jc w:val="left"/>
              <w:rPr>
                <w:rFonts w:ascii="黑体" w:eastAsia="黑体" w:hint="eastAsia"/>
                <w:sz w:val="21"/>
              </w:rPr>
            </w:pPr>
            <w:r>
              <w:rPr>
                <w:rFonts w:ascii="黑体" w:eastAsia="黑体" w:hint="eastAsia"/>
                <w:sz w:val="21"/>
              </w:rPr>
              <w:t>术语和定义</w:t>
            </w:r>
          </w:p>
        </w:tc>
        <w:tc>
          <w:tcPr>
            <w:tcW w:w="4987" w:type="dxa"/>
          </w:tcPr>
          <w:p>
            <w:pPr>
              <w:pStyle w:val="TableParagraph"/>
              <w:spacing w:before="0"/>
              <w:jc w:val="left"/>
              <w:rPr>
                <w:rFonts w:ascii="Times New Roman"/>
                <w:sz w:val="20"/>
              </w:rPr>
            </w:pPr>
          </w:p>
        </w:tc>
      </w:tr>
      <w:tr>
        <w:tblPrEx>
          <w:tblW w:w="0" w:type="auto"/>
          <w:jc w:val="left"/>
          <w:tblInd w:w="474" w:type="dxa"/>
          <w:tblLayout w:type="fixed"/>
          <w:tblCellMar>
            <w:top w:w="0" w:type="dxa"/>
            <w:left w:w="0" w:type="dxa"/>
            <w:bottom w:w="0" w:type="dxa"/>
            <w:right w:w="0" w:type="dxa"/>
          </w:tblCellMar>
          <w:tblLook w:val="01E0"/>
        </w:tblPrEx>
        <w:trPr>
          <w:trHeight w:val="416"/>
          <w:jc w:val="left"/>
        </w:trPr>
        <w:tc>
          <w:tcPr>
            <w:tcW w:w="388" w:type="dxa"/>
          </w:tcPr>
          <w:p>
            <w:pPr>
              <w:pStyle w:val="TableParagraph"/>
              <w:spacing w:before="176" w:line="220" w:lineRule="exact"/>
              <w:ind w:left="50"/>
              <w:jc w:val="left"/>
              <w:rPr>
                <w:rFonts w:ascii="黑体"/>
                <w:sz w:val="21"/>
              </w:rPr>
            </w:pPr>
            <w:bookmarkStart w:id="13" w:name="3.1"/>
            <w:bookmarkEnd w:id="13"/>
            <w:r>
              <w:rPr>
                <w:rFonts w:ascii="黑体"/>
                <w:sz w:val="21"/>
              </w:rPr>
              <w:t>3.1</w:t>
            </w:r>
          </w:p>
        </w:tc>
        <w:tc>
          <w:tcPr>
            <w:tcW w:w="2025" w:type="dxa"/>
          </w:tcPr>
          <w:p>
            <w:pPr>
              <w:pStyle w:val="TableParagraph"/>
              <w:spacing w:before="0"/>
              <w:jc w:val="left"/>
              <w:rPr>
                <w:rFonts w:ascii="Times New Roman"/>
                <w:sz w:val="20"/>
              </w:rPr>
            </w:pPr>
          </w:p>
        </w:tc>
        <w:tc>
          <w:tcPr>
            <w:tcW w:w="4987" w:type="dxa"/>
          </w:tcPr>
          <w:p>
            <w:pPr>
              <w:pStyle w:val="TableParagraph"/>
              <w:spacing w:before="0"/>
              <w:jc w:val="left"/>
              <w:rPr>
                <w:rFonts w:ascii="Times New Roman"/>
                <w:sz w:val="20"/>
              </w:rPr>
            </w:pPr>
          </w:p>
        </w:tc>
      </w:tr>
    </w:tbl>
    <w:p>
      <w:pPr>
        <w:pStyle w:val="BodyText"/>
        <w:spacing w:before="11"/>
        <w:rPr>
          <w:sz w:val="17"/>
        </w:rPr>
      </w:pPr>
    </w:p>
    <w:p>
      <w:pPr>
        <w:pStyle w:val="BodyText"/>
        <w:ind w:left="937"/>
        <w:rPr>
          <w:rFonts w:ascii="黑体" w:eastAsia="黑体" w:hint="eastAsia"/>
        </w:rPr>
      </w:pPr>
      <w:r>
        <w:rPr>
          <w:rFonts w:ascii="黑体" w:eastAsia="黑体" w:hint="eastAsia"/>
        </w:rPr>
        <w:t>振动成型法</w:t>
      </w:r>
    </w:p>
    <w:p>
      <w:pPr>
        <w:pStyle w:val="BodyText"/>
        <w:spacing w:before="43" w:line="278" w:lineRule="auto"/>
        <w:ind w:left="517" w:right="309" w:firstLine="420"/>
      </w:pPr>
      <w:r>
        <w:rPr>
          <w:spacing w:val="-9"/>
        </w:rPr>
        <w:t>利用振动压实试验仪，在与现场压实机械相匹配的固定配重、振动频率、振幅和振实时间条件下的</w:t>
      </w:r>
      <w:r>
        <w:rPr>
          <w:spacing w:val="-5"/>
        </w:rPr>
        <w:t>水泥稳定碎石等半刚性基层材料配合比设计方法。</w:t>
      </w:r>
    </w:p>
    <w:p>
      <w:pPr>
        <w:spacing w:before="16"/>
        <w:ind w:left="878" w:right="0" w:firstLine="0"/>
        <w:jc w:val="left"/>
        <w:rPr>
          <w:sz w:val="18"/>
        </w:rPr>
      </w:pPr>
      <w:r>
        <w:rPr>
          <w:sz w:val="18"/>
        </w:rPr>
        <w:t>[DB33/T 836-2011 定义 3.1.5]</w:t>
      </w:r>
    </w:p>
    <w:p>
      <w:pPr>
        <w:pStyle w:val="BodyText"/>
        <w:spacing w:before="4"/>
        <w:rPr>
          <w:sz w:val="17"/>
        </w:rPr>
      </w:pPr>
    </w:p>
    <w:p>
      <w:pPr>
        <w:pStyle w:val="BodyText"/>
        <w:ind w:left="515"/>
        <w:rPr>
          <w:rFonts w:ascii="黑体"/>
        </w:rPr>
      </w:pPr>
      <w:bookmarkStart w:id="14" w:name="3.2"/>
      <w:bookmarkEnd w:id="14"/>
      <w:r>
        <w:rPr>
          <w:rFonts w:ascii="黑体"/>
        </w:rPr>
        <w:t>3.2</w:t>
      </w:r>
    </w:p>
    <w:p>
      <w:pPr>
        <w:pStyle w:val="BodyText"/>
        <w:spacing w:before="6"/>
        <w:rPr>
          <w:rFonts w:ascii="黑体"/>
          <w:sz w:val="15"/>
        </w:rPr>
      </w:pPr>
    </w:p>
    <w:p>
      <w:pPr>
        <w:pStyle w:val="BodyText"/>
        <w:spacing w:before="1"/>
        <w:ind w:left="936"/>
        <w:rPr>
          <w:rFonts w:ascii="黑体" w:eastAsia="黑体" w:hint="eastAsia"/>
        </w:rPr>
      </w:pPr>
      <w:r>
        <w:rPr>
          <w:rFonts w:ascii="黑体" w:eastAsia="黑体" w:hint="eastAsia"/>
        </w:rPr>
        <w:t>精铣刨</w:t>
      </w:r>
    </w:p>
    <w:p>
      <w:pPr>
        <w:pStyle w:val="BodyText"/>
        <w:spacing w:before="43" w:line="278" w:lineRule="auto"/>
        <w:ind w:left="516" w:right="308" w:firstLine="420"/>
      </w:pPr>
      <w:r>
        <w:rPr>
          <w:spacing w:val="-7"/>
        </w:rPr>
        <w:t>在标准铣刨工艺的基础上更换密集刀头的“精铣刨鼓”，利用精铣刨鼓刀间距更小的特点，对路面</w:t>
      </w:r>
      <w:r>
        <w:rPr>
          <w:spacing w:val="-5"/>
        </w:rPr>
        <w:t>实施更细密的铣刨处理。</w:t>
      </w:r>
    </w:p>
    <w:p>
      <w:pPr>
        <w:pStyle w:val="BodyText"/>
        <w:spacing w:before="6"/>
        <w:rPr>
          <w:sz w:val="24"/>
        </w:rPr>
      </w:pPr>
    </w:p>
    <w:p>
      <w:pPr>
        <w:pStyle w:val="ListParagraph"/>
        <w:numPr>
          <w:ilvl w:val="0"/>
          <w:numId w:val="25"/>
        </w:numPr>
        <w:tabs>
          <w:tab w:val="left" w:pos="876"/>
          <w:tab w:val="left" w:pos="877"/>
        </w:tabs>
        <w:spacing w:before="0" w:after="0" w:line="240" w:lineRule="auto"/>
        <w:ind w:left="876" w:right="0" w:hanging="361"/>
        <w:jc w:val="left"/>
        <w:rPr>
          <w:rFonts w:ascii="黑体" w:eastAsia="黑体" w:hint="eastAsia"/>
          <w:sz w:val="21"/>
        </w:rPr>
      </w:pPr>
      <w:bookmarkStart w:id="15" w:name="基本规定"/>
      <w:bookmarkEnd w:id="15"/>
      <w:bookmarkStart w:id="16" w:name="_bookmark4"/>
      <w:bookmarkEnd w:id="16"/>
      <w:r>
        <w:rPr>
          <w:rFonts w:ascii="黑体" w:eastAsia="黑体" w:hint="eastAsia"/>
          <w:spacing w:val="-1"/>
          <w:sz w:val="21"/>
        </w:rPr>
        <w:t>基本规定</w:t>
      </w:r>
    </w:p>
    <w:p>
      <w:pPr>
        <w:spacing w:after="0" w:line="240" w:lineRule="auto"/>
        <w:jc w:val="left"/>
        <w:rPr>
          <w:rFonts w:ascii="黑体" w:eastAsia="黑体" w:hint="eastAsia"/>
          <w:sz w:val="21"/>
        </w:rPr>
        <w:sectPr>
          <w:footerReference w:type="even" r:id="rId10"/>
          <w:footerReference w:type="default" r:id="rId11"/>
          <w:pgSz w:w="11910" w:h="16840"/>
          <w:pgMar w:top="1580" w:right="820" w:bottom="1540" w:left="900" w:header="0" w:footer="1354"/>
          <w:pgNumType w:start="1"/>
          <w:cols w:space="708"/>
        </w:sectPr>
      </w:pPr>
    </w:p>
    <w:p>
      <w:pPr>
        <w:pStyle w:val="ListParagraph"/>
        <w:numPr>
          <w:ilvl w:val="1"/>
          <w:numId w:val="25"/>
        </w:numPr>
        <w:tabs>
          <w:tab w:val="left" w:pos="804"/>
          <w:tab w:val="left" w:pos="805"/>
        </w:tabs>
        <w:spacing w:before="44" w:after="0" w:line="240" w:lineRule="auto"/>
        <w:ind w:left="804" w:right="0" w:hanging="573"/>
        <w:jc w:val="left"/>
        <w:rPr>
          <w:rFonts w:ascii="黑体" w:eastAsia="黑体" w:hint="eastAsia"/>
          <w:sz w:val="21"/>
        </w:rPr>
      </w:pPr>
      <w:bookmarkStart w:id="17" w:name="一般规定"/>
      <w:bookmarkEnd w:id="17"/>
      <w:bookmarkStart w:id="18" w:name="_bookmark5"/>
      <w:bookmarkEnd w:id="18"/>
      <w:r>
        <w:rPr>
          <w:rFonts w:ascii="黑体" w:eastAsia="黑体" w:hint="eastAsia"/>
          <w:spacing w:val="-2"/>
          <w:sz w:val="21"/>
        </w:rPr>
        <w:t>一般规定</w:t>
      </w:r>
    </w:p>
    <w:p>
      <w:pPr>
        <w:pStyle w:val="BodyText"/>
        <w:spacing w:before="7"/>
        <w:rPr>
          <w:rFonts w:ascii="黑体"/>
          <w:sz w:val="15"/>
        </w:rPr>
      </w:pPr>
    </w:p>
    <w:p>
      <w:pPr>
        <w:pStyle w:val="ListParagraph"/>
        <w:numPr>
          <w:ilvl w:val="2"/>
          <w:numId w:val="25"/>
        </w:numPr>
        <w:tabs>
          <w:tab w:val="left" w:pos="969"/>
          <w:tab w:val="left" w:pos="970"/>
        </w:tabs>
        <w:spacing w:before="0" w:after="0" w:line="240" w:lineRule="auto"/>
        <w:ind w:left="969" w:right="0" w:hanging="738"/>
        <w:jc w:val="left"/>
        <w:rPr>
          <w:sz w:val="21"/>
        </w:rPr>
      </w:pPr>
      <w:bookmarkStart w:id="19" w:name="4.1.1  沥青路面施工应制定详细的路面施工组织设计，并保证合理的施工工期。"/>
      <w:bookmarkEnd w:id="19"/>
      <w:r>
        <w:rPr>
          <w:spacing w:val="-3"/>
          <w:sz w:val="21"/>
        </w:rPr>
        <w:t>沥青路面施工应制定详细的路面施工组织设计，并保证合理的施工工期。</w:t>
      </w:r>
    </w:p>
    <w:p>
      <w:pPr>
        <w:pStyle w:val="BodyText"/>
        <w:spacing w:before="6"/>
        <w:rPr>
          <w:sz w:val="15"/>
        </w:rPr>
      </w:pPr>
    </w:p>
    <w:p>
      <w:pPr>
        <w:pStyle w:val="ListParagraph"/>
        <w:numPr>
          <w:ilvl w:val="2"/>
          <w:numId w:val="25"/>
        </w:numPr>
        <w:tabs>
          <w:tab w:val="left" w:pos="969"/>
          <w:tab w:val="left" w:pos="970"/>
        </w:tabs>
        <w:spacing w:before="1" w:after="0" w:line="278" w:lineRule="auto"/>
        <w:ind w:left="232" w:right="490" w:firstLine="0"/>
        <w:jc w:val="left"/>
        <w:rPr>
          <w:sz w:val="21"/>
        </w:rPr>
      </w:pPr>
      <w:bookmarkStart w:id="20" w:name="4.1.2  施工组织设计的内容应包括：原材料的储备计划、料源地点、采备方式、运"/>
      <w:bookmarkEnd w:id="20"/>
      <w:r>
        <w:rPr>
          <w:spacing w:val="-13"/>
          <w:sz w:val="21"/>
        </w:rPr>
        <w:t>施工组织设计的内容应包括：原材料的储备计划、料源地点、采备方式、运输形式、堆放场地，</w:t>
      </w:r>
      <w:r>
        <w:rPr>
          <w:spacing w:val="-13"/>
          <w:sz w:val="21"/>
        </w:rPr>
        <w:t xml:space="preserve"> </w:t>
      </w:r>
      <w:r>
        <w:rPr>
          <w:spacing w:val="-12"/>
          <w:sz w:val="21"/>
        </w:rPr>
        <w:t>标化建设、信息化管理、试验路段及各结构层的施工计划、机械设备的配备和人员安排计划、采用的工</w:t>
      </w:r>
      <w:r>
        <w:rPr>
          <w:spacing w:val="-3"/>
          <w:sz w:val="21"/>
        </w:rPr>
        <w:t>艺和工序衔接的要求、特殊气候条件</w:t>
      </w:r>
      <w:r>
        <w:rPr>
          <w:sz w:val="21"/>
        </w:rPr>
        <w:t>（</w:t>
      </w:r>
      <w:r>
        <w:rPr>
          <w:spacing w:val="-3"/>
          <w:sz w:val="21"/>
        </w:rPr>
        <w:t>雨季、高温</w:t>
      </w:r>
      <w:r>
        <w:rPr>
          <w:sz w:val="21"/>
        </w:rPr>
        <w:t>）</w:t>
      </w:r>
      <w:r>
        <w:rPr>
          <w:spacing w:val="-3"/>
          <w:sz w:val="21"/>
        </w:rPr>
        <w:t>下的施工保证措施，以及自检和质保体系、安全、环保措施等。</w:t>
      </w:r>
    </w:p>
    <w:p>
      <w:pPr>
        <w:pStyle w:val="ListParagraph"/>
        <w:numPr>
          <w:ilvl w:val="2"/>
          <w:numId w:val="25"/>
        </w:numPr>
        <w:tabs>
          <w:tab w:val="left" w:pos="969"/>
          <w:tab w:val="left" w:pos="970"/>
        </w:tabs>
        <w:spacing w:before="155" w:after="0" w:line="240" w:lineRule="auto"/>
        <w:ind w:left="969" w:right="0" w:hanging="738"/>
        <w:jc w:val="left"/>
        <w:rPr>
          <w:sz w:val="21"/>
        </w:rPr>
      </w:pPr>
      <w:bookmarkStart w:id="21" w:name="4.1.3  无施工组织设计或施工组织设计不完善，监理单位不得签发路面开工报告。"/>
      <w:bookmarkEnd w:id="21"/>
      <w:r>
        <w:rPr>
          <w:spacing w:val="-3"/>
          <w:sz w:val="21"/>
        </w:rPr>
        <w:t>无施工组织设计或施工组织设计不完善，监理单位不得签发路面开工报告。</w:t>
      </w:r>
    </w:p>
    <w:p>
      <w:pPr>
        <w:pStyle w:val="BodyText"/>
        <w:spacing w:before="7"/>
        <w:rPr>
          <w:sz w:val="15"/>
        </w:rPr>
      </w:pPr>
    </w:p>
    <w:p>
      <w:pPr>
        <w:pStyle w:val="ListParagraph"/>
        <w:numPr>
          <w:ilvl w:val="2"/>
          <w:numId w:val="25"/>
        </w:numPr>
        <w:tabs>
          <w:tab w:val="left" w:pos="969"/>
          <w:tab w:val="left" w:pos="970"/>
        </w:tabs>
        <w:spacing w:before="0" w:after="0" w:line="278" w:lineRule="auto"/>
        <w:ind w:left="232" w:right="601" w:firstLine="0"/>
        <w:jc w:val="left"/>
        <w:rPr>
          <w:sz w:val="21"/>
        </w:rPr>
      </w:pPr>
      <w:bookmarkStart w:id="22" w:name="4.1.4  高速公路路面施工应采用沥青（水稳）混合料拌和、运输、摊铺、碾压全过"/>
      <w:bookmarkEnd w:id="22"/>
      <w:r>
        <w:rPr>
          <w:spacing w:val="-3"/>
          <w:sz w:val="21"/>
        </w:rPr>
        <w:t>高速公路路面施工应采用沥青</w:t>
      </w:r>
      <w:r>
        <w:rPr>
          <w:sz w:val="21"/>
        </w:rPr>
        <w:t>（</w:t>
      </w:r>
      <w:r>
        <w:rPr>
          <w:spacing w:val="-2"/>
          <w:sz w:val="21"/>
        </w:rPr>
        <w:t>水稳</w:t>
      </w:r>
      <w:r>
        <w:rPr>
          <w:spacing w:val="-3"/>
          <w:sz w:val="21"/>
        </w:rPr>
        <w:t>）混合料拌和、运输、摊铺、碾压全过程物联网施工质量监控系统，实现路面施工全过程控制和科学管理。</w:t>
      </w:r>
    </w:p>
    <w:p>
      <w:pPr>
        <w:pStyle w:val="ListParagraph"/>
        <w:numPr>
          <w:ilvl w:val="1"/>
          <w:numId w:val="25"/>
        </w:numPr>
        <w:tabs>
          <w:tab w:val="left" w:pos="758"/>
          <w:tab w:val="left" w:pos="759"/>
        </w:tabs>
        <w:spacing w:before="156" w:after="0" w:line="240" w:lineRule="auto"/>
        <w:ind w:left="758" w:right="0" w:hanging="527"/>
        <w:jc w:val="left"/>
        <w:rPr>
          <w:rFonts w:ascii="黑体" w:eastAsia="黑体" w:hint="eastAsia"/>
          <w:sz w:val="21"/>
        </w:rPr>
      </w:pPr>
      <w:bookmarkStart w:id="23" w:name="4.2  标化建设"/>
      <w:bookmarkEnd w:id="23"/>
      <w:bookmarkStart w:id="24" w:name="_bookmark6"/>
      <w:bookmarkEnd w:id="24"/>
      <w:r>
        <w:rPr>
          <w:rFonts w:ascii="黑体" w:eastAsia="黑体" w:hint="eastAsia"/>
          <w:spacing w:val="-2"/>
          <w:sz w:val="21"/>
        </w:rPr>
        <w:t>标化建设</w:t>
      </w:r>
    </w:p>
    <w:p>
      <w:pPr>
        <w:pStyle w:val="BodyText"/>
        <w:spacing w:before="6"/>
        <w:rPr>
          <w:rFonts w:ascii="黑体"/>
          <w:sz w:val="15"/>
        </w:rPr>
      </w:pPr>
    </w:p>
    <w:p>
      <w:pPr>
        <w:pStyle w:val="ListParagraph"/>
        <w:numPr>
          <w:ilvl w:val="2"/>
          <w:numId w:val="25"/>
        </w:numPr>
        <w:tabs>
          <w:tab w:val="left" w:pos="953"/>
        </w:tabs>
        <w:spacing w:before="0" w:after="0" w:line="240" w:lineRule="auto"/>
        <w:ind w:left="952" w:right="0" w:hanging="721"/>
        <w:jc w:val="left"/>
        <w:rPr>
          <w:rFonts w:ascii="黑体" w:eastAsia="黑体" w:hint="eastAsia"/>
          <w:sz w:val="21"/>
        </w:rPr>
      </w:pPr>
      <w:bookmarkStart w:id="25" w:name="标化工地"/>
      <w:bookmarkEnd w:id="25"/>
      <w:r>
        <w:rPr>
          <w:rFonts w:ascii="黑体" w:eastAsia="黑体" w:hint="eastAsia"/>
          <w:spacing w:val="-1"/>
          <w:sz w:val="21"/>
        </w:rPr>
        <w:t>标化工地</w:t>
      </w:r>
    </w:p>
    <w:p>
      <w:pPr>
        <w:pStyle w:val="BodyText"/>
        <w:spacing w:before="7"/>
        <w:rPr>
          <w:rFonts w:ascii="黑体"/>
          <w:sz w:val="15"/>
        </w:rPr>
      </w:pPr>
    </w:p>
    <w:p>
      <w:pPr>
        <w:pStyle w:val="ListParagraph"/>
        <w:numPr>
          <w:ilvl w:val="3"/>
          <w:numId w:val="25"/>
        </w:numPr>
        <w:tabs>
          <w:tab w:val="left" w:pos="1178"/>
          <w:tab w:val="left" w:pos="1179"/>
        </w:tabs>
        <w:spacing w:before="0" w:after="0" w:line="240" w:lineRule="auto"/>
        <w:ind w:left="1178" w:right="0" w:hanging="947"/>
        <w:jc w:val="left"/>
        <w:rPr>
          <w:sz w:val="21"/>
        </w:rPr>
      </w:pPr>
      <w:bookmarkStart w:id="26" w:name="4.2.1.1  施工单位标化工地建设应符合《浙江省高速公路施工标准化管理实施细"/>
      <w:bookmarkEnd w:id="26"/>
      <w:r>
        <w:rPr>
          <w:spacing w:val="-3"/>
          <w:sz w:val="21"/>
        </w:rPr>
        <w:t>施工单位标化工地建设应符合《浙江省高速公路施工标准化管理实施细则》相关规定。</w:t>
      </w:r>
    </w:p>
    <w:p>
      <w:pPr>
        <w:pStyle w:val="BodyText"/>
        <w:spacing w:before="7"/>
        <w:rPr>
          <w:sz w:val="15"/>
        </w:rPr>
      </w:pPr>
    </w:p>
    <w:p>
      <w:pPr>
        <w:pStyle w:val="ListParagraph"/>
        <w:numPr>
          <w:ilvl w:val="3"/>
          <w:numId w:val="25"/>
        </w:numPr>
        <w:tabs>
          <w:tab w:val="left" w:pos="1178"/>
          <w:tab w:val="left" w:pos="1179"/>
        </w:tabs>
        <w:spacing w:before="0" w:after="0" w:line="240" w:lineRule="auto"/>
        <w:ind w:left="1178" w:right="0" w:hanging="947"/>
        <w:jc w:val="left"/>
        <w:rPr>
          <w:sz w:val="21"/>
        </w:rPr>
      </w:pPr>
      <w:bookmarkStart w:id="27" w:name="4.2.1.2  拌和场地布置应满足以下要求："/>
      <w:bookmarkEnd w:id="27"/>
      <w:r>
        <w:rPr>
          <w:spacing w:val="-3"/>
          <w:sz w:val="21"/>
        </w:rPr>
        <w:t>拌和场地布置应满足以下要求：</w:t>
      </w:r>
    </w:p>
    <w:p>
      <w:pPr>
        <w:pStyle w:val="BodyText"/>
        <w:spacing w:before="6"/>
        <w:rPr>
          <w:sz w:val="15"/>
        </w:rPr>
      </w:pPr>
    </w:p>
    <w:p>
      <w:pPr>
        <w:pStyle w:val="ListParagraph"/>
        <w:numPr>
          <w:ilvl w:val="4"/>
          <w:numId w:val="25"/>
        </w:numPr>
        <w:tabs>
          <w:tab w:val="left" w:pos="1074"/>
          <w:tab w:val="left" w:pos="1075"/>
        </w:tabs>
        <w:spacing w:before="1" w:after="0" w:line="240" w:lineRule="auto"/>
        <w:ind w:left="1074" w:right="0" w:hanging="423"/>
        <w:jc w:val="left"/>
        <w:rPr>
          <w:sz w:val="21"/>
        </w:rPr>
      </w:pPr>
      <w:r>
        <w:rPr>
          <w:spacing w:val="-3"/>
          <w:sz w:val="21"/>
        </w:rPr>
        <w:t>拌和场地生活区及工作区应分开。</w:t>
      </w:r>
    </w:p>
    <w:p>
      <w:pPr>
        <w:pStyle w:val="ListParagraph"/>
        <w:numPr>
          <w:ilvl w:val="4"/>
          <w:numId w:val="25"/>
        </w:numPr>
        <w:tabs>
          <w:tab w:val="left" w:pos="1074"/>
          <w:tab w:val="left" w:pos="1075"/>
        </w:tabs>
        <w:spacing w:before="42" w:after="0" w:line="240" w:lineRule="auto"/>
        <w:ind w:left="1074" w:right="0" w:hanging="423"/>
        <w:jc w:val="left"/>
        <w:rPr>
          <w:sz w:val="21"/>
        </w:rPr>
      </w:pPr>
      <w:r>
        <w:rPr>
          <w:spacing w:val="-3"/>
          <w:sz w:val="21"/>
        </w:rPr>
        <w:t>拌和场地应有良好的排水系统，场地内不应积水。</w:t>
      </w:r>
    </w:p>
    <w:p>
      <w:pPr>
        <w:pStyle w:val="ListParagraph"/>
        <w:numPr>
          <w:ilvl w:val="4"/>
          <w:numId w:val="25"/>
        </w:numPr>
        <w:tabs>
          <w:tab w:val="left" w:pos="1074"/>
          <w:tab w:val="left" w:pos="1075"/>
        </w:tabs>
        <w:spacing w:before="43" w:after="0" w:line="240" w:lineRule="auto"/>
        <w:ind w:left="1074" w:right="0" w:hanging="423"/>
        <w:jc w:val="left"/>
        <w:rPr>
          <w:sz w:val="21"/>
        </w:rPr>
      </w:pPr>
      <w:r>
        <w:rPr>
          <w:spacing w:val="-3"/>
          <w:sz w:val="21"/>
        </w:rPr>
        <w:t>基层集料堆料场地应采用水稳结合料或水泥混凝土进行硬化处理。</w:t>
      </w:r>
    </w:p>
    <w:p>
      <w:pPr>
        <w:pStyle w:val="ListParagraph"/>
        <w:numPr>
          <w:ilvl w:val="4"/>
          <w:numId w:val="25"/>
        </w:numPr>
        <w:tabs>
          <w:tab w:val="left" w:pos="1074"/>
          <w:tab w:val="left" w:pos="1075"/>
        </w:tabs>
        <w:spacing w:before="43" w:after="0" w:line="240" w:lineRule="auto"/>
        <w:ind w:left="1074" w:right="0" w:hanging="423"/>
        <w:jc w:val="left"/>
        <w:rPr>
          <w:sz w:val="21"/>
        </w:rPr>
      </w:pPr>
      <w:r>
        <w:rPr>
          <w:spacing w:val="-3"/>
          <w:sz w:val="21"/>
        </w:rPr>
        <w:t>面层集料堆料场地应采用水泥混凝土进行硬化处理。</w:t>
      </w:r>
    </w:p>
    <w:p>
      <w:pPr>
        <w:pStyle w:val="ListParagraph"/>
        <w:numPr>
          <w:ilvl w:val="4"/>
          <w:numId w:val="25"/>
        </w:numPr>
        <w:tabs>
          <w:tab w:val="left" w:pos="1074"/>
          <w:tab w:val="left" w:pos="1075"/>
        </w:tabs>
        <w:spacing w:before="43" w:after="0" w:line="240" w:lineRule="auto"/>
        <w:ind w:left="1074" w:right="0" w:hanging="423"/>
        <w:jc w:val="left"/>
        <w:rPr>
          <w:sz w:val="21"/>
        </w:rPr>
      </w:pPr>
      <w:r>
        <w:rPr>
          <w:spacing w:val="-3"/>
          <w:sz w:val="21"/>
        </w:rPr>
        <w:t>场区道路宜采用水稳结合料、水泥混凝土或沥青混凝土进行硬化处理。</w:t>
      </w:r>
    </w:p>
    <w:p>
      <w:pPr>
        <w:pStyle w:val="ListParagraph"/>
        <w:numPr>
          <w:ilvl w:val="4"/>
          <w:numId w:val="25"/>
        </w:numPr>
        <w:tabs>
          <w:tab w:val="left" w:pos="1074"/>
          <w:tab w:val="left" w:pos="1075"/>
        </w:tabs>
        <w:spacing w:before="43" w:after="0" w:line="240" w:lineRule="auto"/>
        <w:ind w:left="1074" w:right="0" w:hanging="423"/>
        <w:jc w:val="left"/>
        <w:rPr>
          <w:sz w:val="21"/>
        </w:rPr>
      </w:pPr>
      <w:r>
        <w:rPr>
          <w:spacing w:val="-3"/>
          <w:sz w:val="21"/>
        </w:rPr>
        <w:t>拌和场内应配备消防设备。</w:t>
      </w:r>
    </w:p>
    <w:p>
      <w:pPr>
        <w:pStyle w:val="BodyText"/>
        <w:spacing w:before="7"/>
        <w:rPr>
          <w:sz w:val="15"/>
        </w:rPr>
      </w:pPr>
    </w:p>
    <w:p>
      <w:pPr>
        <w:pStyle w:val="ListParagraph"/>
        <w:numPr>
          <w:ilvl w:val="3"/>
          <w:numId w:val="25"/>
        </w:numPr>
        <w:tabs>
          <w:tab w:val="left" w:pos="1178"/>
          <w:tab w:val="left" w:pos="1179"/>
        </w:tabs>
        <w:spacing w:before="0" w:after="0" w:line="240" w:lineRule="auto"/>
        <w:ind w:left="1178" w:right="0" w:hanging="947"/>
        <w:jc w:val="left"/>
        <w:rPr>
          <w:sz w:val="21"/>
        </w:rPr>
      </w:pPr>
      <w:bookmarkStart w:id="28" w:name="4.2.1.3  原材料堆放应满足以下要求："/>
      <w:bookmarkEnd w:id="28"/>
      <w:r>
        <w:rPr>
          <w:spacing w:val="-3"/>
          <w:sz w:val="21"/>
        </w:rPr>
        <w:t>原材料堆放应满足以下要求：</w:t>
      </w:r>
    </w:p>
    <w:p>
      <w:pPr>
        <w:pStyle w:val="BodyText"/>
        <w:spacing w:before="6"/>
        <w:rPr>
          <w:sz w:val="15"/>
        </w:rPr>
      </w:pPr>
    </w:p>
    <w:p>
      <w:pPr>
        <w:pStyle w:val="ListParagraph"/>
        <w:numPr>
          <w:ilvl w:val="4"/>
          <w:numId w:val="25"/>
        </w:numPr>
        <w:tabs>
          <w:tab w:val="left" w:pos="1074"/>
          <w:tab w:val="left" w:pos="1075"/>
        </w:tabs>
        <w:spacing w:before="1" w:after="0" w:line="240" w:lineRule="auto"/>
        <w:ind w:left="1074" w:right="0" w:hanging="423"/>
        <w:jc w:val="left"/>
        <w:rPr>
          <w:sz w:val="21"/>
        </w:rPr>
      </w:pPr>
      <w:r>
        <w:rPr>
          <w:spacing w:val="-3"/>
          <w:sz w:val="21"/>
        </w:rPr>
        <w:t>宜设置材料待检区，不合格材料不应进场。</w:t>
      </w:r>
    </w:p>
    <w:p>
      <w:pPr>
        <w:pStyle w:val="ListParagraph"/>
        <w:numPr>
          <w:ilvl w:val="4"/>
          <w:numId w:val="25"/>
        </w:numPr>
        <w:tabs>
          <w:tab w:val="left" w:pos="1074"/>
          <w:tab w:val="left" w:pos="1075"/>
        </w:tabs>
        <w:spacing w:before="42" w:after="0" w:line="240" w:lineRule="auto"/>
        <w:ind w:left="1074" w:right="0" w:hanging="423"/>
        <w:jc w:val="left"/>
        <w:rPr>
          <w:sz w:val="21"/>
        </w:rPr>
      </w:pPr>
      <w:r>
        <w:rPr>
          <w:spacing w:val="-3"/>
          <w:sz w:val="21"/>
        </w:rPr>
        <w:t>不同宕口、不同规格的石料，均应分仓堆放，严禁混用。</w:t>
      </w:r>
    </w:p>
    <w:p>
      <w:pPr>
        <w:pStyle w:val="ListParagraph"/>
        <w:numPr>
          <w:ilvl w:val="4"/>
          <w:numId w:val="25"/>
        </w:numPr>
        <w:tabs>
          <w:tab w:val="left" w:pos="1074"/>
          <w:tab w:val="left" w:pos="1075"/>
        </w:tabs>
        <w:spacing w:before="43" w:after="0" w:line="240" w:lineRule="auto"/>
        <w:ind w:left="1074" w:right="0" w:hanging="423"/>
        <w:jc w:val="left"/>
        <w:rPr>
          <w:sz w:val="21"/>
        </w:rPr>
      </w:pPr>
      <w:r>
        <w:rPr>
          <w:spacing w:val="-3"/>
          <w:sz w:val="21"/>
        </w:rPr>
        <w:t>分隔墙应标识出清仓底线。</w:t>
      </w:r>
    </w:p>
    <w:p>
      <w:pPr>
        <w:pStyle w:val="ListParagraph"/>
        <w:numPr>
          <w:ilvl w:val="4"/>
          <w:numId w:val="25"/>
        </w:numPr>
        <w:tabs>
          <w:tab w:val="left" w:pos="1074"/>
          <w:tab w:val="left" w:pos="1075"/>
        </w:tabs>
        <w:spacing w:before="43" w:after="0" w:line="278" w:lineRule="auto"/>
        <w:ind w:left="1072" w:right="592" w:hanging="420"/>
        <w:jc w:val="left"/>
        <w:rPr>
          <w:sz w:val="21"/>
        </w:rPr>
      </w:pPr>
      <w:r>
        <w:rPr>
          <w:spacing w:val="-12"/>
          <w:sz w:val="21"/>
        </w:rPr>
        <w:t xml:space="preserve">基层 </w:t>
      </w:r>
      <w:r>
        <w:rPr>
          <w:sz w:val="21"/>
        </w:rPr>
        <w:t>4.75mm</w:t>
      </w:r>
      <w:r>
        <w:rPr>
          <w:spacing w:val="-7"/>
          <w:sz w:val="21"/>
        </w:rPr>
        <w:t xml:space="preserve"> 及以下集料、面层集料堆场面积应满足施工需要，并设防雨棚。储料仓前应设置</w:t>
      </w:r>
      <w:r>
        <w:rPr>
          <w:spacing w:val="-5"/>
          <w:sz w:val="21"/>
        </w:rPr>
        <w:t>专门的样品盒。</w:t>
      </w:r>
    </w:p>
    <w:p>
      <w:pPr>
        <w:pStyle w:val="ListParagraph"/>
        <w:numPr>
          <w:ilvl w:val="4"/>
          <w:numId w:val="25"/>
        </w:numPr>
        <w:tabs>
          <w:tab w:val="left" w:pos="1074"/>
          <w:tab w:val="left" w:pos="1075"/>
        </w:tabs>
        <w:spacing w:before="0" w:after="0" w:line="269" w:lineRule="exact"/>
        <w:ind w:left="1074" w:right="0" w:hanging="423"/>
        <w:jc w:val="left"/>
        <w:rPr>
          <w:sz w:val="21"/>
        </w:rPr>
      </w:pPr>
      <w:r>
        <w:rPr>
          <w:spacing w:val="-3"/>
          <w:sz w:val="21"/>
        </w:rPr>
        <w:t>纤维等添加剂材料储存应按照产品使用说明书进行存放。</w:t>
      </w:r>
    </w:p>
    <w:p>
      <w:pPr>
        <w:pStyle w:val="ListParagraph"/>
        <w:numPr>
          <w:ilvl w:val="4"/>
          <w:numId w:val="25"/>
        </w:numPr>
        <w:tabs>
          <w:tab w:val="left" w:pos="1075"/>
        </w:tabs>
        <w:spacing w:before="43" w:after="0" w:line="278" w:lineRule="auto"/>
        <w:ind w:left="1072" w:right="592" w:hanging="421"/>
        <w:jc w:val="both"/>
        <w:rPr>
          <w:sz w:val="21"/>
        </w:rPr>
      </w:pPr>
      <w:r>
        <w:rPr>
          <w:spacing w:val="-6"/>
          <w:sz w:val="21"/>
        </w:rPr>
        <w:t>拌和场内施工标牌应根据监理规程有关原材料及混合料报验制度的规定，在材料堆放处设立原</w:t>
      </w:r>
      <w:r>
        <w:rPr>
          <w:spacing w:val="-11"/>
          <w:sz w:val="21"/>
        </w:rPr>
        <w:t>材料品名牌及报验牌。原材料报验牌上应注明材料品名、用途、规格、产地、检验时间、检验</w:t>
      </w:r>
      <w:r>
        <w:rPr>
          <w:spacing w:val="-6"/>
          <w:sz w:val="21"/>
        </w:rPr>
        <w:t>结果、监理工程师是否同意使用等内容，对原材料报验牌应进行动态更新。</w:t>
      </w:r>
    </w:p>
    <w:p>
      <w:pPr>
        <w:pStyle w:val="ListParagraph"/>
        <w:numPr>
          <w:ilvl w:val="2"/>
          <w:numId w:val="25"/>
        </w:numPr>
        <w:tabs>
          <w:tab w:val="left" w:pos="953"/>
        </w:tabs>
        <w:spacing w:before="156" w:after="0" w:line="240" w:lineRule="auto"/>
        <w:ind w:left="952" w:right="0" w:hanging="721"/>
        <w:jc w:val="left"/>
        <w:rPr>
          <w:rFonts w:ascii="黑体" w:eastAsia="黑体" w:hint="eastAsia"/>
          <w:sz w:val="21"/>
        </w:rPr>
      </w:pPr>
      <w:bookmarkStart w:id="29" w:name="标准化管理"/>
      <w:bookmarkEnd w:id="29"/>
      <w:r>
        <w:rPr>
          <w:rFonts w:ascii="黑体" w:eastAsia="黑体" w:hint="eastAsia"/>
          <w:spacing w:val="-1"/>
          <w:sz w:val="21"/>
        </w:rPr>
        <w:t>标准化管理</w:t>
      </w:r>
    </w:p>
    <w:p>
      <w:pPr>
        <w:pStyle w:val="BodyText"/>
        <w:spacing w:before="6"/>
        <w:rPr>
          <w:rFonts w:ascii="黑体"/>
          <w:sz w:val="15"/>
        </w:rPr>
      </w:pPr>
    </w:p>
    <w:p>
      <w:pPr>
        <w:pStyle w:val="ListParagraph"/>
        <w:numPr>
          <w:ilvl w:val="3"/>
          <w:numId w:val="25"/>
        </w:numPr>
        <w:tabs>
          <w:tab w:val="left" w:pos="1177"/>
          <w:tab w:val="left" w:pos="1178"/>
        </w:tabs>
        <w:spacing w:before="0" w:after="0" w:line="240" w:lineRule="auto"/>
        <w:ind w:left="1177" w:right="0" w:hanging="946"/>
        <w:jc w:val="left"/>
        <w:rPr>
          <w:sz w:val="21"/>
        </w:rPr>
      </w:pPr>
      <w:bookmarkStart w:id="30" w:name="4.2.2.1  质量管理应满足以下要求："/>
      <w:bookmarkEnd w:id="30"/>
      <w:r>
        <w:rPr>
          <w:spacing w:val="-3"/>
          <w:sz w:val="21"/>
        </w:rPr>
        <w:t>质量管理应满足以下要求：</w:t>
      </w:r>
    </w:p>
    <w:p>
      <w:pPr>
        <w:pStyle w:val="BodyText"/>
        <w:spacing w:before="7"/>
        <w:rPr>
          <w:sz w:val="15"/>
        </w:rPr>
      </w:pPr>
    </w:p>
    <w:p>
      <w:pPr>
        <w:pStyle w:val="ListParagraph"/>
        <w:numPr>
          <w:ilvl w:val="4"/>
          <w:numId w:val="25"/>
        </w:numPr>
        <w:tabs>
          <w:tab w:val="left" w:pos="1072"/>
          <w:tab w:val="left" w:pos="1073"/>
        </w:tabs>
        <w:spacing w:before="0" w:after="0" w:line="278" w:lineRule="auto"/>
        <w:ind w:left="1072" w:right="591" w:hanging="421"/>
        <w:jc w:val="left"/>
        <w:rPr>
          <w:sz w:val="21"/>
        </w:rPr>
      </w:pPr>
      <w:r>
        <w:rPr>
          <w:spacing w:val="-8"/>
          <w:sz w:val="21"/>
        </w:rPr>
        <w:t>施工单位应根据全面质量管理的要求，建立健全质量管理组织机构和质量保证体系，对施工各</w:t>
      </w:r>
      <w:r>
        <w:rPr>
          <w:spacing w:val="-5"/>
          <w:sz w:val="21"/>
        </w:rPr>
        <w:t>工序的质量进行检查评定，确保施工质量稳定。</w:t>
      </w:r>
    </w:p>
    <w:p>
      <w:pPr>
        <w:pStyle w:val="ListParagraph"/>
        <w:numPr>
          <w:ilvl w:val="4"/>
          <w:numId w:val="25"/>
        </w:numPr>
        <w:tabs>
          <w:tab w:val="left" w:pos="1072"/>
          <w:tab w:val="left" w:pos="1073"/>
        </w:tabs>
        <w:spacing w:before="0" w:after="0" w:line="278" w:lineRule="auto"/>
        <w:ind w:left="1072" w:right="591" w:hanging="421"/>
        <w:jc w:val="left"/>
        <w:rPr>
          <w:sz w:val="21"/>
        </w:rPr>
      </w:pPr>
      <w:r>
        <w:rPr>
          <w:spacing w:val="-8"/>
          <w:sz w:val="21"/>
        </w:rPr>
        <w:t>高速公路沥青路面应加强施工过程质量控制，实行动态质量管理，关键工序及重要部位宜拍摄</w:t>
      </w:r>
      <w:r>
        <w:rPr>
          <w:spacing w:val="-5"/>
          <w:sz w:val="21"/>
        </w:rPr>
        <w:t>照片或进行录像，作为实态记录及保存资料的一部分。</w:t>
      </w:r>
    </w:p>
    <w:p>
      <w:pPr>
        <w:pStyle w:val="ListParagraph"/>
        <w:numPr>
          <w:ilvl w:val="4"/>
          <w:numId w:val="25"/>
        </w:numPr>
        <w:tabs>
          <w:tab w:val="left" w:pos="1072"/>
          <w:tab w:val="left" w:pos="1073"/>
        </w:tabs>
        <w:spacing w:before="0" w:after="0" w:line="278" w:lineRule="auto"/>
        <w:ind w:left="1072" w:right="591" w:hanging="421"/>
        <w:jc w:val="left"/>
        <w:rPr>
          <w:sz w:val="21"/>
        </w:rPr>
      </w:pPr>
      <w:r>
        <w:rPr>
          <w:spacing w:val="-8"/>
          <w:sz w:val="21"/>
        </w:rPr>
        <w:t>建设单位应建立一套完整的质量管理办法，根据工程建设的进展情况，确定每一阶段的质量控</w:t>
      </w:r>
      <w:r>
        <w:rPr>
          <w:spacing w:val="-5"/>
          <w:sz w:val="21"/>
        </w:rPr>
        <w:t>制要点和内容，并在日常工作中予以落实到位。</w:t>
      </w:r>
    </w:p>
    <w:p>
      <w:pPr>
        <w:spacing w:after="0" w:line="278" w:lineRule="auto"/>
        <w:jc w:val="left"/>
        <w:rPr>
          <w:sz w:val="21"/>
        </w:rPr>
        <w:sectPr>
          <w:footerReference w:type="even" r:id="rId12"/>
          <w:footerReference w:type="default" r:id="rId13"/>
          <w:pgSz w:w="11910" w:h="16840"/>
          <w:pgMar w:top="1400" w:right="820" w:bottom="1200" w:left="900" w:header="0" w:footer="1001"/>
          <w:pgNumType w:start="2"/>
          <w:cols w:space="708"/>
        </w:sectPr>
      </w:pPr>
    </w:p>
    <w:p>
      <w:pPr>
        <w:pStyle w:val="ListParagraph"/>
        <w:numPr>
          <w:ilvl w:val="4"/>
          <w:numId w:val="25"/>
        </w:numPr>
        <w:tabs>
          <w:tab w:val="left" w:pos="1357"/>
        </w:tabs>
        <w:spacing w:before="44" w:after="0" w:line="278" w:lineRule="auto"/>
        <w:ind w:left="1356" w:right="310" w:hanging="421"/>
        <w:jc w:val="both"/>
        <w:rPr>
          <w:sz w:val="21"/>
        </w:rPr>
      </w:pPr>
      <w:r>
        <w:rPr>
          <w:spacing w:val="-9"/>
          <w:sz w:val="21"/>
        </w:rPr>
        <w:t>施工过程中应定期进行总结、归纳，对好的方面要予以保持和发扬，对存在的问题和不足要及</w:t>
      </w:r>
      <w:r>
        <w:rPr>
          <w:spacing w:val="-5"/>
          <w:sz w:val="21"/>
        </w:rPr>
        <w:t>时分析原因，寻找解决问题的办法，并在下一步施工中予以落实解决。</w:t>
      </w:r>
    </w:p>
    <w:p>
      <w:pPr>
        <w:pStyle w:val="ListParagraph"/>
        <w:numPr>
          <w:ilvl w:val="4"/>
          <w:numId w:val="25"/>
        </w:numPr>
        <w:tabs>
          <w:tab w:val="left" w:pos="1357"/>
        </w:tabs>
        <w:spacing w:before="0" w:after="0" w:line="278" w:lineRule="auto"/>
        <w:ind w:left="1356" w:right="308" w:hanging="421"/>
        <w:jc w:val="both"/>
        <w:rPr>
          <w:sz w:val="21"/>
        </w:rPr>
      </w:pPr>
      <w:r>
        <w:rPr>
          <w:spacing w:val="-7"/>
          <w:sz w:val="21"/>
        </w:rPr>
        <w:t>加强参建人员的任职资格和业务培训管理，施工单位应定期组织培训，监理人员、施工单位技</w:t>
      </w:r>
      <w:r>
        <w:rPr>
          <w:spacing w:val="-13"/>
          <w:sz w:val="21"/>
        </w:rPr>
        <w:t>术人员、质检人员、试验检测人员、现场操作人员应满足相应工作岗位的资格要求。依托技术</w:t>
      </w:r>
      <w:r>
        <w:rPr>
          <w:spacing w:val="-12"/>
          <w:sz w:val="21"/>
        </w:rPr>
        <w:t>规范、行业规定、四新技术和典型案例，定期组织开展从业人员业务培训，提高从业人员的技</w:t>
      </w:r>
      <w:r>
        <w:rPr>
          <w:spacing w:val="-6"/>
          <w:sz w:val="21"/>
        </w:rPr>
        <w:t>术和管理水平。</w:t>
      </w:r>
    </w:p>
    <w:p>
      <w:pPr>
        <w:pStyle w:val="ListParagraph"/>
        <w:numPr>
          <w:ilvl w:val="4"/>
          <w:numId w:val="25"/>
        </w:numPr>
        <w:tabs>
          <w:tab w:val="left" w:pos="1357"/>
        </w:tabs>
        <w:spacing w:before="0" w:after="0" w:line="278" w:lineRule="auto"/>
        <w:ind w:left="1356" w:right="310" w:hanging="421"/>
        <w:jc w:val="both"/>
        <w:rPr>
          <w:sz w:val="21"/>
        </w:rPr>
      </w:pPr>
      <w:r>
        <w:rPr>
          <w:spacing w:val="-10"/>
          <w:sz w:val="21"/>
        </w:rPr>
        <w:t>路面分项工程应按《公路工程质量检验评定标准》</w:t>
      </w:r>
      <w:r>
        <w:rPr>
          <w:sz w:val="21"/>
        </w:rPr>
        <w:t>（JTG</w:t>
      </w:r>
      <w:r>
        <w:rPr>
          <w:spacing w:val="-22"/>
          <w:sz w:val="21"/>
        </w:rPr>
        <w:t xml:space="preserve"> </w:t>
      </w:r>
      <w:r>
        <w:rPr>
          <w:spacing w:val="-6"/>
          <w:sz w:val="21"/>
        </w:rPr>
        <w:t>F80/1）</w:t>
      </w:r>
      <w:r>
        <w:rPr>
          <w:spacing w:val="-7"/>
          <w:sz w:val="21"/>
        </w:rPr>
        <w:t>规定的基本要求、实测项目、</w:t>
      </w:r>
      <w:r>
        <w:rPr>
          <w:spacing w:val="-5"/>
          <w:sz w:val="21"/>
        </w:rPr>
        <w:t>外观质量和质量保证资料等检验项目分别检查。</w:t>
      </w:r>
    </w:p>
    <w:p>
      <w:pPr>
        <w:pStyle w:val="ListParagraph"/>
        <w:numPr>
          <w:ilvl w:val="4"/>
          <w:numId w:val="25"/>
        </w:numPr>
        <w:tabs>
          <w:tab w:val="left" w:pos="1357"/>
        </w:tabs>
        <w:spacing w:before="0" w:after="0" w:line="278" w:lineRule="auto"/>
        <w:ind w:left="1356" w:right="308" w:hanging="421"/>
        <w:jc w:val="both"/>
        <w:rPr>
          <w:sz w:val="21"/>
        </w:rPr>
      </w:pPr>
      <w:r>
        <w:rPr>
          <w:spacing w:val="-8"/>
          <w:sz w:val="21"/>
        </w:rPr>
        <w:t>路面分项工程质量应在所使用的原材料、半成品、成品及施工控制要点等应符合《公路工程质</w:t>
      </w:r>
      <w:r>
        <w:rPr>
          <w:spacing w:val="-5"/>
          <w:sz w:val="21"/>
        </w:rPr>
        <w:t>量检验评定标准》</w:t>
      </w:r>
      <w:r>
        <w:rPr>
          <w:sz w:val="21"/>
        </w:rPr>
        <w:t>（JTG</w:t>
      </w:r>
      <w:r>
        <w:rPr>
          <w:spacing w:val="31"/>
          <w:sz w:val="21"/>
        </w:rPr>
        <w:t xml:space="preserve"> </w:t>
      </w:r>
      <w:r>
        <w:rPr>
          <w:sz w:val="21"/>
        </w:rPr>
        <w:t>F80/1）</w:t>
      </w:r>
      <w:r>
        <w:rPr>
          <w:spacing w:val="-3"/>
          <w:sz w:val="21"/>
        </w:rPr>
        <w:t>规定的基本要求的规定，无外观质量限制缺陷且质量保证资料真实齐全时，方可进行检验评定。</w:t>
      </w:r>
    </w:p>
    <w:p>
      <w:pPr>
        <w:pStyle w:val="ListParagraph"/>
        <w:numPr>
          <w:ilvl w:val="3"/>
          <w:numId w:val="25"/>
        </w:numPr>
        <w:tabs>
          <w:tab w:val="left" w:pos="1462"/>
        </w:tabs>
        <w:spacing w:before="154" w:after="0" w:line="240" w:lineRule="auto"/>
        <w:ind w:left="1461" w:right="0" w:hanging="947"/>
        <w:jc w:val="both"/>
        <w:rPr>
          <w:sz w:val="21"/>
        </w:rPr>
      </w:pPr>
      <w:bookmarkStart w:id="31" w:name="4.2.2.2  安全施工管理应满足以下要求："/>
      <w:bookmarkEnd w:id="31"/>
      <w:r>
        <w:rPr>
          <w:spacing w:val="-3"/>
          <w:sz w:val="21"/>
        </w:rPr>
        <w:t>安全施工管理应满足以下要求：</w:t>
      </w:r>
    </w:p>
    <w:p>
      <w:pPr>
        <w:pStyle w:val="BodyText"/>
        <w:spacing w:before="7"/>
        <w:rPr>
          <w:sz w:val="15"/>
        </w:rPr>
      </w:pPr>
    </w:p>
    <w:p>
      <w:pPr>
        <w:pStyle w:val="ListParagraph"/>
        <w:numPr>
          <w:ilvl w:val="4"/>
          <w:numId w:val="25"/>
        </w:numPr>
        <w:tabs>
          <w:tab w:val="left" w:pos="1359"/>
        </w:tabs>
        <w:spacing w:before="0" w:after="0" w:line="278" w:lineRule="auto"/>
        <w:ind w:left="1355" w:right="309" w:hanging="421"/>
        <w:jc w:val="both"/>
        <w:rPr>
          <w:sz w:val="21"/>
        </w:rPr>
      </w:pPr>
      <w:r>
        <w:rPr>
          <w:spacing w:val="-8"/>
          <w:sz w:val="21"/>
        </w:rPr>
        <w:t>施工单位应建立健全安全生产组织机构，配备专职安全员，制订项目安全生产管理制度，落实</w:t>
      </w:r>
      <w:r>
        <w:rPr>
          <w:spacing w:val="-5"/>
          <w:sz w:val="21"/>
        </w:rPr>
        <w:t>安全生产责任。</w:t>
      </w:r>
    </w:p>
    <w:p>
      <w:pPr>
        <w:pStyle w:val="ListParagraph"/>
        <w:numPr>
          <w:ilvl w:val="4"/>
          <w:numId w:val="25"/>
        </w:numPr>
        <w:tabs>
          <w:tab w:val="left" w:pos="1359"/>
        </w:tabs>
        <w:spacing w:before="0" w:after="0" w:line="278" w:lineRule="auto"/>
        <w:ind w:left="1355" w:right="311" w:hanging="421"/>
        <w:jc w:val="both"/>
        <w:rPr>
          <w:sz w:val="21"/>
        </w:rPr>
      </w:pPr>
      <w:r>
        <w:rPr>
          <w:spacing w:val="-10"/>
          <w:sz w:val="21"/>
        </w:rPr>
        <w:t>对机械伤害、交通以及施工用电等易发生安全事故的重点部位和工序，应进行定期、不定期检</w:t>
      </w:r>
      <w:r>
        <w:rPr>
          <w:spacing w:val="-5"/>
          <w:sz w:val="21"/>
        </w:rPr>
        <w:t>查，并做好检查记录，确保施工安全。</w:t>
      </w:r>
    </w:p>
    <w:p>
      <w:pPr>
        <w:pStyle w:val="ListParagraph"/>
        <w:numPr>
          <w:ilvl w:val="4"/>
          <w:numId w:val="25"/>
        </w:numPr>
        <w:tabs>
          <w:tab w:val="left" w:pos="1359"/>
        </w:tabs>
        <w:spacing w:before="0" w:after="0" w:line="278" w:lineRule="auto"/>
        <w:ind w:left="1355" w:right="308" w:hanging="421"/>
        <w:jc w:val="both"/>
        <w:rPr>
          <w:sz w:val="21"/>
        </w:rPr>
      </w:pPr>
      <w:r>
        <w:rPr>
          <w:spacing w:val="-8"/>
          <w:sz w:val="21"/>
        </w:rPr>
        <w:t>施工用电应由有专业资格的从业人员操作和管理，供配电设备及线路应落实专门管理人员，严</w:t>
      </w:r>
      <w:r>
        <w:rPr>
          <w:spacing w:val="-5"/>
          <w:sz w:val="21"/>
        </w:rPr>
        <w:t>格按有关规定落实安全设施及措施，并设置用电安全告示牌。</w:t>
      </w:r>
    </w:p>
    <w:p>
      <w:pPr>
        <w:pStyle w:val="ListParagraph"/>
        <w:numPr>
          <w:ilvl w:val="4"/>
          <w:numId w:val="25"/>
        </w:numPr>
        <w:tabs>
          <w:tab w:val="left" w:pos="1359"/>
        </w:tabs>
        <w:spacing w:before="0" w:after="0" w:line="278" w:lineRule="auto"/>
        <w:ind w:left="1356" w:right="308" w:hanging="421"/>
        <w:jc w:val="both"/>
        <w:rPr>
          <w:sz w:val="21"/>
        </w:rPr>
      </w:pPr>
      <w:r>
        <w:rPr>
          <w:spacing w:val="-10"/>
          <w:sz w:val="21"/>
        </w:rPr>
        <w:t>施工安全重点路段和部位、油料、沥青仓库及存放地点的安全设施及管理措施应严格按有关规</w:t>
      </w:r>
      <w:r>
        <w:rPr>
          <w:spacing w:val="-5"/>
          <w:sz w:val="21"/>
        </w:rPr>
        <w:t>定落实到位，并设置危化品安全警告标志牌。</w:t>
      </w:r>
    </w:p>
    <w:p>
      <w:pPr>
        <w:pStyle w:val="ListParagraph"/>
        <w:numPr>
          <w:ilvl w:val="4"/>
          <w:numId w:val="25"/>
        </w:numPr>
        <w:tabs>
          <w:tab w:val="left" w:pos="1359"/>
        </w:tabs>
        <w:spacing w:before="0" w:after="0" w:line="278" w:lineRule="auto"/>
        <w:ind w:left="1356" w:right="308" w:hanging="421"/>
        <w:jc w:val="both"/>
        <w:rPr>
          <w:sz w:val="21"/>
        </w:rPr>
      </w:pPr>
      <w:r>
        <w:rPr>
          <w:spacing w:val="-8"/>
          <w:sz w:val="21"/>
        </w:rPr>
        <w:t>施工现场人员着装应规范。所有人员进入施工现场应配戴安全帽，管理人员、一般工人、特种</w:t>
      </w:r>
      <w:r>
        <w:rPr>
          <w:spacing w:val="-11"/>
          <w:sz w:val="21"/>
        </w:rPr>
        <w:t>工应配戴不同颜色安全帽；进入施工现场作业的电工、电焊工等特殊工种施工人员，都应持证</w:t>
      </w:r>
      <w:r>
        <w:rPr>
          <w:spacing w:val="-6"/>
          <w:sz w:val="21"/>
        </w:rPr>
        <w:t>上岗；施工人员不应赤膊、穿拖鞋进入施工现场。</w:t>
      </w:r>
    </w:p>
    <w:p>
      <w:pPr>
        <w:pStyle w:val="ListParagraph"/>
        <w:numPr>
          <w:ilvl w:val="3"/>
          <w:numId w:val="25"/>
        </w:numPr>
        <w:tabs>
          <w:tab w:val="left" w:pos="1462"/>
        </w:tabs>
        <w:spacing w:before="154" w:after="0" w:line="240" w:lineRule="auto"/>
        <w:ind w:left="1461" w:right="0" w:hanging="946"/>
        <w:jc w:val="both"/>
        <w:rPr>
          <w:sz w:val="21"/>
        </w:rPr>
      </w:pPr>
      <w:bookmarkStart w:id="32" w:name="4.2.2.3  环保管理应满足以下要求："/>
      <w:bookmarkEnd w:id="32"/>
      <w:r>
        <w:rPr>
          <w:spacing w:val="-3"/>
          <w:sz w:val="21"/>
        </w:rPr>
        <w:t>环保管理应满足以下要求：</w:t>
      </w:r>
    </w:p>
    <w:p>
      <w:pPr>
        <w:pStyle w:val="BodyText"/>
        <w:spacing w:before="7"/>
        <w:rPr>
          <w:sz w:val="15"/>
        </w:rPr>
      </w:pPr>
    </w:p>
    <w:p>
      <w:pPr>
        <w:pStyle w:val="ListParagraph"/>
        <w:numPr>
          <w:ilvl w:val="4"/>
          <w:numId w:val="25"/>
        </w:numPr>
        <w:tabs>
          <w:tab w:val="left" w:pos="1359"/>
        </w:tabs>
        <w:spacing w:before="0" w:after="0" w:line="278" w:lineRule="auto"/>
        <w:ind w:left="1356" w:right="202" w:hanging="421"/>
        <w:jc w:val="both"/>
        <w:rPr>
          <w:sz w:val="21"/>
        </w:rPr>
      </w:pPr>
      <w:r>
        <w:rPr>
          <w:spacing w:val="-3"/>
          <w:sz w:val="21"/>
        </w:rPr>
        <w:t>拌和站宜采用环保型拌和楼并满足环保验收要求。传送皮带及主机宜封闭包裹并设除尘装置， 应控制机械施工噪声污染。集料仓宜采用三面封闭钢结构料仓，并配置降尘设施。</w:t>
      </w:r>
    </w:p>
    <w:p>
      <w:pPr>
        <w:pStyle w:val="ListParagraph"/>
        <w:numPr>
          <w:ilvl w:val="4"/>
          <w:numId w:val="25"/>
        </w:numPr>
        <w:tabs>
          <w:tab w:val="left" w:pos="1358"/>
          <w:tab w:val="left" w:pos="1359"/>
        </w:tabs>
        <w:spacing w:before="0" w:after="0" w:line="269" w:lineRule="exact"/>
        <w:ind w:left="1358" w:right="0" w:hanging="423"/>
        <w:jc w:val="left"/>
        <w:rPr>
          <w:sz w:val="21"/>
        </w:rPr>
      </w:pPr>
      <w:r>
        <w:rPr>
          <w:spacing w:val="-3"/>
          <w:sz w:val="21"/>
        </w:rPr>
        <w:t>施工材料运输车辆应采取有效的封闭措施，防止材料沿途泄漏，造成环境污染。</w:t>
      </w:r>
    </w:p>
    <w:p>
      <w:pPr>
        <w:pStyle w:val="BodyText"/>
        <w:spacing w:before="7"/>
        <w:rPr>
          <w:sz w:val="15"/>
        </w:rPr>
      </w:pPr>
    </w:p>
    <w:p>
      <w:pPr>
        <w:pStyle w:val="ListParagraph"/>
        <w:numPr>
          <w:ilvl w:val="3"/>
          <w:numId w:val="25"/>
        </w:numPr>
        <w:tabs>
          <w:tab w:val="left" w:pos="1462"/>
        </w:tabs>
        <w:spacing w:before="0" w:after="0" w:line="240" w:lineRule="auto"/>
        <w:ind w:left="1461" w:right="0" w:hanging="946"/>
        <w:jc w:val="both"/>
        <w:rPr>
          <w:sz w:val="21"/>
        </w:rPr>
      </w:pPr>
      <w:bookmarkStart w:id="33" w:name="4.2.2.4  文明施工管理应满足以下要求："/>
      <w:bookmarkEnd w:id="33"/>
      <w:r>
        <w:rPr>
          <w:spacing w:val="-3"/>
          <w:sz w:val="21"/>
        </w:rPr>
        <w:t>文明施工管理应满足以下要求：</w:t>
      </w:r>
    </w:p>
    <w:p>
      <w:pPr>
        <w:pStyle w:val="BodyText"/>
        <w:spacing w:before="6"/>
        <w:rPr>
          <w:sz w:val="15"/>
        </w:rPr>
      </w:pPr>
    </w:p>
    <w:p>
      <w:pPr>
        <w:pStyle w:val="ListParagraph"/>
        <w:numPr>
          <w:ilvl w:val="4"/>
          <w:numId w:val="25"/>
        </w:numPr>
        <w:tabs>
          <w:tab w:val="left" w:pos="1359"/>
        </w:tabs>
        <w:spacing w:before="1" w:after="0" w:line="278" w:lineRule="auto"/>
        <w:ind w:left="1356" w:right="309" w:hanging="421"/>
        <w:jc w:val="both"/>
        <w:rPr>
          <w:sz w:val="21"/>
        </w:rPr>
      </w:pPr>
      <w:r>
        <w:rPr>
          <w:spacing w:val="-8"/>
          <w:sz w:val="21"/>
        </w:rPr>
        <w:t>施工单位应完善文明施工的各项管理、考核制度，明确主要责任人岗位工作职责。对文明施工</w:t>
      </w:r>
      <w:r>
        <w:rPr>
          <w:spacing w:val="-5"/>
          <w:sz w:val="21"/>
        </w:rPr>
        <w:t>实际效果进行总结评比，并根据实际情况进行补充、调整和完善。</w:t>
      </w:r>
    </w:p>
    <w:p>
      <w:pPr>
        <w:pStyle w:val="ListParagraph"/>
        <w:numPr>
          <w:ilvl w:val="4"/>
          <w:numId w:val="25"/>
        </w:numPr>
        <w:tabs>
          <w:tab w:val="left" w:pos="1359"/>
        </w:tabs>
        <w:spacing w:before="0" w:after="0" w:line="278" w:lineRule="auto"/>
        <w:ind w:left="1356" w:right="308" w:hanging="421"/>
        <w:jc w:val="both"/>
        <w:rPr>
          <w:sz w:val="21"/>
        </w:rPr>
      </w:pPr>
      <w:r>
        <w:rPr>
          <w:spacing w:val="-9"/>
          <w:sz w:val="21"/>
        </w:rPr>
        <w:t>施工单位应协调与地方的关系，加强与群众的沟通，相互理解，相互尊重，和睦相处。应处理</w:t>
      </w:r>
      <w:r>
        <w:rPr>
          <w:spacing w:val="-13"/>
          <w:sz w:val="21"/>
        </w:rPr>
        <w:t>好机电、房建、绿化、交通安全设施、防护工程等其他施工标段与路面工程的关系，协调施工</w:t>
      </w:r>
      <w:r>
        <w:rPr>
          <w:spacing w:val="-6"/>
          <w:sz w:val="21"/>
        </w:rPr>
        <w:t>作业方，清理工作界面，减少路面污染。</w:t>
      </w:r>
    </w:p>
    <w:p>
      <w:pPr>
        <w:pStyle w:val="ListParagraph"/>
        <w:numPr>
          <w:ilvl w:val="1"/>
          <w:numId w:val="25"/>
        </w:numPr>
        <w:tabs>
          <w:tab w:val="left" w:pos="1043"/>
        </w:tabs>
        <w:spacing w:before="155" w:after="0" w:line="240" w:lineRule="auto"/>
        <w:ind w:left="1042" w:right="0" w:hanging="527"/>
        <w:jc w:val="both"/>
        <w:rPr>
          <w:rFonts w:ascii="黑体" w:eastAsia="黑体" w:hint="eastAsia"/>
          <w:sz w:val="21"/>
        </w:rPr>
      </w:pPr>
      <w:bookmarkStart w:id="34" w:name="4.3  信息化管理"/>
      <w:bookmarkEnd w:id="34"/>
      <w:bookmarkStart w:id="35" w:name="_bookmark7"/>
      <w:bookmarkEnd w:id="35"/>
      <w:r>
        <w:rPr>
          <w:rFonts w:ascii="黑体" w:eastAsia="黑体" w:hint="eastAsia"/>
          <w:spacing w:val="-3"/>
          <w:sz w:val="21"/>
        </w:rPr>
        <w:t>信息化管理</w:t>
      </w:r>
    </w:p>
    <w:p>
      <w:pPr>
        <w:pStyle w:val="BodyText"/>
        <w:spacing w:before="6"/>
        <w:rPr>
          <w:rFonts w:ascii="黑体"/>
          <w:sz w:val="15"/>
        </w:rPr>
      </w:pPr>
    </w:p>
    <w:p>
      <w:pPr>
        <w:pStyle w:val="ListParagraph"/>
        <w:numPr>
          <w:ilvl w:val="2"/>
          <w:numId w:val="25"/>
        </w:numPr>
        <w:tabs>
          <w:tab w:val="left" w:pos="1253"/>
          <w:tab w:val="left" w:pos="1254"/>
        </w:tabs>
        <w:spacing w:before="1" w:after="0" w:line="240" w:lineRule="auto"/>
        <w:ind w:left="1253" w:right="0" w:hanging="738"/>
        <w:jc w:val="left"/>
        <w:rPr>
          <w:rFonts w:ascii="黑体" w:eastAsia="黑体" w:hint="eastAsia"/>
          <w:sz w:val="21"/>
        </w:rPr>
      </w:pPr>
      <w:bookmarkStart w:id="36" w:name="4.3.1  信息化建设与管理应符合下列要求："/>
      <w:bookmarkEnd w:id="36"/>
      <w:r>
        <w:rPr>
          <w:rFonts w:ascii="黑体" w:eastAsia="黑体" w:hint="eastAsia"/>
          <w:spacing w:val="-3"/>
          <w:sz w:val="21"/>
        </w:rPr>
        <w:t>信息化建设与管理应符合下列要求：</w:t>
      </w:r>
    </w:p>
    <w:p>
      <w:pPr>
        <w:pStyle w:val="BodyText"/>
        <w:spacing w:before="6"/>
        <w:rPr>
          <w:rFonts w:ascii="黑体"/>
          <w:sz w:val="15"/>
        </w:rPr>
      </w:pPr>
    </w:p>
    <w:p>
      <w:pPr>
        <w:pStyle w:val="ListParagraph"/>
        <w:numPr>
          <w:ilvl w:val="3"/>
          <w:numId w:val="25"/>
        </w:numPr>
        <w:tabs>
          <w:tab w:val="left" w:pos="1461"/>
          <w:tab w:val="left" w:pos="1462"/>
        </w:tabs>
        <w:spacing w:before="0" w:after="0" w:line="278" w:lineRule="auto"/>
        <w:ind w:left="516" w:right="317" w:firstLine="0"/>
        <w:jc w:val="left"/>
        <w:rPr>
          <w:sz w:val="21"/>
        </w:rPr>
      </w:pPr>
      <w:bookmarkStart w:id="37" w:name="4.3.1.1  高速公路路面施工应采用信息化管理，信息化系统应包括物联网施工质"/>
      <w:bookmarkEnd w:id="37"/>
      <w:r>
        <w:rPr>
          <w:spacing w:val="-3"/>
          <w:sz w:val="21"/>
        </w:rPr>
        <w:t>高速公路路面施工应采用信息化管理，信息化系统应包括物联网施工质量监控系统、视频监</w:t>
      </w:r>
      <w:r>
        <w:rPr>
          <w:spacing w:val="-3"/>
          <w:sz w:val="21"/>
        </w:rPr>
        <w:t>控系统等。</w:t>
      </w:r>
    </w:p>
    <w:p>
      <w:pPr>
        <w:spacing w:after="0" w:line="278" w:lineRule="auto"/>
        <w:jc w:val="left"/>
        <w:rPr>
          <w:sz w:val="21"/>
        </w:rPr>
        <w:sectPr>
          <w:footerReference w:type="even" r:id="rId14"/>
          <w:footerReference w:type="default" r:id="rId15"/>
          <w:pgSz w:w="11910" w:h="16840"/>
          <w:pgMar w:top="1400" w:right="820" w:bottom="1540" w:left="900" w:header="0" w:footer="1354"/>
          <w:pgNumType w:start="3"/>
          <w:cols w:space="708"/>
        </w:sectPr>
      </w:pPr>
    </w:p>
    <w:p>
      <w:pPr>
        <w:pStyle w:val="ListParagraph"/>
        <w:numPr>
          <w:ilvl w:val="3"/>
          <w:numId w:val="25"/>
        </w:numPr>
        <w:tabs>
          <w:tab w:val="left" w:pos="1179"/>
        </w:tabs>
        <w:spacing w:before="44" w:after="0" w:line="278" w:lineRule="auto"/>
        <w:ind w:left="232" w:right="601" w:firstLine="0"/>
        <w:jc w:val="both"/>
        <w:rPr>
          <w:sz w:val="21"/>
        </w:rPr>
      </w:pPr>
      <w:bookmarkStart w:id="38" w:name="4.3.1.2  各参建单位应安排专人负责各系统软、硬件设施的建设和运行维护，保"/>
      <w:bookmarkEnd w:id="38"/>
      <w:r>
        <w:rPr>
          <w:spacing w:val="-3"/>
          <w:sz w:val="21"/>
        </w:rPr>
        <w:t>各参建单位应安排专人负责各系统软、硬件设施的建设和运行维护，保持数据传输网络的稳</w:t>
      </w:r>
      <w:r>
        <w:rPr>
          <w:spacing w:val="-3"/>
          <w:sz w:val="21"/>
        </w:rPr>
        <w:t>定畅通及监控设备的正常工作，确保信息化系统的正常运行。</w:t>
      </w:r>
    </w:p>
    <w:p>
      <w:pPr>
        <w:pStyle w:val="ListParagraph"/>
        <w:numPr>
          <w:ilvl w:val="3"/>
          <w:numId w:val="25"/>
        </w:numPr>
        <w:tabs>
          <w:tab w:val="left" w:pos="1179"/>
        </w:tabs>
        <w:spacing w:before="156" w:after="0" w:line="278" w:lineRule="auto"/>
        <w:ind w:left="232" w:right="597" w:firstLine="0"/>
        <w:jc w:val="both"/>
        <w:rPr>
          <w:sz w:val="21"/>
        </w:rPr>
      </w:pPr>
      <w:bookmarkStart w:id="39" w:name="4.3.1.3  建设单位、施工单位、监理单位应安排专人落实信息化系统的日常应用"/>
      <w:bookmarkEnd w:id="39"/>
      <w:r>
        <w:rPr>
          <w:spacing w:val="-3"/>
          <w:sz w:val="21"/>
        </w:rPr>
        <w:t>建设单位、施工单位、监理单位应安排专人落实信息化系统的日常应用管理工作；施工单位</w:t>
      </w:r>
      <w:r>
        <w:rPr>
          <w:spacing w:val="-11"/>
          <w:sz w:val="21"/>
        </w:rPr>
        <w:t>应及时对质量、安全和环保问题和隐患进行处置；监理单位应核查施工单位质量、安全问题和隐患处理</w:t>
      </w:r>
      <w:r>
        <w:rPr>
          <w:spacing w:val="-3"/>
          <w:sz w:val="21"/>
        </w:rPr>
        <w:t>情况，并做好相关记录。</w:t>
      </w:r>
    </w:p>
    <w:p>
      <w:pPr>
        <w:pStyle w:val="ListParagraph"/>
        <w:numPr>
          <w:ilvl w:val="2"/>
          <w:numId w:val="25"/>
        </w:numPr>
        <w:tabs>
          <w:tab w:val="left" w:pos="969"/>
          <w:tab w:val="left" w:pos="970"/>
        </w:tabs>
        <w:spacing w:before="155" w:after="0" w:line="240" w:lineRule="auto"/>
        <w:ind w:left="969" w:right="0" w:hanging="738"/>
        <w:jc w:val="left"/>
        <w:rPr>
          <w:rFonts w:ascii="黑体" w:eastAsia="黑体" w:hint="eastAsia"/>
          <w:sz w:val="21"/>
        </w:rPr>
      </w:pPr>
      <w:bookmarkStart w:id="40" w:name="4.3.2  物联网施工质量监控系统应满足以下要求:"/>
      <w:bookmarkEnd w:id="40"/>
      <w:r>
        <w:rPr>
          <w:rFonts w:ascii="黑体" w:eastAsia="黑体" w:hint="eastAsia"/>
          <w:spacing w:val="-3"/>
          <w:sz w:val="21"/>
        </w:rPr>
        <w:t>物联网施工质量监控系统应满足以下要求:</w:t>
      </w:r>
    </w:p>
    <w:p>
      <w:pPr>
        <w:pStyle w:val="BodyText"/>
        <w:spacing w:before="7"/>
        <w:rPr>
          <w:rFonts w:ascii="黑体"/>
          <w:sz w:val="15"/>
        </w:rPr>
      </w:pPr>
    </w:p>
    <w:p>
      <w:pPr>
        <w:pStyle w:val="ListParagraph"/>
        <w:numPr>
          <w:ilvl w:val="3"/>
          <w:numId w:val="25"/>
        </w:numPr>
        <w:tabs>
          <w:tab w:val="left" w:pos="1178"/>
          <w:tab w:val="left" w:pos="1179"/>
        </w:tabs>
        <w:spacing w:before="0" w:after="0" w:line="240" w:lineRule="auto"/>
        <w:ind w:left="1178" w:right="0" w:hanging="946"/>
        <w:jc w:val="left"/>
        <w:rPr>
          <w:sz w:val="21"/>
        </w:rPr>
      </w:pPr>
      <w:bookmarkStart w:id="41" w:name="4.3.2.1  硬件应满足以下要求:"/>
      <w:bookmarkEnd w:id="41"/>
      <w:r>
        <w:rPr>
          <w:spacing w:val="-3"/>
          <w:sz w:val="21"/>
        </w:rPr>
        <w:t>硬件应满足以下要求:</w:t>
      </w:r>
    </w:p>
    <w:p>
      <w:pPr>
        <w:pStyle w:val="BodyText"/>
        <w:spacing w:before="7"/>
        <w:rPr>
          <w:sz w:val="15"/>
        </w:rPr>
      </w:pPr>
    </w:p>
    <w:p>
      <w:pPr>
        <w:pStyle w:val="ListParagraph"/>
        <w:numPr>
          <w:ilvl w:val="4"/>
          <w:numId w:val="25"/>
        </w:numPr>
        <w:tabs>
          <w:tab w:val="left" w:pos="1075"/>
          <w:tab w:val="left" w:pos="1076"/>
        </w:tabs>
        <w:spacing w:before="0" w:after="0" w:line="278" w:lineRule="auto"/>
        <w:ind w:left="1073" w:right="593" w:hanging="421"/>
        <w:jc w:val="left"/>
        <w:rPr>
          <w:sz w:val="21"/>
        </w:rPr>
      </w:pPr>
      <w:r>
        <w:rPr>
          <w:spacing w:val="-1"/>
          <w:sz w:val="21"/>
        </w:rPr>
        <w:t xml:space="preserve">拌和楼应具备数据采集所用的 </w:t>
      </w:r>
      <w:r>
        <w:rPr>
          <w:sz w:val="21"/>
        </w:rPr>
        <w:t>DTU(</w:t>
      </w:r>
      <w:r>
        <w:rPr>
          <w:spacing w:val="-3"/>
          <w:sz w:val="21"/>
        </w:rPr>
        <w:t>主要采集拌和楼的生产级配、各材料用量、拌和时间等关</w:t>
      </w:r>
      <w:r>
        <w:rPr>
          <w:spacing w:val="-2"/>
          <w:sz w:val="21"/>
        </w:rPr>
        <w:t>键数据)；</w:t>
      </w:r>
    </w:p>
    <w:p>
      <w:pPr>
        <w:pStyle w:val="ListParagraph"/>
        <w:numPr>
          <w:ilvl w:val="4"/>
          <w:numId w:val="25"/>
        </w:numPr>
        <w:tabs>
          <w:tab w:val="left" w:pos="1075"/>
          <w:tab w:val="left" w:pos="1076"/>
        </w:tabs>
        <w:spacing w:before="0" w:after="0" w:line="278" w:lineRule="auto"/>
        <w:ind w:left="1073" w:right="592" w:hanging="421"/>
        <w:jc w:val="left"/>
        <w:rPr>
          <w:sz w:val="21"/>
        </w:rPr>
      </w:pPr>
      <w:r>
        <w:rPr>
          <w:spacing w:val="-9"/>
          <w:sz w:val="21"/>
        </w:rPr>
        <w:t xml:space="preserve">摊铺机、压路机的红外测温及 </w:t>
      </w:r>
      <w:r>
        <w:rPr>
          <w:sz w:val="21"/>
        </w:rPr>
        <w:t>GPS</w:t>
      </w:r>
      <w:r>
        <w:rPr>
          <w:spacing w:val="-11"/>
          <w:sz w:val="21"/>
        </w:rPr>
        <w:t xml:space="preserve"> 定位测速装置</w:t>
      </w:r>
      <w:r>
        <w:rPr>
          <w:sz w:val="21"/>
        </w:rPr>
        <w:t>（</w:t>
      </w:r>
      <w:r>
        <w:rPr>
          <w:spacing w:val="-8"/>
          <w:sz w:val="21"/>
        </w:rPr>
        <w:t>主要监控摊铺机、压路机的作业温度、行驶</w:t>
      </w:r>
      <w:r>
        <w:rPr>
          <w:spacing w:val="-3"/>
          <w:sz w:val="21"/>
        </w:rPr>
        <w:t>速度以及压路机碾压遍数</w:t>
      </w:r>
      <w:r>
        <w:rPr>
          <w:sz w:val="21"/>
        </w:rPr>
        <w:t>）；</w:t>
      </w:r>
    </w:p>
    <w:p>
      <w:pPr>
        <w:pStyle w:val="ListParagraph"/>
        <w:numPr>
          <w:ilvl w:val="4"/>
          <w:numId w:val="25"/>
        </w:numPr>
        <w:tabs>
          <w:tab w:val="left" w:pos="1075"/>
          <w:tab w:val="left" w:pos="1076"/>
        </w:tabs>
        <w:spacing w:before="0" w:after="0" w:line="278" w:lineRule="auto"/>
        <w:ind w:left="1073" w:right="594" w:hanging="421"/>
        <w:jc w:val="left"/>
        <w:rPr>
          <w:sz w:val="21"/>
        </w:rPr>
      </w:pPr>
      <w:r>
        <w:rPr>
          <w:spacing w:val="-6"/>
          <w:sz w:val="21"/>
        </w:rPr>
        <w:t>数字显示器以及蜂鸣报警器</w:t>
      </w:r>
      <w:r>
        <w:rPr>
          <w:spacing w:val="-3"/>
          <w:sz w:val="21"/>
        </w:rPr>
        <w:t>（</w:t>
      </w:r>
      <w:r>
        <w:rPr>
          <w:spacing w:val="-8"/>
          <w:sz w:val="21"/>
        </w:rPr>
        <w:t>实时显示监测的数据，一旦超预警值，提醒作业人员及时进行纠</w:t>
      </w:r>
      <w:r>
        <w:rPr>
          <w:spacing w:val="-3"/>
          <w:sz w:val="21"/>
        </w:rPr>
        <w:t>正，让现场人员直观的了解施工情况</w:t>
      </w:r>
      <w:r>
        <w:rPr>
          <w:sz w:val="21"/>
        </w:rPr>
        <w:t>）。</w:t>
      </w:r>
    </w:p>
    <w:p>
      <w:pPr>
        <w:pStyle w:val="ListParagraph"/>
        <w:numPr>
          <w:ilvl w:val="3"/>
          <w:numId w:val="25"/>
        </w:numPr>
        <w:tabs>
          <w:tab w:val="left" w:pos="1179"/>
          <w:tab w:val="left" w:pos="1180"/>
        </w:tabs>
        <w:spacing w:before="155" w:after="0" w:line="240" w:lineRule="auto"/>
        <w:ind w:left="1179" w:right="0" w:hanging="947"/>
        <w:jc w:val="left"/>
        <w:rPr>
          <w:sz w:val="21"/>
        </w:rPr>
      </w:pPr>
      <w:bookmarkStart w:id="42" w:name="4.3.2.2  软件应满足以下要求："/>
      <w:bookmarkEnd w:id="42"/>
      <w:r>
        <w:rPr>
          <w:spacing w:val="-3"/>
          <w:sz w:val="21"/>
        </w:rPr>
        <w:t>软件应满足以下要求：</w:t>
      </w:r>
    </w:p>
    <w:p>
      <w:pPr>
        <w:pStyle w:val="BodyText"/>
        <w:spacing w:before="7"/>
        <w:rPr>
          <w:sz w:val="15"/>
        </w:rPr>
      </w:pPr>
    </w:p>
    <w:p>
      <w:pPr>
        <w:pStyle w:val="ListParagraph"/>
        <w:numPr>
          <w:ilvl w:val="4"/>
          <w:numId w:val="25"/>
        </w:numPr>
        <w:tabs>
          <w:tab w:val="left" w:pos="1075"/>
          <w:tab w:val="left" w:pos="1076"/>
        </w:tabs>
        <w:spacing w:before="0" w:after="0" w:line="278" w:lineRule="auto"/>
        <w:ind w:left="1073" w:right="589" w:hanging="421"/>
        <w:jc w:val="left"/>
        <w:rPr>
          <w:sz w:val="21"/>
        </w:rPr>
      </w:pPr>
      <w:r>
        <w:rPr>
          <w:spacing w:val="-9"/>
          <w:sz w:val="21"/>
        </w:rPr>
        <w:t>能够实时监控每盘混合料的重量、级配通过率、油石比、沥青温度、骨料温度、拌和时间、出</w:t>
      </w:r>
      <w:r>
        <w:rPr>
          <w:spacing w:val="-5"/>
          <w:sz w:val="21"/>
        </w:rPr>
        <w:t>厂温度、目标百分比、当前百分比、偏差百分比等是否符合规定的质量技术要求 ；</w:t>
      </w:r>
    </w:p>
    <w:p>
      <w:pPr>
        <w:pStyle w:val="ListParagraph"/>
        <w:numPr>
          <w:ilvl w:val="4"/>
          <w:numId w:val="25"/>
        </w:numPr>
        <w:tabs>
          <w:tab w:val="left" w:pos="1076"/>
          <w:tab w:val="left" w:pos="1077"/>
        </w:tabs>
        <w:spacing w:before="0" w:after="0" w:line="278" w:lineRule="auto"/>
        <w:ind w:left="1073" w:right="591" w:hanging="421"/>
        <w:jc w:val="left"/>
        <w:rPr>
          <w:sz w:val="21"/>
        </w:rPr>
      </w:pPr>
      <w:r>
        <w:rPr>
          <w:spacing w:val="-11"/>
          <w:sz w:val="21"/>
        </w:rPr>
        <w:t>施工过程中，对摊铺、碾压设备跟踪定位，对设备施工温度、速度、碾压遍数及作业里程等进</w:t>
      </w:r>
      <w:r>
        <w:rPr>
          <w:spacing w:val="-2"/>
          <w:sz w:val="21"/>
        </w:rPr>
        <w:t>行实时监控；</w:t>
      </w:r>
    </w:p>
    <w:p>
      <w:pPr>
        <w:pStyle w:val="ListParagraph"/>
        <w:numPr>
          <w:ilvl w:val="4"/>
          <w:numId w:val="25"/>
        </w:numPr>
        <w:tabs>
          <w:tab w:val="left" w:pos="1076"/>
          <w:tab w:val="left" w:pos="1077"/>
        </w:tabs>
        <w:spacing w:before="0" w:after="0" w:line="269" w:lineRule="exact"/>
        <w:ind w:left="1076" w:right="0" w:hanging="424"/>
        <w:jc w:val="left"/>
        <w:rPr>
          <w:sz w:val="21"/>
        </w:rPr>
      </w:pPr>
      <w:r>
        <w:rPr>
          <w:spacing w:val="-3"/>
          <w:sz w:val="21"/>
        </w:rPr>
        <w:t>对监控的数据进行系统分析管理</w:t>
      </w:r>
      <w:r>
        <w:rPr>
          <w:sz w:val="21"/>
        </w:rPr>
        <w:t>（</w:t>
      </w:r>
      <w:r>
        <w:rPr>
          <w:spacing w:val="-3"/>
          <w:sz w:val="21"/>
        </w:rPr>
        <w:t>如对产能的统计、误差的统计等</w:t>
      </w:r>
      <w:r>
        <w:rPr>
          <w:sz w:val="21"/>
        </w:rPr>
        <w:t>）；</w:t>
      </w:r>
    </w:p>
    <w:p>
      <w:pPr>
        <w:pStyle w:val="ListParagraph"/>
        <w:numPr>
          <w:ilvl w:val="4"/>
          <w:numId w:val="25"/>
        </w:numPr>
        <w:tabs>
          <w:tab w:val="left" w:pos="1076"/>
          <w:tab w:val="left" w:pos="1077"/>
        </w:tabs>
        <w:spacing w:before="42" w:after="0" w:line="278" w:lineRule="auto"/>
        <w:ind w:left="1073" w:right="590" w:hanging="421"/>
        <w:jc w:val="left"/>
        <w:rPr>
          <w:sz w:val="21"/>
        </w:rPr>
      </w:pPr>
      <w:r>
        <w:rPr>
          <w:spacing w:val="-9"/>
          <w:sz w:val="21"/>
        </w:rPr>
        <w:t>能够实时预警管理，将采集到的材料实际用量同理论用量进行对比分析，根据误差程度，将超</w:t>
      </w:r>
      <w:r>
        <w:rPr>
          <w:spacing w:val="-5"/>
          <w:sz w:val="21"/>
        </w:rPr>
        <w:t>出设定界限的数据通过短信预警等方式实时通知各级管理人员。</w:t>
      </w:r>
    </w:p>
    <w:p>
      <w:pPr>
        <w:pStyle w:val="ListParagraph"/>
        <w:numPr>
          <w:ilvl w:val="2"/>
          <w:numId w:val="25"/>
        </w:numPr>
        <w:tabs>
          <w:tab w:val="left" w:pos="970"/>
          <w:tab w:val="left" w:pos="971"/>
        </w:tabs>
        <w:spacing w:before="156" w:after="0" w:line="240" w:lineRule="auto"/>
        <w:ind w:left="970" w:right="0" w:hanging="738"/>
        <w:jc w:val="left"/>
        <w:rPr>
          <w:rFonts w:ascii="黑体" w:eastAsia="黑体" w:hint="eastAsia"/>
          <w:sz w:val="21"/>
        </w:rPr>
      </w:pPr>
      <w:bookmarkStart w:id="43" w:name="4.3.3  视频监控系统应满足以下要求"/>
      <w:bookmarkEnd w:id="43"/>
      <w:r>
        <w:rPr>
          <w:rFonts w:ascii="黑体" w:eastAsia="黑体" w:hint="eastAsia"/>
          <w:spacing w:val="-3"/>
          <w:sz w:val="21"/>
        </w:rPr>
        <w:t>视频监控系统应满足以下要求</w:t>
      </w:r>
    </w:p>
    <w:p>
      <w:pPr>
        <w:pStyle w:val="BodyText"/>
        <w:spacing w:before="7"/>
        <w:rPr>
          <w:rFonts w:ascii="黑体"/>
          <w:sz w:val="15"/>
        </w:rPr>
      </w:pPr>
    </w:p>
    <w:p>
      <w:pPr>
        <w:pStyle w:val="ListParagraph"/>
        <w:numPr>
          <w:ilvl w:val="3"/>
          <w:numId w:val="25"/>
        </w:numPr>
        <w:tabs>
          <w:tab w:val="left" w:pos="1179"/>
          <w:tab w:val="left" w:pos="1180"/>
        </w:tabs>
        <w:spacing w:before="0" w:after="0" w:line="240" w:lineRule="auto"/>
        <w:ind w:left="1179" w:right="0" w:hanging="947"/>
        <w:jc w:val="left"/>
        <w:rPr>
          <w:sz w:val="21"/>
        </w:rPr>
      </w:pPr>
      <w:bookmarkStart w:id="44" w:name="4.3.3.1  视频监控系统的建设管理应符合浙江省交通运输厅相关管理要求。"/>
      <w:bookmarkEnd w:id="44"/>
      <w:r>
        <w:rPr>
          <w:spacing w:val="-3"/>
          <w:sz w:val="21"/>
        </w:rPr>
        <w:t>视频监控系统的建设管理应符合浙江省交通运输厅相关管理要求。</w:t>
      </w:r>
    </w:p>
    <w:p>
      <w:pPr>
        <w:pStyle w:val="BodyText"/>
        <w:spacing w:before="6"/>
        <w:rPr>
          <w:sz w:val="15"/>
        </w:rPr>
      </w:pPr>
    </w:p>
    <w:p>
      <w:pPr>
        <w:pStyle w:val="ListParagraph"/>
        <w:numPr>
          <w:ilvl w:val="3"/>
          <w:numId w:val="25"/>
        </w:numPr>
        <w:tabs>
          <w:tab w:val="left" w:pos="1180"/>
        </w:tabs>
        <w:spacing w:before="1" w:after="0" w:line="278" w:lineRule="auto"/>
        <w:ind w:left="234" w:right="592" w:hanging="1"/>
        <w:jc w:val="both"/>
        <w:rPr>
          <w:sz w:val="21"/>
        </w:rPr>
      </w:pPr>
      <w:bookmarkStart w:id="45" w:name="4.3.3.2  施工单位应建立视频监控室，对混合料拌和站 、储料场、施工现场及"/>
      <w:bookmarkEnd w:id="45"/>
      <w:r>
        <w:rPr>
          <w:spacing w:val="-8"/>
          <w:sz w:val="21"/>
        </w:rPr>
        <w:t>施工单位应建立视频监控室，对混合料拌和站 、储料场、施工现场及工地试验室等生产重要</w:t>
      </w:r>
      <w:r>
        <w:rPr>
          <w:spacing w:val="-5"/>
          <w:sz w:val="21"/>
        </w:rPr>
        <w:t>场所布设监控点位。</w:t>
      </w:r>
    </w:p>
    <w:p>
      <w:pPr>
        <w:pStyle w:val="ListParagraph"/>
        <w:numPr>
          <w:ilvl w:val="3"/>
          <w:numId w:val="25"/>
        </w:numPr>
        <w:tabs>
          <w:tab w:val="left" w:pos="1179"/>
          <w:tab w:val="left" w:pos="1180"/>
        </w:tabs>
        <w:spacing w:before="155" w:after="0" w:line="240" w:lineRule="auto"/>
        <w:ind w:left="1179" w:right="0" w:hanging="946"/>
        <w:jc w:val="left"/>
        <w:rPr>
          <w:sz w:val="21"/>
        </w:rPr>
      </w:pPr>
      <w:bookmarkStart w:id="46" w:name="4.3.3.3  监控软件应具备实时视频播放、录像播放、远程遥控等基本监控功能。"/>
      <w:bookmarkEnd w:id="46"/>
      <w:r>
        <w:rPr>
          <w:spacing w:val="-3"/>
          <w:sz w:val="21"/>
        </w:rPr>
        <w:t>监控软件应具备实时视频播放、录像播放、远程遥控等基本监控功能。</w:t>
      </w:r>
    </w:p>
    <w:p>
      <w:pPr>
        <w:pStyle w:val="BodyText"/>
        <w:spacing w:before="7"/>
        <w:rPr>
          <w:sz w:val="15"/>
        </w:rPr>
      </w:pPr>
    </w:p>
    <w:p>
      <w:pPr>
        <w:pStyle w:val="ListParagraph"/>
        <w:numPr>
          <w:ilvl w:val="1"/>
          <w:numId w:val="25"/>
        </w:numPr>
        <w:tabs>
          <w:tab w:val="left" w:pos="759"/>
          <w:tab w:val="left" w:pos="760"/>
        </w:tabs>
        <w:spacing w:before="0" w:after="0" w:line="240" w:lineRule="auto"/>
        <w:ind w:left="759" w:right="0" w:hanging="526"/>
        <w:jc w:val="left"/>
        <w:rPr>
          <w:rFonts w:ascii="黑体" w:eastAsia="黑体" w:hint="eastAsia"/>
          <w:sz w:val="21"/>
        </w:rPr>
      </w:pPr>
      <w:bookmarkStart w:id="47" w:name="工作面交验"/>
      <w:bookmarkEnd w:id="47"/>
      <w:bookmarkStart w:id="48" w:name="_bookmark8"/>
      <w:bookmarkEnd w:id="48"/>
      <w:r>
        <w:rPr>
          <w:rFonts w:ascii="黑体" w:eastAsia="黑体" w:hint="eastAsia"/>
          <w:spacing w:val="-1"/>
          <w:sz w:val="21"/>
        </w:rPr>
        <w:t>工作面交验</w:t>
      </w:r>
    </w:p>
    <w:p>
      <w:pPr>
        <w:pStyle w:val="BodyText"/>
        <w:spacing w:before="7"/>
        <w:rPr>
          <w:rFonts w:ascii="黑体"/>
          <w:sz w:val="15"/>
        </w:rPr>
      </w:pPr>
    </w:p>
    <w:p>
      <w:pPr>
        <w:pStyle w:val="ListParagraph"/>
        <w:numPr>
          <w:ilvl w:val="2"/>
          <w:numId w:val="25"/>
        </w:numPr>
        <w:tabs>
          <w:tab w:val="left" w:pos="972"/>
        </w:tabs>
        <w:spacing w:before="0" w:after="0" w:line="278" w:lineRule="auto"/>
        <w:ind w:left="234" w:right="599" w:hanging="1"/>
        <w:jc w:val="both"/>
        <w:rPr>
          <w:sz w:val="21"/>
        </w:rPr>
      </w:pPr>
      <w:bookmarkStart w:id="49" w:name="4.4.1  建设单位、监理单位应组织路基（桥涵、隧道）施工单位与路面施工按本指"/>
      <w:bookmarkEnd w:id="49"/>
      <w:r>
        <w:rPr>
          <w:spacing w:val="-3"/>
          <w:sz w:val="21"/>
        </w:rPr>
        <w:t>建设单位、监理单位应组织路基</w:t>
      </w:r>
      <w:r>
        <w:rPr>
          <w:spacing w:val="-3"/>
          <w:sz w:val="21"/>
        </w:rPr>
        <w:t>（桥涵、隧道</w:t>
      </w:r>
      <w:r>
        <w:rPr>
          <w:sz w:val="21"/>
        </w:rPr>
        <w:t>）</w:t>
      </w:r>
      <w:r>
        <w:rPr>
          <w:spacing w:val="-3"/>
          <w:sz w:val="21"/>
        </w:rPr>
        <w:t>施工单位与路面施工按本指南规定开展路基、桥涵、隧道交验工作。</w:t>
      </w:r>
    </w:p>
    <w:p>
      <w:pPr>
        <w:pStyle w:val="ListParagraph"/>
        <w:numPr>
          <w:ilvl w:val="3"/>
          <w:numId w:val="25"/>
        </w:numPr>
        <w:tabs>
          <w:tab w:val="left" w:pos="1181"/>
        </w:tabs>
        <w:spacing w:before="156" w:after="0" w:line="278" w:lineRule="auto"/>
        <w:ind w:left="234" w:right="590" w:firstLine="0"/>
        <w:jc w:val="both"/>
        <w:rPr>
          <w:sz w:val="21"/>
        </w:rPr>
      </w:pPr>
      <w:bookmarkStart w:id="50" w:name="4.4.1.1  原路基施工单位在自检合格的基础上，将复测结果上报监理单位，监理"/>
      <w:bookmarkEnd w:id="50"/>
      <w:r>
        <w:rPr>
          <w:spacing w:val="-3"/>
          <w:sz w:val="21"/>
        </w:rPr>
        <w:t>原路基施工单位在自检合格的基础上，将复测结果上报监理单位，监理单位应对检测结果进</w:t>
      </w:r>
      <w:r>
        <w:rPr>
          <w:spacing w:val="-11"/>
          <w:sz w:val="21"/>
        </w:rPr>
        <w:t>行复核，并组织路基、路面施工单位会同设计代表进行工作面交验；工作面交验主要包括路基交验、桥</w:t>
      </w:r>
      <w:r>
        <w:rPr>
          <w:spacing w:val="-20"/>
          <w:sz w:val="21"/>
        </w:rPr>
        <w:t>梁</w:t>
      </w:r>
      <w:r>
        <w:rPr>
          <w:sz w:val="21"/>
        </w:rPr>
        <w:t>（</w:t>
      </w:r>
      <w:r>
        <w:rPr>
          <w:spacing w:val="-3"/>
          <w:sz w:val="21"/>
        </w:rPr>
        <w:t>含通道等</w:t>
      </w:r>
      <w:r>
        <w:rPr>
          <w:spacing w:val="-22"/>
          <w:sz w:val="21"/>
        </w:rPr>
        <w:t>）</w:t>
      </w:r>
      <w:r>
        <w:rPr>
          <w:spacing w:val="-8"/>
          <w:sz w:val="21"/>
        </w:rPr>
        <w:t>交验以及隧道交验。路基交验完成后，应由交工质量检测单位进行抽检，抽检合格方可</w:t>
      </w:r>
      <w:r>
        <w:rPr>
          <w:spacing w:val="-5"/>
          <w:sz w:val="21"/>
        </w:rPr>
        <w:t>进行路面施工。</w:t>
      </w:r>
    </w:p>
    <w:p>
      <w:pPr>
        <w:pStyle w:val="ListParagraph"/>
        <w:numPr>
          <w:ilvl w:val="3"/>
          <w:numId w:val="25"/>
        </w:numPr>
        <w:tabs>
          <w:tab w:val="left" w:pos="1181"/>
        </w:tabs>
        <w:spacing w:before="155" w:after="0" w:line="278" w:lineRule="auto"/>
        <w:ind w:left="234" w:right="599" w:firstLine="0"/>
        <w:jc w:val="both"/>
        <w:rPr>
          <w:sz w:val="21"/>
        </w:rPr>
      </w:pPr>
      <w:bookmarkStart w:id="51" w:name="4.4.1.2  加强工作面交验管理，应确保软基沉降及路基顶面、桥面、隧道路面的"/>
      <w:bookmarkEnd w:id="51"/>
      <w:r>
        <w:rPr>
          <w:spacing w:val="-3"/>
          <w:sz w:val="21"/>
        </w:rPr>
        <w:t>加强工作面交验管理，应确保软基沉降及路基顶面、桥面、隧道路面的平整度、标高、中线</w:t>
      </w:r>
      <w:r>
        <w:rPr>
          <w:spacing w:val="-3"/>
          <w:sz w:val="21"/>
        </w:rPr>
        <w:t>偏位、路基弯沉值等指标满足交验要求。</w:t>
      </w:r>
    </w:p>
    <w:p>
      <w:pPr>
        <w:pStyle w:val="ListParagraph"/>
        <w:numPr>
          <w:ilvl w:val="3"/>
          <w:numId w:val="25"/>
        </w:numPr>
        <w:tabs>
          <w:tab w:val="left" w:pos="1181"/>
        </w:tabs>
        <w:spacing w:before="156" w:after="0" w:line="278" w:lineRule="auto"/>
        <w:ind w:left="234" w:right="599" w:firstLine="0"/>
        <w:jc w:val="both"/>
        <w:rPr>
          <w:sz w:val="21"/>
        </w:rPr>
      </w:pPr>
      <w:bookmarkStart w:id="52" w:name="4.4.1.3  对工作面交验检测过程中发现的问题，应按相关要求处理并检测合格。"/>
      <w:bookmarkEnd w:id="52"/>
      <w:r>
        <w:rPr>
          <w:spacing w:val="-3"/>
          <w:sz w:val="21"/>
        </w:rPr>
        <w:t>对工作面交验检测过程中发现的问题，应按相关要求处理并检测合格。工作面交验合格资料</w:t>
      </w:r>
      <w:r>
        <w:rPr>
          <w:spacing w:val="-3"/>
          <w:sz w:val="21"/>
        </w:rPr>
        <w:t>应经原路基施工单位、路面施工单位、监理单位三方书面签字确认，并及时归档。</w:t>
      </w:r>
    </w:p>
    <w:p>
      <w:pPr>
        <w:spacing w:after="0" w:line="278" w:lineRule="auto"/>
        <w:jc w:val="both"/>
        <w:rPr>
          <w:sz w:val="21"/>
        </w:rPr>
        <w:sectPr>
          <w:footerReference w:type="even" r:id="rId16"/>
          <w:footerReference w:type="default" r:id="rId17"/>
          <w:pgSz w:w="11910" w:h="16840"/>
          <w:pgMar w:top="1400" w:right="820" w:bottom="1200" w:left="900" w:header="0" w:footer="1001"/>
          <w:pgNumType w:start="4"/>
          <w:cols w:space="708"/>
        </w:sectPr>
      </w:pPr>
    </w:p>
    <w:p>
      <w:pPr>
        <w:pStyle w:val="ListParagraph"/>
        <w:numPr>
          <w:ilvl w:val="3"/>
          <w:numId w:val="25"/>
        </w:numPr>
        <w:tabs>
          <w:tab w:val="left" w:pos="1461"/>
          <w:tab w:val="left" w:pos="1462"/>
        </w:tabs>
        <w:spacing w:before="44" w:after="0" w:line="240" w:lineRule="auto"/>
        <w:ind w:left="1461" w:right="0" w:hanging="947"/>
        <w:jc w:val="left"/>
        <w:rPr>
          <w:sz w:val="21"/>
        </w:rPr>
      </w:pPr>
      <w:bookmarkStart w:id="53" w:name="4.4.1.4  当路基、路面施工为同一家施工单位，工作面交验仍应按照本指南4."/>
      <w:bookmarkEnd w:id="53"/>
      <w:r>
        <w:rPr>
          <w:spacing w:val="-5"/>
          <w:sz w:val="21"/>
        </w:rPr>
        <w:t xml:space="preserve">当路基、路面施工为同一家施工单位，工作面交验仍应按照本指南 </w:t>
      </w:r>
      <w:r>
        <w:rPr>
          <w:sz w:val="21"/>
        </w:rPr>
        <w:t>4.4.2</w:t>
      </w:r>
      <w:r>
        <w:rPr>
          <w:spacing w:val="-10"/>
          <w:sz w:val="21"/>
        </w:rPr>
        <w:t xml:space="preserve"> 规定程序进行。</w:t>
      </w:r>
    </w:p>
    <w:p>
      <w:pPr>
        <w:pStyle w:val="BodyText"/>
        <w:spacing w:before="7"/>
        <w:rPr>
          <w:sz w:val="15"/>
        </w:rPr>
      </w:pPr>
    </w:p>
    <w:p>
      <w:pPr>
        <w:pStyle w:val="ListParagraph"/>
        <w:numPr>
          <w:ilvl w:val="3"/>
          <w:numId w:val="25"/>
        </w:numPr>
        <w:tabs>
          <w:tab w:val="left" w:pos="1461"/>
          <w:tab w:val="left" w:pos="1462"/>
        </w:tabs>
        <w:spacing w:before="0" w:after="0" w:line="240" w:lineRule="auto"/>
        <w:ind w:left="1461" w:right="0" w:hanging="947"/>
        <w:jc w:val="left"/>
        <w:rPr>
          <w:sz w:val="21"/>
        </w:rPr>
      </w:pPr>
      <w:bookmarkStart w:id="54" w:name="4.4.1.5  工作面缺陷处理及防治方法见附录A。"/>
      <w:bookmarkEnd w:id="54"/>
      <w:r>
        <w:rPr>
          <w:spacing w:val="-7"/>
          <w:sz w:val="21"/>
        </w:rPr>
        <w:t xml:space="preserve">工作面缺陷处理及防治方法见附录 </w:t>
      </w:r>
      <w:r>
        <w:rPr>
          <w:spacing w:val="-3"/>
          <w:sz w:val="21"/>
        </w:rPr>
        <w:t>A</w:t>
      </w:r>
      <w:r>
        <w:rPr>
          <w:sz w:val="21"/>
        </w:rPr>
        <w:t>。</w:t>
      </w:r>
    </w:p>
    <w:p>
      <w:pPr>
        <w:pStyle w:val="BodyText"/>
        <w:spacing w:before="6"/>
        <w:rPr>
          <w:sz w:val="15"/>
        </w:rPr>
      </w:pPr>
    </w:p>
    <w:p>
      <w:pPr>
        <w:pStyle w:val="ListParagraph"/>
        <w:numPr>
          <w:ilvl w:val="2"/>
          <w:numId w:val="25"/>
        </w:numPr>
        <w:tabs>
          <w:tab w:val="left" w:pos="1252"/>
          <w:tab w:val="left" w:pos="1253"/>
        </w:tabs>
        <w:spacing w:before="1" w:after="0" w:line="240" w:lineRule="auto"/>
        <w:ind w:left="1252" w:right="0" w:hanging="738"/>
        <w:jc w:val="left"/>
        <w:rPr>
          <w:rFonts w:ascii="黑体" w:eastAsia="黑体" w:hint="eastAsia"/>
          <w:sz w:val="21"/>
        </w:rPr>
      </w:pPr>
      <w:bookmarkStart w:id="55" w:name="4.4.2  路基交验"/>
      <w:bookmarkEnd w:id="55"/>
      <w:r>
        <w:rPr>
          <w:rFonts w:ascii="黑体" w:eastAsia="黑体" w:hint="eastAsia"/>
          <w:spacing w:val="-3"/>
          <w:sz w:val="21"/>
        </w:rPr>
        <w:t>路基交验</w:t>
      </w:r>
    </w:p>
    <w:p>
      <w:pPr>
        <w:pStyle w:val="BodyText"/>
        <w:spacing w:before="6"/>
        <w:rPr>
          <w:rFonts w:ascii="黑体"/>
          <w:sz w:val="15"/>
        </w:rPr>
      </w:pPr>
    </w:p>
    <w:p>
      <w:pPr>
        <w:pStyle w:val="ListParagraph"/>
        <w:numPr>
          <w:ilvl w:val="3"/>
          <w:numId w:val="25"/>
        </w:numPr>
        <w:tabs>
          <w:tab w:val="left" w:pos="1462"/>
        </w:tabs>
        <w:spacing w:before="0" w:after="0" w:line="278" w:lineRule="auto"/>
        <w:ind w:left="515" w:right="310" w:firstLine="0"/>
        <w:jc w:val="both"/>
        <w:rPr>
          <w:sz w:val="21"/>
        </w:rPr>
      </w:pPr>
      <w:bookmarkStart w:id="56" w:name="4.4.2.1  原路基施工单位首先应对填方路基的上路床、挖方路基换填部分的填筑"/>
      <w:bookmarkEnd w:id="56"/>
      <w:r>
        <w:rPr>
          <w:spacing w:val="-3"/>
          <w:sz w:val="21"/>
        </w:rPr>
        <w:t>原路基施工单位首先应对填方路基的上路床、挖方路基换填部分的填筑质量、软土地基路段</w:t>
      </w:r>
      <w:r>
        <w:rPr>
          <w:spacing w:val="-8"/>
          <w:sz w:val="21"/>
        </w:rPr>
        <w:t>及桥头路段的月沉降量进行检查。软土地基路段</w:t>
      </w:r>
      <w:r>
        <w:rPr>
          <w:spacing w:val="-3"/>
          <w:sz w:val="21"/>
        </w:rPr>
        <w:t>（包括桥头路段</w:t>
      </w:r>
      <w:r>
        <w:rPr>
          <w:spacing w:val="-32"/>
          <w:sz w:val="21"/>
        </w:rPr>
        <w:t>）</w:t>
      </w:r>
      <w:r>
        <w:rPr>
          <w:spacing w:val="-3"/>
          <w:sz w:val="21"/>
        </w:rPr>
        <w:t>路基顶面的月沉降量应符合设计和规范要求</w:t>
      </w:r>
      <w:r>
        <w:rPr>
          <w:sz w:val="21"/>
        </w:rPr>
        <w:t>（</w:t>
      </w:r>
      <w:r>
        <w:rPr>
          <w:spacing w:val="-19"/>
          <w:sz w:val="21"/>
        </w:rPr>
        <w:t xml:space="preserve">连续 </w:t>
      </w:r>
      <w:r>
        <w:rPr>
          <w:sz w:val="21"/>
        </w:rPr>
        <w:t>2</w:t>
      </w:r>
      <w:r>
        <w:rPr>
          <w:spacing w:val="-13"/>
          <w:sz w:val="21"/>
        </w:rPr>
        <w:t xml:space="preserve"> 个月的月沉降量小于 </w:t>
      </w:r>
      <w:r>
        <w:rPr>
          <w:sz w:val="21"/>
        </w:rPr>
        <w:t>5mm）。</w:t>
      </w:r>
    </w:p>
    <w:p>
      <w:pPr>
        <w:pStyle w:val="ListParagraph"/>
        <w:numPr>
          <w:ilvl w:val="3"/>
          <w:numId w:val="25"/>
        </w:numPr>
        <w:tabs>
          <w:tab w:val="left" w:pos="1462"/>
        </w:tabs>
        <w:spacing w:before="156" w:after="0" w:line="278" w:lineRule="auto"/>
        <w:ind w:left="516" w:right="317" w:firstLine="0"/>
        <w:jc w:val="both"/>
        <w:rPr>
          <w:sz w:val="21"/>
        </w:rPr>
      </w:pPr>
      <w:bookmarkStart w:id="57" w:name="4.4.2.2  路基压实度、弯沉、纵断高程、中线偏位、宽度、平整度、横坡、边坡"/>
      <w:bookmarkEnd w:id="57"/>
      <w:r>
        <w:rPr>
          <w:spacing w:val="-3"/>
          <w:sz w:val="21"/>
        </w:rPr>
        <w:t>路基压实度、弯沉、纵断高程、中线偏位、宽度、平整度、横坡、边坡等技术指标以及外观</w:t>
      </w:r>
      <w:r>
        <w:rPr>
          <w:spacing w:val="-3"/>
          <w:sz w:val="21"/>
        </w:rPr>
        <w:t>质量应符合设计及《公路工程质量检验评定标准》</w:t>
      </w:r>
      <w:r>
        <w:rPr>
          <w:sz w:val="21"/>
        </w:rPr>
        <w:t>（JTG</w:t>
      </w:r>
      <w:r>
        <w:rPr>
          <w:spacing w:val="2"/>
          <w:sz w:val="21"/>
        </w:rPr>
        <w:t xml:space="preserve"> </w:t>
      </w:r>
      <w:r>
        <w:rPr>
          <w:sz w:val="21"/>
        </w:rPr>
        <w:t>F80/1）</w:t>
      </w:r>
      <w:r>
        <w:rPr>
          <w:spacing w:val="-3"/>
          <w:sz w:val="21"/>
        </w:rPr>
        <w:t>规定，尚应符合下列要求：</w:t>
      </w:r>
    </w:p>
    <w:p>
      <w:pPr>
        <w:pStyle w:val="ListParagraph"/>
        <w:numPr>
          <w:ilvl w:val="4"/>
          <w:numId w:val="25"/>
        </w:numPr>
        <w:tabs>
          <w:tab w:val="left" w:pos="1359"/>
        </w:tabs>
        <w:spacing w:before="156" w:after="0" w:line="278" w:lineRule="auto"/>
        <w:ind w:left="1356" w:right="308" w:hanging="421"/>
        <w:jc w:val="both"/>
        <w:rPr>
          <w:sz w:val="21"/>
        </w:rPr>
      </w:pPr>
      <w:r>
        <w:rPr>
          <w:spacing w:val="-11"/>
          <w:sz w:val="21"/>
        </w:rPr>
        <w:t>线形和外形尺寸：线形控制应根据设计提供的导线点，在加密后用全站仪检测路基中线是否偏</w:t>
      </w:r>
      <w:r>
        <w:rPr>
          <w:spacing w:val="-6"/>
          <w:sz w:val="21"/>
        </w:rPr>
        <w:t xml:space="preserve">位；对主线及主线渐变段、互通区匝道按每 </w:t>
      </w:r>
      <w:r>
        <w:rPr>
          <w:sz w:val="21"/>
        </w:rPr>
        <w:t>10m</w:t>
      </w:r>
      <w:r>
        <w:rPr>
          <w:spacing w:val="-9"/>
          <w:sz w:val="21"/>
        </w:rPr>
        <w:t xml:space="preserve"> 一处检测几何尺寸是否合格。</w:t>
      </w:r>
    </w:p>
    <w:p>
      <w:pPr>
        <w:pStyle w:val="ListParagraph"/>
        <w:numPr>
          <w:ilvl w:val="4"/>
          <w:numId w:val="25"/>
        </w:numPr>
        <w:tabs>
          <w:tab w:val="left" w:pos="1364"/>
        </w:tabs>
        <w:spacing w:before="0" w:after="0" w:line="269" w:lineRule="exact"/>
        <w:ind w:left="1363" w:right="0" w:hanging="428"/>
        <w:jc w:val="both"/>
        <w:rPr>
          <w:sz w:val="21"/>
        </w:rPr>
      </w:pPr>
      <w:r>
        <w:rPr>
          <w:sz w:val="21"/>
        </w:rPr>
        <w:t>纵面高程：严格控制路基顶面高程，水准点高程应闭合，精度应满足规范要求。单幅路基每</w:t>
      </w:r>
    </w:p>
    <w:p>
      <w:pPr>
        <w:pStyle w:val="BodyText"/>
        <w:spacing w:before="43"/>
        <w:ind w:left="1356"/>
        <w:jc w:val="both"/>
      </w:pPr>
      <w:r>
        <w:t>20m 检测一个断面，每个断面每 5m 检测一处，主线渐变段、互通区匝道高程检测频率应加密。</w:t>
      </w:r>
    </w:p>
    <w:p>
      <w:pPr>
        <w:pStyle w:val="ListParagraph"/>
        <w:numPr>
          <w:ilvl w:val="4"/>
          <w:numId w:val="25"/>
        </w:numPr>
        <w:tabs>
          <w:tab w:val="left" w:pos="1360"/>
        </w:tabs>
        <w:spacing w:before="42" w:after="0" w:line="278" w:lineRule="auto"/>
        <w:ind w:left="1356" w:right="307" w:hanging="421"/>
        <w:jc w:val="both"/>
        <w:rPr>
          <w:sz w:val="21"/>
        </w:rPr>
      </w:pPr>
      <w:r>
        <w:rPr>
          <w:spacing w:val="-11"/>
          <w:sz w:val="21"/>
        </w:rPr>
        <w:t>平整度、横坡：平整度用三米直尺按规范要求逐段检测；对填方路基、主线弯道路段、互通区</w:t>
      </w:r>
      <w:r>
        <w:rPr>
          <w:spacing w:val="-6"/>
          <w:sz w:val="21"/>
        </w:rPr>
        <w:t>匝道的横坡应重点检测。</w:t>
      </w:r>
    </w:p>
    <w:p>
      <w:pPr>
        <w:pStyle w:val="ListParagraph"/>
        <w:numPr>
          <w:ilvl w:val="4"/>
          <w:numId w:val="25"/>
        </w:numPr>
        <w:tabs>
          <w:tab w:val="left" w:pos="1360"/>
        </w:tabs>
        <w:spacing w:before="0" w:after="0" w:line="278" w:lineRule="auto"/>
        <w:ind w:left="1356" w:right="309" w:hanging="421"/>
        <w:jc w:val="both"/>
        <w:rPr>
          <w:sz w:val="21"/>
        </w:rPr>
      </w:pPr>
      <w:r>
        <w:rPr>
          <w:spacing w:val="-11"/>
          <w:sz w:val="21"/>
        </w:rPr>
        <w:t>弯沉值：弯沉检测前，应对路基进行全面检查。不符合要求的路段，应由原路基施工单位进行</w:t>
      </w:r>
      <w:r>
        <w:rPr>
          <w:spacing w:val="-3"/>
          <w:sz w:val="21"/>
        </w:rPr>
        <w:t>处理，经检测合格后可进行工作面交验。</w:t>
      </w:r>
    </w:p>
    <w:p>
      <w:pPr>
        <w:pStyle w:val="ListParagraph"/>
        <w:numPr>
          <w:ilvl w:val="4"/>
          <w:numId w:val="25"/>
        </w:numPr>
        <w:tabs>
          <w:tab w:val="left" w:pos="1360"/>
        </w:tabs>
        <w:spacing w:before="0" w:after="0" w:line="278" w:lineRule="auto"/>
        <w:ind w:left="1356" w:right="308" w:hanging="421"/>
        <w:jc w:val="both"/>
        <w:rPr>
          <w:sz w:val="21"/>
        </w:rPr>
      </w:pPr>
      <w:r>
        <w:rPr>
          <w:spacing w:val="-11"/>
          <w:sz w:val="21"/>
        </w:rPr>
        <w:t>压实度：路面施工单位宜对标准密度试验进行鉴证和抽检，并按规范及设计要求进行压实度检</w:t>
      </w:r>
      <w:r>
        <w:rPr>
          <w:spacing w:val="-10"/>
          <w:sz w:val="21"/>
        </w:rPr>
        <w:t>测。对压实度达不到要求的路段，应由原路基施工单位进行处理，经检测合格后方可进行工作</w:t>
      </w:r>
      <w:r>
        <w:rPr>
          <w:spacing w:val="-1"/>
          <w:sz w:val="21"/>
        </w:rPr>
        <w:t>面交验。</w:t>
      </w:r>
    </w:p>
    <w:p>
      <w:pPr>
        <w:pStyle w:val="ListParagraph"/>
        <w:numPr>
          <w:ilvl w:val="4"/>
          <w:numId w:val="25"/>
        </w:numPr>
        <w:tabs>
          <w:tab w:val="left" w:pos="1360"/>
        </w:tabs>
        <w:spacing w:before="0" w:after="0" w:line="278" w:lineRule="auto"/>
        <w:ind w:left="1356" w:right="307" w:hanging="421"/>
        <w:jc w:val="both"/>
        <w:rPr>
          <w:sz w:val="21"/>
        </w:rPr>
      </w:pPr>
      <w:r>
        <w:rPr>
          <w:spacing w:val="-10"/>
          <w:sz w:val="21"/>
        </w:rPr>
        <w:t>路基排水：应对路基排水系统设置情况进行全面检查，对挖方路段换填材料与范围、隧道进出</w:t>
      </w:r>
      <w:r>
        <w:rPr>
          <w:spacing w:val="-12"/>
          <w:sz w:val="21"/>
        </w:rPr>
        <w:t>口边沟沟底及顶面标高、超高路段的横向排水及中央分隔带排水情况进行重点检查，保证路面</w:t>
      </w:r>
      <w:r>
        <w:rPr>
          <w:spacing w:val="-6"/>
          <w:sz w:val="21"/>
        </w:rPr>
        <w:t>排水通畅，无积水隐患。</w:t>
      </w:r>
    </w:p>
    <w:p>
      <w:pPr>
        <w:pStyle w:val="ListParagraph"/>
        <w:numPr>
          <w:ilvl w:val="4"/>
          <w:numId w:val="25"/>
        </w:numPr>
        <w:tabs>
          <w:tab w:val="left" w:pos="1360"/>
        </w:tabs>
        <w:spacing w:before="0" w:after="0" w:line="278" w:lineRule="auto"/>
        <w:ind w:left="1356" w:right="312" w:hanging="421"/>
        <w:jc w:val="both"/>
        <w:rPr>
          <w:sz w:val="21"/>
        </w:rPr>
      </w:pPr>
      <w:r>
        <w:rPr>
          <w:spacing w:val="-18"/>
          <w:sz w:val="21"/>
        </w:rPr>
        <w:t>台背填筑：应检查填筑材料是否符合设计要求，并按设计或《公路工程质量检验评定标准</w:t>
      </w:r>
      <w:r>
        <w:rPr>
          <w:spacing w:val="-166"/>
          <w:sz w:val="21"/>
        </w:rPr>
        <w:t>》</w:t>
      </w:r>
      <w:r>
        <w:rPr>
          <w:sz w:val="21"/>
        </w:rPr>
        <w:t>（JTG F80/1）</w:t>
      </w:r>
      <w:r>
        <w:rPr>
          <w:spacing w:val="-3"/>
          <w:sz w:val="21"/>
        </w:rPr>
        <w:t>规定检查台背填筑压实度、填筑长度等指标。</w:t>
      </w:r>
    </w:p>
    <w:p>
      <w:pPr>
        <w:pStyle w:val="ListParagraph"/>
        <w:numPr>
          <w:ilvl w:val="4"/>
          <w:numId w:val="25"/>
        </w:numPr>
        <w:tabs>
          <w:tab w:val="left" w:pos="1360"/>
        </w:tabs>
        <w:spacing w:before="0" w:after="0" w:line="269" w:lineRule="exact"/>
        <w:ind w:left="1359" w:right="0" w:hanging="424"/>
        <w:jc w:val="both"/>
        <w:rPr>
          <w:sz w:val="21"/>
        </w:rPr>
      </w:pPr>
      <w:r>
        <w:rPr>
          <w:spacing w:val="-3"/>
          <w:sz w:val="21"/>
        </w:rPr>
        <w:t>软基处理：软土地基路段路堤应在沉降稳定且小于设计允许值后进行工作面交验。</w:t>
      </w:r>
    </w:p>
    <w:p>
      <w:pPr>
        <w:pStyle w:val="BodyText"/>
        <w:spacing w:before="5"/>
        <w:rPr>
          <w:sz w:val="15"/>
        </w:rPr>
      </w:pPr>
    </w:p>
    <w:p>
      <w:pPr>
        <w:pStyle w:val="ListParagraph"/>
        <w:numPr>
          <w:ilvl w:val="3"/>
          <w:numId w:val="25"/>
        </w:numPr>
        <w:tabs>
          <w:tab w:val="left" w:pos="1462"/>
          <w:tab w:val="left" w:pos="1463"/>
        </w:tabs>
        <w:spacing w:before="1" w:after="0" w:line="240" w:lineRule="auto"/>
        <w:ind w:left="1462" w:right="0" w:hanging="947"/>
        <w:jc w:val="left"/>
        <w:rPr>
          <w:sz w:val="21"/>
        </w:rPr>
      </w:pPr>
      <w:bookmarkStart w:id="58" w:name="4.4.2.3  对路基交验中存在的缺陷，应由原路基施工单位按附录A进行处理。"/>
      <w:bookmarkEnd w:id="58"/>
      <w:r>
        <w:rPr>
          <w:spacing w:val="-5"/>
          <w:sz w:val="21"/>
        </w:rPr>
        <w:t xml:space="preserve">对路基交验中存在的缺陷，应由原路基施工单位按附录 </w:t>
      </w:r>
      <w:r>
        <w:rPr>
          <w:sz w:val="21"/>
        </w:rPr>
        <w:t>A</w:t>
      </w:r>
      <w:r>
        <w:rPr>
          <w:spacing w:val="-12"/>
          <w:sz w:val="21"/>
        </w:rPr>
        <w:t xml:space="preserve"> 进行处理。</w:t>
      </w:r>
    </w:p>
    <w:p>
      <w:pPr>
        <w:pStyle w:val="BodyText"/>
        <w:spacing w:before="6"/>
        <w:rPr>
          <w:sz w:val="15"/>
        </w:rPr>
      </w:pPr>
    </w:p>
    <w:p>
      <w:pPr>
        <w:pStyle w:val="ListParagraph"/>
        <w:numPr>
          <w:ilvl w:val="2"/>
          <w:numId w:val="25"/>
        </w:numPr>
        <w:tabs>
          <w:tab w:val="left" w:pos="1254"/>
        </w:tabs>
        <w:spacing w:before="0" w:after="0" w:line="240" w:lineRule="auto"/>
        <w:ind w:left="1253" w:right="0" w:hanging="738"/>
        <w:jc w:val="both"/>
        <w:rPr>
          <w:rFonts w:ascii="黑体" w:eastAsia="黑体" w:hint="eastAsia"/>
          <w:sz w:val="21"/>
        </w:rPr>
      </w:pPr>
      <w:bookmarkStart w:id="59" w:name="4.4.3  桥梁（含通道）交验"/>
      <w:bookmarkEnd w:id="59"/>
      <w:r>
        <w:rPr>
          <w:rFonts w:ascii="黑体" w:eastAsia="黑体" w:hint="eastAsia"/>
          <w:spacing w:val="-2"/>
          <w:sz w:val="21"/>
        </w:rPr>
        <w:t>桥梁</w:t>
      </w:r>
      <w:r>
        <w:rPr>
          <w:rFonts w:ascii="黑体" w:eastAsia="黑体" w:hint="eastAsia"/>
          <w:spacing w:val="-3"/>
          <w:sz w:val="21"/>
        </w:rPr>
        <w:t>（</w:t>
      </w:r>
      <w:r>
        <w:rPr>
          <w:rFonts w:ascii="黑体" w:eastAsia="黑体" w:hint="eastAsia"/>
          <w:spacing w:val="-2"/>
          <w:sz w:val="21"/>
        </w:rPr>
        <w:t>含通道</w:t>
      </w:r>
      <w:r>
        <w:rPr>
          <w:rFonts w:ascii="黑体" w:eastAsia="黑体" w:hint="eastAsia"/>
          <w:spacing w:val="-3"/>
          <w:sz w:val="21"/>
        </w:rPr>
        <w:t>）交验</w:t>
      </w:r>
    </w:p>
    <w:p>
      <w:pPr>
        <w:pStyle w:val="BodyText"/>
        <w:spacing w:before="7"/>
        <w:rPr>
          <w:rFonts w:ascii="黑体"/>
          <w:sz w:val="15"/>
        </w:rPr>
      </w:pPr>
    </w:p>
    <w:p>
      <w:pPr>
        <w:pStyle w:val="ListParagraph"/>
        <w:numPr>
          <w:ilvl w:val="3"/>
          <w:numId w:val="25"/>
        </w:numPr>
        <w:tabs>
          <w:tab w:val="left" w:pos="1462"/>
          <w:tab w:val="left" w:pos="1463"/>
        </w:tabs>
        <w:spacing w:before="0" w:after="0" w:line="278" w:lineRule="auto"/>
        <w:ind w:left="517" w:right="318" w:firstLine="0"/>
        <w:jc w:val="left"/>
        <w:rPr>
          <w:sz w:val="21"/>
        </w:rPr>
      </w:pPr>
      <w:bookmarkStart w:id="60" w:name="4.4.3.1  桥面铺装层强度、厚度、平整度、横坡等技术指标以及外观质量应符合"/>
      <w:bookmarkEnd w:id="60"/>
      <w:r>
        <w:rPr>
          <w:spacing w:val="-3"/>
          <w:sz w:val="21"/>
        </w:rPr>
        <w:t>桥面铺装层强度、厚度、平整度、横坡等技术指标以及外观质量应符合设计及《公路工程质</w:t>
      </w:r>
      <w:r>
        <w:rPr>
          <w:spacing w:val="-3"/>
          <w:sz w:val="21"/>
        </w:rPr>
        <w:t>量检验评定标准》</w:t>
      </w:r>
      <w:r>
        <w:rPr>
          <w:sz w:val="21"/>
        </w:rPr>
        <w:t>（JTG</w:t>
      </w:r>
      <w:r>
        <w:rPr>
          <w:spacing w:val="-2"/>
          <w:sz w:val="21"/>
        </w:rPr>
        <w:t xml:space="preserve"> </w:t>
      </w:r>
      <w:r>
        <w:rPr>
          <w:sz w:val="21"/>
        </w:rPr>
        <w:t>F80/1）</w:t>
      </w:r>
      <w:r>
        <w:rPr>
          <w:spacing w:val="-3"/>
          <w:sz w:val="21"/>
        </w:rPr>
        <w:t>规定，并应符合下列要求：</w:t>
      </w:r>
    </w:p>
    <w:p>
      <w:pPr>
        <w:pStyle w:val="ListParagraph"/>
        <w:numPr>
          <w:ilvl w:val="4"/>
          <w:numId w:val="25"/>
        </w:numPr>
        <w:tabs>
          <w:tab w:val="left" w:pos="1359"/>
          <w:tab w:val="left" w:pos="1360"/>
        </w:tabs>
        <w:spacing w:before="156" w:after="0" w:line="240" w:lineRule="auto"/>
        <w:ind w:left="1359" w:right="0" w:hanging="423"/>
        <w:jc w:val="left"/>
        <w:rPr>
          <w:sz w:val="21"/>
        </w:rPr>
      </w:pPr>
      <w:r>
        <w:rPr>
          <w:spacing w:val="-3"/>
          <w:sz w:val="21"/>
        </w:rPr>
        <w:t>清理：桥面验收前应清除外露的钢筋头、砼结块、浮浆等杂物。</w:t>
      </w:r>
    </w:p>
    <w:p>
      <w:pPr>
        <w:pStyle w:val="ListParagraph"/>
        <w:numPr>
          <w:ilvl w:val="4"/>
          <w:numId w:val="25"/>
        </w:numPr>
        <w:tabs>
          <w:tab w:val="left" w:pos="1359"/>
          <w:tab w:val="left" w:pos="1360"/>
        </w:tabs>
        <w:spacing w:before="43" w:after="0" w:line="240" w:lineRule="auto"/>
        <w:ind w:left="1359" w:right="0" w:hanging="423"/>
        <w:jc w:val="left"/>
        <w:rPr>
          <w:sz w:val="21"/>
        </w:rPr>
      </w:pPr>
      <w:r>
        <w:rPr>
          <w:spacing w:val="-3"/>
          <w:sz w:val="21"/>
        </w:rPr>
        <w:t>纵断高程：应检测搭板及桥面的纵断高程。</w:t>
      </w:r>
    </w:p>
    <w:p>
      <w:pPr>
        <w:pStyle w:val="ListParagraph"/>
        <w:numPr>
          <w:ilvl w:val="4"/>
          <w:numId w:val="25"/>
        </w:numPr>
        <w:tabs>
          <w:tab w:val="left" w:pos="1359"/>
          <w:tab w:val="left" w:pos="1360"/>
        </w:tabs>
        <w:spacing w:before="43" w:after="0" w:line="240" w:lineRule="auto"/>
        <w:ind w:left="1359" w:right="0" w:hanging="423"/>
        <w:jc w:val="left"/>
        <w:rPr>
          <w:sz w:val="21"/>
        </w:rPr>
      </w:pPr>
      <w:r>
        <w:rPr>
          <w:spacing w:val="-3"/>
          <w:sz w:val="21"/>
        </w:rPr>
        <w:t>横坡：应对水泥混凝土桥面的横坡，弯道桥、互通区匝道桥进行重点检测。</w:t>
      </w:r>
    </w:p>
    <w:p>
      <w:pPr>
        <w:pStyle w:val="ListParagraph"/>
        <w:numPr>
          <w:ilvl w:val="4"/>
          <w:numId w:val="25"/>
        </w:numPr>
        <w:tabs>
          <w:tab w:val="left" w:pos="1359"/>
          <w:tab w:val="left" w:pos="1360"/>
        </w:tabs>
        <w:spacing w:before="42" w:after="0" w:line="278" w:lineRule="auto"/>
        <w:ind w:left="1357" w:right="308" w:hanging="421"/>
        <w:jc w:val="left"/>
        <w:rPr>
          <w:sz w:val="21"/>
        </w:rPr>
      </w:pPr>
      <w:r>
        <w:rPr>
          <w:spacing w:val="-11"/>
          <w:sz w:val="21"/>
        </w:rPr>
        <w:t>粗糙度：检查混凝土铺装层表面是否进行抛丸或精铣刨处理，并应采用粗糙度对照卡对粗糙度</w:t>
      </w:r>
      <w:r>
        <w:rPr>
          <w:spacing w:val="-1"/>
          <w:sz w:val="21"/>
        </w:rPr>
        <w:t>进行检验。</w:t>
      </w:r>
    </w:p>
    <w:p>
      <w:pPr>
        <w:pStyle w:val="ListParagraph"/>
        <w:numPr>
          <w:ilvl w:val="4"/>
          <w:numId w:val="25"/>
        </w:numPr>
        <w:tabs>
          <w:tab w:val="left" w:pos="1359"/>
          <w:tab w:val="left" w:pos="1360"/>
        </w:tabs>
        <w:spacing w:before="0" w:after="0" w:line="278" w:lineRule="auto"/>
        <w:ind w:left="1357" w:right="309" w:hanging="420"/>
        <w:jc w:val="left"/>
        <w:rPr>
          <w:sz w:val="21"/>
        </w:rPr>
      </w:pPr>
      <w:r>
        <w:rPr>
          <w:spacing w:val="-10"/>
          <w:sz w:val="21"/>
        </w:rPr>
        <w:t>桥面排水：检查桥面排水系统变坡点、伸缩缝位置是否符合专项设计要求，竖向排水孔顶标高</w:t>
      </w:r>
      <w:r>
        <w:rPr>
          <w:spacing w:val="-5"/>
          <w:sz w:val="21"/>
        </w:rPr>
        <w:t>是否略低于水泥混凝土铺装层，横向排水孔底标高是否低于水泥混凝土铺装层。</w:t>
      </w:r>
    </w:p>
    <w:p>
      <w:pPr>
        <w:pStyle w:val="ListParagraph"/>
        <w:numPr>
          <w:ilvl w:val="4"/>
          <w:numId w:val="25"/>
        </w:numPr>
        <w:tabs>
          <w:tab w:val="left" w:pos="1359"/>
          <w:tab w:val="left" w:pos="1360"/>
        </w:tabs>
        <w:spacing w:before="0" w:after="0" w:line="278" w:lineRule="auto"/>
        <w:ind w:left="1357" w:right="310" w:hanging="421"/>
        <w:jc w:val="left"/>
        <w:rPr>
          <w:sz w:val="21"/>
        </w:rPr>
      </w:pPr>
      <w:r>
        <w:rPr>
          <w:spacing w:val="-11"/>
          <w:sz w:val="21"/>
        </w:rPr>
        <w:t>伸缩缝预留槽：应对伸缩缝预埋钢筋位置、间距、高度、数量、规格进行全面检查，伸缩缝槽</w:t>
      </w:r>
      <w:r>
        <w:rPr>
          <w:spacing w:val="-3"/>
          <w:sz w:val="21"/>
        </w:rPr>
        <w:t>区部位及板缝内的杂物应清理干净，可由伸缩缝施工单位进行专项验收。</w:t>
      </w:r>
    </w:p>
    <w:p>
      <w:pPr>
        <w:spacing w:after="0" w:line="278" w:lineRule="auto"/>
        <w:jc w:val="left"/>
        <w:rPr>
          <w:sz w:val="21"/>
        </w:rPr>
        <w:sectPr>
          <w:footerReference w:type="even" r:id="rId18"/>
          <w:footerReference w:type="default" r:id="rId19"/>
          <w:pgSz w:w="11910" w:h="16840"/>
          <w:pgMar w:top="1400" w:right="820" w:bottom="1540" w:left="900" w:header="0" w:footer="1354"/>
          <w:pgNumType w:start="5"/>
          <w:cols w:space="708"/>
        </w:sectPr>
      </w:pPr>
    </w:p>
    <w:p>
      <w:pPr>
        <w:pStyle w:val="ListParagraph"/>
        <w:numPr>
          <w:ilvl w:val="3"/>
          <w:numId w:val="25"/>
        </w:numPr>
        <w:tabs>
          <w:tab w:val="left" w:pos="1178"/>
          <w:tab w:val="left" w:pos="1179"/>
        </w:tabs>
        <w:spacing w:before="44" w:after="0" w:line="240" w:lineRule="auto"/>
        <w:ind w:left="1178" w:right="0" w:hanging="947"/>
        <w:jc w:val="left"/>
        <w:rPr>
          <w:sz w:val="21"/>
        </w:rPr>
      </w:pPr>
      <w:bookmarkStart w:id="61" w:name="4.4.3.2  对桥梁交验中存在的平整度、裂缝等缺陷，应由原桥梁施工单位按附录"/>
      <w:bookmarkEnd w:id="61"/>
      <w:r>
        <w:rPr>
          <w:spacing w:val="-5"/>
          <w:sz w:val="21"/>
        </w:rPr>
        <w:t xml:space="preserve">对桥梁交验中存在的平整度、裂缝等缺陷，应由原桥梁施工单位按附录 </w:t>
      </w:r>
      <w:r>
        <w:rPr>
          <w:sz w:val="21"/>
        </w:rPr>
        <w:t>A</w:t>
      </w:r>
      <w:r>
        <w:rPr>
          <w:spacing w:val="-12"/>
          <w:sz w:val="21"/>
        </w:rPr>
        <w:t xml:space="preserve"> 进行处理。</w:t>
      </w:r>
    </w:p>
    <w:p>
      <w:pPr>
        <w:pStyle w:val="BodyText"/>
        <w:spacing w:before="7"/>
        <w:rPr>
          <w:sz w:val="15"/>
        </w:rPr>
      </w:pPr>
    </w:p>
    <w:p>
      <w:pPr>
        <w:pStyle w:val="ListParagraph"/>
        <w:numPr>
          <w:ilvl w:val="2"/>
          <w:numId w:val="25"/>
        </w:numPr>
        <w:tabs>
          <w:tab w:val="left" w:pos="969"/>
          <w:tab w:val="left" w:pos="970"/>
        </w:tabs>
        <w:spacing w:before="0" w:after="0" w:line="240" w:lineRule="auto"/>
        <w:ind w:left="969" w:right="0" w:hanging="737"/>
        <w:jc w:val="left"/>
        <w:rPr>
          <w:rFonts w:ascii="黑体" w:eastAsia="黑体" w:hint="eastAsia"/>
          <w:sz w:val="21"/>
        </w:rPr>
      </w:pPr>
      <w:bookmarkStart w:id="62" w:name="4.4.4  隧道交验"/>
      <w:bookmarkEnd w:id="62"/>
      <w:r>
        <w:rPr>
          <w:rFonts w:ascii="黑体" w:eastAsia="黑体" w:hint="eastAsia"/>
          <w:spacing w:val="-3"/>
          <w:sz w:val="21"/>
        </w:rPr>
        <w:t>隧道交验</w:t>
      </w:r>
    </w:p>
    <w:p>
      <w:pPr>
        <w:pStyle w:val="BodyText"/>
        <w:spacing w:before="6"/>
        <w:rPr>
          <w:rFonts w:ascii="黑体"/>
          <w:sz w:val="15"/>
        </w:rPr>
      </w:pPr>
    </w:p>
    <w:p>
      <w:pPr>
        <w:pStyle w:val="ListParagraph"/>
        <w:numPr>
          <w:ilvl w:val="3"/>
          <w:numId w:val="25"/>
        </w:numPr>
        <w:tabs>
          <w:tab w:val="left" w:pos="1178"/>
          <w:tab w:val="left" w:pos="1179"/>
        </w:tabs>
        <w:spacing w:before="1" w:after="0" w:line="278" w:lineRule="auto"/>
        <w:ind w:left="233" w:right="600" w:firstLine="0"/>
        <w:jc w:val="left"/>
        <w:rPr>
          <w:sz w:val="21"/>
        </w:rPr>
      </w:pPr>
      <w:bookmarkStart w:id="63" w:name="4.4.4.1  水泥混凝土铺装层强度、厚度、平整度、横坡等技术指标以及外观质量"/>
      <w:bookmarkEnd w:id="63"/>
      <w:r>
        <w:rPr>
          <w:spacing w:val="-3"/>
          <w:sz w:val="21"/>
        </w:rPr>
        <w:t>水泥混凝土铺装层强度、厚度、平整度、横坡等技术指标以及外观质量应符合设计及《公路</w:t>
      </w:r>
      <w:r>
        <w:rPr>
          <w:spacing w:val="-3"/>
          <w:sz w:val="21"/>
        </w:rPr>
        <w:t>工程质量检验评定标准》</w:t>
      </w:r>
      <w:r>
        <w:rPr>
          <w:sz w:val="21"/>
        </w:rPr>
        <w:t>（JTG</w:t>
      </w:r>
      <w:r>
        <w:rPr>
          <w:spacing w:val="-2"/>
          <w:sz w:val="21"/>
        </w:rPr>
        <w:t xml:space="preserve"> </w:t>
      </w:r>
      <w:r>
        <w:rPr>
          <w:sz w:val="21"/>
        </w:rPr>
        <w:t>F80/1）</w:t>
      </w:r>
      <w:r>
        <w:rPr>
          <w:spacing w:val="-3"/>
          <w:sz w:val="21"/>
        </w:rPr>
        <w:t>规定，并应符合下列要求：</w:t>
      </w:r>
    </w:p>
    <w:p>
      <w:pPr>
        <w:pStyle w:val="ListParagraph"/>
        <w:numPr>
          <w:ilvl w:val="4"/>
          <w:numId w:val="25"/>
        </w:numPr>
        <w:tabs>
          <w:tab w:val="left" w:pos="1075"/>
          <w:tab w:val="left" w:pos="1076"/>
        </w:tabs>
        <w:spacing w:before="155" w:after="0" w:line="278" w:lineRule="auto"/>
        <w:ind w:left="1073" w:right="593" w:hanging="421"/>
        <w:jc w:val="left"/>
        <w:rPr>
          <w:sz w:val="21"/>
        </w:rPr>
      </w:pPr>
      <w:r>
        <w:rPr>
          <w:spacing w:val="-9"/>
          <w:sz w:val="21"/>
        </w:rPr>
        <w:t>水泥混凝土路面宽度：宽度不满足设计要求的，应由原隧道施工单位进行处理，经检测合格后</w:t>
      </w:r>
      <w:r>
        <w:rPr>
          <w:spacing w:val="-5"/>
          <w:sz w:val="21"/>
        </w:rPr>
        <w:t>方可交验。</w:t>
      </w:r>
    </w:p>
    <w:p>
      <w:pPr>
        <w:pStyle w:val="ListParagraph"/>
        <w:numPr>
          <w:ilvl w:val="4"/>
          <w:numId w:val="25"/>
        </w:numPr>
        <w:tabs>
          <w:tab w:val="left" w:pos="1075"/>
          <w:tab w:val="left" w:pos="1076"/>
        </w:tabs>
        <w:spacing w:before="0" w:after="0" w:line="278" w:lineRule="auto"/>
        <w:ind w:left="1073" w:right="593" w:hanging="421"/>
        <w:jc w:val="left"/>
        <w:rPr>
          <w:sz w:val="21"/>
        </w:rPr>
      </w:pPr>
      <w:r>
        <w:rPr>
          <w:spacing w:val="-10"/>
          <w:sz w:val="21"/>
        </w:rPr>
        <w:t>平整度：平整度达不到要求的部位，原隧道施工单位应进行抛丸或精铣刨处理，经检测合格后</w:t>
      </w:r>
      <w:r>
        <w:rPr>
          <w:spacing w:val="-5"/>
          <w:sz w:val="21"/>
        </w:rPr>
        <w:t>方可交验。</w:t>
      </w:r>
    </w:p>
    <w:p>
      <w:pPr>
        <w:pStyle w:val="ListParagraph"/>
        <w:numPr>
          <w:ilvl w:val="4"/>
          <w:numId w:val="25"/>
        </w:numPr>
        <w:tabs>
          <w:tab w:val="left" w:pos="1075"/>
          <w:tab w:val="left" w:pos="1076"/>
        </w:tabs>
        <w:spacing w:before="0" w:after="0" w:line="269" w:lineRule="exact"/>
        <w:ind w:left="1075" w:right="0" w:hanging="423"/>
        <w:jc w:val="left"/>
        <w:rPr>
          <w:sz w:val="21"/>
        </w:rPr>
      </w:pPr>
      <w:r>
        <w:rPr>
          <w:spacing w:val="-11"/>
          <w:sz w:val="21"/>
        </w:rPr>
        <w:t xml:space="preserve">横坡：横坡每 </w:t>
      </w:r>
      <w:r>
        <w:rPr>
          <w:sz w:val="21"/>
        </w:rPr>
        <w:t>200m</w:t>
      </w:r>
      <w:r>
        <w:rPr>
          <w:spacing w:val="-37"/>
          <w:sz w:val="21"/>
        </w:rPr>
        <w:t xml:space="preserve"> 测 </w:t>
      </w:r>
      <w:r>
        <w:rPr>
          <w:sz w:val="21"/>
        </w:rPr>
        <w:t>2</w:t>
      </w:r>
      <w:r>
        <w:rPr>
          <w:spacing w:val="-9"/>
          <w:sz w:val="21"/>
        </w:rPr>
        <w:t xml:space="preserve"> 个断面，曲线段应重点检测。</w:t>
      </w:r>
    </w:p>
    <w:p>
      <w:pPr>
        <w:pStyle w:val="ListParagraph"/>
        <w:numPr>
          <w:ilvl w:val="4"/>
          <w:numId w:val="25"/>
        </w:numPr>
        <w:tabs>
          <w:tab w:val="left" w:pos="1075"/>
          <w:tab w:val="left" w:pos="1076"/>
        </w:tabs>
        <w:spacing w:before="43" w:after="0" w:line="240" w:lineRule="auto"/>
        <w:ind w:left="1075" w:right="0" w:hanging="423"/>
        <w:jc w:val="left"/>
        <w:rPr>
          <w:sz w:val="21"/>
        </w:rPr>
      </w:pPr>
      <w:r>
        <w:rPr>
          <w:spacing w:val="-7"/>
          <w:sz w:val="21"/>
        </w:rPr>
        <w:t xml:space="preserve">水泥混凝土路面顶面高程：每 </w:t>
      </w:r>
      <w:r>
        <w:rPr>
          <w:sz w:val="21"/>
        </w:rPr>
        <w:t>20m</w:t>
      </w:r>
      <w:r>
        <w:rPr>
          <w:spacing w:val="-37"/>
          <w:sz w:val="21"/>
        </w:rPr>
        <w:t xml:space="preserve"> 测 </w:t>
      </w:r>
      <w:r>
        <w:rPr>
          <w:sz w:val="21"/>
        </w:rPr>
        <w:t>5</w:t>
      </w:r>
      <w:r>
        <w:rPr>
          <w:spacing w:val="-20"/>
          <w:sz w:val="21"/>
        </w:rPr>
        <w:t xml:space="preserve"> 点。</w:t>
      </w:r>
    </w:p>
    <w:p>
      <w:pPr>
        <w:pStyle w:val="BodyText"/>
        <w:spacing w:before="6"/>
        <w:rPr>
          <w:sz w:val="15"/>
        </w:rPr>
      </w:pPr>
    </w:p>
    <w:p>
      <w:pPr>
        <w:pStyle w:val="ListParagraph"/>
        <w:numPr>
          <w:ilvl w:val="3"/>
          <w:numId w:val="25"/>
        </w:numPr>
        <w:tabs>
          <w:tab w:val="left" w:pos="1178"/>
          <w:tab w:val="left" w:pos="1179"/>
        </w:tabs>
        <w:spacing w:before="1" w:after="0" w:line="240" w:lineRule="auto"/>
        <w:ind w:left="1178" w:right="0" w:hanging="946"/>
        <w:jc w:val="left"/>
        <w:rPr>
          <w:sz w:val="21"/>
        </w:rPr>
      </w:pPr>
      <w:bookmarkStart w:id="64" w:name="4.4.4.2  隧道水泥混凝土面板表面缺陷处理应满足本指南4.4.3.2要求。"/>
      <w:bookmarkEnd w:id="64"/>
      <w:r>
        <w:rPr>
          <w:spacing w:val="-6"/>
          <w:sz w:val="21"/>
        </w:rPr>
        <w:t xml:space="preserve">隧道水泥混凝土面板表面缺陷处理应满足本指南 </w:t>
      </w:r>
      <w:r>
        <w:rPr>
          <w:sz w:val="21"/>
        </w:rPr>
        <w:t>4.4.3.2</w:t>
      </w:r>
      <w:r>
        <w:rPr>
          <w:spacing w:val="-16"/>
          <w:sz w:val="21"/>
        </w:rPr>
        <w:t xml:space="preserve"> 要求。</w:t>
      </w:r>
    </w:p>
    <w:p>
      <w:pPr>
        <w:pStyle w:val="BodyText"/>
        <w:spacing w:before="11"/>
        <w:rPr>
          <w:sz w:val="27"/>
        </w:rPr>
      </w:pPr>
    </w:p>
    <w:p>
      <w:pPr>
        <w:pStyle w:val="ListParagraph"/>
        <w:numPr>
          <w:ilvl w:val="0"/>
          <w:numId w:val="25"/>
        </w:numPr>
        <w:tabs>
          <w:tab w:val="left" w:pos="592"/>
          <w:tab w:val="left" w:pos="593"/>
        </w:tabs>
        <w:spacing w:before="0" w:after="0" w:line="240" w:lineRule="auto"/>
        <w:ind w:left="592" w:right="0" w:hanging="361"/>
        <w:jc w:val="left"/>
        <w:rPr>
          <w:rFonts w:ascii="黑体" w:eastAsia="黑体" w:hint="eastAsia"/>
          <w:sz w:val="21"/>
        </w:rPr>
      </w:pPr>
      <w:bookmarkStart w:id="65" w:name="原材料及设备"/>
      <w:bookmarkEnd w:id="65"/>
      <w:bookmarkStart w:id="66" w:name="_bookmark9"/>
      <w:bookmarkEnd w:id="66"/>
      <w:r>
        <w:rPr>
          <w:rFonts w:ascii="黑体" w:eastAsia="黑体" w:hint="eastAsia"/>
          <w:spacing w:val="-2"/>
          <w:sz w:val="21"/>
        </w:rPr>
        <w:t>原材料及设备</w:t>
      </w:r>
    </w:p>
    <w:p>
      <w:pPr>
        <w:pStyle w:val="BodyText"/>
        <w:spacing w:before="6"/>
        <w:rPr>
          <w:rFonts w:ascii="黑体"/>
          <w:sz w:val="27"/>
        </w:rPr>
      </w:pPr>
    </w:p>
    <w:p>
      <w:pPr>
        <w:pStyle w:val="ListParagraph"/>
        <w:numPr>
          <w:ilvl w:val="1"/>
          <w:numId w:val="25"/>
        </w:numPr>
        <w:tabs>
          <w:tab w:val="left" w:pos="804"/>
          <w:tab w:val="left" w:pos="805"/>
        </w:tabs>
        <w:spacing w:before="1" w:after="0" w:line="240" w:lineRule="auto"/>
        <w:ind w:left="804" w:right="0" w:hanging="572"/>
        <w:jc w:val="left"/>
        <w:rPr>
          <w:rFonts w:ascii="黑体" w:eastAsia="黑体" w:hint="eastAsia"/>
          <w:sz w:val="21"/>
        </w:rPr>
      </w:pPr>
      <w:bookmarkStart w:id="67" w:name="_bookmark10"/>
      <w:bookmarkEnd w:id="67"/>
      <w:r>
        <w:rPr>
          <w:rFonts w:ascii="黑体" w:eastAsia="黑体" w:hint="eastAsia"/>
          <w:spacing w:val="-2"/>
          <w:sz w:val="21"/>
        </w:rPr>
        <w:t>一般规定</w:t>
      </w:r>
    </w:p>
    <w:p>
      <w:pPr>
        <w:pStyle w:val="BodyText"/>
        <w:spacing w:before="6"/>
        <w:rPr>
          <w:rFonts w:ascii="黑体"/>
          <w:sz w:val="15"/>
        </w:rPr>
      </w:pPr>
    </w:p>
    <w:p>
      <w:pPr>
        <w:pStyle w:val="ListParagraph"/>
        <w:numPr>
          <w:ilvl w:val="2"/>
          <w:numId w:val="25"/>
        </w:numPr>
        <w:tabs>
          <w:tab w:val="left" w:pos="969"/>
          <w:tab w:val="left" w:pos="970"/>
        </w:tabs>
        <w:spacing w:before="0" w:after="0" w:line="240" w:lineRule="auto"/>
        <w:ind w:left="969" w:right="0" w:hanging="737"/>
        <w:jc w:val="left"/>
        <w:rPr>
          <w:rFonts w:ascii="黑体" w:eastAsia="黑体" w:hint="eastAsia"/>
          <w:sz w:val="21"/>
        </w:rPr>
      </w:pPr>
      <w:bookmarkStart w:id="68" w:name="5.1.1  原材料管理应满足下列要求"/>
      <w:bookmarkEnd w:id="68"/>
      <w:r>
        <w:rPr>
          <w:rFonts w:ascii="黑体" w:eastAsia="黑体" w:hint="eastAsia"/>
          <w:spacing w:val="-3"/>
          <w:sz w:val="21"/>
        </w:rPr>
        <w:t>原材料管理应满足下列要求</w:t>
      </w:r>
    </w:p>
    <w:p>
      <w:pPr>
        <w:pStyle w:val="BodyText"/>
        <w:spacing w:before="7"/>
        <w:rPr>
          <w:rFonts w:ascii="黑体"/>
          <w:sz w:val="15"/>
        </w:rPr>
      </w:pPr>
    </w:p>
    <w:p>
      <w:pPr>
        <w:pStyle w:val="ListParagraph"/>
        <w:numPr>
          <w:ilvl w:val="3"/>
          <w:numId w:val="25"/>
        </w:numPr>
        <w:tabs>
          <w:tab w:val="left" w:pos="1178"/>
          <w:tab w:val="left" w:pos="1179"/>
        </w:tabs>
        <w:spacing w:before="0" w:after="0" w:line="240" w:lineRule="auto"/>
        <w:ind w:left="1178" w:right="0" w:hanging="946"/>
        <w:jc w:val="left"/>
        <w:rPr>
          <w:sz w:val="21"/>
        </w:rPr>
      </w:pPr>
      <w:bookmarkStart w:id="69" w:name="5.1.1.1  施工单位不得随意改变材料的来源，未经批准的材料不得用于工程。"/>
      <w:bookmarkEnd w:id="69"/>
      <w:r>
        <w:rPr>
          <w:spacing w:val="-3"/>
          <w:sz w:val="21"/>
        </w:rPr>
        <w:t>施工单位不得随意改变材料的来源，未经批准的材料不得用于工程。</w:t>
      </w:r>
    </w:p>
    <w:p>
      <w:pPr>
        <w:pStyle w:val="BodyText"/>
        <w:spacing w:before="7"/>
        <w:rPr>
          <w:sz w:val="15"/>
        </w:rPr>
      </w:pPr>
    </w:p>
    <w:p>
      <w:pPr>
        <w:pStyle w:val="ListParagraph"/>
        <w:numPr>
          <w:ilvl w:val="3"/>
          <w:numId w:val="25"/>
        </w:numPr>
        <w:tabs>
          <w:tab w:val="left" w:pos="1179"/>
        </w:tabs>
        <w:spacing w:before="0" w:after="0" w:line="278" w:lineRule="auto"/>
        <w:ind w:left="232" w:right="601" w:firstLine="0"/>
        <w:jc w:val="both"/>
        <w:rPr>
          <w:sz w:val="21"/>
        </w:rPr>
      </w:pPr>
      <w:bookmarkStart w:id="70" w:name="5.1.1.2  应细化各项原材料进场报验制度，严格控制路面集料、矿粉、添加料的"/>
      <w:bookmarkEnd w:id="70"/>
      <w:r>
        <w:rPr>
          <w:spacing w:val="-3"/>
          <w:sz w:val="21"/>
        </w:rPr>
        <w:t>应细化各项原材料进场报验制度，严格控制路面集料、矿粉、添加料的质量要求。集料进场</w:t>
      </w:r>
      <w:r>
        <w:rPr>
          <w:spacing w:val="-3"/>
          <w:sz w:val="21"/>
        </w:rPr>
        <w:t>时应与样品盒内的样品进行外观比对，不满足要求的不得进场、使用。</w:t>
      </w:r>
    </w:p>
    <w:p>
      <w:pPr>
        <w:pStyle w:val="ListParagraph"/>
        <w:numPr>
          <w:ilvl w:val="3"/>
          <w:numId w:val="25"/>
        </w:numPr>
        <w:tabs>
          <w:tab w:val="left" w:pos="1179"/>
        </w:tabs>
        <w:spacing w:before="156" w:after="0" w:line="278" w:lineRule="auto"/>
        <w:ind w:left="232" w:right="596" w:firstLine="0"/>
        <w:jc w:val="both"/>
        <w:rPr>
          <w:sz w:val="21"/>
        </w:rPr>
      </w:pPr>
      <w:bookmarkStart w:id="71" w:name="5.1.1.3  沥青采购招标时应规定沥青专罐专用，应将沥青的红外光谱试验结果作"/>
      <w:bookmarkEnd w:id="71"/>
      <w:r>
        <w:rPr>
          <w:spacing w:val="-3"/>
          <w:sz w:val="21"/>
        </w:rPr>
        <w:t>沥青采购招标时应规定沥青专罐专用，应将沥青的红外光谱试验结果作为到场沥青的相似度</w:t>
      </w:r>
      <w:r>
        <w:rPr>
          <w:spacing w:val="-11"/>
          <w:sz w:val="21"/>
        </w:rPr>
        <w:t>控制要求；建设单位应委托第三方检测机构对到场沥青实施全面检测，施工单位应对进场的每车改性沥</w:t>
      </w:r>
      <w:r>
        <w:rPr>
          <w:spacing w:val="-3"/>
          <w:sz w:val="21"/>
        </w:rPr>
        <w:t>青进行红外光谱检测，不符合要求的道路石油沥青和改性沥青不得进场使用。</w:t>
      </w:r>
    </w:p>
    <w:p>
      <w:pPr>
        <w:pStyle w:val="ListParagraph"/>
        <w:numPr>
          <w:ilvl w:val="3"/>
          <w:numId w:val="25"/>
        </w:numPr>
        <w:tabs>
          <w:tab w:val="left" w:pos="1179"/>
        </w:tabs>
        <w:spacing w:before="155" w:after="0" w:line="278" w:lineRule="auto"/>
        <w:ind w:left="232" w:right="601" w:firstLine="0"/>
        <w:jc w:val="both"/>
        <w:rPr>
          <w:sz w:val="21"/>
        </w:rPr>
      </w:pPr>
      <w:bookmarkStart w:id="72" w:name="5.1.1.4  建设单位应要求原材料出厂、出库批次与运输车辆“绑定”，宜采用G"/>
      <w:bookmarkEnd w:id="72"/>
      <w:r>
        <w:rPr>
          <w:spacing w:val="-4"/>
          <w:sz w:val="21"/>
        </w:rPr>
        <w:t xml:space="preserve">建设单位应要求原材料出厂、出库批次与运输车辆“绑定”，宜采用 </w:t>
      </w:r>
      <w:r>
        <w:rPr>
          <w:sz w:val="21"/>
        </w:rPr>
        <w:t>GPS</w:t>
      </w:r>
      <w:r>
        <w:rPr>
          <w:spacing w:val="-8"/>
          <w:sz w:val="21"/>
        </w:rPr>
        <w:t xml:space="preserve"> 等定位系统实施全</w:t>
      </w:r>
      <w:r>
        <w:rPr>
          <w:spacing w:val="-5"/>
          <w:sz w:val="21"/>
        </w:rPr>
        <w:t>过程监管。对运输车辆进行登记管理、全程管控，严禁车、货不符现象发生。</w:t>
      </w:r>
    </w:p>
    <w:p>
      <w:pPr>
        <w:pStyle w:val="ListParagraph"/>
        <w:numPr>
          <w:ilvl w:val="3"/>
          <w:numId w:val="25"/>
        </w:numPr>
        <w:tabs>
          <w:tab w:val="left" w:pos="1179"/>
        </w:tabs>
        <w:spacing w:before="156" w:after="0" w:line="278" w:lineRule="auto"/>
        <w:ind w:left="232" w:right="594" w:firstLine="0"/>
        <w:jc w:val="both"/>
        <w:rPr>
          <w:sz w:val="21"/>
        </w:rPr>
      </w:pPr>
      <w:bookmarkStart w:id="73" w:name="5.1.1.5  路面施工单位、监理单位应对提供路面集料的石料生产企业进行考察、"/>
      <w:bookmarkEnd w:id="73"/>
      <w:r>
        <w:rPr>
          <w:spacing w:val="-3"/>
          <w:sz w:val="21"/>
        </w:rPr>
        <w:t>路面施工单位、监理单位应对提供路面集料的石料生产企业进行考察、筛选。监理单位、施</w:t>
      </w:r>
      <w:r>
        <w:rPr>
          <w:spacing w:val="-8"/>
          <w:sz w:val="21"/>
        </w:rPr>
        <w:t>工单位应派员进驻石料场，落实专人负责监控、抽查及档案记录，做好源头控制，并安排专人定期清理</w:t>
      </w:r>
      <w:r>
        <w:rPr>
          <w:spacing w:val="-3"/>
          <w:sz w:val="21"/>
        </w:rPr>
        <w:t>料仓，避免二次污染。</w:t>
      </w:r>
    </w:p>
    <w:p>
      <w:pPr>
        <w:pStyle w:val="ListParagraph"/>
        <w:numPr>
          <w:ilvl w:val="3"/>
          <w:numId w:val="25"/>
        </w:numPr>
        <w:tabs>
          <w:tab w:val="left" w:pos="1179"/>
        </w:tabs>
        <w:spacing w:before="156" w:after="0" w:line="278" w:lineRule="auto"/>
        <w:ind w:left="233" w:right="600" w:firstLine="0"/>
        <w:jc w:val="both"/>
        <w:rPr>
          <w:sz w:val="21"/>
        </w:rPr>
      </w:pPr>
      <w:bookmarkStart w:id="74" w:name="5.1.1.6  鼓励有条件的建设管理单位或施工单位自行组织加工路面集料；集料加"/>
      <w:bookmarkEnd w:id="74"/>
      <w:r>
        <w:rPr>
          <w:spacing w:val="-4"/>
          <w:sz w:val="21"/>
        </w:rPr>
        <w:t xml:space="preserve">鼓励有条件的建设管理单位或施工单位自行组织加工路面集料；集料加工设备应符合 </w:t>
      </w:r>
      <w:r>
        <w:rPr>
          <w:sz w:val="21"/>
        </w:rPr>
        <w:t>5.3</w:t>
      </w:r>
      <w:r>
        <w:rPr>
          <w:spacing w:val="-17"/>
          <w:sz w:val="21"/>
        </w:rPr>
        <w:t xml:space="preserve"> 的</w:t>
      </w:r>
      <w:r>
        <w:rPr>
          <w:spacing w:val="-8"/>
          <w:sz w:val="21"/>
        </w:rPr>
        <w:t>相关要求。</w:t>
      </w:r>
    </w:p>
    <w:p>
      <w:pPr>
        <w:pStyle w:val="ListParagraph"/>
        <w:numPr>
          <w:ilvl w:val="3"/>
          <w:numId w:val="25"/>
        </w:numPr>
        <w:tabs>
          <w:tab w:val="left" w:pos="1179"/>
        </w:tabs>
        <w:spacing w:before="155" w:after="0" w:line="278" w:lineRule="auto"/>
        <w:ind w:left="233" w:right="598" w:hanging="1"/>
        <w:jc w:val="both"/>
        <w:rPr>
          <w:sz w:val="21"/>
        </w:rPr>
      </w:pPr>
      <w:bookmarkStart w:id="75" w:name="5.1.1.7  路面施工单位在开工前，应储备足够的原材料，基层集料宜满足 5d"/>
      <w:bookmarkEnd w:id="75"/>
      <w:r>
        <w:rPr>
          <w:spacing w:val="-8"/>
          <w:sz w:val="21"/>
        </w:rPr>
        <w:t xml:space="preserve">路面施工单位在开工前，应储备足够的原材料，基层集料宜满足 </w:t>
      </w:r>
      <w:r>
        <w:rPr>
          <w:sz w:val="21"/>
        </w:rPr>
        <w:t>5d-7d</w:t>
      </w:r>
      <w:r>
        <w:rPr>
          <w:spacing w:val="-4"/>
          <w:sz w:val="21"/>
        </w:rPr>
        <w:t xml:space="preserve"> 的用量要求，面层集</w:t>
      </w:r>
      <w:r>
        <w:rPr>
          <w:spacing w:val="-7"/>
          <w:sz w:val="21"/>
        </w:rPr>
        <w:t xml:space="preserve">料宜达到该结构层所需总量的 </w:t>
      </w:r>
      <w:r>
        <w:rPr>
          <w:sz w:val="21"/>
        </w:rPr>
        <w:t>30%</w:t>
      </w:r>
      <w:r>
        <w:rPr>
          <w:spacing w:val="-2"/>
          <w:sz w:val="21"/>
        </w:rPr>
        <w:t>以上。</w:t>
      </w:r>
    </w:p>
    <w:p>
      <w:pPr>
        <w:pStyle w:val="ListParagraph"/>
        <w:numPr>
          <w:ilvl w:val="2"/>
          <w:numId w:val="25"/>
        </w:numPr>
        <w:tabs>
          <w:tab w:val="left" w:pos="970"/>
          <w:tab w:val="left" w:pos="971"/>
        </w:tabs>
        <w:spacing w:before="156" w:after="0" w:line="240" w:lineRule="auto"/>
        <w:ind w:left="970" w:right="0" w:hanging="738"/>
        <w:jc w:val="left"/>
        <w:rPr>
          <w:rFonts w:ascii="黑体" w:eastAsia="黑体" w:hint="eastAsia"/>
          <w:sz w:val="21"/>
        </w:rPr>
      </w:pPr>
      <w:bookmarkStart w:id="76" w:name="5.1.2  设备管理应满足下列要求"/>
      <w:bookmarkEnd w:id="76"/>
      <w:r>
        <w:rPr>
          <w:rFonts w:ascii="黑体" w:eastAsia="黑体" w:hint="eastAsia"/>
          <w:spacing w:val="-3"/>
          <w:sz w:val="21"/>
        </w:rPr>
        <w:t>设备管理应满足下列要求</w:t>
      </w:r>
    </w:p>
    <w:p>
      <w:pPr>
        <w:pStyle w:val="BodyText"/>
        <w:spacing w:before="7"/>
        <w:rPr>
          <w:rFonts w:ascii="黑体"/>
          <w:sz w:val="15"/>
        </w:rPr>
      </w:pPr>
    </w:p>
    <w:p>
      <w:pPr>
        <w:pStyle w:val="ListParagraph"/>
        <w:numPr>
          <w:ilvl w:val="3"/>
          <w:numId w:val="25"/>
        </w:numPr>
        <w:tabs>
          <w:tab w:val="left" w:pos="1179"/>
        </w:tabs>
        <w:spacing w:before="0" w:after="0" w:line="278" w:lineRule="auto"/>
        <w:ind w:left="233" w:right="600" w:hanging="1"/>
        <w:jc w:val="both"/>
        <w:rPr>
          <w:sz w:val="21"/>
        </w:rPr>
      </w:pPr>
      <w:bookmarkStart w:id="77" w:name="5.1.2.1  施工机械配备可参考附录B配置并符合本指南5.3的规定，应配套完"/>
      <w:bookmarkEnd w:id="77"/>
      <w:r>
        <w:rPr>
          <w:spacing w:val="-7"/>
          <w:sz w:val="21"/>
        </w:rPr>
        <w:t xml:space="preserve">施工机械配备可参考附录 </w:t>
      </w:r>
      <w:r>
        <w:rPr>
          <w:sz w:val="21"/>
        </w:rPr>
        <w:t>B</w:t>
      </w:r>
      <w:r>
        <w:rPr>
          <w:spacing w:val="-12"/>
          <w:sz w:val="21"/>
        </w:rPr>
        <w:t xml:space="preserve"> 配置并符合本指南 </w:t>
      </w:r>
      <w:r>
        <w:rPr>
          <w:sz w:val="21"/>
        </w:rPr>
        <w:t>5.3</w:t>
      </w:r>
      <w:r>
        <w:rPr>
          <w:spacing w:val="-8"/>
          <w:sz w:val="21"/>
        </w:rPr>
        <w:t xml:space="preserve"> 的规定，应配套完整、类型齐全、满足招</w:t>
      </w:r>
      <w:r>
        <w:rPr>
          <w:spacing w:val="-5"/>
          <w:sz w:val="21"/>
        </w:rPr>
        <w:t>标文件要求，并满足施工质量、进度、安全和环保等要求。</w:t>
      </w:r>
    </w:p>
    <w:p>
      <w:pPr>
        <w:pStyle w:val="ListParagraph"/>
        <w:numPr>
          <w:ilvl w:val="3"/>
          <w:numId w:val="25"/>
        </w:numPr>
        <w:tabs>
          <w:tab w:val="left" w:pos="1179"/>
          <w:tab w:val="left" w:pos="1180"/>
        </w:tabs>
        <w:spacing w:before="156" w:after="0" w:line="240" w:lineRule="auto"/>
        <w:ind w:left="1179" w:right="0" w:hanging="947"/>
        <w:jc w:val="left"/>
        <w:rPr>
          <w:sz w:val="21"/>
        </w:rPr>
      </w:pPr>
      <w:bookmarkStart w:id="78" w:name="5.1.2.2  开工前，应对拌和楼、检测仪器等设备进行标定，确保拌和及检测数据"/>
      <w:bookmarkEnd w:id="78"/>
      <w:r>
        <w:rPr>
          <w:spacing w:val="-3"/>
          <w:sz w:val="21"/>
        </w:rPr>
        <w:t>开工前，应对拌和楼、检测仪器等设备进行标定，确保拌和及检测数据真实可靠。</w:t>
      </w:r>
    </w:p>
    <w:p>
      <w:pPr>
        <w:pStyle w:val="BodyText"/>
        <w:spacing w:before="6"/>
        <w:rPr>
          <w:sz w:val="15"/>
        </w:rPr>
      </w:pPr>
    </w:p>
    <w:p>
      <w:pPr>
        <w:pStyle w:val="ListParagraph"/>
        <w:numPr>
          <w:ilvl w:val="3"/>
          <w:numId w:val="25"/>
        </w:numPr>
        <w:tabs>
          <w:tab w:val="left" w:pos="1179"/>
          <w:tab w:val="left" w:pos="1180"/>
        </w:tabs>
        <w:spacing w:before="0" w:after="0" w:line="240" w:lineRule="auto"/>
        <w:ind w:left="1179" w:right="0" w:hanging="947"/>
        <w:jc w:val="left"/>
        <w:rPr>
          <w:sz w:val="21"/>
        </w:rPr>
      </w:pPr>
      <w:bookmarkStart w:id="79" w:name="5.1.2.3  施工前应对施工设备进行全面检查、维修、调试。自加工集料设备的筛"/>
      <w:bookmarkEnd w:id="79"/>
      <w:r>
        <w:rPr>
          <w:spacing w:val="-14"/>
          <w:sz w:val="21"/>
        </w:rPr>
        <w:t>施工前应对施工设备进行全面检查、维修、调试。自加工集料设备的筛网应定期检查、空振。</w:t>
      </w:r>
    </w:p>
    <w:p>
      <w:pPr>
        <w:spacing w:after="0" w:line="240" w:lineRule="auto"/>
        <w:jc w:val="left"/>
        <w:rPr>
          <w:sz w:val="21"/>
        </w:rPr>
        <w:sectPr>
          <w:footerReference w:type="even" r:id="rId20"/>
          <w:footerReference w:type="default" r:id="rId21"/>
          <w:pgSz w:w="11910" w:h="16840"/>
          <w:pgMar w:top="1400" w:right="820" w:bottom="1200" w:left="900" w:header="0" w:footer="1001"/>
          <w:pgNumType w:start="6"/>
          <w:cols w:space="708"/>
        </w:sectPr>
      </w:pPr>
    </w:p>
    <w:p>
      <w:pPr>
        <w:pStyle w:val="ListParagraph"/>
        <w:numPr>
          <w:ilvl w:val="3"/>
          <w:numId w:val="25"/>
        </w:numPr>
        <w:tabs>
          <w:tab w:val="left" w:pos="1461"/>
          <w:tab w:val="left" w:pos="1462"/>
        </w:tabs>
        <w:spacing w:before="44" w:after="0" w:line="240" w:lineRule="auto"/>
        <w:ind w:left="1461" w:right="0" w:hanging="947"/>
        <w:jc w:val="left"/>
        <w:rPr>
          <w:sz w:val="21"/>
        </w:rPr>
      </w:pPr>
      <w:bookmarkStart w:id="80" w:name="5.1.2.4  拌和设备应设置混合料配合比标牌。"/>
      <w:bookmarkEnd w:id="80"/>
      <w:r>
        <w:rPr>
          <w:spacing w:val="-3"/>
          <w:sz w:val="21"/>
        </w:rPr>
        <w:t>拌和设备应设置混合料配合比标牌。</w:t>
      </w:r>
    </w:p>
    <w:p>
      <w:pPr>
        <w:pStyle w:val="BodyText"/>
        <w:spacing w:before="7"/>
        <w:rPr>
          <w:sz w:val="15"/>
        </w:rPr>
      </w:pPr>
    </w:p>
    <w:p>
      <w:pPr>
        <w:pStyle w:val="ListParagraph"/>
        <w:numPr>
          <w:ilvl w:val="3"/>
          <w:numId w:val="25"/>
        </w:numPr>
        <w:tabs>
          <w:tab w:val="left" w:pos="1461"/>
          <w:tab w:val="left" w:pos="1462"/>
        </w:tabs>
        <w:spacing w:before="0" w:after="0" w:line="240" w:lineRule="auto"/>
        <w:ind w:left="1461" w:right="0" w:hanging="946"/>
        <w:jc w:val="left"/>
        <w:rPr>
          <w:sz w:val="21"/>
        </w:rPr>
      </w:pPr>
      <w:bookmarkStart w:id="81" w:name="5.1.2.5  信息化管理系统应符合本指南4.3的规定。"/>
      <w:bookmarkEnd w:id="81"/>
      <w:r>
        <w:rPr>
          <w:spacing w:val="-7"/>
          <w:sz w:val="21"/>
        </w:rPr>
        <w:t xml:space="preserve">信息化管理系统应符合本指南 </w:t>
      </w:r>
      <w:r>
        <w:rPr>
          <w:sz w:val="21"/>
        </w:rPr>
        <w:t>4.3</w:t>
      </w:r>
      <w:r>
        <w:rPr>
          <w:spacing w:val="-13"/>
          <w:sz w:val="21"/>
        </w:rPr>
        <w:t xml:space="preserve"> 的规定。</w:t>
      </w:r>
    </w:p>
    <w:p>
      <w:pPr>
        <w:pStyle w:val="BodyText"/>
        <w:spacing w:before="6"/>
        <w:rPr>
          <w:sz w:val="15"/>
        </w:rPr>
      </w:pPr>
    </w:p>
    <w:p>
      <w:pPr>
        <w:pStyle w:val="ListParagraph"/>
        <w:numPr>
          <w:ilvl w:val="1"/>
          <w:numId w:val="25"/>
        </w:numPr>
        <w:tabs>
          <w:tab w:val="left" w:pos="1041"/>
          <w:tab w:val="left" w:pos="1042"/>
        </w:tabs>
        <w:spacing w:before="1" w:after="0" w:line="240" w:lineRule="auto"/>
        <w:ind w:left="1041" w:right="0" w:hanging="526"/>
        <w:jc w:val="left"/>
        <w:rPr>
          <w:rFonts w:ascii="黑体" w:eastAsia="黑体" w:hint="eastAsia"/>
          <w:sz w:val="21"/>
        </w:rPr>
      </w:pPr>
      <w:bookmarkStart w:id="82" w:name="5.2  原材料"/>
      <w:bookmarkEnd w:id="82"/>
      <w:bookmarkStart w:id="83" w:name="_bookmark11"/>
      <w:bookmarkEnd w:id="83"/>
      <w:r>
        <w:rPr>
          <w:rFonts w:ascii="黑体" w:eastAsia="黑体" w:hint="eastAsia"/>
          <w:spacing w:val="-3"/>
          <w:sz w:val="21"/>
        </w:rPr>
        <w:t>原材料</w:t>
      </w:r>
    </w:p>
    <w:p>
      <w:pPr>
        <w:pStyle w:val="BodyText"/>
        <w:spacing w:before="6"/>
        <w:rPr>
          <w:rFonts w:ascii="黑体"/>
          <w:sz w:val="15"/>
        </w:rPr>
      </w:pPr>
    </w:p>
    <w:p>
      <w:pPr>
        <w:pStyle w:val="ListParagraph"/>
        <w:numPr>
          <w:ilvl w:val="2"/>
          <w:numId w:val="25"/>
        </w:numPr>
        <w:tabs>
          <w:tab w:val="left" w:pos="1252"/>
          <w:tab w:val="left" w:pos="1254"/>
        </w:tabs>
        <w:spacing w:before="0" w:after="0" w:line="240" w:lineRule="auto"/>
        <w:ind w:left="1253" w:right="0" w:hanging="738"/>
        <w:jc w:val="left"/>
        <w:rPr>
          <w:rFonts w:ascii="黑体" w:eastAsia="黑体" w:hint="eastAsia"/>
          <w:sz w:val="21"/>
        </w:rPr>
      </w:pPr>
      <w:bookmarkStart w:id="84" w:name="5.2.1  水泥稳定碎石底基层、基层原材料质量技术要求"/>
      <w:bookmarkEnd w:id="84"/>
      <w:r>
        <w:rPr>
          <w:rFonts w:ascii="黑体" w:eastAsia="黑体" w:hint="eastAsia"/>
          <w:spacing w:val="-3"/>
          <w:sz w:val="21"/>
        </w:rPr>
        <w:t>水泥稳定碎石底基层、基层原材料质量技术要求</w:t>
      </w:r>
    </w:p>
    <w:p>
      <w:pPr>
        <w:pStyle w:val="BodyText"/>
        <w:spacing w:before="7"/>
        <w:rPr>
          <w:rFonts w:ascii="黑体"/>
          <w:sz w:val="15"/>
        </w:rPr>
      </w:pPr>
    </w:p>
    <w:p>
      <w:pPr>
        <w:pStyle w:val="ListParagraph"/>
        <w:numPr>
          <w:ilvl w:val="3"/>
          <w:numId w:val="25"/>
        </w:numPr>
        <w:tabs>
          <w:tab w:val="left" w:pos="1462"/>
        </w:tabs>
        <w:spacing w:before="0" w:after="0" w:line="278" w:lineRule="auto"/>
        <w:ind w:left="516" w:right="308" w:firstLine="0"/>
        <w:jc w:val="both"/>
        <w:rPr>
          <w:sz w:val="21"/>
        </w:rPr>
      </w:pPr>
      <w:bookmarkStart w:id="85" w:name="5.2.1.1  水泥  普通硅酸盐水泥、矿渣硅酸盐水泥、火山灰质硅酸盐水泥和复"/>
      <w:bookmarkEnd w:id="85"/>
      <w:r>
        <w:rPr>
          <w:spacing w:val="-3"/>
          <w:sz w:val="21"/>
        </w:rPr>
        <w:t>水泥 普通硅酸盐水泥、矿渣硅酸盐水泥、火山灰质硅酸盐水泥和复合硅酸盐水泥都可用于</w:t>
      </w:r>
      <w:r>
        <w:rPr>
          <w:spacing w:val="-6"/>
          <w:sz w:val="21"/>
        </w:rPr>
        <w:t xml:space="preserve">拌制水泥稳定碎石混合料，宜采用强度等级 </w:t>
      </w:r>
      <w:r>
        <w:rPr>
          <w:sz w:val="21"/>
        </w:rPr>
        <w:t>42.5</w:t>
      </w:r>
      <w:r>
        <w:rPr>
          <w:spacing w:val="-32"/>
          <w:sz w:val="21"/>
        </w:rPr>
        <w:t xml:space="preserve"> 或 </w:t>
      </w:r>
      <w:r>
        <w:rPr>
          <w:sz w:val="21"/>
        </w:rPr>
        <w:t>32.5</w:t>
      </w:r>
      <w:r>
        <w:rPr>
          <w:spacing w:val="-13"/>
          <w:sz w:val="21"/>
        </w:rPr>
        <w:t xml:space="preserve"> 的水泥，水泥质量技术要求见表 </w:t>
      </w:r>
      <w:r>
        <w:rPr>
          <w:sz w:val="21"/>
        </w:rPr>
        <w:t>1</w:t>
      </w:r>
      <w:r>
        <w:rPr>
          <w:spacing w:val="-5"/>
          <w:sz w:val="21"/>
        </w:rPr>
        <w:t>。不得使用</w:t>
      </w:r>
      <w:r>
        <w:rPr>
          <w:spacing w:val="-4"/>
          <w:sz w:val="21"/>
        </w:rPr>
        <w:t>快硬水泥、早强水泥或者已受潮变质的水泥。</w:t>
      </w:r>
    </w:p>
    <w:p>
      <w:pPr>
        <w:pStyle w:val="BodyText"/>
        <w:tabs>
          <w:tab w:val="left" w:pos="779"/>
        </w:tabs>
        <w:spacing w:before="146"/>
        <w:ind w:left="201"/>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1</w:t>
        <w:tab/>
        <w:t>水</w:t>
      </w:r>
      <w:r>
        <w:rPr>
          <w:rFonts w:ascii="黑体" w:eastAsia="黑体" w:hint="eastAsia"/>
          <w:spacing w:val="52"/>
        </w:rPr>
        <w:t>泥</w:t>
      </w:r>
      <w:r>
        <w:rPr>
          <w:rFonts w:ascii="黑体" w:eastAsia="黑体" w:hint="eastAsia"/>
          <w:position w:val="11"/>
          <w:sz w:val="11"/>
        </w:rPr>
        <w:t>a</w:t>
      </w:r>
      <w:r>
        <w:rPr>
          <w:rFonts w:ascii="黑体" w:eastAsia="黑体" w:hint="eastAsia"/>
          <w:spacing w:val="-31"/>
          <w:position w:val="11"/>
          <w:sz w:val="11"/>
        </w:rPr>
        <w:t xml:space="preserve"> </w:t>
      </w:r>
      <w:r>
        <w:rPr>
          <w:rFonts w:ascii="黑体" w:eastAsia="黑体" w:hint="eastAsia"/>
        </w:rPr>
        <w:t>质</w:t>
      </w:r>
      <w:r>
        <w:rPr>
          <w:rFonts w:ascii="黑体" w:eastAsia="黑体" w:hint="eastAsia"/>
          <w:spacing w:val="-3"/>
        </w:rPr>
        <w:t>量</w:t>
      </w:r>
      <w:r>
        <w:rPr>
          <w:rFonts w:ascii="黑体" w:eastAsia="黑体" w:hint="eastAsia"/>
        </w:rPr>
        <w:t>技</w:t>
      </w:r>
      <w:r>
        <w:rPr>
          <w:rFonts w:ascii="黑体" w:eastAsia="黑体" w:hint="eastAsia"/>
          <w:spacing w:val="-3"/>
        </w:rPr>
        <w:t>术</w:t>
      </w:r>
      <w:r>
        <w:rPr>
          <w:rFonts w:ascii="黑体" w:eastAsia="黑体" w:hint="eastAsia"/>
        </w:rPr>
        <w:t>要求</w:t>
      </w:r>
    </w:p>
    <w:p>
      <w:pPr>
        <w:pStyle w:val="BodyText"/>
        <w:spacing w:before="9"/>
        <w:rPr>
          <w:rFonts w:ascii="黑体"/>
          <w:sz w:val="13"/>
        </w:rPr>
      </w:pPr>
    </w:p>
    <w:tbl>
      <w:tblPr>
        <w:tblStyle w:val="TableNormal1"/>
        <w:tblW w:w="0" w:type="auto"/>
        <w:jc w:val="left"/>
        <w:tblInd w:w="5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577"/>
        <w:gridCol w:w="1241"/>
        <w:gridCol w:w="1241"/>
        <w:gridCol w:w="1277"/>
        <w:gridCol w:w="1277"/>
        <w:gridCol w:w="1203"/>
        <w:gridCol w:w="1460"/>
      </w:tblGrid>
      <w:tr>
        <w:tblPrEx>
          <w:tblW w:w="0" w:type="auto"/>
          <w:jc w:val="left"/>
          <w:tblInd w:w="5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9"/>
          <w:jc w:val="left"/>
        </w:trPr>
        <w:tc>
          <w:tcPr>
            <w:tcW w:w="1577" w:type="dxa"/>
            <w:vMerge w:val="restart"/>
            <w:tcBorders>
              <w:bottom w:val="single" w:sz="6" w:space="0" w:color="000000"/>
              <w:right w:val="single" w:sz="6" w:space="0" w:color="000000"/>
            </w:tcBorders>
          </w:tcPr>
          <w:p>
            <w:pPr>
              <w:pStyle w:val="TableParagraph"/>
              <w:spacing w:before="0"/>
              <w:jc w:val="left"/>
              <w:rPr>
                <w:rFonts w:ascii="黑体"/>
                <w:sz w:val="18"/>
              </w:rPr>
            </w:pPr>
          </w:p>
          <w:p>
            <w:pPr>
              <w:pStyle w:val="TableParagraph"/>
              <w:spacing w:before="124"/>
              <w:ind w:left="406" w:right="383"/>
              <w:rPr>
                <w:sz w:val="18"/>
              </w:rPr>
            </w:pPr>
            <w:r>
              <w:rPr>
                <w:sz w:val="18"/>
              </w:rPr>
              <w:t>项目</w:t>
            </w:r>
          </w:p>
        </w:tc>
        <w:tc>
          <w:tcPr>
            <w:tcW w:w="1241" w:type="dxa"/>
            <w:vMerge w:val="restart"/>
            <w:tcBorders>
              <w:left w:val="single" w:sz="6" w:space="0" w:color="000000"/>
              <w:bottom w:val="single" w:sz="6" w:space="0" w:color="000000"/>
              <w:right w:val="single" w:sz="6" w:space="0" w:color="000000"/>
            </w:tcBorders>
          </w:tcPr>
          <w:p>
            <w:pPr>
              <w:pStyle w:val="TableParagraph"/>
              <w:spacing w:before="0"/>
              <w:jc w:val="left"/>
              <w:rPr>
                <w:rFonts w:ascii="黑体"/>
                <w:sz w:val="18"/>
              </w:rPr>
            </w:pPr>
          </w:p>
          <w:p>
            <w:pPr>
              <w:pStyle w:val="TableParagraph"/>
              <w:spacing w:before="124"/>
              <w:ind w:left="196" w:right="171"/>
              <w:rPr>
                <w:sz w:val="18"/>
              </w:rPr>
            </w:pPr>
            <w:r>
              <w:rPr>
                <w:sz w:val="18"/>
              </w:rPr>
              <w:t>细度</w:t>
            </w:r>
          </w:p>
        </w:tc>
        <w:tc>
          <w:tcPr>
            <w:tcW w:w="1241" w:type="dxa"/>
            <w:vMerge w:val="restart"/>
            <w:tcBorders>
              <w:left w:val="single" w:sz="6" w:space="0" w:color="000000"/>
              <w:bottom w:val="single" w:sz="6" w:space="0" w:color="000000"/>
              <w:right w:val="single" w:sz="6" w:space="0" w:color="000000"/>
            </w:tcBorders>
          </w:tcPr>
          <w:p>
            <w:pPr>
              <w:pStyle w:val="TableParagraph"/>
              <w:spacing w:before="0"/>
              <w:jc w:val="left"/>
              <w:rPr>
                <w:rFonts w:ascii="黑体"/>
                <w:sz w:val="18"/>
              </w:rPr>
            </w:pPr>
          </w:p>
          <w:p>
            <w:pPr>
              <w:pStyle w:val="TableParagraph"/>
              <w:spacing w:before="124"/>
              <w:ind w:left="356"/>
              <w:jc w:val="left"/>
              <w:rPr>
                <w:sz w:val="18"/>
              </w:rPr>
            </w:pPr>
            <w:r>
              <w:rPr>
                <w:sz w:val="18"/>
              </w:rPr>
              <w:t>安定性</w:t>
            </w:r>
          </w:p>
        </w:tc>
        <w:tc>
          <w:tcPr>
            <w:tcW w:w="5217" w:type="dxa"/>
            <w:gridSpan w:val="4"/>
            <w:tcBorders>
              <w:left w:val="single" w:sz="6" w:space="0" w:color="000000"/>
              <w:bottom w:val="single" w:sz="6" w:space="0" w:color="000000"/>
            </w:tcBorders>
          </w:tcPr>
          <w:p>
            <w:pPr>
              <w:pStyle w:val="TableParagraph"/>
              <w:spacing w:before="42" w:line="217" w:lineRule="exact"/>
              <w:ind w:left="2144" w:right="2109"/>
              <w:rPr>
                <w:sz w:val="18"/>
              </w:rPr>
            </w:pPr>
            <w:r>
              <w:rPr>
                <w:sz w:val="18"/>
              </w:rPr>
              <w:t>抗压强度</w:t>
            </w:r>
          </w:p>
        </w:tc>
      </w:tr>
      <w:tr>
        <w:tblPrEx>
          <w:tblW w:w="0" w:type="auto"/>
          <w:jc w:val="left"/>
          <w:tblInd w:w="572" w:type="dxa"/>
          <w:tblLayout w:type="fixed"/>
          <w:tblCellMar>
            <w:top w:w="0" w:type="dxa"/>
            <w:left w:w="0" w:type="dxa"/>
            <w:bottom w:w="0" w:type="dxa"/>
            <w:right w:w="0" w:type="dxa"/>
          </w:tblCellMar>
          <w:tblLook w:val="01E0"/>
        </w:tblPrEx>
        <w:trPr>
          <w:trHeight w:val="294"/>
          <w:jc w:val="left"/>
        </w:trPr>
        <w:tc>
          <w:tcPr>
            <w:tcW w:w="1577" w:type="dxa"/>
            <w:vMerge/>
            <w:tcBorders>
              <w:top w:val="nil"/>
              <w:bottom w:val="single" w:sz="6" w:space="0" w:color="000000"/>
              <w:right w:val="single" w:sz="6" w:space="0" w:color="000000"/>
            </w:tcBorders>
          </w:tcPr>
          <w:p>
            <w:pPr>
              <w:rPr>
                <w:sz w:val="2"/>
                <w:szCs w:val="2"/>
              </w:rPr>
            </w:pPr>
          </w:p>
        </w:tc>
        <w:tc>
          <w:tcPr>
            <w:tcW w:w="1241" w:type="dxa"/>
            <w:vMerge/>
            <w:tcBorders>
              <w:top w:val="nil"/>
              <w:left w:val="single" w:sz="6" w:space="0" w:color="000000"/>
              <w:bottom w:val="single" w:sz="6" w:space="0" w:color="000000"/>
              <w:right w:val="single" w:sz="6" w:space="0" w:color="000000"/>
            </w:tcBorders>
          </w:tcPr>
          <w:p>
            <w:pPr>
              <w:rPr>
                <w:sz w:val="2"/>
                <w:szCs w:val="2"/>
              </w:rPr>
            </w:pPr>
          </w:p>
        </w:tc>
        <w:tc>
          <w:tcPr>
            <w:tcW w:w="1241" w:type="dxa"/>
            <w:vMerge/>
            <w:tcBorders>
              <w:top w:val="nil"/>
              <w:left w:val="single" w:sz="6" w:space="0" w:color="000000"/>
              <w:bottom w:val="single" w:sz="6" w:space="0" w:color="000000"/>
              <w:right w:val="single" w:sz="6" w:space="0" w:color="000000"/>
            </w:tcBorders>
          </w:tcPr>
          <w:p>
            <w:pPr>
              <w:rPr>
                <w:sz w:val="2"/>
                <w:szCs w:val="2"/>
              </w:rPr>
            </w:pPr>
          </w:p>
        </w:tc>
        <w:tc>
          <w:tcPr>
            <w:tcW w:w="255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9" w:line="215" w:lineRule="exact"/>
              <w:ind w:left="1083" w:right="1055"/>
              <w:rPr>
                <w:sz w:val="18"/>
              </w:rPr>
            </w:pPr>
            <w:r>
              <w:rPr>
                <w:sz w:val="18"/>
              </w:rPr>
              <w:t>32.5</w:t>
            </w:r>
          </w:p>
        </w:tc>
        <w:tc>
          <w:tcPr>
            <w:tcW w:w="2663" w:type="dxa"/>
            <w:gridSpan w:val="2"/>
            <w:tcBorders>
              <w:top w:val="single" w:sz="6" w:space="0" w:color="000000"/>
              <w:left w:val="single" w:sz="6" w:space="0" w:color="000000"/>
              <w:bottom w:val="single" w:sz="6" w:space="0" w:color="000000"/>
            </w:tcBorders>
          </w:tcPr>
          <w:p>
            <w:pPr>
              <w:pStyle w:val="TableParagraph"/>
              <w:spacing w:before="59" w:line="215" w:lineRule="exact"/>
              <w:ind w:left="1135" w:right="1104"/>
              <w:rPr>
                <w:sz w:val="18"/>
              </w:rPr>
            </w:pPr>
            <w:r>
              <w:rPr>
                <w:sz w:val="18"/>
              </w:rPr>
              <w:t>42.5</w:t>
            </w:r>
          </w:p>
        </w:tc>
      </w:tr>
      <w:tr>
        <w:tblPrEx>
          <w:tblW w:w="0" w:type="auto"/>
          <w:jc w:val="left"/>
          <w:tblInd w:w="572" w:type="dxa"/>
          <w:tblLayout w:type="fixed"/>
          <w:tblCellMar>
            <w:top w:w="0" w:type="dxa"/>
            <w:left w:w="0" w:type="dxa"/>
            <w:bottom w:w="0" w:type="dxa"/>
            <w:right w:w="0" w:type="dxa"/>
          </w:tblCellMar>
          <w:tblLook w:val="01E0"/>
        </w:tblPrEx>
        <w:trPr>
          <w:trHeight w:val="294"/>
          <w:jc w:val="left"/>
        </w:trPr>
        <w:tc>
          <w:tcPr>
            <w:tcW w:w="1577" w:type="dxa"/>
            <w:vMerge/>
            <w:tcBorders>
              <w:top w:val="nil"/>
              <w:bottom w:val="single" w:sz="6" w:space="0" w:color="000000"/>
              <w:right w:val="single" w:sz="6" w:space="0" w:color="000000"/>
            </w:tcBorders>
          </w:tcPr>
          <w:p>
            <w:pPr>
              <w:rPr>
                <w:sz w:val="2"/>
                <w:szCs w:val="2"/>
              </w:rPr>
            </w:pPr>
          </w:p>
        </w:tc>
        <w:tc>
          <w:tcPr>
            <w:tcW w:w="1241" w:type="dxa"/>
            <w:vMerge/>
            <w:tcBorders>
              <w:top w:val="nil"/>
              <w:left w:val="single" w:sz="6" w:space="0" w:color="000000"/>
              <w:bottom w:val="single" w:sz="6" w:space="0" w:color="000000"/>
              <w:right w:val="single" w:sz="6" w:space="0" w:color="000000"/>
            </w:tcBorders>
          </w:tcPr>
          <w:p>
            <w:pPr>
              <w:rPr>
                <w:sz w:val="2"/>
                <w:szCs w:val="2"/>
              </w:rPr>
            </w:pPr>
          </w:p>
        </w:tc>
        <w:tc>
          <w:tcPr>
            <w:tcW w:w="1241" w:type="dxa"/>
            <w:vMerge/>
            <w:tcBorders>
              <w:top w:val="nil"/>
              <w:left w:val="single" w:sz="6" w:space="0" w:color="000000"/>
              <w:bottom w:val="single" w:sz="6" w:space="0" w:color="000000"/>
              <w:right w:val="single" w:sz="6" w:space="0" w:color="000000"/>
            </w:tcBorders>
          </w:tcPr>
          <w:p>
            <w:pPr>
              <w:rPr>
                <w:sz w:val="2"/>
                <w:szCs w:val="2"/>
              </w:rPr>
            </w:pPr>
          </w:p>
        </w:tc>
        <w:tc>
          <w:tcPr>
            <w:tcW w:w="1277" w:type="dxa"/>
            <w:tcBorders>
              <w:top w:val="single" w:sz="6" w:space="0" w:color="000000"/>
              <w:left w:val="single" w:sz="6" w:space="0" w:color="000000"/>
              <w:bottom w:val="single" w:sz="6" w:space="0" w:color="000000"/>
              <w:right w:val="single" w:sz="6" w:space="0" w:color="000000"/>
            </w:tcBorders>
          </w:tcPr>
          <w:p>
            <w:pPr>
              <w:pStyle w:val="TableParagraph"/>
              <w:spacing w:before="59" w:line="215" w:lineRule="exact"/>
              <w:ind w:left="353" w:right="321"/>
              <w:rPr>
                <w:sz w:val="18"/>
              </w:rPr>
            </w:pPr>
            <w:r>
              <w:rPr>
                <w:sz w:val="18"/>
              </w:rPr>
              <w:t>3d</w:t>
            </w:r>
          </w:p>
        </w:tc>
        <w:tc>
          <w:tcPr>
            <w:tcW w:w="1277" w:type="dxa"/>
            <w:tcBorders>
              <w:top w:val="single" w:sz="6" w:space="0" w:color="000000"/>
              <w:left w:val="single" w:sz="6" w:space="0" w:color="000000"/>
              <w:bottom w:val="single" w:sz="6" w:space="0" w:color="000000"/>
              <w:right w:val="single" w:sz="6" w:space="0" w:color="000000"/>
            </w:tcBorders>
          </w:tcPr>
          <w:p>
            <w:pPr>
              <w:pStyle w:val="TableParagraph"/>
              <w:spacing w:before="59" w:line="215" w:lineRule="exact"/>
              <w:ind w:left="353" w:right="326"/>
              <w:rPr>
                <w:sz w:val="18"/>
              </w:rPr>
            </w:pPr>
            <w:r>
              <w:rPr>
                <w:sz w:val="18"/>
              </w:rPr>
              <w:t>28d</w:t>
            </w:r>
          </w:p>
        </w:tc>
        <w:tc>
          <w:tcPr>
            <w:tcW w:w="1203" w:type="dxa"/>
            <w:tcBorders>
              <w:top w:val="single" w:sz="6" w:space="0" w:color="000000"/>
              <w:left w:val="single" w:sz="6" w:space="0" w:color="000000"/>
              <w:bottom w:val="single" w:sz="6" w:space="0" w:color="000000"/>
              <w:right w:val="single" w:sz="6" w:space="0" w:color="000000"/>
            </w:tcBorders>
          </w:tcPr>
          <w:p>
            <w:pPr>
              <w:pStyle w:val="TableParagraph"/>
              <w:spacing w:before="59" w:line="215" w:lineRule="exact"/>
              <w:ind w:right="486"/>
              <w:jc w:val="right"/>
              <w:rPr>
                <w:sz w:val="18"/>
              </w:rPr>
            </w:pPr>
            <w:r>
              <w:rPr>
                <w:sz w:val="18"/>
              </w:rPr>
              <w:t>3d</w:t>
            </w:r>
          </w:p>
        </w:tc>
        <w:tc>
          <w:tcPr>
            <w:tcW w:w="1460" w:type="dxa"/>
            <w:tcBorders>
              <w:top w:val="single" w:sz="6" w:space="0" w:color="000000"/>
              <w:left w:val="single" w:sz="6" w:space="0" w:color="000000"/>
              <w:bottom w:val="single" w:sz="6" w:space="0" w:color="000000"/>
            </w:tcBorders>
          </w:tcPr>
          <w:p>
            <w:pPr>
              <w:pStyle w:val="TableParagraph"/>
              <w:spacing w:before="59" w:line="215" w:lineRule="exact"/>
              <w:ind w:left="446" w:right="409"/>
              <w:rPr>
                <w:sz w:val="18"/>
              </w:rPr>
            </w:pPr>
            <w:r>
              <w:rPr>
                <w:sz w:val="18"/>
              </w:rPr>
              <w:t>28d</w:t>
            </w:r>
          </w:p>
        </w:tc>
      </w:tr>
      <w:tr>
        <w:tblPrEx>
          <w:tblW w:w="0" w:type="auto"/>
          <w:jc w:val="left"/>
          <w:tblInd w:w="572" w:type="dxa"/>
          <w:tblLayout w:type="fixed"/>
          <w:tblCellMar>
            <w:top w:w="0" w:type="dxa"/>
            <w:left w:w="0" w:type="dxa"/>
            <w:bottom w:w="0" w:type="dxa"/>
            <w:right w:w="0" w:type="dxa"/>
          </w:tblCellMar>
          <w:tblLook w:val="01E0"/>
        </w:tblPrEx>
        <w:trPr>
          <w:trHeight w:val="280"/>
          <w:jc w:val="left"/>
        </w:trPr>
        <w:tc>
          <w:tcPr>
            <w:tcW w:w="1577" w:type="dxa"/>
            <w:tcBorders>
              <w:top w:val="single" w:sz="6" w:space="0" w:color="000000"/>
              <w:bottom w:val="single" w:sz="6" w:space="0" w:color="000000"/>
              <w:right w:val="single" w:sz="6" w:space="0" w:color="000000"/>
            </w:tcBorders>
          </w:tcPr>
          <w:p>
            <w:pPr>
              <w:pStyle w:val="TableParagraph"/>
              <w:spacing w:before="45" w:line="215" w:lineRule="exact"/>
              <w:ind w:left="406" w:right="383"/>
              <w:rPr>
                <w:sz w:val="18"/>
              </w:rPr>
            </w:pPr>
            <w:r>
              <w:rPr>
                <w:sz w:val="18"/>
              </w:rPr>
              <w:t>单位</w:t>
            </w:r>
          </w:p>
        </w:tc>
        <w:tc>
          <w:tcPr>
            <w:tcW w:w="1241" w:type="dxa"/>
            <w:tcBorders>
              <w:top w:val="single" w:sz="6" w:space="0" w:color="000000"/>
              <w:left w:val="single" w:sz="6" w:space="0" w:color="000000"/>
              <w:bottom w:val="single" w:sz="6" w:space="0" w:color="000000"/>
              <w:right w:val="single" w:sz="6" w:space="0" w:color="000000"/>
            </w:tcBorders>
          </w:tcPr>
          <w:p>
            <w:pPr>
              <w:pStyle w:val="TableParagraph"/>
              <w:spacing w:before="45" w:line="215" w:lineRule="exact"/>
              <w:ind w:left="28"/>
              <w:rPr>
                <w:sz w:val="18"/>
              </w:rPr>
            </w:pPr>
            <w:r>
              <w:rPr>
                <w:sz w:val="18"/>
              </w:rPr>
              <w:t>％</w:t>
            </w:r>
          </w:p>
        </w:tc>
        <w:tc>
          <w:tcPr>
            <w:tcW w:w="1241" w:type="dxa"/>
            <w:tcBorders>
              <w:top w:val="single" w:sz="6" w:space="0" w:color="000000"/>
              <w:left w:val="single" w:sz="6" w:space="0" w:color="000000"/>
              <w:bottom w:val="single" w:sz="6" w:space="0" w:color="000000"/>
              <w:right w:val="single" w:sz="6" w:space="0" w:color="000000"/>
            </w:tcBorders>
          </w:tcPr>
          <w:p>
            <w:pPr>
              <w:pStyle w:val="TableParagraph"/>
              <w:spacing w:before="45" w:line="215" w:lineRule="exact"/>
              <w:ind w:left="202" w:right="171"/>
              <w:rPr>
                <w:sz w:val="18"/>
              </w:rPr>
            </w:pPr>
            <w:r>
              <w:rPr>
                <w:sz w:val="18"/>
              </w:rPr>
              <w:t>----</w:t>
            </w:r>
          </w:p>
        </w:tc>
        <w:tc>
          <w:tcPr>
            <w:tcW w:w="1277" w:type="dxa"/>
            <w:tcBorders>
              <w:top w:val="single" w:sz="6" w:space="0" w:color="000000"/>
              <w:left w:val="single" w:sz="6" w:space="0" w:color="000000"/>
              <w:bottom w:val="single" w:sz="4" w:space="0" w:color="000000"/>
              <w:right w:val="single" w:sz="6" w:space="0" w:color="000000"/>
            </w:tcBorders>
          </w:tcPr>
          <w:p>
            <w:pPr>
              <w:pStyle w:val="TableParagraph"/>
              <w:spacing w:before="45" w:line="215" w:lineRule="exact"/>
              <w:ind w:left="353" w:right="321"/>
              <w:rPr>
                <w:sz w:val="18"/>
              </w:rPr>
            </w:pPr>
            <w:r>
              <w:rPr>
                <w:sz w:val="18"/>
              </w:rPr>
              <w:t>MPa</w:t>
            </w:r>
          </w:p>
        </w:tc>
        <w:tc>
          <w:tcPr>
            <w:tcW w:w="1277" w:type="dxa"/>
            <w:tcBorders>
              <w:top w:val="single" w:sz="6" w:space="0" w:color="000000"/>
              <w:left w:val="single" w:sz="6" w:space="0" w:color="000000"/>
              <w:bottom w:val="single" w:sz="6" w:space="0" w:color="000000"/>
              <w:right w:val="single" w:sz="6" w:space="0" w:color="000000"/>
            </w:tcBorders>
          </w:tcPr>
          <w:p>
            <w:pPr>
              <w:pStyle w:val="TableParagraph"/>
              <w:spacing w:before="45" w:line="215" w:lineRule="exact"/>
              <w:ind w:left="353" w:right="326"/>
              <w:rPr>
                <w:sz w:val="18"/>
              </w:rPr>
            </w:pPr>
            <w:r>
              <w:rPr>
                <w:sz w:val="18"/>
              </w:rPr>
              <w:t>MPa</w:t>
            </w:r>
          </w:p>
        </w:tc>
        <w:tc>
          <w:tcPr>
            <w:tcW w:w="1203" w:type="dxa"/>
            <w:tcBorders>
              <w:top w:val="single" w:sz="6" w:space="0" w:color="000000"/>
              <w:left w:val="single" w:sz="6" w:space="0" w:color="000000"/>
              <w:bottom w:val="single" w:sz="6" w:space="0" w:color="000000"/>
              <w:right w:val="single" w:sz="6" w:space="0" w:color="000000"/>
            </w:tcBorders>
          </w:tcPr>
          <w:p>
            <w:pPr>
              <w:pStyle w:val="TableParagraph"/>
              <w:spacing w:before="45" w:line="215" w:lineRule="exact"/>
              <w:ind w:right="440"/>
              <w:jc w:val="right"/>
              <w:rPr>
                <w:sz w:val="18"/>
              </w:rPr>
            </w:pPr>
            <w:r>
              <w:rPr>
                <w:sz w:val="18"/>
              </w:rPr>
              <w:t>MPa</w:t>
            </w:r>
          </w:p>
        </w:tc>
        <w:tc>
          <w:tcPr>
            <w:tcW w:w="1460" w:type="dxa"/>
            <w:tcBorders>
              <w:top w:val="single" w:sz="6" w:space="0" w:color="000000"/>
              <w:left w:val="single" w:sz="6" w:space="0" w:color="000000"/>
              <w:bottom w:val="single" w:sz="6" w:space="0" w:color="000000"/>
            </w:tcBorders>
          </w:tcPr>
          <w:p>
            <w:pPr>
              <w:pStyle w:val="TableParagraph"/>
              <w:spacing w:before="45" w:line="215" w:lineRule="exact"/>
              <w:ind w:left="446" w:right="409"/>
              <w:rPr>
                <w:sz w:val="18"/>
              </w:rPr>
            </w:pPr>
            <w:r>
              <w:rPr>
                <w:sz w:val="18"/>
              </w:rPr>
              <w:t>MPa</w:t>
            </w:r>
          </w:p>
        </w:tc>
      </w:tr>
      <w:tr>
        <w:tblPrEx>
          <w:tblW w:w="0" w:type="auto"/>
          <w:jc w:val="left"/>
          <w:tblInd w:w="572" w:type="dxa"/>
          <w:tblLayout w:type="fixed"/>
          <w:tblCellMar>
            <w:top w:w="0" w:type="dxa"/>
            <w:left w:w="0" w:type="dxa"/>
            <w:bottom w:w="0" w:type="dxa"/>
            <w:right w:w="0" w:type="dxa"/>
          </w:tblCellMar>
          <w:tblLook w:val="01E0"/>
        </w:tblPrEx>
        <w:trPr>
          <w:trHeight w:val="280"/>
          <w:jc w:val="left"/>
        </w:trPr>
        <w:tc>
          <w:tcPr>
            <w:tcW w:w="1577" w:type="dxa"/>
            <w:tcBorders>
              <w:top w:val="single" w:sz="6" w:space="0" w:color="000000"/>
              <w:bottom w:val="single" w:sz="6" w:space="0" w:color="000000"/>
              <w:right w:val="single" w:sz="6" w:space="0" w:color="000000"/>
            </w:tcBorders>
          </w:tcPr>
          <w:p>
            <w:pPr>
              <w:pStyle w:val="TableParagraph"/>
              <w:spacing w:before="45" w:line="215" w:lineRule="exact"/>
              <w:ind w:left="411" w:right="383"/>
              <w:rPr>
                <w:sz w:val="18"/>
              </w:rPr>
            </w:pPr>
            <w:r>
              <w:rPr>
                <w:sz w:val="18"/>
              </w:rPr>
              <w:t>质量要求</w:t>
            </w:r>
          </w:p>
        </w:tc>
        <w:tc>
          <w:tcPr>
            <w:tcW w:w="1241" w:type="dxa"/>
            <w:tcBorders>
              <w:top w:val="single" w:sz="6" w:space="0" w:color="000000"/>
              <w:left w:val="single" w:sz="6" w:space="0" w:color="000000"/>
              <w:bottom w:val="single" w:sz="6" w:space="0" w:color="000000"/>
              <w:right w:val="single" w:sz="6" w:space="0" w:color="000000"/>
            </w:tcBorders>
          </w:tcPr>
          <w:p>
            <w:pPr>
              <w:pStyle w:val="TableParagraph"/>
              <w:spacing w:before="45" w:line="215" w:lineRule="exact"/>
              <w:ind w:left="199" w:right="171"/>
              <w:rPr>
                <w:sz w:val="18"/>
              </w:rPr>
            </w:pPr>
            <w:r>
              <w:rPr>
                <w:sz w:val="18"/>
              </w:rPr>
              <w:t>≤10</w:t>
            </w:r>
          </w:p>
        </w:tc>
        <w:tc>
          <w:tcPr>
            <w:tcW w:w="1241" w:type="dxa"/>
            <w:tcBorders>
              <w:top w:val="single" w:sz="6" w:space="0" w:color="000000"/>
              <w:left w:val="single" w:sz="6" w:space="0" w:color="000000"/>
              <w:bottom w:val="single" w:sz="6" w:space="0" w:color="000000"/>
              <w:right w:val="single" w:sz="6" w:space="0" w:color="000000"/>
            </w:tcBorders>
          </w:tcPr>
          <w:p>
            <w:pPr>
              <w:pStyle w:val="TableParagraph"/>
              <w:spacing w:before="45" w:line="215" w:lineRule="exact"/>
              <w:ind w:left="201" w:right="171"/>
              <w:rPr>
                <w:sz w:val="18"/>
              </w:rPr>
            </w:pPr>
            <w:r>
              <w:rPr>
                <w:sz w:val="18"/>
              </w:rPr>
              <w:t>合格</w:t>
            </w:r>
          </w:p>
        </w:tc>
        <w:tc>
          <w:tcPr>
            <w:tcW w:w="1277" w:type="dxa"/>
            <w:tcBorders>
              <w:top w:val="single" w:sz="4" w:space="0" w:color="000000"/>
              <w:left w:val="single" w:sz="6" w:space="0" w:color="000000"/>
              <w:bottom w:val="single" w:sz="4" w:space="0" w:color="000000"/>
              <w:right w:val="single" w:sz="6" w:space="0" w:color="000000"/>
            </w:tcBorders>
          </w:tcPr>
          <w:p>
            <w:pPr>
              <w:pStyle w:val="TableParagraph"/>
              <w:spacing w:before="45" w:line="215" w:lineRule="exact"/>
              <w:ind w:left="353" w:right="319"/>
              <w:rPr>
                <w:sz w:val="18"/>
              </w:rPr>
            </w:pPr>
            <w:r>
              <w:rPr>
                <w:sz w:val="18"/>
              </w:rPr>
              <w:t>≥11</w:t>
            </w:r>
          </w:p>
        </w:tc>
        <w:tc>
          <w:tcPr>
            <w:tcW w:w="1277" w:type="dxa"/>
            <w:tcBorders>
              <w:top w:val="single" w:sz="6" w:space="0" w:color="000000"/>
              <w:left w:val="single" w:sz="6" w:space="0" w:color="000000"/>
              <w:bottom w:val="single" w:sz="4" w:space="0" w:color="000000"/>
              <w:right w:val="single" w:sz="6" w:space="0" w:color="000000"/>
            </w:tcBorders>
          </w:tcPr>
          <w:p>
            <w:pPr>
              <w:pStyle w:val="TableParagraph"/>
              <w:spacing w:before="45" w:line="215" w:lineRule="exact"/>
              <w:ind w:left="353" w:right="328"/>
              <w:rPr>
                <w:sz w:val="18"/>
              </w:rPr>
            </w:pPr>
            <w:r>
              <w:rPr>
                <w:sz w:val="18"/>
              </w:rPr>
              <w:t>≥32.5</w:t>
            </w:r>
          </w:p>
        </w:tc>
        <w:tc>
          <w:tcPr>
            <w:tcW w:w="1203" w:type="dxa"/>
            <w:tcBorders>
              <w:top w:val="single" w:sz="6" w:space="0" w:color="000000"/>
              <w:left w:val="single" w:sz="6" w:space="0" w:color="000000"/>
              <w:bottom w:val="single" w:sz="4" w:space="0" w:color="000000"/>
              <w:right w:val="single" w:sz="6" w:space="0" w:color="000000"/>
            </w:tcBorders>
          </w:tcPr>
          <w:p>
            <w:pPr>
              <w:pStyle w:val="TableParagraph"/>
              <w:spacing w:before="45" w:line="215" w:lineRule="exact"/>
              <w:ind w:right="395"/>
              <w:jc w:val="right"/>
              <w:rPr>
                <w:sz w:val="18"/>
              </w:rPr>
            </w:pPr>
            <w:r>
              <w:rPr>
                <w:sz w:val="18"/>
              </w:rPr>
              <w:t>≥17</w:t>
            </w:r>
          </w:p>
        </w:tc>
        <w:tc>
          <w:tcPr>
            <w:tcW w:w="1460" w:type="dxa"/>
            <w:tcBorders>
              <w:top w:val="single" w:sz="6" w:space="0" w:color="000000"/>
              <w:left w:val="single" w:sz="6" w:space="0" w:color="000000"/>
              <w:bottom w:val="single" w:sz="4" w:space="0" w:color="000000"/>
            </w:tcBorders>
          </w:tcPr>
          <w:p>
            <w:pPr>
              <w:pStyle w:val="TableParagraph"/>
              <w:spacing w:before="45" w:line="215" w:lineRule="exact"/>
              <w:ind w:left="446" w:right="411"/>
              <w:rPr>
                <w:sz w:val="18"/>
              </w:rPr>
            </w:pPr>
            <w:r>
              <w:rPr>
                <w:sz w:val="18"/>
              </w:rPr>
              <w:t>≥42.5</w:t>
            </w:r>
          </w:p>
        </w:tc>
      </w:tr>
      <w:tr>
        <w:tblPrEx>
          <w:tblW w:w="0" w:type="auto"/>
          <w:jc w:val="left"/>
          <w:tblInd w:w="572" w:type="dxa"/>
          <w:tblLayout w:type="fixed"/>
          <w:tblCellMar>
            <w:top w:w="0" w:type="dxa"/>
            <w:left w:w="0" w:type="dxa"/>
            <w:bottom w:w="0" w:type="dxa"/>
            <w:right w:w="0" w:type="dxa"/>
          </w:tblCellMar>
          <w:tblLook w:val="01E0"/>
        </w:tblPrEx>
        <w:trPr>
          <w:trHeight w:val="280"/>
          <w:jc w:val="left"/>
        </w:trPr>
        <w:tc>
          <w:tcPr>
            <w:tcW w:w="1577" w:type="dxa"/>
            <w:tcBorders>
              <w:top w:val="single" w:sz="6" w:space="0" w:color="000000"/>
              <w:bottom w:val="single" w:sz="4" w:space="0" w:color="000000"/>
              <w:right w:val="single" w:sz="6" w:space="0" w:color="000000"/>
            </w:tcBorders>
          </w:tcPr>
          <w:p>
            <w:pPr>
              <w:pStyle w:val="TableParagraph"/>
              <w:spacing w:before="45" w:line="215" w:lineRule="exact"/>
              <w:ind w:left="411" w:right="383"/>
              <w:rPr>
                <w:sz w:val="18"/>
              </w:rPr>
            </w:pPr>
            <w:r>
              <w:rPr>
                <w:sz w:val="18"/>
              </w:rPr>
              <w:t>试验方法</w:t>
            </w:r>
          </w:p>
        </w:tc>
        <w:tc>
          <w:tcPr>
            <w:tcW w:w="1241" w:type="dxa"/>
            <w:tcBorders>
              <w:top w:val="single" w:sz="6" w:space="0" w:color="000000"/>
              <w:left w:val="single" w:sz="6" w:space="0" w:color="000000"/>
              <w:bottom w:val="single" w:sz="4" w:space="0" w:color="000000"/>
              <w:right w:val="single" w:sz="6" w:space="0" w:color="000000"/>
            </w:tcBorders>
          </w:tcPr>
          <w:p>
            <w:pPr>
              <w:pStyle w:val="TableParagraph"/>
              <w:spacing w:before="45" w:line="215" w:lineRule="exact"/>
              <w:ind w:left="199" w:right="171"/>
              <w:rPr>
                <w:sz w:val="18"/>
              </w:rPr>
            </w:pPr>
            <w:r>
              <w:rPr>
                <w:sz w:val="18"/>
              </w:rPr>
              <w:t>GB/T 1345</w:t>
            </w:r>
          </w:p>
        </w:tc>
        <w:tc>
          <w:tcPr>
            <w:tcW w:w="1241" w:type="dxa"/>
            <w:tcBorders>
              <w:top w:val="single" w:sz="6" w:space="0" w:color="000000"/>
              <w:left w:val="single" w:sz="6" w:space="0" w:color="000000"/>
              <w:bottom w:val="single" w:sz="4" w:space="0" w:color="000000"/>
              <w:right w:val="single" w:sz="6" w:space="0" w:color="000000"/>
            </w:tcBorders>
          </w:tcPr>
          <w:p>
            <w:pPr>
              <w:pStyle w:val="TableParagraph"/>
              <w:spacing w:before="45" w:line="215" w:lineRule="exact"/>
              <w:ind w:left="202" w:right="169"/>
              <w:rPr>
                <w:sz w:val="18"/>
              </w:rPr>
            </w:pPr>
            <w:r>
              <w:rPr>
                <w:sz w:val="18"/>
              </w:rPr>
              <w:t>GB/T 1346</w:t>
            </w:r>
          </w:p>
        </w:tc>
        <w:tc>
          <w:tcPr>
            <w:tcW w:w="5217" w:type="dxa"/>
            <w:gridSpan w:val="4"/>
            <w:tcBorders>
              <w:top w:val="single" w:sz="4" w:space="0" w:color="000000"/>
              <w:left w:val="single" w:sz="6" w:space="0" w:color="000000"/>
              <w:bottom w:val="single" w:sz="4" w:space="0" w:color="000000"/>
            </w:tcBorders>
          </w:tcPr>
          <w:p>
            <w:pPr>
              <w:pStyle w:val="TableParagraph"/>
              <w:spacing w:before="45" w:line="215" w:lineRule="exact"/>
              <w:ind w:left="2144" w:right="2110"/>
              <w:rPr>
                <w:sz w:val="18"/>
              </w:rPr>
            </w:pPr>
            <w:r>
              <w:rPr>
                <w:sz w:val="18"/>
              </w:rPr>
              <w:t>GB/T 17671</w:t>
            </w:r>
          </w:p>
        </w:tc>
      </w:tr>
      <w:tr>
        <w:tblPrEx>
          <w:tblW w:w="0" w:type="auto"/>
          <w:jc w:val="left"/>
          <w:tblInd w:w="572" w:type="dxa"/>
          <w:tblLayout w:type="fixed"/>
          <w:tblCellMar>
            <w:top w:w="0" w:type="dxa"/>
            <w:left w:w="0" w:type="dxa"/>
            <w:bottom w:w="0" w:type="dxa"/>
            <w:right w:w="0" w:type="dxa"/>
          </w:tblCellMar>
          <w:tblLook w:val="01E0"/>
        </w:tblPrEx>
        <w:trPr>
          <w:trHeight w:val="282"/>
          <w:jc w:val="left"/>
        </w:trPr>
        <w:tc>
          <w:tcPr>
            <w:tcW w:w="9276" w:type="dxa"/>
            <w:gridSpan w:val="7"/>
            <w:tcBorders>
              <w:top w:val="single" w:sz="4" w:space="0" w:color="000000"/>
            </w:tcBorders>
          </w:tcPr>
          <w:p>
            <w:pPr>
              <w:pStyle w:val="TableParagraph"/>
              <w:spacing w:before="43" w:line="219" w:lineRule="exact"/>
              <w:ind w:left="817"/>
              <w:jc w:val="left"/>
              <w:rPr>
                <w:sz w:val="18"/>
              </w:rPr>
            </w:pPr>
            <w:r>
              <w:rPr>
                <w:position w:val="9"/>
                <w:sz w:val="9"/>
              </w:rPr>
              <w:t xml:space="preserve">a </w:t>
            </w:r>
            <w:r>
              <w:rPr>
                <w:sz w:val="18"/>
              </w:rPr>
              <w:t>夏季高温作业时，水泥温度不宜高于 50℃，否则应采用降温措施。</w:t>
            </w:r>
          </w:p>
        </w:tc>
      </w:tr>
    </w:tbl>
    <w:p>
      <w:pPr>
        <w:pStyle w:val="ListParagraph"/>
        <w:numPr>
          <w:ilvl w:val="3"/>
          <w:numId w:val="25"/>
        </w:numPr>
        <w:tabs>
          <w:tab w:val="left" w:pos="1462"/>
        </w:tabs>
        <w:spacing w:before="179" w:after="0" w:line="278" w:lineRule="auto"/>
        <w:ind w:left="516" w:right="318" w:firstLine="0"/>
        <w:jc w:val="both"/>
        <w:rPr>
          <w:sz w:val="21"/>
        </w:rPr>
      </w:pPr>
      <w:bookmarkStart w:id="86" w:name="5.2.1.2  集料  宜采用反击式破碎机轧制的集料，进场后按本指南4.2.1"/>
      <w:bookmarkEnd w:id="86"/>
      <w:r>
        <w:rPr>
          <w:spacing w:val="-5"/>
          <w:sz w:val="21"/>
        </w:rPr>
        <w:t xml:space="preserve">集料 宜采用反击式破碎机轧制的集料，进场后按本指南 </w:t>
      </w:r>
      <w:r>
        <w:rPr>
          <w:sz w:val="21"/>
        </w:rPr>
        <w:t>4.2.1.3</w:t>
      </w:r>
      <w:r>
        <w:rPr>
          <w:spacing w:val="-9"/>
          <w:sz w:val="21"/>
        </w:rPr>
        <w:t xml:space="preserve"> 的要求分档堆放，集料的</w:t>
      </w:r>
      <w:r>
        <w:rPr>
          <w:spacing w:val="-11"/>
          <w:sz w:val="21"/>
        </w:rPr>
        <w:t xml:space="preserve">质量技术要求见表 </w:t>
      </w:r>
      <w:r>
        <w:rPr>
          <w:spacing w:val="-3"/>
          <w:sz w:val="21"/>
        </w:rPr>
        <w:t>2</w:t>
      </w:r>
      <w:r>
        <w:rPr>
          <w:sz w:val="21"/>
        </w:rPr>
        <w:t>。</w:t>
      </w:r>
    </w:p>
    <w:p>
      <w:pPr>
        <w:pStyle w:val="BodyText"/>
        <w:tabs>
          <w:tab w:val="left" w:pos="779"/>
        </w:tabs>
        <w:spacing w:before="155"/>
        <w:ind w:left="201"/>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2</w:t>
        <w:tab/>
        <w:t>集</w:t>
      </w:r>
      <w:r>
        <w:rPr>
          <w:rFonts w:ascii="黑体" w:eastAsia="黑体" w:hint="eastAsia"/>
          <w:spacing w:val="-3"/>
        </w:rPr>
        <w:t>料</w:t>
      </w:r>
      <w:r>
        <w:rPr>
          <w:rFonts w:ascii="黑体" w:eastAsia="黑体" w:hint="eastAsia"/>
        </w:rPr>
        <w:t>质</w:t>
      </w:r>
      <w:r>
        <w:rPr>
          <w:rFonts w:ascii="黑体" w:eastAsia="黑体" w:hint="eastAsia"/>
          <w:spacing w:val="-3"/>
        </w:rPr>
        <w:t>量</w:t>
      </w:r>
      <w:r>
        <w:rPr>
          <w:rFonts w:ascii="黑体" w:eastAsia="黑体" w:hint="eastAsia"/>
        </w:rPr>
        <w:t>技</w:t>
      </w:r>
      <w:r>
        <w:rPr>
          <w:rFonts w:ascii="黑体" w:eastAsia="黑体" w:hint="eastAsia"/>
          <w:spacing w:val="-3"/>
        </w:rPr>
        <w:t>术</w:t>
      </w:r>
      <w:r>
        <w:rPr>
          <w:rFonts w:ascii="黑体" w:eastAsia="黑体" w:hint="eastAsia"/>
        </w:rPr>
        <w:t>要求</w:t>
      </w:r>
    </w:p>
    <w:p>
      <w:pPr>
        <w:pStyle w:val="BodyText"/>
        <w:spacing w:before="10"/>
        <w:rPr>
          <w:rFonts w:ascii="黑体"/>
          <w:sz w:val="13"/>
        </w:rPr>
      </w:pPr>
    </w:p>
    <w:tbl>
      <w:tblPr>
        <w:tblStyle w:val="TableNormal1"/>
        <w:tblW w:w="0" w:type="auto"/>
        <w:jc w:val="left"/>
        <w:tblInd w:w="5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03"/>
        <w:gridCol w:w="991"/>
        <w:gridCol w:w="1629"/>
        <w:gridCol w:w="1631"/>
        <w:gridCol w:w="1698"/>
      </w:tblGrid>
      <w:tr>
        <w:tblPrEx>
          <w:tblW w:w="0" w:type="auto"/>
          <w:jc w:val="left"/>
          <w:tblInd w:w="5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11"/>
          <w:jc w:val="left"/>
        </w:trPr>
        <w:tc>
          <w:tcPr>
            <w:tcW w:w="3403" w:type="dxa"/>
            <w:vMerge w:val="restart"/>
            <w:tcBorders>
              <w:bottom w:val="single" w:sz="4" w:space="0" w:color="000000"/>
              <w:right w:val="single" w:sz="4" w:space="0" w:color="000000"/>
            </w:tcBorders>
          </w:tcPr>
          <w:p>
            <w:pPr>
              <w:pStyle w:val="TableParagraph"/>
              <w:spacing w:before="3"/>
              <w:jc w:val="left"/>
              <w:rPr>
                <w:rFonts w:ascii="黑体"/>
                <w:sz w:val="16"/>
              </w:rPr>
            </w:pPr>
          </w:p>
          <w:p>
            <w:pPr>
              <w:pStyle w:val="TableParagraph"/>
              <w:spacing w:before="0"/>
              <w:ind w:left="239" w:right="220"/>
              <w:rPr>
                <w:sz w:val="18"/>
              </w:rPr>
            </w:pPr>
            <w:r>
              <w:rPr>
                <w:sz w:val="18"/>
              </w:rPr>
              <w:t>指 标</w:t>
            </w:r>
          </w:p>
        </w:tc>
        <w:tc>
          <w:tcPr>
            <w:tcW w:w="991" w:type="dxa"/>
            <w:vMerge w:val="restart"/>
            <w:tcBorders>
              <w:left w:val="single" w:sz="4" w:space="0" w:color="000000"/>
              <w:bottom w:val="single" w:sz="4" w:space="0" w:color="000000"/>
              <w:right w:val="single" w:sz="4" w:space="0" w:color="000000"/>
            </w:tcBorders>
          </w:tcPr>
          <w:p>
            <w:pPr>
              <w:pStyle w:val="TableParagraph"/>
              <w:spacing w:before="3"/>
              <w:jc w:val="left"/>
              <w:rPr>
                <w:rFonts w:ascii="黑体"/>
                <w:sz w:val="16"/>
              </w:rPr>
            </w:pPr>
          </w:p>
          <w:p>
            <w:pPr>
              <w:pStyle w:val="TableParagraph"/>
              <w:spacing w:before="0"/>
              <w:ind w:left="326"/>
              <w:jc w:val="left"/>
              <w:rPr>
                <w:sz w:val="18"/>
              </w:rPr>
            </w:pPr>
            <w:r>
              <w:rPr>
                <w:sz w:val="18"/>
              </w:rPr>
              <w:t>单位</w:t>
            </w:r>
          </w:p>
        </w:tc>
        <w:tc>
          <w:tcPr>
            <w:tcW w:w="3260" w:type="dxa"/>
            <w:gridSpan w:val="2"/>
            <w:tcBorders>
              <w:left w:val="single" w:sz="4" w:space="0" w:color="000000"/>
              <w:bottom w:val="single" w:sz="4" w:space="0" w:color="000000"/>
              <w:right w:val="single" w:sz="4" w:space="0" w:color="000000"/>
            </w:tcBorders>
          </w:tcPr>
          <w:p>
            <w:pPr>
              <w:pStyle w:val="TableParagraph"/>
              <w:spacing w:before="37"/>
              <w:ind w:left="1101"/>
              <w:jc w:val="left"/>
              <w:rPr>
                <w:sz w:val="18"/>
              </w:rPr>
            </w:pPr>
            <w:r>
              <w:rPr>
                <w:sz w:val="18"/>
              </w:rPr>
              <w:t>质量技术要求</w:t>
            </w:r>
          </w:p>
        </w:tc>
        <w:tc>
          <w:tcPr>
            <w:tcW w:w="1698" w:type="dxa"/>
            <w:vMerge w:val="restart"/>
            <w:tcBorders>
              <w:left w:val="single" w:sz="4" w:space="0" w:color="000000"/>
              <w:bottom w:val="single" w:sz="4" w:space="0" w:color="000000"/>
            </w:tcBorders>
          </w:tcPr>
          <w:p>
            <w:pPr>
              <w:pStyle w:val="TableParagraph"/>
              <w:spacing w:before="3"/>
              <w:jc w:val="left"/>
              <w:rPr>
                <w:rFonts w:ascii="黑体"/>
                <w:sz w:val="16"/>
              </w:rPr>
            </w:pPr>
          </w:p>
          <w:p>
            <w:pPr>
              <w:pStyle w:val="TableParagraph"/>
              <w:spacing w:before="0"/>
              <w:ind w:left="500"/>
              <w:jc w:val="left"/>
              <w:rPr>
                <w:sz w:val="18"/>
              </w:rPr>
            </w:pPr>
            <w:r>
              <w:rPr>
                <w:sz w:val="18"/>
              </w:rPr>
              <w:t>试验方法</w:t>
            </w:r>
          </w:p>
        </w:tc>
      </w:tr>
      <w:tr>
        <w:tblPrEx>
          <w:tblW w:w="0" w:type="auto"/>
          <w:jc w:val="left"/>
          <w:tblInd w:w="531" w:type="dxa"/>
          <w:tblLayout w:type="fixed"/>
          <w:tblCellMar>
            <w:top w:w="0" w:type="dxa"/>
            <w:left w:w="0" w:type="dxa"/>
            <w:bottom w:w="0" w:type="dxa"/>
            <w:right w:w="0" w:type="dxa"/>
          </w:tblCellMar>
          <w:tblLook w:val="01E0"/>
        </w:tblPrEx>
        <w:trPr>
          <w:trHeight w:val="333"/>
          <w:jc w:val="left"/>
        </w:trPr>
        <w:tc>
          <w:tcPr>
            <w:tcW w:w="3403" w:type="dxa"/>
            <w:vMerge/>
            <w:tcBorders>
              <w:top w:val="nil"/>
              <w:bottom w:val="single" w:sz="4" w:space="0" w:color="000000"/>
              <w:right w:val="single" w:sz="4" w:space="0" w:color="000000"/>
            </w:tcBorders>
          </w:tcPr>
          <w:p>
            <w:pPr>
              <w:rPr>
                <w:sz w:val="2"/>
                <w:szCs w:val="2"/>
              </w:rPr>
            </w:pP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1629" w:type="dxa"/>
            <w:tcBorders>
              <w:top w:val="single" w:sz="4" w:space="0" w:color="000000"/>
              <w:left w:val="single" w:sz="4" w:space="0" w:color="000000"/>
              <w:bottom w:val="single" w:sz="4" w:space="0" w:color="000000"/>
              <w:right w:val="single" w:sz="4" w:space="0" w:color="000000"/>
            </w:tcBorders>
          </w:tcPr>
          <w:p>
            <w:pPr>
              <w:pStyle w:val="TableParagraph"/>
              <w:spacing w:before="60"/>
              <w:ind w:left="537" w:right="502"/>
              <w:rPr>
                <w:sz w:val="18"/>
              </w:rPr>
            </w:pPr>
            <w:r>
              <w:rPr>
                <w:sz w:val="18"/>
              </w:rPr>
              <w:t>粗集料</w:t>
            </w:r>
          </w:p>
        </w:tc>
        <w:tc>
          <w:tcPr>
            <w:tcW w:w="1631" w:type="dxa"/>
            <w:tcBorders>
              <w:top w:val="single" w:sz="4" w:space="0" w:color="000000"/>
              <w:left w:val="single" w:sz="4" w:space="0" w:color="000000"/>
              <w:bottom w:val="single" w:sz="4" w:space="0" w:color="000000"/>
              <w:right w:val="single" w:sz="4" w:space="0" w:color="000000"/>
            </w:tcBorders>
          </w:tcPr>
          <w:p>
            <w:pPr>
              <w:pStyle w:val="TableParagraph"/>
              <w:spacing w:before="60"/>
              <w:ind w:left="537" w:right="503"/>
              <w:rPr>
                <w:sz w:val="18"/>
              </w:rPr>
            </w:pPr>
            <w:r>
              <w:rPr>
                <w:sz w:val="18"/>
              </w:rPr>
              <w:t>细集料</w:t>
            </w:r>
          </w:p>
        </w:tc>
        <w:tc>
          <w:tcPr>
            <w:tcW w:w="1698" w:type="dxa"/>
            <w:vMerge/>
            <w:tcBorders>
              <w:top w:val="nil"/>
              <w:left w:val="single" w:sz="4" w:space="0" w:color="000000"/>
              <w:bottom w:val="single" w:sz="4" w:space="0" w:color="000000"/>
            </w:tcBorders>
          </w:tcPr>
          <w:p>
            <w:pPr>
              <w:rPr>
                <w:sz w:val="2"/>
                <w:szCs w:val="2"/>
              </w:rPr>
            </w:pPr>
          </w:p>
        </w:tc>
      </w:tr>
      <w:tr>
        <w:tblPrEx>
          <w:tblW w:w="0" w:type="auto"/>
          <w:jc w:val="left"/>
          <w:tblInd w:w="531" w:type="dxa"/>
          <w:tblLayout w:type="fixed"/>
          <w:tblCellMar>
            <w:top w:w="0" w:type="dxa"/>
            <w:left w:w="0" w:type="dxa"/>
            <w:bottom w:w="0" w:type="dxa"/>
            <w:right w:w="0" w:type="dxa"/>
          </w:tblCellMar>
          <w:tblLook w:val="01E0"/>
        </w:tblPrEx>
        <w:trPr>
          <w:trHeight w:val="311"/>
          <w:jc w:val="left"/>
        </w:trPr>
        <w:tc>
          <w:tcPr>
            <w:tcW w:w="3403" w:type="dxa"/>
            <w:tcBorders>
              <w:top w:val="single" w:sz="4" w:space="0" w:color="000000"/>
              <w:bottom w:val="single" w:sz="4" w:space="0" w:color="000000"/>
              <w:right w:val="single" w:sz="4" w:space="0" w:color="000000"/>
            </w:tcBorders>
          </w:tcPr>
          <w:p>
            <w:pPr>
              <w:pStyle w:val="TableParagraph"/>
              <w:ind w:left="239" w:right="223"/>
              <w:rPr>
                <w:sz w:val="18"/>
              </w:rPr>
            </w:pPr>
            <w:r>
              <w:rPr>
                <w:sz w:val="18"/>
              </w:rPr>
              <w:t>压碎值， 不大于</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ind w:left="460"/>
              <w:jc w:val="left"/>
              <w:rPr>
                <w:sz w:val="18"/>
              </w:rPr>
            </w:pPr>
            <w:r>
              <w:rPr>
                <w:sz w:val="18"/>
              </w:rPr>
              <w:t>%</w:t>
            </w:r>
          </w:p>
        </w:tc>
        <w:tc>
          <w:tcPr>
            <w:tcW w:w="1629" w:type="dxa"/>
            <w:tcBorders>
              <w:top w:val="single" w:sz="4" w:space="0" w:color="000000"/>
              <w:left w:val="single" w:sz="4" w:space="0" w:color="000000"/>
              <w:bottom w:val="single" w:sz="4" w:space="0" w:color="000000"/>
              <w:right w:val="single" w:sz="4" w:space="0" w:color="000000"/>
            </w:tcBorders>
          </w:tcPr>
          <w:p>
            <w:pPr>
              <w:pStyle w:val="TableParagraph"/>
              <w:ind w:left="534" w:right="502"/>
              <w:rPr>
                <w:sz w:val="18"/>
              </w:rPr>
            </w:pPr>
            <w:r>
              <w:rPr>
                <w:sz w:val="18"/>
              </w:rPr>
              <w:t>25</w:t>
            </w:r>
          </w:p>
        </w:tc>
        <w:tc>
          <w:tcPr>
            <w:tcW w:w="1631" w:type="dxa"/>
            <w:tcBorders>
              <w:top w:val="single" w:sz="4" w:space="0" w:color="000000"/>
              <w:left w:val="single" w:sz="4" w:space="0" w:color="000000"/>
              <w:bottom w:val="single" w:sz="4" w:space="0" w:color="000000"/>
              <w:right w:val="single" w:sz="4" w:space="0" w:color="000000"/>
            </w:tcBorders>
          </w:tcPr>
          <w:p>
            <w:pPr>
              <w:pStyle w:val="TableParagraph"/>
              <w:ind w:left="34"/>
              <w:rPr>
                <w:sz w:val="18"/>
              </w:rPr>
            </w:pPr>
            <w:r>
              <w:rPr>
                <w:sz w:val="18"/>
              </w:rPr>
              <w:t>—</w:t>
            </w:r>
          </w:p>
        </w:tc>
        <w:tc>
          <w:tcPr>
            <w:tcW w:w="1698" w:type="dxa"/>
            <w:tcBorders>
              <w:top w:val="single" w:sz="4" w:space="0" w:color="000000"/>
              <w:left w:val="single" w:sz="4" w:space="0" w:color="000000"/>
              <w:bottom w:val="single" w:sz="4" w:space="0" w:color="000000"/>
            </w:tcBorders>
          </w:tcPr>
          <w:p>
            <w:pPr>
              <w:pStyle w:val="TableParagraph"/>
              <w:ind w:left="256" w:right="210"/>
              <w:rPr>
                <w:sz w:val="18"/>
              </w:rPr>
            </w:pPr>
            <w:r>
              <w:rPr>
                <w:sz w:val="18"/>
              </w:rPr>
              <w:t>T 0316</w:t>
            </w:r>
          </w:p>
        </w:tc>
      </w:tr>
      <w:tr>
        <w:tblPrEx>
          <w:tblW w:w="0" w:type="auto"/>
          <w:jc w:val="left"/>
          <w:tblInd w:w="531" w:type="dxa"/>
          <w:tblLayout w:type="fixed"/>
          <w:tblCellMar>
            <w:top w:w="0" w:type="dxa"/>
            <w:left w:w="0" w:type="dxa"/>
            <w:bottom w:w="0" w:type="dxa"/>
            <w:right w:w="0" w:type="dxa"/>
          </w:tblCellMar>
          <w:tblLook w:val="01E0"/>
        </w:tblPrEx>
        <w:trPr>
          <w:trHeight w:val="311"/>
          <w:jc w:val="left"/>
        </w:trPr>
        <w:tc>
          <w:tcPr>
            <w:tcW w:w="3403" w:type="dxa"/>
            <w:tcBorders>
              <w:top w:val="single" w:sz="4" w:space="0" w:color="000000"/>
              <w:bottom w:val="single" w:sz="4" w:space="0" w:color="000000"/>
              <w:right w:val="single" w:sz="4" w:space="0" w:color="000000"/>
            </w:tcBorders>
          </w:tcPr>
          <w:p>
            <w:pPr>
              <w:pStyle w:val="TableParagraph"/>
              <w:ind w:left="239" w:right="220"/>
              <w:rPr>
                <w:sz w:val="18"/>
              </w:rPr>
            </w:pPr>
            <w:r>
              <w:rPr>
                <w:sz w:val="18"/>
              </w:rPr>
              <w:t>表观相对密度，不小于</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ind w:left="415"/>
              <w:jc w:val="left"/>
              <w:rPr>
                <w:sz w:val="18"/>
              </w:rPr>
            </w:pPr>
            <w:r>
              <w:rPr>
                <w:sz w:val="18"/>
              </w:rPr>
              <w:t>—</w:t>
            </w:r>
          </w:p>
        </w:tc>
        <w:tc>
          <w:tcPr>
            <w:tcW w:w="1629" w:type="dxa"/>
            <w:tcBorders>
              <w:top w:val="single" w:sz="4" w:space="0" w:color="000000"/>
              <w:left w:val="single" w:sz="4" w:space="0" w:color="000000"/>
              <w:bottom w:val="single" w:sz="4" w:space="0" w:color="000000"/>
              <w:right w:val="single" w:sz="4" w:space="0" w:color="000000"/>
            </w:tcBorders>
          </w:tcPr>
          <w:p>
            <w:pPr>
              <w:pStyle w:val="TableParagraph"/>
              <w:ind w:left="536" w:right="502"/>
              <w:rPr>
                <w:sz w:val="18"/>
              </w:rPr>
            </w:pPr>
            <w:r>
              <w:rPr>
                <w:sz w:val="18"/>
              </w:rPr>
              <w:t>2.50</w:t>
            </w:r>
          </w:p>
        </w:tc>
        <w:tc>
          <w:tcPr>
            <w:tcW w:w="1631" w:type="dxa"/>
            <w:tcBorders>
              <w:top w:val="single" w:sz="4" w:space="0" w:color="000000"/>
              <w:left w:val="single" w:sz="4" w:space="0" w:color="000000"/>
              <w:bottom w:val="single" w:sz="4" w:space="0" w:color="000000"/>
              <w:right w:val="single" w:sz="4" w:space="0" w:color="000000"/>
            </w:tcBorders>
          </w:tcPr>
          <w:p>
            <w:pPr>
              <w:pStyle w:val="TableParagraph"/>
              <w:ind w:left="536" w:right="503"/>
              <w:rPr>
                <w:sz w:val="18"/>
              </w:rPr>
            </w:pPr>
            <w:r>
              <w:rPr>
                <w:sz w:val="18"/>
              </w:rPr>
              <w:t>2.50</w:t>
            </w:r>
          </w:p>
        </w:tc>
        <w:tc>
          <w:tcPr>
            <w:tcW w:w="1698" w:type="dxa"/>
            <w:tcBorders>
              <w:top w:val="single" w:sz="4" w:space="0" w:color="000000"/>
              <w:left w:val="single" w:sz="4" w:space="0" w:color="000000"/>
              <w:bottom w:val="single" w:sz="4" w:space="0" w:color="000000"/>
            </w:tcBorders>
          </w:tcPr>
          <w:p>
            <w:pPr>
              <w:pStyle w:val="TableParagraph"/>
              <w:ind w:left="257" w:right="210"/>
              <w:rPr>
                <w:sz w:val="18"/>
              </w:rPr>
            </w:pPr>
            <w:r>
              <w:rPr>
                <w:sz w:val="18"/>
              </w:rPr>
              <w:t>T 0304/T 0328</w:t>
            </w:r>
          </w:p>
        </w:tc>
      </w:tr>
      <w:tr>
        <w:tblPrEx>
          <w:tblW w:w="0" w:type="auto"/>
          <w:jc w:val="left"/>
          <w:tblInd w:w="531" w:type="dxa"/>
          <w:tblLayout w:type="fixed"/>
          <w:tblCellMar>
            <w:top w:w="0" w:type="dxa"/>
            <w:left w:w="0" w:type="dxa"/>
            <w:bottom w:w="0" w:type="dxa"/>
            <w:right w:w="0" w:type="dxa"/>
          </w:tblCellMar>
          <w:tblLook w:val="01E0"/>
        </w:tblPrEx>
        <w:trPr>
          <w:trHeight w:val="364"/>
          <w:jc w:val="left"/>
        </w:trPr>
        <w:tc>
          <w:tcPr>
            <w:tcW w:w="3403" w:type="dxa"/>
            <w:tcBorders>
              <w:top w:val="single" w:sz="4" w:space="0" w:color="000000"/>
              <w:bottom w:val="single" w:sz="4" w:space="0" w:color="000000"/>
              <w:right w:val="single" w:sz="4" w:space="0" w:color="000000"/>
            </w:tcBorders>
          </w:tcPr>
          <w:p>
            <w:pPr>
              <w:pStyle w:val="TableParagraph"/>
              <w:spacing w:before="64"/>
              <w:ind w:left="239" w:right="223"/>
              <w:rPr>
                <w:sz w:val="18"/>
              </w:rPr>
            </w:pPr>
            <w:r>
              <w:rPr>
                <w:sz w:val="18"/>
              </w:rPr>
              <w:t>吸水率，不大于</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64"/>
              <w:ind w:left="460"/>
              <w:jc w:val="left"/>
              <w:rPr>
                <w:sz w:val="18"/>
              </w:rPr>
            </w:pPr>
            <w:r>
              <w:rPr>
                <w:sz w:val="18"/>
              </w:rPr>
              <w:t>%</w:t>
            </w:r>
          </w:p>
        </w:tc>
        <w:tc>
          <w:tcPr>
            <w:tcW w:w="1629" w:type="dxa"/>
            <w:tcBorders>
              <w:top w:val="single" w:sz="4" w:space="0" w:color="000000"/>
              <w:left w:val="single" w:sz="4" w:space="0" w:color="000000"/>
              <w:bottom w:val="single" w:sz="4" w:space="0" w:color="000000"/>
              <w:right w:val="single" w:sz="4" w:space="0" w:color="000000"/>
            </w:tcBorders>
          </w:tcPr>
          <w:p>
            <w:pPr>
              <w:pStyle w:val="TableParagraph"/>
              <w:spacing w:before="64"/>
              <w:ind w:left="31"/>
              <w:rPr>
                <w:sz w:val="18"/>
              </w:rPr>
            </w:pPr>
            <w:r>
              <w:rPr>
                <w:sz w:val="18"/>
              </w:rPr>
              <w:t>3</w:t>
            </w:r>
          </w:p>
        </w:tc>
        <w:tc>
          <w:tcPr>
            <w:tcW w:w="1631" w:type="dxa"/>
            <w:tcBorders>
              <w:top w:val="single" w:sz="4" w:space="0" w:color="000000"/>
              <w:left w:val="single" w:sz="4" w:space="0" w:color="000000"/>
              <w:bottom w:val="single" w:sz="4" w:space="0" w:color="000000"/>
              <w:right w:val="single" w:sz="4" w:space="0" w:color="000000"/>
            </w:tcBorders>
          </w:tcPr>
          <w:p>
            <w:pPr>
              <w:pStyle w:val="TableParagraph"/>
              <w:spacing w:before="64"/>
              <w:ind w:left="34"/>
              <w:rPr>
                <w:sz w:val="18"/>
              </w:rPr>
            </w:pPr>
            <w:r>
              <w:rPr>
                <w:sz w:val="18"/>
              </w:rPr>
              <w:t>—</w:t>
            </w:r>
          </w:p>
        </w:tc>
        <w:tc>
          <w:tcPr>
            <w:tcW w:w="1698" w:type="dxa"/>
            <w:tcBorders>
              <w:top w:val="single" w:sz="4" w:space="0" w:color="000000"/>
              <w:left w:val="single" w:sz="4" w:space="0" w:color="000000"/>
              <w:bottom w:val="single" w:sz="4" w:space="0" w:color="000000"/>
            </w:tcBorders>
          </w:tcPr>
          <w:p>
            <w:pPr>
              <w:pStyle w:val="TableParagraph"/>
              <w:spacing w:before="64"/>
              <w:ind w:left="256" w:right="210"/>
              <w:rPr>
                <w:sz w:val="18"/>
              </w:rPr>
            </w:pPr>
            <w:r>
              <w:rPr>
                <w:sz w:val="18"/>
              </w:rPr>
              <w:t>T 0304</w:t>
            </w:r>
          </w:p>
        </w:tc>
      </w:tr>
      <w:tr>
        <w:tblPrEx>
          <w:tblW w:w="0" w:type="auto"/>
          <w:jc w:val="left"/>
          <w:tblInd w:w="531" w:type="dxa"/>
          <w:tblLayout w:type="fixed"/>
          <w:tblCellMar>
            <w:top w:w="0" w:type="dxa"/>
            <w:left w:w="0" w:type="dxa"/>
            <w:bottom w:w="0" w:type="dxa"/>
            <w:right w:w="0" w:type="dxa"/>
          </w:tblCellMar>
          <w:tblLook w:val="01E0"/>
        </w:tblPrEx>
        <w:trPr>
          <w:trHeight w:val="364"/>
          <w:jc w:val="left"/>
        </w:trPr>
        <w:tc>
          <w:tcPr>
            <w:tcW w:w="3403" w:type="dxa"/>
            <w:tcBorders>
              <w:top w:val="single" w:sz="4" w:space="0" w:color="000000"/>
              <w:bottom w:val="single" w:sz="4" w:space="0" w:color="000000"/>
              <w:right w:val="single" w:sz="4" w:space="0" w:color="000000"/>
            </w:tcBorders>
          </w:tcPr>
          <w:p>
            <w:pPr>
              <w:pStyle w:val="TableParagraph"/>
              <w:spacing w:before="21"/>
              <w:ind w:left="239" w:right="220"/>
              <w:rPr>
                <w:sz w:val="18"/>
              </w:rPr>
            </w:pPr>
            <w:r>
              <w:rPr>
                <w:sz w:val="18"/>
              </w:rPr>
              <w:t xml:space="preserve">坚固性 </w:t>
            </w:r>
            <w:r>
              <w:rPr>
                <w:rFonts w:ascii="Calibri" w:eastAsia="Calibri"/>
                <w:position w:val="10"/>
                <w:sz w:val="14"/>
              </w:rPr>
              <w:t>a</w:t>
            </w:r>
            <w:r>
              <w:rPr>
                <w:sz w:val="18"/>
              </w:rPr>
              <w:t>，不大于</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64"/>
              <w:ind w:left="460"/>
              <w:jc w:val="left"/>
              <w:rPr>
                <w:sz w:val="18"/>
              </w:rPr>
            </w:pPr>
            <w:r>
              <w:rPr>
                <w:sz w:val="18"/>
              </w:rPr>
              <w:t>%</w:t>
            </w:r>
          </w:p>
        </w:tc>
        <w:tc>
          <w:tcPr>
            <w:tcW w:w="1629" w:type="dxa"/>
            <w:tcBorders>
              <w:top w:val="single" w:sz="4" w:space="0" w:color="000000"/>
              <w:left w:val="single" w:sz="4" w:space="0" w:color="000000"/>
              <w:bottom w:val="single" w:sz="4" w:space="0" w:color="000000"/>
              <w:right w:val="single" w:sz="4" w:space="0" w:color="000000"/>
            </w:tcBorders>
          </w:tcPr>
          <w:p>
            <w:pPr>
              <w:pStyle w:val="TableParagraph"/>
              <w:spacing w:before="64"/>
              <w:ind w:left="534" w:right="502"/>
              <w:rPr>
                <w:sz w:val="18"/>
              </w:rPr>
            </w:pPr>
            <w:r>
              <w:rPr>
                <w:sz w:val="18"/>
              </w:rPr>
              <w:t>12</w:t>
            </w:r>
          </w:p>
        </w:tc>
        <w:tc>
          <w:tcPr>
            <w:tcW w:w="1631" w:type="dxa"/>
            <w:tcBorders>
              <w:top w:val="single" w:sz="4" w:space="0" w:color="000000"/>
              <w:left w:val="single" w:sz="4" w:space="0" w:color="000000"/>
              <w:bottom w:val="single" w:sz="4" w:space="0" w:color="000000"/>
              <w:right w:val="single" w:sz="4" w:space="0" w:color="000000"/>
            </w:tcBorders>
          </w:tcPr>
          <w:p>
            <w:pPr>
              <w:pStyle w:val="TableParagraph"/>
              <w:spacing w:before="64"/>
              <w:ind w:left="537" w:right="501"/>
              <w:rPr>
                <w:sz w:val="18"/>
              </w:rPr>
            </w:pPr>
            <w:r>
              <w:rPr>
                <w:sz w:val="18"/>
              </w:rPr>
              <w:t>12</w:t>
            </w:r>
          </w:p>
        </w:tc>
        <w:tc>
          <w:tcPr>
            <w:tcW w:w="1698" w:type="dxa"/>
            <w:tcBorders>
              <w:top w:val="single" w:sz="4" w:space="0" w:color="000000"/>
              <w:left w:val="single" w:sz="4" w:space="0" w:color="000000"/>
              <w:bottom w:val="single" w:sz="4" w:space="0" w:color="000000"/>
            </w:tcBorders>
          </w:tcPr>
          <w:p>
            <w:pPr>
              <w:pStyle w:val="TableParagraph"/>
              <w:spacing w:before="64"/>
              <w:ind w:left="256" w:right="210"/>
              <w:rPr>
                <w:sz w:val="18"/>
              </w:rPr>
            </w:pPr>
            <w:r>
              <w:rPr>
                <w:sz w:val="18"/>
              </w:rPr>
              <w:t>T 0314/T 0340</w:t>
            </w:r>
          </w:p>
        </w:tc>
      </w:tr>
      <w:tr>
        <w:tblPrEx>
          <w:tblW w:w="0" w:type="auto"/>
          <w:jc w:val="left"/>
          <w:tblInd w:w="531" w:type="dxa"/>
          <w:tblLayout w:type="fixed"/>
          <w:tblCellMar>
            <w:top w:w="0" w:type="dxa"/>
            <w:left w:w="0" w:type="dxa"/>
            <w:bottom w:w="0" w:type="dxa"/>
            <w:right w:w="0" w:type="dxa"/>
          </w:tblCellMar>
          <w:tblLook w:val="01E0"/>
        </w:tblPrEx>
        <w:trPr>
          <w:trHeight w:val="517"/>
          <w:jc w:val="left"/>
        </w:trPr>
        <w:tc>
          <w:tcPr>
            <w:tcW w:w="3403" w:type="dxa"/>
            <w:tcBorders>
              <w:top w:val="single" w:sz="4" w:space="0" w:color="000000"/>
              <w:bottom w:val="single" w:sz="4" w:space="0" w:color="000000"/>
              <w:right w:val="single" w:sz="4" w:space="0" w:color="000000"/>
            </w:tcBorders>
          </w:tcPr>
          <w:p>
            <w:pPr>
              <w:pStyle w:val="TableParagraph"/>
              <w:spacing w:before="158"/>
              <w:ind w:left="239" w:right="223"/>
              <w:rPr>
                <w:sz w:val="18"/>
              </w:rPr>
            </w:pPr>
            <w:r>
              <w:rPr>
                <w:sz w:val="18"/>
              </w:rPr>
              <w:t>水洗法＜0.075mm 颗粒含量，不大于</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158"/>
              <w:ind w:left="460"/>
              <w:jc w:val="left"/>
              <w:rPr>
                <w:sz w:val="18"/>
              </w:rPr>
            </w:pPr>
            <w:r>
              <w:rPr>
                <w:sz w:val="18"/>
              </w:rPr>
              <w:t>%</w:t>
            </w:r>
          </w:p>
        </w:tc>
        <w:tc>
          <w:tcPr>
            <w:tcW w:w="1629" w:type="dxa"/>
            <w:tcBorders>
              <w:top w:val="single" w:sz="4" w:space="0" w:color="000000"/>
              <w:left w:val="single" w:sz="4" w:space="0" w:color="000000"/>
              <w:bottom w:val="single" w:sz="4" w:space="0" w:color="000000"/>
              <w:right w:val="single" w:sz="4" w:space="0" w:color="000000"/>
            </w:tcBorders>
          </w:tcPr>
          <w:p>
            <w:pPr>
              <w:pStyle w:val="TableParagraph"/>
              <w:spacing w:before="158"/>
              <w:ind w:left="537" w:right="500"/>
              <w:rPr>
                <w:sz w:val="18"/>
              </w:rPr>
            </w:pPr>
            <w:r>
              <w:rPr>
                <w:sz w:val="18"/>
              </w:rPr>
              <w:t>2.0</w:t>
            </w:r>
          </w:p>
        </w:tc>
        <w:tc>
          <w:tcPr>
            <w:tcW w:w="1631" w:type="dxa"/>
            <w:tcBorders>
              <w:top w:val="single" w:sz="4" w:space="0" w:color="000000"/>
              <w:left w:val="single" w:sz="4" w:space="0" w:color="000000"/>
              <w:bottom w:val="single" w:sz="4" w:space="0" w:color="000000"/>
              <w:right w:val="single" w:sz="4" w:space="0" w:color="000000"/>
            </w:tcBorders>
          </w:tcPr>
          <w:p>
            <w:pPr>
              <w:pStyle w:val="TableParagraph"/>
              <w:spacing w:before="28"/>
              <w:ind w:left="377"/>
              <w:jc w:val="left"/>
              <w:rPr>
                <w:sz w:val="18"/>
              </w:rPr>
            </w:pPr>
            <w:r>
              <w:rPr>
                <w:sz w:val="18"/>
              </w:rPr>
              <w:t>15(石灰岩)</w:t>
            </w:r>
          </w:p>
          <w:p>
            <w:pPr>
              <w:pStyle w:val="TableParagraph"/>
              <w:spacing w:before="29" w:line="210" w:lineRule="exact"/>
              <w:ind w:left="466"/>
              <w:jc w:val="left"/>
              <w:rPr>
                <w:sz w:val="18"/>
              </w:rPr>
            </w:pPr>
            <w:r>
              <w:rPr>
                <w:sz w:val="18"/>
              </w:rPr>
              <w:t>10(其它)</w:t>
            </w:r>
          </w:p>
        </w:tc>
        <w:tc>
          <w:tcPr>
            <w:tcW w:w="1698" w:type="dxa"/>
            <w:tcBorders>
              <w:top w:val="single" w:sz="4" w:space="0" w:color="000000"/>
              <w:left w:val="single" w:sz="4" w:space="0" w:color="000000"/>
              <w:bottom w:val="single" w:sz="4" w:space="0" w:color="000000"/>
            </w:tcBorders>
          </w:tcPr>
          <w:p>
            <w:pPr>
              <w:pStyle w:val="TableParagraph"/>
              <w:spacing w:before="158"/>
              <w:ind w:left="256" w:right="210"/>
              <w:rPr>
                <w:sz w:val="18"/>
              </w:rPr>
            </w:pPr>
            <w:r>
              <w:rPr>
                <w:sz w:val="18"/>
              </w:rPr>
              <w:t>T 0310/T 0333</w:t>
            </w:r>
          </w:p>
        </w:tc>
      </w:tr>
      <w:tr>
        <w:tblPrEx>
          <w:tblW w:w="0" w:type="auto"/>
          <w:jc w:val="left"/>
          <w:tblInd w:w="531" w:type="dxa"/>
          <w:tblLayout w:type="fixed"/>
          <w:tblCellMar>
            <w:top w:w="0" w:type="dxa"/>
            <w:left w:w="0" w:type="dxa"/>
            <w:bottom w:w="0" w:type="dxa"/>
            <w:right w:w="0" w:type="dxa"/>
          </w:tblCellMar>
          <w:tblLook w:val="01E0"/>
        </w:tblPrEx>
        <w:trPr>
          <w:trHeight w:val="313"/>
          <w:jc w:val="left"/>
        </w:trPr>
        <w:tc>
          <w:tcPr>
            <w:tcW w:w="3403" w:type="dxa"/>
            <w:tcBorders>
              <w:top w:val="single" w:sz="4" w:space="0" w:color="000000"/>
              <w:bottom w:val="single" w:sz="4" w:space="0" w:color="000000"/>
              <w:right w:val="single" w:sz="4" w:space="0" w:color="000000"/>
            </w:tcBorders>
          </w:tcPr>
          <w:p>
            <w:pPr>
              <w:pStyle w:val="TableParagraph"/>
              <w:spacing w:before="40"/>
              <w:ind w:left="239" w:right="220"/>
              <w:rPr>
                <w:sz w:val="18"/>
              </w:rPr>
            </w:pPr>
            <w:r>
              <w:rPr>
                <w:sz w:val="18"/>
              </w:rPr>
              <w:t>（0-2.36mm）亚甲蓝值，不大于</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40"/>
              <w:ind w:left="460"/>
              <w:jc w:val="left"/>
              <w:rPr>
                <w:sz w:val="18"/>
              </w:rPr>
            </w:pPr>
            <w:r>
              <w:rPr>
                <w:sz w:val="18"/>
              </w:rPr>
              <w:t>%</w:t>
            </w:r>
          </w:p>
        </w:tc>
        <w:tc>
          <w:tcPr>
            <w:tcW w:w="1629" w:type="dxa"/>
            <w:tcBorders>
              <w:top w:val="single" w:sz="4" w:space="0" w:color="000000"/>
              <w:left w:val="single" w:sz="4" w:space="0" w:color="000000"/>
              <w:bottom w:val="single" w:sz="4" w:space="0" w:color="000000"/>
              <w:right w:val="single" w:sz="4" w:space="0" w:color="000000"/>
            </w:tcBorders>
          </w:tcPr>
          <w:p>
            <w:pPr>
              <w:pStyle w:val="TableParagraph"/>
              <w:spacing w:before="40"/>
              <w:ind w:left="35"/>
              <w:rPr>
                <w:sz w:val="18"/>
              </w:rPr>
            </w:pPr>
            <w:r>
              <w:rPr>
                <w:sz w:val="18"/>
              </w:rPr>
              <w:t>—</w:t>
            </w:r>
          </w:p>
        </w:tc>
        <w:tc>
          <w:tcPr>
            <w:tcW w:w="1631" w:type="dxa"/>
            <w:tcBorders>
              <w:top w:val="single" w:sz="4" w:space="0" w:color="000000"/>
              <w:left w:val="single" w:sz="4" w:space="0" w:color="000000"/>
              <w:bottom w:val="single" w:sz="4" w:space="0" w:color="000000"/>
              <w:right w:val="single" w:sz="4" w:space="0" w:color="000000"/>
            </w:tcBorders>
          </w:tcPr>
          <w:p>
            <w:pPr>
              <w:pStyle w:val="TableParagraph"/>
              <w:spacing w:before="40"/>
              <w:ind w:left="537" w:right="501"/>
              <w:rPr>
                <w:sz w:val="18"/>
              </w:rPr>
            </w:pPr>
            <w:r>
              <w:rPr>
                <w:sz w:val="18"/>
              </w:rPr>
              <w:t>3.0</w:t>
            </w:r>
          </w:p>
        </w:tc>
        <w:tc>
          <w:tcPr>
            <w:tcW w:w="1698" w:type="dxa"/>
            <w:tcBorders>
              <w:top w:val="single" w:sz="4" w:space="0" w:color="000000"/>
              <w:left w:val="single" w:sz="4" w:space="0" w:color="000000"/>
              <w:bottom w:val="single" w:sz="4" w:space="0" w:color="000000"/>
            </w:tcBorders>
          </w:tcPr>
          <w:p>
            <w:pPr>
              <w:pStyle w:val="TableParagraph"/>
              <w:spacing w:before="40"/>
              <w:ind w:left="256" w:right="210"/>
              <w:rPr>
                <w:sz w:val="18"/>
              </w:rPr>
            </w:pPr>
            <w:r>
              <w:rPr>
                <w:sz w:val="18"/>
              </w:rPr>
              <w:t>T 0349</w:t>
            </w:r>
          </w:p>
        </w:tc>
      </w:tr>
      <w:tr>
        <w:tblPrEx>
          <w:tblW w:w="0" w:type="auto"/>
          <w:jc w:val="left"/>
          <w:tblInd w:w="531" w:type="dxa"/>
          <w:tblLayout w:type="fixed"/>
          <w:tblCellMar>
            <w:top w:w="0" w:type="dxa"/>
            <w:left w:w="0" w:type="dxa"/>
            <w:bottom w:w="0" w:type="dxa"/>
            <w:right w:w="0" w:type="dxa"/>
          </w:tblCellMar>
          <w:tblLook w:val="01E0"/>
        </w:tblPrEx>
        <w:trPr>
          <w:trHeight w:val="779"/>
          <w:jc w:val="left"/>
        </w:trPr>
        <w:tc>
          <w:tcPr>
            <w:tcW w:w="3403" w:type="dxa"/>
            <w:tcBorders>
              <w:top w:val="single" w:sz="4" w:space="0" w:color="000000"/>
              <w:bottom w:val="single" w:sz="4" w:space="0" w:color="000000"/>
              <w:right w:val="single" w:sz="4" w:space="0" w:color="000000"/>
            </w:tcBorders>
          </w:tcPr>
          <w:p>
            <w:pPr>
              <w:pStyle w:val="TableParagraph"/>
              <w:spacing w:before="28"/>
              <w:ind w:left="239" w:right="223"/>
              <w:rPr>
                <w:sz w:val="18"/>
              </w:rPr>
            </w:pPr>
            <w:r>
              <w:rPr>
                <w:sz w:val="18"/>
              </w:rPr>
              <w:t>针片状颗粒含量，不大于</w:t>
            </w:r>
          </w:p>
          <w:p>
            <w:pPr>
              <w:pStyle w:val="TableParagraph"/>
              <w:spacing w:before="29"/>
              <w:ind w:left="239" w:right="223"/>
              <w:rPr>
                <w:sz w:val="18"/>
              </w:rPr>
            </w:pPr>
            <w:r>
              <w:rPr>
                <w:sz w:val="18"/>
              </w:rPr>
              <w:t>4.75-9.5mm</w:t>
            </w:r>
          </w:p>
          <w:p>
            <w:pPr>
              <w:pStyle w:val="TableParagraph"/>
              <w:spacing w:before="28" w:line="213" w:lineRule="exact"/>
              <w:ind w:left="239" w:right="220"/>
              <w:rPr>
                <w:sz w:val="18"/>
              </w:rPr>
            </w:pPr>
            <w:r>
              <w:rPr>
                <w:spacing w:val="-17"/>
                <w:sz w:val="18"/>
              </w:rPr>
              <w:t xml:space="preserve">大于 </w:t>
            </w:r>
            <w:r>
              <w:rPr>
                <w:sz w:val="18"/>
              </w:rPr>
              <w:t>9.5mm</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5"/>
              <w:jc w:val="left"/>
              <w:rPr>
                <w:rFonts w:ascii="黑体"/>
                <w:sz w:val="22"/>
              </w:rPr>
            </w:pPr>
          </w:p>
          <w:p>
            <w:pPr>
              <w:pStyle w:val="TableParagraph"/>
              <w:spacing w:before="1"/>
              <w:ind w:left="460"/>
              <w:jc w:val="left"/>
              <w:rPr>
                <w:sz w:val="18"/>
              </w:rPr>
            </w:pPr>
            <w:r>
              <w:rPr>
                <w:sz w:val="18"/>
              </w:rPr>
              <w:t>%</w:t>
            </w:r>
          </w:p>
        </w:tc>
        <w:tc>
          <w:tcPr>
            <w:tcW w:w="1629" w:type="dxa"/>
            <w:tcBorders>
              <w:top w:val="single" w:sz="4" w:space="0" w:color="000000"/>
              <w:left w:val="single" w:sz="4" w:space="0" w:color="000000"/>
              <w:bottom w:val="single" w:sz="4" w:space="0" w:color="000000"/>
              <w:right w:val="single" w:sz="4" w:space="0" w:color="000000"/>
            </w:tcBorders>
          </w:tcPr>
          <w:p>
            <w:pPr>
              <w:pStyle w:val="TableParagraph"/>
              <w:spacing w:before="158"/>
              <w:ind w:left="537" w:right="500"/>
              <w:rPr>
                <w:sz w:val="18"/>
              </w:rPr>
            </w:pPr>
            <w:r>
              <w:rPr>
                <w:sz w:val="18"/>
              </w:rPr>
              <w:t>25</w:t>
            </w:r>
          </w:p>
          <w:p>
            <w:pPr>
              <w:pStyle w:val="TableParagraph"/>
              <w:spacing w:before="28"/>
              <w:ind w:left="537" w:right="500"/>
              <w:rPr>
                <w:sz w:val="18"/>
              </w:rPr>
            </w:pPr>
            <w:r>
              <w:rPr>
                <w:sz w:val="18"/>
              </w:rPr>
              <w:t>15</w:t>
            </w:r>
          </w:p>
        </w:tc>
        <w:tc>
          <w:tcPr>
            <w:tcW w:w="1631" w:type="dxa"/>
            <w:tcBorders>
              <w:top w:val="single" w:sz="4" w:space="0" w:color="000000"/>
              <w:left w:val="single" w:sz="4" w:space="0" w:color="000000"/>
              <w:bottom w:val="single" w:sz="4" w:space="0" w:color="000000"/>
              <w:right w:val="single" w:sz="4" w:space="0" w:color="000000"/>
            </w:tcBorders>
          </w:tcPr>
          <w:p>
            <w:pPr>
              <w:pStyle w:val="TableParagraph"/>
              <w:spacing w:before="5"/>
              <w:jc w:val="left"/>
              <w:rPr>
                <w:rFonts w:ascii="黑体"/>
                <w:sz w:val="22"/>
              </w:rPr>
            </w:pPr>
          </w:p>
          <w:p>
            <w:pPr>
              <w:pStyle w:val="TableParagraph"/>
              <w:spacing w:before="1"/>
              <w:ind w:left="34"/>
              <w:rPr>
                <w:sz w:val="18"/>
              </w:rPr>
            </w:pPr>
            <w:r>
              <w:rPr>
                <w:sz w:val="18"/>
              </w:rPr>
              <w:t>—</w:t>
            </w:r>
          </w:p>
        </w:tc>
        <w:tc>
          <w:tcPr>
            <w:tcW w:w="1698" w:type="dxa"/>
            <w:tcBorders>
              <w:top w:val="single" w:sz="4" w:space="0" w:color="000000"/>
              <w:left w:val="single" w:sz="4" w:space="0" w:color="000000"/>
              <w:bottom w:val="single" w:sz="4" w:space="0" w:color="000000"/>
            </w:tcBorders>
          </w:tcPr>
          <w:p>
            <w:pPr>
              <w:pStyle w:val="TableParagraph"/>
              <w:spacing w:before="5"/>
              <w:jc w:val="left"/>
              <w:rPr>
                <w:rFonts w:ascii="黑体"/>
                <w:sz w:val="22"/>
              </w:rPr>
            </w:pPr>
          </w:p>
          <w:p>
            <w:pPr>
              <w:pStyle w:val="TableParagraph"/>
              <w:spacing w:before="1"/>
              <w:ind w:left="256" w:right="210"/>
              <w:rPr>
                <w:sz w:val="18"/>
              </w:rPr>
            </w:pPr>
            <w:r>
              <w:rPr>
                <w:sz w:val="18"/>
              </w:rPr>
              <w:t>T 0312</w:t>
            </w:r>
          </w:p>
        </w:tc>
      </w:tr>
      <w:tr>
        <w:tblPrEx>
          <w:tblW w:w="0" w:type="auto"/>
          <w:jc w:val="left"/>
          <w:tblInd w:w="531" w:type="dxa"/>
          <w:tblLayout w:type="fixed"/>
          <w:tblCellMar>
            <w:top w:w="0" w:type="dxa"/>
            <w:left w:w="0" w:type="dxa"/>
            <w:bottom w:w="0" w:type="dxa"/>
            <w:right w:w="0" w:type="dxa"/>
          </w:tblCellMar>
          <w:tblLook w:val="01E0"/>
        </w:tblPrEx>
        <w:trPr>
          <w:trHeight w:val="311"/>
          <w:jc w:val="left"/>
        </w:trPr>
        <w:tc>
          <w:tcPr>
            <w:tcW w:w="3403" w:type="dxa"/>
            <w:tcBorders>
              <w:top w:val="single" w:sz="4" w:space="0" w:color="000000"/>
              <w:bottom w:val="single" w:sz="4" w:space="0" w:color="000000"/>
              <w:right w:val="single" w:sz="4" w:space="0" w:color="000000"/>
            </w:tcBorders>
          </w:tcPr>
          <w:p>
            <w:pPr>
              <w:pStyle w:val="TableParagraph"/>
              <w:ind w:left="239" w:right="220"/>
              <w:rPr>
                <w:sz w:val="18"/>
              </w:rPr>
            </w:pPr>
            <w:r>
              <w:rPr>
                <w:sz w:val="18"/>
              </w:rPr>
              <w:t>软石含量，不大于</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ind w:left="460"/>
              <w:jc w:val="left"/>
              <w:rPr>
                <w:sz w:val="18"/>
              </w:rPr>
            </w:pPr>
            <w:r>
              <w:rPr>
                <w:sz w:val="18"/>
              </w:rPr>
              <w:t>%</w:t>
            </w:r>
          </w:p>
        </w:tc>
        <w:tc>
          <w:tcPr>
            <w:tcW w:w="1629" w:type="dxa"/>
            <w:tcBorders>
              <w:top w:val="single" w:sz="4" w:space="0" w:color="000000"/>
              <w:left w:val="single" w:sz="4" w:space="0" w:color="000000"/>
              <w:bottom w:val="single" w:sz="4" w:space="0" w:color="000000"/>
              <w:right w:val="single" w:sz="4" w:space="0" w:color="000000"/>
            </w:tcBorders>
          </w:tcPr>
          <w:p>
            <w:pPr>
              <w:pStyle w:val="TableParagraph"/>
              <w:ind w:left="31"/>
              <w:rPr>
                <w:sz w:val="18"/>
              </w:rPr>
            </w:pPr>
            <w:r>
              <w:rPr>
                <w:sz w:val="18"/>
              </w:rPr>
              <w:t>5</w:t>
            </w:r>
          </w:p>
        </w:tc>
        <w:tc>
          <w:tcPr>
            <w:tcW w:w="1631" w:type="dxa"/>
            <w:tcBorders>
              <w:top w:val="single" w:sz="4" w:space="0" w:color="000000"/>
              <w:left w:val="single" w:sz="4" w:space="0" w:color="000000"/>
              <w:bottom w:val="single" w:sz="4" w:space="0" w:color="000000"/>
              <w:right w:val="single" w:sz="4" w:space="0" w:color="000000"/>
            </w:tcBorders>
          </w:tcPr>
          <w:p>
            <w:pPr>
              <w:pStyle w:val="TableParagraph"/>
              <w:ind w:left="34"/>
              <w:rPr>
                <w:sz w:val="18"/>
              </w:rPr>
            </w:pPr>
            <w:r>
              <w:rPr>
                <w:sz w:val="18"/>
              </w:rPr>
              <w:t>—</w:t>
            </w:r>
          </w:p>
        </w:tc>
        <w:tc>
          <w:tcPr>
            <w:tcW w:w="1698" w:type="dxa"/>
            <w:tcBorders>
              <w:top w:val="single" w:sz="4" w:space="0" w:color="000000"/>
              <w:left w:val="single" w:sz="4" w:space="0" w:color="000000"/>
              <w:bottom w:val="single" w:sz="4" w:space="0" w:color="000000"/>
            </w:tcBorders>
          </w:tcPr>
          <w:p>
            <w:pPr>
              <w:pStyle w:val="TableParagraph"/>
              <w:ind w:left="256" w:right="210"/>
              <w:rPr>
                <w:sz w:val="18"/>
              </w:rPr>
            </w:pPr>
            <w:r>
              <w:rPr>
                <w:sz w:val="18"/>
              </w:rPr>
              <w:t>T 0320</w:t>
            </w:r>
          </w:p>
        </w:tc>
      </w:tr>
      <w:tr>
        <w:tblPrEx>
          <w:tblW w:w="0" w:type="auto"/>
          <w:jc w:val="left"/>
          <w:tblInd w:w="531" w:type="dxa"/>
          <w:tblLayout w:type="fixed"/>
          <w:tblCellMar>
            <w:top w:w="0" w:type="dxa"/>
            <w:left w:w="0" w:type="dxa"/>
            <w:bottom w:w="0" w:type="dxa"/>
            <w:right w:w="0" w:type="dxa"/>
          </w:tblCellMar>
          <w:tblLook w:val="01E0"/>
        </w:tblPrEx>
        <w:trPr>
          <w:trHeight w:val="313"/>
          <w:jc w:val="left"/>
        </w:trPr>
        <w:tc>
          <w:tcPr>
            <w:tcW w:w="9352" w:type="dxa"/>
            <w:gridSpan w:val="5"/>
            <w:tcBorders>
              <w:top w:val="single" w:sz="4" w:space="0" w:color="000000"/>
            </w:tcBorders>
          </w:tcPr>
          <w:p>
            <w:pPr>
              <w:pStyle w:val="TableParagraph"/>
              <w:ind w:left="815"/>
              <w:jc w:val="left"/>
              <w:rPr>
                <w:sz w:val="18"/>
              </w:rPr>
            </w:pPr>
            <w:r>
              <w:rPr>
                <w:sz w:val="18"/>
              </w:rPr>
              <w:t>坚固性试验、软石含量试验可根据需要进行。</w:t>
            </w:r>
          </w:p>
        </w:tc>
      </w:tr>
    </w:tbl>
    <w:p>
      <w:pPr>
        <w:pStyle w:val="ListParagraph"/>
        <w:numPr>
          <w:ilvl w:val="3"/>
          <w:numId w:val="25"/>
        </w:numPr>
        <w:tabs>
          <w:tab w:val="left" w:pos="1461"/>
          <w:tab w:val="left" w:pos="1462"/>
          <w:tab w:val="left" w:pos="2512"/>
        </w:tabs>
        <w:spacing w:before="179" w:after="0" w:line="240" w:lineRule="auto"/>
        <w:ind w:left="1461" w:right="0" w:hanging="947"/>
        <w:jc w:val="left"/>
        <w:rPr>
          <w:sz w:val="21"/>
        </w:rPr>
      </w:pPr>
      <w:bookmarkStart w:id="87" w:name="5.2.1.3  集料分档  基层、底基层集料宜采用4～5个不同规格的粗细集料，"/>
      <w:bookmarkEnd w:id="87"/>
      <w:r>
        <w:rPr>
          <w:sz w:val="21"/>
        </w:rPr>
        <w:t>集</w:t>
      </w:r>
      <w:r>
        <w:rPr>
          <w:spacing w:val="-3"/>
          <w:sz w:val="21"/>
        </w:rPr>
        <w:t>料</w:t>
      </w:r>
      <w:r>
        <w:rPr>
          <w:sz w:val="21"/>
        </w:rPr>
        <w:t>分档</w:t>
        <w:tab/>
      </w:r>
      <w:r>
        <w:rPr>
          <w:spacing w:val="-3"/>
          <w:sz w:val="21"/>
        </w:rPr>
        <w:t>基层</w:t>
      </w:r>
      <w:r>
        <w:rPr>
          <w:sz w:val="21"/>
        </w:rPr>
        <w:t>、底</w:t>
      </w:r>
      <w:r>
        <w:rPr>
          <w:spacing w:val="-3"/>
          <w:sz w:val="21"/>
        </w:rPr>
        <w:t>基</w:t>
      </w:r>
      <w:r>
        <w:rPr>
          <w:sz w:val="21"/>
        </w:rPr>
        <w:t>层</w:t>
      </w:r>
      <w:r>
        <w:rPr>
          <w:spacing w:val="-3"/>
          <w:sz w:val="21"/>
        </w:rPr>
        <w:t>集</w:t>
      </w:r>
      <w:r>
        <w:rPr>
          <w:sz w:val="21"/>
        </w:rPr>
        <w:t>料</w:t>
      </w:r>
      <w:r>
        <w:rPr>
          <w:spacing w:val="-3"/>
          <w:sz w:val="21"/>
        </w:rPr>
        <w:t>宜采</w:t>
      </w:r>
      <w:r>
        <w:rPr>
          <w:sz w:val="21"/>
        </w:rPr>
        <w:t>用</w:t>
      </w:r>
      <w:r>
        <w:rPr>
          <w:spacing w:val="-51"/>
          <w:sz w:val="21"/>
        </w:rPr>
        <w:t xml:space="preserve"> </w:t>
      </w:r>
      <w:r>
        <w:rPr>
          <w:sz w:val="21"/>
        </w:rPr>
        <w:t>4</w:t>
      </w:r>
      <w:r>
        <w:rPr>
          <w:sz w:val="18"/>
        </w:rPr>
        <w:t>～5</w:t>
      </w:r>
      <w:r>
        <w:rPr>
          <w:spacing w:val="-44"/>
          <w:sz w:val="18"/>
        </w:rPr>
        <w:t xml:space="preserve"> </w:t>
      </w:r>
      <w:r>
        <w:rPr>
          <w:sz w:val="21"/>
        </w:rPr>
        <w:t>个不</w:t>
      </w:r>
      <w:r>
        <w:rPr>
          <w:spacing w:val="-3"/>
          <w:sz w:val="21"/>
        </w:rPr>
        <w:t>同</w:t>
      </w:r>
      <w:r>
        <w:rPr>
          <w:sz w:val="21"/>
        </w:rPr>
        <w:t>规</w:t>
      </w:r>
      <w:r>
        <w:rPr>
          <w:spacing w:val="-3"/>
          <w:sz w:val="21"/>
        </w:rPr>
        <w:t>格</w:t>
      </w:r>
      <w:r>
        <w:rPr>
          <w:sz w:val="21"/>
        </w:rPr>
        <w:t>的</w:t>
      </w:r>
      <w:r>
        <w:rPr>
          <w:spacing w:val="-3"/>
          <w:sz w:val="21"/>
        </w:rPr>
        <w:t>粗</w:t>
      </w:r>
      <w:r>
        <w:rPr>
          <w:sz w:val="21"/>
        </w:rPr>
        <w:t>细</w:t>
      </w:r>
      <w:r>
        <w:rPr>
          <w:spacing w:val="-3"/>
          <w:sz w:val="21"/>
        </w:rPr>
        <w:t>集</w:t>
      </w:r>
      <w:r>
        <w:rPr>
          <w:sz w:val="21"/>
        </w:rPr>
        <w:t>料</w:t>
      </w:r>
      <w:r>
        <w:rPr>
          <w:spacing w:val="-3"/>
          <w:sz w:val="21"/>
        </w:rPr>
        <w:t>，</w:t>
      </w:r>
      <w:r>
        <w:rPr>
          <w:sz w:val="21"/>
        </w:rPr>
        <w:t>可参</w:t>
      </w:r>
      <w:r>
        <w:rPr>
          <w:spacing w:val="-3"/>
          <w:sz w:val="21"/>
        </w:rPr>
        <w:t>考</w:t>
      </w:r>
      <w:r>
        <w:rPr>
          <w:sz w:val="21"/>
        </w:rPr>
        <w:t>表</w:t>
      </w:r>
      <w:r>
        <w:rPr>
          <w:spacing w:val="-50"/>
          <w:sz w:val="21"/>
        </w:rPr>
        <w:t xml:space="preserve"> </w:t>
      </w:r>
      <w:r>
        <w:rPr>
          <w:sz w:val="21"/>
        </w:rPr>
        <w:t>3</w:t>
      </w:r>
      <w:r>
        <w:rPr>
          <w:spacing w:val="-53"/>
          <w:sz w:val="21"/>
        </w:rPr>
        <w:t xml:space="preserve"> </w:t>
      </w:r>
      <w:r>
        <w:rPr>
          <w:sz w:val="21"/>
        </w:rPr>
        <w:t>进</w:t>
      </w:r>
      <w:r>
        <w:rPr>
          <w:spacing w:val="-3"/>
          <w:sz w:val="21"/>
        </w:rPr>
        <w:t>行</w:t>
      </w:r>
      <w:r>
        <w:rPr>
          <w:sz w:val="21"/>
        </w:rPr>
        <w:t>分</w:t>
      </w:r>
      <w:r>
        <w:rPr>
          <w:spacing w:val="-3"/>
          <w:sz w:val="21"/>
        </w:rPr>
        <w:t>档。</w:t>
      </w:r>
    </w:p>
    <w:p>
      <w:pPr>
        <w:pStyle w:val="BodyText"/>
        <w:spacing w:before="6"/>
        <w:rPr>
          <w:sz w:val="15"/>
        </w:rPr>
      </w:pPr>
    </w:p>
    <w:p>
      <w:pPr>
        <w:pStyle w:val="BodyText"/>
        <w:tabs>
          <w:tab w:val="left" w:pos="777"/>
        </w:tabs>
        <w:ind w:left="198"/>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3</w:t>
        <w:tab/>
        <w:t>集</w:t>
      </w:r>
      <w:r>
        <w:rPr>
          <w:rFonts w:ascii="黑体" w:eastAsia="黑体" w:hint="eastAsia"/>
          <w:spacing w:val="-3"/>
        </w:rPr>
        <w:t>料</w:t>
      </w:r>
      <w:r>
        <w:rPr>
          <w:rFonts w:ascii="黑体" w:eastAsia="黑体" w:hint="eastAsia"/>
        </w:rPr>
        <w:t>分</w:t>
      </w:r>
      <w:r>
        <w:rPr>
          <w:rFonts w:ascii="黑体" w:eastAsia="黑体" w:hint="eastAsia"/>
          <w:spacing w:val="-3"/>
        </w:rPr>
        <w:t>档</w:t>
      </w:r>
      <w:r>
        <w:rPr>
          <w:rFonts w:ascii="黑体" w:eastAsia="黑体" w:hint="eastAsia"/>
        </w:rPr>
        <w:t>参</w:t>
      </w:r>
      <w:r>
        <w:rPr>
          <w:rFonts w:ascii="黑体" w:eastAsia="黑体" w:hint="eastAsia"/>
          <w:spacing w:val="-3"/>
        </w:rPr>
        <w:t>考表</w:t>
      </w:r>
    </w:p>
    <w:p>
      <w:pPr>
        <w:pStyle w:val="BodyText"/>
        <w:spacing w:before="10"/>
        <w:rPr>
          <w:rFonts w:ascii="黑体"/>
          <w:sz w:val="13"/>
        </w:rPr>
      </w:pPr>
    </w:p>
    <w:tbl>
      <w:tblPr>
        <w:tblStyle w:val="TableNormal1"/>
        <w:tblW w:w="0" w:type="auto"/>
        <w:jc w:val="left"/>
        <w:tblInd w:w="5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560"/>
        <w:gridCol w:w="1558"/>
        <w:gridCol w:w="1560"/>
        <w:gridCol w:w="1560"/>
        <w:gridCol w:w="1558"/>
        <w:gridCol w:w="1560"/>
      </w:tblGrid>
      <w:tr>
        <w:tblPrEx>
          <w:tblW w:w="0" w:type="auto"/>
          <w:jc w:val="left"/>
          <w:tblInd w:w="5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11"/>
          <w:jc w:val="left"/>
        </w:trPr>
        <w:tc>
          <w:tcPr>
            <w:tcW w:w="1560" w:type="dxa"/>
            <w:tcBorders>
              <w:bottom w:val="single" w:sz="4" w:space="0" w:color="000000"/>
              <w:right w:val="single" w:sz="4" w:space="0" w:color="000000"/>
            </w:tcBorders>
          </w:tcPr>
          <w:p>
            <w:pPr>
              <w:pStyle w:val="TableParagraph"/>
              <w:ind w:left="207" w:right="189"/>
              <w:rPr>
                <w:sz w:val="18"/>
              </w:rPr>
            </w:pPr>
            <w:r>
              <w:rPr>
                <w:sz w:val="18"/>
              </w:rPr>
              <w:t>分档方式</w:t>
            </w:r>
          </w:p>
        </w:tc>
        <w:tc>
          <w:tcPr>
            <w:tcW w:w="1558" w:type="dxa"/>
            <w:tcBorders>
              <w:left w:val="single" w:sz="4" w:space="0" w:color="000000"/>
              <w:bottom w:val="single" w:sz="4" w:space="0" w:color="000000"/>
              <w:right w:val="single" w:sz="4" w:space="0" w:color="000000"/>
            </w:tcBorders>
          </w:tcPr>
          <w:p>
            <w:pPr>
              <w:pStyle w:val="TableParagraph"/>
              <w:ind w:left="137" w:right="107"/>
              <w:rPr>
                <w:sz w:val="18"/>
              </w:rPr>
            </w:pPr>
            <w:r>
              <w:rPr>
                <w:sz w:val="18"/>
              </w:rPr>
              <w:t>一档</w:t>
            </w:r>
          </w:p>
        </w:tc>
        <w:tc>
          <w:tcPr>
            <w:tcW w:w="1560" w:type="dxa"/>
            <w:tcBorders>
              <w:left w:val="single" w:sz="4" w:space="0" w:color="000000"/>
              <w:bottom w:val="single" w:sz="4" w:space="0" w:color="000000"/>
              <w:right w:val="single" w:sz="4" w:space="0" w:color="000000"/>
            </w:tcBorders>
          </w:tcPr>
          <w:p>
            <w:pPr>
              <w:pStyle w:val="TableParagraph"/>
              <w:ind w:left="139" w:right="106"/>
              <w:rPr>
                <w:sz w:val="18"/>
              </w:rPr>
            </w:pPr>
            <w:r>
              <w:rPr>
                <w:sz w:val="18"/>
              </w:rPr>
              <w:t>二挡</w:t>
            </w:r>
          </w:p>
        </w:tc>
        <w:tc>
          <w:tcPr>
            <w:tcW w:w="1560" w:type="dxa"/>
            <w:tcBorders>
              <w:left w:val="single" w:sz="4" w:space="0" w:color="000000"/>
              <w:bottom w:val="single" w:sz="4" w:space="0" w:color="000000"/>
              <w:right w:val="single" w:sz="4" w:space="0" w:color="000000"/>
            </w:tcBorders>
          </w:tcPr>
          <w:p>
            <w:pPr>
              <w:pStyle w:val="TableParagraph"/>
              <w:ind w:left="139" w:right="106"/>
              <w:rPr>
                <w:sz w:val="18"/>
              </w:rPr>
            </w:pPr>
            <w:r>
              <w:rPr>
                <w:sz w:val="18"/>
              </w:rPr>
              <w:t>三挡</w:t>
            </w:r>
          </w:p>
        </w:tc>
        <w:tc>
          <w:tcPr>
            <w:tcW w:w="1558" w:type="dxa"/>
            <w:tcBorders>
              <w:left w:val="single" w:sz="4" w:space="0" w:color="000000"/>
              <w:bottom w:val="single" w:sz="4" w:space="0" w:color="000000"/>
              <w:right w:val="single" w:sz="4" w:space="0" w:color="000000"/>
            </w:tcBorders>
          </w:tcPr>
          <w:p>
            <w:pPr>
              <w:pStyle w:val="TableParagraph"/>
              <w:ind w:left="137" w:right="107"/>
              <w:rPr>
                <w:sz w:val="18"/>
              </w:rPr>
            </w:pPr>
            <w:r>
              <w:rPr>
                <w:sz w:val="18"/>
              </w:rPr>
              <w:t>四挡</w:t>
            </w:r>
          </w:p>
        </w:tc>
        <w:tc>
          <w:tcPr>
            <w:tcW w:w="1560" w:type="dxa"/>
            <w:tcBorders>
              <w:left w:val="single" w:sz="4" w:space="0" w:color="000000"/>
              <w:bottom w:val="single" w:sz="4" w:space="0" w:color="000000"/>
            </w:tcBorders>
          </w:tcPr>
          <w:p>
            <w:pPr>
              <w:pStyle w:val="TableParagraph"/>
              <w:ind w:left="230" w:right="188"/>
              <w:rPr>
                <w:sz w:val="18"/>
              </w:rPr>
            </w:pPr>
            <w:r>
              <w:rPr>
                <w:sz w:val="18"/>
              </w:rPr>
              <w:t>五挡</w:t>
            </w:r>
          </w:p>
        </w:tc>
      </w:tr>
      <w:tr>
        <w:tblPrEx>
          <w:tblW w:w="0" w:type="auto"/>
          <w:jc w:val="left"/>
          <w:tblInd w:w="531" w:type="dxa"/>
          <w:tblLayout w:type="fixed"/>
          <w:tblCellMar>
            <w:top w:w="0" w:type="dxa"/>
            <w:left w:w="0" w:type="dxa"/>
            <w:bottom w:w="0" w:type="dxa"/>
            <w:right w:w="0" w:type="dxa"/>
          </w:tblCellMar>
          <w:tblLook w:val="01E0"/>
        </w:tblPrEx>
        <w:trPr>
          <w:trHeight w:val="311"/>
          <w:jc w:val="left"/>
        </w:trPr>
        <w:tc>
          <w:tcPr>
            <w:tcW w:w="1560" w:type="dxa"/>
            <w:tcBorders>
              <w:top w:val="single" w:sz="4" w:space="0" w:color="000000"/>
              <w:bottom w:val="single" w:sz="4" w:space="0" w:color="000000"/>
              <w:right w:val="single" w:sz="4" w:space="0" w:color="000000"/>
            </w:tcBorders>
          </w:tcPr>
          <w:p>
            <w:pPr>
              <w:pStyle w:val="TableParagraph"/>
              <w:ind w:left="205" w:right="189"/>
              <w:rPr>
                <w:sz w:val="18"/>
              </w:rPr>
            </w:pPr>
            <w:r>
              <w:rPr>
                <w:sz w:val="18"/>
              </w:rPr>
              <w:t>方式一</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ind w:left="137" w:right="104"/>
              <w:rPr>
                <w:sz w:val="18"/>
              </w:rPr>
            </w:pPr>
            <w:r>
              <w:rPr>
                <w:sz w:val="18"/>
              </w:rPr>
              <w:t>0～2.36mm</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ind w:left="139" w:right="109"/>
              <w:rPr>
                <w:sz w:val="18"/>
              </w:rPr>
            </w:pPr>
            <w:r>
              <w:rPr>
                <w:sz w:val="18"/>
              </w:rPr>
              <w:t>2.36mm～4.75mm</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ind w:left="139" w:right="104"/>
              <w:rPr>
                <w:sz w:val="18"/>
              </w:rPr>
            </w:pPr>
            <w:r>
              <w:rPr>
                <w:sz w:val="18"/>
              </w:rPr>
              <w:t>4.75mm～9.5mm</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ind w:left="137" w:right="105"/>
              <w:rPr>
                <w:sz w:val="18"/>
              </w:rPr>
            </w:pPr>
            <w:r>
              <w:rPr>
                <w:sz w:val="18"/>
              </w:rPr>
              <w:t>9.5mm～31.5mm</w:t>
            </w:r>
          </w:p>
        </w:tc>
        <w:tc>
          <w:tcPr>
            <w:tcW w:w="1560" w:type="dxa"/>
            <w:tcBorders>
              <w:top w:val="single" w:sz="4" w:space="0" w:color="000000"/>
              <w:left w:val="single" w:sz="4" w:space="0" w:color="000000"/>
              <w:bottom w:val="single" w:sz="4" w:space="0" w:color="000000"/>
            </w:tcBorders>
          </w:tcPr>
          <w:p>
            <w:pPr>
              <w:pStyle w:val="TableParagraph"/>
              <w:ind w:left="230" w:right="188"/>
              <w:rPr>
                <w:sz w:val="18"/>
              </w:rPr>
            </w:pPr>
            <w:r>
              <w:rPr>
                <w:sz w:val="18"/>
              </w:rPr>
              <w:t>--</w:t>
            </w:r>
          </w:p>
        </w:tc>
      </w:tr>
      <w:tr>
        <w:tblPrEx>
          <w:tblW w:w="0" w:type="auto"/>
          <w:jc w:val="left"/>
          <w:tblInd w:w="531" w:type="dxa"/>
          <w:tblLayout w:type="fixed"/>
          <w:tblCellMar>
            <w:top w:w="0" w:type="dxa"/>
            <w:left w:w="0" w:type="dxa"/>
            <w:bottom w:w="0" w:type="dxa"/>
            <w:right w:w="0" w:type="dxa"/>
          </w:tblCellMar>
          <w:tblLook w:val="01E0"/>
        </w:tblPrEx>
        <w:trPr>
          <w:trHeight w:val="311"/>
          <w:jc w:val="left"/>
        </w:trPr>
        <w:tc>
          <w:tcPr>
            <w:tcW w:w="1560" w:type="dxa"/>
            <w:tcBorders>
              <w:top w:val="single" w:sz="4" w:space="0" w:color="000000"/>
              <w:right w:val="single" w:sz="4" w:space="0" w:color="000000"/>
            </w:tcBorders>
          </w:tcPr>
          <w:p>
            <w:pPr>
              <w:pStyle w:val="TableParagraph"/>
              <w:ind w:left="205" w:right="189"/>
              <w:rPr>
                <w:sz w:val="18"/>
              </w:rPr>
            </w:pPr>
            <w:r>
              <w:rPr>
                <w:sz w:val="18"/>
              </w:rPr>
              <w:t>方式二</w:t>
            </w:r>
          </w:p>
        </w:tc>
        <w:tc>
          <w:tcPr>
            <w:tcW w:w="1558" w:type="dxa"/>
            <w:tcBorders>
              <w:top w:val="single" w:sz="4" w:space="0" w:color="000000"/>
              <w:left w:val="single" w:sz="4" w:space="0" w:color="000000"/>
              <w:right w:val="single" w:sz="4" w:space="0" w:color="000000"/>
            </w:tcBorders>
          </w:tcPr>
          <w:p>
            <w:pPr>
              <w:pStyle w:val="TableParagraph"/>
              <w:ind w:left="137" w:right="104"/>
              <w:rPr>
                <w:sz w:val="18"/>
              </w:rPr>
            </w:pPr>
            <w:r>
              <w:rPr>
                <w:sz w:val="18"/>
              </w:rPr>
              <w:t>0～2.36mm</w:t>
            </w:r>
          </w:p>
        </w:tc>
        <w:tc>
          <w:tcPr>
            <w:tcW w:w="1560" w:type="dxa"/>
            <w:tcBorders>
              <w:top w:val="single" w:sz="4" w:space="0" w:color="000000"/>
              <w:left w:val="single" w:sz="4" w:space="0" w:color="000000"/>
              <w:right w:val="single" w:sz="4" w:space="0" w:color="000000"/>
            </w:tcBorders>
          </w:tcPr>
          <w:p>
            <w:pPr>
              <w:pStyle w:val="TableParagraph"/>
              <w:ind w:left="139" w:right="109"/>
              <w:rPr>
                <w:sz w:val="18"/>
              </w:rPr>
            </w:pPr>
            <w:r>
              <w:rPr>
                <w:sz w:val="18"/>
              </w:rPr>
              <w:t>2.36mm～4.75mm</w:t>
            </w:r>
          </w:p>
        </w:tc>
        <w:tc>
          <w:tcPr>
            <w:tcW w:w="1560" w:type="dxa"/>
            <w:tcBorders>
              <w:top w:val="single" w:sz="4" w:space="0" w:color="000000"/>
              <w:left w:val="single" w:sz="4" w:space="0" w:color="000000"/>
              <w:right w:val="single" w:sz="4" w:space="0" w:color="000000"/>
            </w:tcBorders>
          </w:tcPr>
          <w:p>
            <w:pPr>
              <w:pStyle w:val="TableParagraph"/>
              <w:ind w:left="139" w:right="107"/>
              <w:rPr>
                <w:sz w:val="18"/>
              </w:rPr>
            </w:pPr>
            <w:r>
              <w:rPr>
                <w:sz w:val="18"/>
              </w:rPr>
              <w:t>4.75mm～16mm</w:t>
            </w:r>
          </w:p>
        </w:tc>
        <w:tc>
          <w:tcPr>
            <w:tcW w:w="1558" w:type="dxa"/>
            <w:tcBorders>
              <w:top w:val="single" w:sz="4" w:space="0" w:color="000000"/>
              <w:left w:val="single" w:sz="4" w:space="0" w:color="000000"/>
              <w:right w:val="single" w:sz="4" w:space="0" w:color="000000"/>
            </w:tcBorders>
          </w:tcPr>
          <w:p>
            <w:pPr>
              <w:pStyle w:val="TableParagraph"/>
              <w:ind w:left="137" w:right="108"/>
              <w:rPr>
                <w:sz w:val="18"/>
              </w:rPr>
            </w:pPr>
            <w:r>
              <w:rPr>
                <w:sz w:val="18"/>
              </w:rPr>
              <w:t>16mm～31.5mm</w:t>
            </w:r>
          </w:p>
        </w:tc>
        <w:tc>
          <w:tcPr>
            <w:tcW w:w="1560" w:type="dxa"/>
            <w:tcBorders>
              <w:top w:val="single" w:sz="4" w:space="0" w:color="000000"/>
              <w:left w:val="single" w:sz="4" w:space="0" w:color="000000"/>
            </w:tcBorders>
          </w:tcPr>
          <w:p>
            <w:pPr>
              <w:pStyle w:val="TableParagraph"/>
              <w:ind w:left="230" w:right="188"/>
              <w:rPr>
                <w:sz w:val="18"/>
              </w:rPr>
            </w:pPr>
            <w:r>
              <w:rPr>
                <w:sz w:val="18"/>
              </w:rPr>
              <w:t>--</w:t>
            </w:r>
          </w:p>
        </w:tc>
      </w:tr>
    </w:tbl>
    <w:p>
      <w:pPr>
        <w:spacing w:after="0"/>
        <w:rPr>
          <w:sz w:val="18"/>
        </w:rPr>
        <w:sectPr>
          <w:footerReference w:type="even" r:id="rId22"/>
          <w:footerReference w:type="default" r:id="rId23"/>
          <w:pgSz w:w="11910" w:h="16840"/>
          <w:pgMar w:top="1400" w:right="820" w:bottom="1540" w:left="900" w:header="0" w:footer="1354"/>
          <w:pgNumType w:start="7"/>
          <w:cols w:space="708"/>
        </w:sectPr>
      </w:pPr>
    </w:p>
    <w:p>
      <w:pPr>
        <w:pStyle w:val="BodyText"/>
        <w:tabs>
          <w:tab w:val="left" w:pos="578"/>
        </w:tabs>
        <w:spacing w:before="44"/>
        <w:ind w:right="361"/>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3</w:t>
        <w:tab/>
        <w:t>集</w:t>
      </w:r>
      <w:r>
        <w:rPr>
          <w:rFonts w:ascii="黑体" w:eastAsia="黑体" w:hint="eastAsia"/>
          <w:spacing w:val="-3"/>
        </w:rPr>
        <w:t>料</w:t>
      </w:r>
      <w:r>
        <w:rPr>
          <w:rFonts w:ascii="黑体" w:eastAsia="黑体" w:hint="eastAsia"/>
        </w:rPr>
        <w:t>分</w:t>
      </w:r>
      <w:r>
        <w:rPr>
          <w:rFonts w:ascii="黑体" w:eastAsia="黑体" w:hint="eastAsia"/>
          <w:spacing w:val="-3"/>
        </w:rPr>
        <w:t>档</w:t>
      </w:r>
      <w:r>
        <w:rPr>
          <w:rFonts w:ascii="黑体" w:eastAsia="黑体" w:hint="eastAsia"/>
        </w:rPr>
        <w:t>参</w:t>
      </w:r>
      <w:r>
        <w:rPr>
          <w:rFonts w:ascii="黑体" w:eastAsia="黑体" w:hint="eastAsia"/>
          <w:spacing w:val="-3"/>
        </w:rPr>
        <w:t>考</w:t>
      </w:r>
      <w:r>
        <w:rPr>
          <w:rFonts w:ascii="黑体" w:eastAsia="黑体" w:hint="eastAsia"/>
        </w:rPr>
        <w:t>表</w:t>
      </w:r>
      <w:r>
        <w:rPr>
          <w:rFonts w:ascii="黑体" w:eastAsia="黑体" w:hint="eastAsia"/>
          <w:spacing w:val="-3"/>
        </w:rPr>
        <w:t>（</w:t>
      </w:r>
      <w:r>
        <w:rPr>
          <w:rFonts w:ascii="黑体" w:eastAsia="黑体" w:hint="eastAsia"/>
        </w:rPr>
        <w:t>续）</w:t>
      </w:r>
    </w:p>
    <w:p>
      <w:pPr>
        <w:pStyle w:val="BodyText"/>
        <w:spacing w:before="9" w:after="1"/>
        <w:rPr>
          <w:rFonts w:ascii="黑体"/>
          <w:sz w:val="13"/>
        </w:rPr>
      </w:pPr>
    </w:p>
    <w:tbl>
      <w:tblPr>
        <w:tblStyle w:val="TableNormal2"/>
        <w:tblW w:w="0" w:type="auto"/>
        <w:jc w:val="left"/>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560"/>
        <w:gridCol w:w="1558"/>
        <w:gridCol w:w="1560"/>
        <w:gridCol w:w="1560"/>
        <w:gridCol w:w="1558"/>
        <w:gridCol w:w="1560"/>
      </w:tblGrid>
      <w:tr>
        <w:tblPrEx>
          <w:tblW w:w="0" w:type="auto"/>
          <w:jc w:val="left"/>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11"/>
          <w:jc w:val="left"/>
        </w:trPr>
        <w:tc>
          <w:tcPr>
            <w:tcW w:w="1560" w:type="dxa"/>
            <w:tcBorders>
              <w:bottom w:val="single" w:sz="4" w:space="0" w:color="000000"/>
              <w:right w:val="single" w:sz="4" w:space="0" w:color="000000"/>
            </w:tcBorders>
          </w:tcPr>
          <w:p>
            <w:pPr>
              <w:pStyle w:val="TableParagraph"/>
              <w:ind w:left="207" w:right="189"/>
              <w:rPr>
                <w:sz w:val="18"/>
              </w:rPr>
            </w:pPr>
            <w:r>
              <w:rPr>
                <w:sz w:val="18"/>
              </w:rPr>
              <w:t>分档方式</w:t>
            </w:r>
          </w:p>
        </w:tc>
        <w:tc>
          <w:tcPr>
            <w:tcW w:w="1558" w:type="dxa"/>
            <w:tcBorders>
              <w:left w:val="single" w:sz="4" w:space="0" w:color="000000"/>
              <w:bottom w:val="single" w:sz="4" w:space="0" w:color="000000"/>
              <w:right w:val="single" w:sz="4" w:space="0" w:color="000000"/>
            </w:tcBorders>
          </w:tcPr>
          <w:p>
            <w:pPr>
              <w:pStyle w:val="TableParagraph"/>
              <w:ind w:left="137" w:right="107"/>
              <w:rPr>
                <w:sz w:val="18"/>
              </w:rPr>
            </w:pPr>
            <w:r>
              <w:rPr>
                <w:sz w:val="18"/>
              </w:rPr>
              <w:t>一档</w:t>
            </w:r>
          </w:p>
        </w:tc>
        <w:tc>
          <w:tcPr>
            <w:tcW w:w="1560" w:type="dxa"/>
            <w:tcBorders>
              <w:left w:val="single" w:sz="4" w:space="0" w:color="000000"/>
              <w:bottom w:val="single" w:sz="4" w:space="0" w:color="000000"/>
              <w:right w:val="single" w:sz="4" w:space="0" w:color="000000"/>
            </w:tcBorders>
          </w:tcPr>
          <w:p>
            <w:pPr>
              <w:pStyle w:val="TableParagraph"/>
              <w:ind w:left="139" w:right="106"/>
              <w:rPr>
                <w:sz w:val="18"/>
              </w:rPr>
            </w:pPr>
            <w:r>
              <w:rPr>
                <w:sz w:val="18"/>
              </w:rPr>
              <w:t>二挡</w:t>
            </w:r>
          </w:p>
        </w:tc>
        <w:tc>
          <w:tcPr>
            <w:tcW w:w="1560" w:type="dxa"/>
            <w:tcBorders>
              <w:left w:val="single" w:sz="4" w:space="0" w:color="000000"/>
              <w:bottom w:val="single" w:sz="4" w:space="0" w:color="000000"/>
              <w:right w:val="single" w:sz="4" w:space="0" w:color="000000"/>
            </w:tcBorders>
          </w:tcPr>
          <w:p>
            <w:pPr>
              <w:pStyle w:val="TableParagraph"/>
              <w:ind w:left="139" w:right="106"/>
              <w:rPr>
                <w:sz w:val="18"/>
              </w:rPr>
            </w:pPr>
            <w:r>
              <w:rPr>
                <w:sz w:val="18"/>
              </w:rPr>
              <w:t>三挡</w:t>
            </w:r>
          </w:p>
        </w:tc>
        <w:tc>
          <w:tcPr>
            <w:tcW w:w="1558" w:type="dxa"/>
            <w:tcBorders>
              <w:left w:val="single" w:sz="4" w:space="0" w:color="000000"/>
              <w:bottom w:val="single" w:sz="4" w:space="0" w:color="000000"/>
              <w:right w:val="single" w:sz="4" w:space="0" w:color="000000"/>
            </w:tcBorders>
          </w:tcPr>
          <w:p>
            <w:pPr>
              <w:pStyle w:val="TableParagraph"/>
              <w:ind w:left="137" w:right="107"/>
              <w:rPr>
                <w:sz w:val="18"/>
              </w:rPr>
            </w:pPr>
            <w:r>
              <w:rPr>
                <w:sz w:val="18"/>
              </w:rPr>
              <w:t>四挡</w:t>
            </w:r>
          </w:p>
        </w:tc>
        <w:tc>
          <w:tcPr>
            <w:tcW w:w="1560" w:type="dxa"/>
            <w:tcBorders>
              <w:left w:val="single" w:sz="4" w:space="0" w:color="000000"/>
              <w:bottom w:val="single" w:sz="4" w:space="0" w:color="000000"/>
            </w:tcBorders>
          </w:tcPr>
          <w:p>
            <w:pPr>
              <w:pStyle w:val="TableParagraph"/>
              <w:ind w:left="230" w:right="188"/>
              <w:rPr>
                <w:sz w:val="18"/>
              </w:rPr>
            </w:pPr>
            <w:r>
              <w:rPr>
                <w:sz w:val="18"/>
              </w:rPr>
              <w:t>五挡</w:t>
            </w:r>
          </w:p>
        </w:tc>
      </w:tr>
      <w:tr>
        <w:tblPrEx>
          <w:tblW w:w="0" w:type="auto"/>
          <w:jc w:val="left"/>
          <w:tblInd w:w="248" w:type="dxa"/>
          <w:tblLayout w:type="fixed"/>
          <w:tblCellMar>
            <w:top w:w="0" w:type="dxa"/>
            <w:left w:w="0" w:type="dxa"/>
            <w:bottom w:w="0" w:type="dxa"/>
            <w:right w:w="0" w:type="dxa"/>
          </w:tblCellMar>
          <w:tblLook w:val="01E0"/>
        </w:tblPrEx>
        <w:trPr>
          <w:trHeight w:val="314"/>
          <w:jc w:val="left"/>
        </w:trPr>
        <w:tc>
          <w:tcPr>
            <w:tcW w:w="1560" w:type="dxa"/>
            <w:tcBorders>
              <w:top w:val="single" w:sz="4" w:space="0" w:color="000000"/>
              <w:bottom w:val="single" w:sz="4" w:space="0" w:color="000000"/>
              <w:right w:val="single" w:sz="4" w:space="0" w:color="000000"/>
            </w:tcBorders>
          </w:tcPr>
          <w:p>
            <w:pPr>
              <w:pStyle w:val="TableParagraph"/>
              <w:spacing w:before="40"/>
              <w:ind w:left="205" w:right="189"/>
              <w:rPr>
                <w:sz w:val="18"/>
              </w:rPr>
            </w:pPr>
            <w:r>
              <w:rPr>
                <w:sz w:val="18"/>
              </w:rPr>
              <w:t>方式三</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before="40"/>
              <w:ind w:left="137" w:right="104"/>
              <w:rPr>
                <w:sz w:val="18"/>
              </w:rPr>
            </w:pPr>
            <w:r>
              <w:rPr>
                <w:sz w:val="18"/>
              </w:rPr>
              <w:t>0～2.36mm</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before="40"/>
              <w:ind w:left="139" w:right="109"/>
              <w:rPr>
                <w:sz w:val="18"/>
              </w:rPr>
            </w:pPr>
            <w:r>
              <w:rPr>
                <w:sz w:val="18"/>
              </w:rPr>
              <w:t>2.36mm～4.75mm</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before="40"/>
              <w:ind w:left="139" w:right="107"/>
              <w:rPr>
                <w:sz w:val="18"/>
              </w:rPr>
            </w:pPr>
            <w:r>
              <w:rPr>
                <w:sz w:val="18"/>
              </w:rPr>
              <w:t>4.75mm～19mm</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before="40"/>
              <w:ind w:left="137" w:right="108"/>
              <w:rPr>
                <w:sz w:val="18"/>
              </w:rPr>
            </w:pPr>
            <w:r>
              <w:rPr>
                <w:sz w:val="18"/>
              </w:rPr>
              <w:t>19mm～31.5mm</w:t>
            </w:r>
          </w:p>
        </w:tc>
        <w:tc>
          <w:tcPr>
            <w:tcW w:w="1560" w:type="dxa"/>
            <w:tcBorders>
              <w:top w:val="single" w:sz="4" w:space="0" w:color="000000"/>
              <w:left w:val="single" w:sz="4" w:space="0" w:color="000000"/>
              <w:bottom w:val="single" w:sz="4" w:space="0" w:color="000000"/>
            </w:tcBorders>
          </w:tcPr>
          <w:p>
            <w:pPr>
              <w:pStyle w:val="TableParagraph"/>
              <w:spacing w:before="40"/>
              <w:ind w:left="230" w:right="188"/>
              <w:rPr>
                <w:sz w:val="18"/>
              </w:rPr>
            </w:pPr>
            <w:r>
              <w:rPr>
                <w:sz w:val="18"/>
              </w:rPr>
              <w:t>--</w:t>
            </w:r>
          </w:p>
        </w:tc>
      </w:tr>
      <w:tr>
        <w:tblPrEx>
          <w:tblW w:w="0" w:type="auto"/>
          <w:jc w:val="left"/>
          <w:tblInd w:w="248" w:type="dxa"/>
          <w:tblLayout w:type="fixed"/>
          <w:tblCellMar>
            <w:top w:w="0" w:type="dxa"/>
            <w:left w:w="0" w:type="dxa"/>
            <w:bottom w:w="0" w:type="dxa"/>
            <w:right w:w="0" w:type="dxa"/>
          </w:tblCellMar>
          <w:tblLook w:val="01E0"/>
        </w:tblPrEx>
        <w:trPr>
          <w:trHeight w:val="308"/>
          <w:jc w:val="left"/>
        </w:trPr>
        <w:tc>
          <w:tcPr>
            <w:tcW w:w="1560" w:type="dxa"/>
            <w:tcBorders>
              <w:top w:val="single" w:sz="4" w:space="0" w:color="000000"/>
              <w:right w:val="single" w:sz="4" w:space="0" w:color="000000"/>
            </w:tcBorders>
          </w:tcPr>
          <w:p>
            <w:pPr>
              <w:pStyle w:val="TableParagraph"/>
              <w:ind w:left="205" w:right="189"/>
              <w:rPr>
                <w:sz w:val="18"/>
              </w:rPr>
            </w:pPr>
            <w:r>
              <w:rPr>
                <w:sz w:val="18"/>
              </w:rPr>
              <w:t>方式四</w:t>
            </w:r>
          </w:p>
        </w:tc>
        <w:tc>
          <w:tcPr>
            <w:tcW w:w="1558" w:type="dxa"/>
            <w:tcBorders>
              <w:top w:val="single" w:sz="4" w:space="0" w:color="000000"/>
              <w:left w:val="single" w:sz="4" w:space="0" w:color="000000"/>
              <w:right w:val="single" w:sz="4" w:space="0" w:color="000000"/>
            </w:tcBorders>
          </w:tcPr>
          <w:p>
            <w:pPr>
              <w:pStyle w:val="TableParagraph"/>
              <w:ind w:left="137" w:right="104"/>
              <w:rPr>
                <w:sz w:val="18"/>
              </w:rPr>
            </w:pPr>
            <w:r>
              <w:rPr>
                <w:sz w:val="18"/>
              </w:rPr>
              <w:t>0～2.36mm</w:t>
            </w:r>
          </w:p>
        </w:tc>
        <w:tc>
          <w:tcPr>
            <w:tcW w:w="1560" w:type="dxa"/>
            <w:tcBorders>
              <w:top w:val="single" w:sz="4" w:space="0" w:color="000000"/>
              <w:left w:val="single" w:sz="4" w:space="0" w:color="000000"/>
              <w:right w:val="single" w:sz="4" w:space="0" w:color="000000"/>
            </w:tcBorders>
          </w:tcPr>
          <w:p>
            <w:pPr>
              <w:pStyle w:val="TableParagraph"/>
              <w:ind w:left="139" w:right="109"/>
              <w:rPr>
                <w:sz w:val="18"/>
              </w:rPr>
            </w:pPr>
            <w:r>
              <w:rPr>
                <w:sz w:val="18"/>
              </w:rPr>
              <w:t>2.36mm～4.75mm</w:t>
            </w:r>
          </w:p>
        </w:tc>
        <w:tc>
          <w:tcPr>
            <w:tcW w:w="1560" w:type="dxa"/>
            <w:tcBorders>
              <w:top w:val="single" w:sz="4" w:space="0" w:color="000000"/>
              <w:left w:val="single" w:sz="4" w:space="0" w:color="000000"/>
              <w:right w:val="single" w:sz="4" w:space="0" w:color="000000"/>
            </w:tcBorders>
          </w:tcPr>
          <w:p>
            <w:pPr>
              <w:pStyle w:val="TableParagraph"/>
              <w:ind w:left="139" w:right="104"/>
              <w:rPr>
                <w:sz w:val="18"/>
              </w:rPr>
            </w:pPr>
            <w:r>
              <w:rPr>
                <w:sz w:val="18"/>
              </w:rPr>
              <w:t>4.75mm～9.5mm</w:t>
            </w:r>
          </w:p>
        </w:tc>
        <w:tc>
          <w:tcPr>
            <w:tcW w:w="1558" w:type="dxa"/>
            <w:tcBorders>
              <w:top w:val="single" w:sz="4" w:space="0" w:color="000000"/>
              <w:left w:val="single" w:sz="4" w:space="0" w:color="000000"/>
              <w:right w:val="single" w:sz="4" w:space="0" w:color="000000"/>
            </w:tcBorders>
          </w:tcPr>
          <w:p>
            <w:pPr>
              <w:pStyle w:val="TableParagraph"/>
              <w:ind w:left="137" w:right="107"/>
              <w:rPr>
                <w:sz w:val="18"/>
              </w:rPr>
            </w:pPr>
            <w:r>
              <w:rPr>
                <w:sz w:val="18"/>
              </w:rPr>
              <w:t>9.5mm～19mm</w:t>
            </w:r>
          </w:p>
        </w:tc>
        <w:tc>
          <w:tcPr>
            <w:tcW w:w="1560" w:type="dxa"/>
            <w:tcBorders>
              <w:top w:val="single" w:sz="4" w:space="0" w:color="000000"/>
              <w:left w:val="single" w:sz="4" w:space="0" w:color="000000"/>
            </w:tcBorders>
          </w:tcPr>
          <w:p>
            <w:pPr>
              <w:pStyle w:val="TableParagraph"/>
              <w:ind w:left="230" w:right="189"/>
              <w:rPr>
                <w:sz w:val="18"/>
              </w:rPr>
            </w:pPr>
            <w:r>
              <w:rPr>
                <w:sz w:val="18"/>
              </w:rPr>
              <w:t>19mm～31.5mm</w:t>
            </w:r>
          </w:p>
        </w:tc>
      </w:tr>
    </w:tbl>
    <w:p>
      <w:pPr>
        <w:pStyle w:val="BodyText"/>
        <w:spacing w:before="1"/>
        <w:rPr>
          <w:rFonts w:ascii="黑体"/>
          <w:sz w:val="14"/>
        </w:rPr>
      </w:pPr>
    </w:p>
    <w:p>
      <w:pPr>
        <w:pStyle w:val="ListParagraph"/>
        <w:numPr>
          <w:ilvl w:val="3"/>
          <w:numId w:val="30"/>
        </w:numPr>
        <w:tabs>
          <w:tab w:val="left" w:pos="1178"/>
          <w:tab w:val="left" w:pos="1179"/>
        </w:tabs>
        <w:spacing w:before="1" w:after="0" w:line="240" w:lineRule="auto"/>
        <w:ind w:left="1178" w:right="0" w:hanging="947"/>
        <w:jc w:val="left"/>
        <w:rPr>
          <w:sz w:val="21"/>
        </w:rPr>
      </w:pPr>
      <w:bookmarkStart w:id="88" w:name="5.2.1.4  凡饮用水皆可使用，其他水源应化验鉴定，合格后方可使用。"/>
      <w:bookmarkEnd w:id="88"/>
      <w:r>
        <w:rPr>
          <w:spacing w:val="-3"/>
          <w:sz w:val="21"/>
        </w:rPr>
        <w:t>凡饮用水皆可使用，其他水源应化验鉴定，合格后方可使用。</w:t>
      </w:r>
    </w:p>
    <w:p>
      <w:pPr>
        <w:pStyle w:val="BodyText"/>
        <w:spacing w:before="6"/>
        <w:rPr>
          <w:sz w:val="15"/>
        </w:rPr>
      </w:pPr>
    </w:p>
    <w:p>
      <w:pPr>
        <w:pStyle w:val="ListParagraph"/>
        <w:numPr>
          <w:ilvl w:val="2"/>
          <w:numId w:val="30"/>
        </w:numPr>
        <w:tabs>
          <w:tab w:val="left" w:pos="953"/>
        </w:tabs>
        <w:spacing w:before="0" w:after="0" w:line="240" w:lineRule="auto"/>
        <w:ind w:left="952" w:right="0" w:hanging="721"/>
        <w:jc w:val="left"/>
        <w:rPr>
          <w:rFonts w:ascii="黑体" w:eastAsia="黑体" w:hint="eastAsia"/>
          <w:sz w:val="21"/>
        </w:rPr>
      </w:pPr>
      <w:bookmarkStart w:id="89" w:name="下封层、粘层、桥面（隧道）防水粘结层原材料质量要求"/>
      <w:bookmarkEnd w:id="89"/>
      <w:r>
        <w:rPr>
          <w:rFonts w:ascii="黑体" w:eastAsia="黑体" w:hint="eastAsia"/>
          <w:spacing w:val="-3"/>
          <w:sz w:val="21"/>
        </w:rPr>
        <w:t>下封层、粘层、桥面</w:t>
      </w:r>
      <w:r>
        <w:rPr>
          <w:rFonts w:ascii="黑体" w:eastAsia="黑体" w:hint="eastAsia"/>
          <w:sz w:val="21"/>
        </w:rPr>
        <w:t>（</w:t>
      </w:r>
      <w:r>
        <w:rPr>
          <w:rFonts w:ascii="黑体" w:eastAsia="黑体" w:hint="eastAsia"/>
          <w:spacing w:val="-2"/>
          <w:sz w:val="21"/>
        </w:rPr>
        <w:t>隧道</w:t>
      </w:r>
      <w:r>
        <w:rPr>
          <w:rFonts w:ascii="黑体" w:eastAsia="黑体" w:hint="eastAsia"/>
          <w:sz w:val="21"/>
        </w:rPr>
        <w:t>）</w:t>
      </w:r>
      <w:r>
        <w:rPr>
          <w:rFonts w:ascii="黑体" w:eastAsia="黑体" w:hint="eastAsia"/>
          <w:spacing w:val="-3"/>
          <w:sz w:val="21"/>
        </w:rPr>
        <w:t>防水粘结层原材料质量要求</w:t>
      </w:r>
    </w:p>
    <w:p>
      <w:pPr>
        <w:pStyle w:val="BodyText"/>
        <w:spacing w:before="7"/>
        <w:rPr>
          <w:rFonts w:ascii="黑体"/>
          <w:sz w:val="15"/>
        </w:rPr>
      </w:pPr>
    </w:p>
    <w:p>
      <w:pPr>
        <w:pStyle w:val="ListParagraph"/>
        <w:numPr>
          <w:ilvl w:val="3"/>
          <w:numId w:val="30"/>
        </w:numPr>
        <w:tabs>
          <w:tab w:val="left" w:pos="1178"/>
          <w:tab w:val="left" w:pos="1179"/>
        </w:tabs>
        <w:spacing w:before="0" w:after="0" w:line="240" w:lineRule="auto"/>
        <w:ind w:left="1178" w:right="0" w:hanging="947"/>
        <w:jc w:val="left"/>
        <w:rPr>
          <w:sz w:val="21"/>
        </w:rPr>
      </w:pPr>
      <w:bookmarkStart w:id="90" w:name="5.2.2.1  下封层"/>
      <w:bookmarkEnd w:id="90"/>
      <w:r>
        <w:rPr>
          <w:spacing w:val="-3"/>
          <w:sz w:val="21"/>
        </w:rPr>
        <w:t>下封层</w:t>
      </w:r>
    </w:p>
    <w:p>
      <w:pPr>
        <w:pStyle w:val="BodyText"/>
        <w:spacing w:before="7"/>
        <w:rPr>
          <w:sz w:val="15"/>
        </w:rPr>
      </w:pPr>
    </w:p>
    <w:p>
      <w:pPr>
        <w:pStyle w:val="ListParagraph"/>
        <w:numPr>
          <w:ilvl w:val="4"/>
          <w:numId w:val="30"/>
        </w:numPr>
        <w:tabs>
          <w:tab w:val="left" w:pos="1075"/>
        </w:tabs>
        <w:spacing w:before="0" w:after="0" w:line="240" w:lineRule="auto"/>
        <w:ind w:left="1074" w:right="0" w:hanging="423"/>
        <w:jc w:val="both"/>
        <w:rPr>
          <w:sz w:val="21"/>
        </w:rPr>
      </w:pPr>
      <w:r>
        <w:rPr>
          <w:spacing w:val="-2"/>
          <w:sz w:val="21"/>
        </w:rPr>
        <w:t xml:space="preserve">沥青材料 </w:t>
      </w:r>
      <w:r>
        <w:rPr>
          <w:sz w:val="21"/>
        </w:rPr>
        <w:t>70</w:t>
      </w:r>
      <w:r>
        <w:rPr>
          <w:spacing w:val="-36"/>
          <w:sz w:val="21"/>
        </w:rPr>
        <w:t xml:space="preserve"> 号 </w:t>
      </w:r>
      <w:r>
        <w:rPr>
          <w:sz w:val="21"/>
        </w:rPr>
        <w:t>A</w:t>
      </w:r>
      <w:r>
        <w:rPr>
          <w:spacing w:val="-11"/>
          <w:sz w:val="21"/>
        </w:rPr>
        <w:t xml:space="preserve"> 级道路石油沥青、改性乳化沥青，质量要求应符合 </w:t>
      </w:r>
      <w:r>
        <w:rPr>
          <w:sz w:val="21"/>
        </w:rPr>
        <w:t>5.2.3</w:t>
      </w:r>
      <w:r>
        <w:rPr>
          <w:spacing w:val="-13"/>
          <w:sz w:val="21"/>
        </w:rPr>
        <w:t xml:space="preserve"> 的规定。</w:t>
      </w:r>
    </w:p>
    <w:p>
      <w:pPr>
        <w:pStyle w:val="ListParagraph"/>
        <w:numPr>
          <w:ilvl w:val="4"/>
          <w:numId w:val="30"/>
        </w:numPr>
        <w:tabs>
          <w:tab w:val="left" w:pos="1075"/>
        </w:tabs>
        <w:spacing w:before="43" w:after="0" w:line="278" w:lineRule="auto"/>
        <w:ind w:left="1072" w:right="591" w:hanging="421"/>
        <w:jc w:val="both"/>
        <w:rPr>
          <w:sz w:val="21"/>
        </w:rPr>
      </w:pPr>
      <w:r>
        <w:rPr>
          <w:spacing w:val="-8"/>
          <w:sz w:val="21"/>
        </w:rPr>
        <w:t>集料 应选择坚硬、粗糙、耐磨、洁净的集料，采用改性乳化沥青单层表面处治下封层时集料</w:t>
      </w:r>
      <w:r>
        <w:rPr>
          <w:spacing w:val="-12"/>
          <w:sz w:val="21"/>
        </w:rPr>
        <w:t xml:space="preserve">粒径宜为 </w:t>
      </w:r>
      <w:r>
        <w:rPr>
          <w:spacing w:val="-5"/>
          <w:sz w:val="21"/>
        </w:rPr>
        <w:t xml:space="preserve">2.36mm～4.75mm，采用预拌沥青下封层时集料粒径宜为 </w:t>
      </w:r>
      <w:r>
        <w:rPr>
          <w:sz w:val="21"/>
        </w:rPr>
        <w:t>4.75mm～9.5mm</w:t>
      </w:r>
      <w:r>
        <w:rPr>
          <w:spacing w:val="-10"/>
          <w:sz w:val="21"/>
        </w:rPr>
        <w:t>。严格控制粉</w:t>
      </w:r>
      <w:r>
        <w:rPr>
          <w:spacing w:val="-8"/>
          <w:sz w:val="21"/>
        </w:rPr>
        <w:t>尘含量</w:t>
      </w:r>
      <w:r>
        <w:rPr>
          <w:sz w:val="21"/>
        </w:rPr>
        <w:t>（</w:t>
      </w:r>
      <w:r>
        <w:rPr>
          <w:spacing w:val="-19"/>
          <w:sz w:val="21"/>
        </w:rPr>
        <w:t xml:space="preserve">小于 </w:t>
      </w:r>
      <w:r>
        <w:rPr>
          <w:sz w:val="21"/>
        </w:rPr>
        <w:t>0.075mm</w:t>
      </w:r>
      <w:r>
        <w:rPr>
          <w:spacing w:val="-14"/>
          <w:sz w:val="21"/>
        </w:rPr>
        <w:t xml:space="preserve"> 含量比例不大于 </w:t>
      </w:r>
      <w:r>
        <w:rPr>
          <w:sz w:val="21"/>
        </w:rPr>
        <w:t>1%）</w:t>
      </w:r>
      <w:r>
        <w:rPr>
          <w:spacing w:val="-3"/>
          <w:sz w:val="21"/>
        </w:rPr>
        <w:t>。</w:t>
      </w:r>
    </w:p>
    <w:p>
      <w:pPr>
        <w:pStyle w:val="ListParagraph"/>
        <w:numPr>
          <w:ilvl w:val="3"/>
          <w:numId w:val="30"/>
        </w:numPr>
        <w:tabs>
          <w:tab w:val="left" w:pos="1178"/>
          <w:tab w:val="left" w:pos="1179"/>
        </w:tabs>
        <w:spacing w:before="155" w:after="0" w:line="240" w:lineRule="auto"/>
        <w:ind w:left="1178" w:right="0" w:hanging="947"/>
        <w:jc w:val="left"/>
        <w:rPr>
          <w:sz w:val="21"/>
        </w:rPr>
      </w:pPr>
      <w:bookmarkStart w:id="91" w:name="5.2.2.2  粘层"/>
      <w:bookmarkEnd w:id="91"/>
      <w:r>
        <w:rPr>
          <w:sz w:val="21"/>
        </w:rPr>
        <w:t>粘层</w:t>
      </w:r>
    </w:p>
    <w:p>
      <w:pPr>
        <w:pStyle w:val="BodyText"/>
        <w:spacing w:before="7"/>
        <w:rPr>
          <w:sz w:val="15"/>
        </w:rPr>
      </w:pPr>
    </w:p>
    <w:p>
      <w:pPr>
        <w:pStyle w:val="BodyText"/>
        <w:ind w:left="652"/>
      </w:pPr>
      <w:r>
        <w:t>改性乳化沥青质量应符合表 6 规定。</w:t>
      </w:r>
    </w:p>
    <w:p>
      <w:pPr>
        <w:pStyle w:val="BodyText"/>
        <w:spacing w:before="7"/>
        <w:rPr>
          <w:sz w:val="15"/>
        </w:rPr>
      </w:pPr>
    </w:p>
    <w:p>
      <w:pPr>
        <w:pStyle w:val="ListParagraph"/>
        <w:numPr>
          <w:ilvl w:val="3"/>
          <w:numId w:val="30"/>
        </w:numPr>
        <w:tabs>
          <w:tab w:val="left" w:pos="1178"/>
          <w:tab w:val="left" w:pos="1179"/>
        </w:tabs>
        <w:spacing w:before="0" w:after="0" w:line="240" w:lineRule="auto"/>
        <w:ind w:left="1178" w:right="0" w:hanging="947"/>
        <w:jc w:val="left"/>
        <w:rPr>
          <w:sz w:val="21"/>
        </w:rPr>
      </w:pPr>
      <w:bookmarkStart w:id="92" w:name="5.2.2.3  桥面（隧道）防水粘结层"/>
      <w:bookmarkEnd w:id="92"/>
      <w:r>
        <w:rPr>
          <w:spacing w:val="-2"/>
          <w:sz w:val="21"/>
        </w:rPr>
        <w:t>桥面</w:t>
      </w:r>
      <w:r>
        <w:rPr>
          <w:sz w:val="21"/>
        </w:rPr>
        <w:t>（</w:t>
      </w:r>
      <w:r>
        <w:rPr>
          <w:spacing w:val="-2"/>
          <w:sz w:val="21"/>
        </w:rPr>
        <w:t>隧道</w:t>
      </w:r>
      <w:r>
        <w:rPr>
          <w:spacing w:val="-3"/>
          <w:sz w:val="21"/>
        </w:rPr>
        <w:t>）防水粘结层</w:t>
      </w:r>
    </w:p>
    <w:p>
      <w:pPr>
        <w:pStyle w:val="BodyText"/>
        <w:spacing w:before="6"/>
        <w:rPr>
          <w:sz w:val="15"/>
        </w:rPr>
      </w:pPr>
    </w:p>
    <w:p>
      <w:pPr>
        <w:pStyle w:val="ListParagraph"/>
        <w:numPr>
          <w:ilvl w:val="4"/>
          <w:numId w:val="30"/>
        </w:numPr>
        <w:tabs>
          <w:tab w:val="left" w:pos="1074"/>
          <w:tab w:val="left" w:pos="1075"/>
        </w:tabs>
        <w:spacing w:before="1" w:after="0" w:line="240" w:lineRule="auto"/>
        <w:ind w:left="1074" w:right="0" w:hanging="423"/>
        <w:jc w:val="left"/>
        <w:rPr>
          <w:sz w:val="21"/>
        </w:rPr>
      </w:pPr>
      <w:r>
        <w:rPr>
          <w:spacing w:val="-3"/>
          <w:sz w:val="21"/>
        </w:rPr>
        <w:t>改性乳化沥青防水粘结层采用改性乳化沥青</w:t>
      </w:r>
      <w:r>
        <w:rPr>
          <w:sz w:val="21"/>
        </w:rPr>
        <w:t>（PCR）</w:t>
      </w:r>
      <w:r>
        <w:rPr>
          <w:spacing w:val="-10"/>
          <w:sz w:val="21"/>
        </w:rPr>
        <w:t xml:space="preserve">，质量符合表 </w:t>
      </w:r>
      <w:r>
        <w:rPr>
          <w:sz w:val="21"/>
        </w:rPr>
        <w:t>6</w:t>
      </w:r>
      <w:r>
        <w:rPr>
          <w:spacing w:val="-15"/>
          <w:sz w:val="21"/>
        </w:rPr>
        <w:t xml:space="preserve"> 规定。</w:t>
      </w:r>
    </w:p>
    <w:p>
      <w:pPr>
        <w:pStyle w:val="ListParagraph"/>
        <w:numPr>
          <w:ilvl w:val="4"/>
          <w:numId w:val="30"/>
        </w:numPr>
        <w:tabs>
          <w:tab w:val="left" w:pos="1075"/>
          <w:tab w:val="left" w:pos="1076"/>
        </w:tabs>
        <w:spacing w:before="42" w:after="0" w:line="278" w:lineRule="auto"/>
        <w:ind w:left="1072" w:right="591" w:hanging="420"/>
        <w:jc w:val="left"/>
        <w:rPr>
          <w:sz w:val="21"/>
        </w:rPr>
      </w:pPr>
      <w:r>
        <w:rPr>
          <w:spacing w:val="-7"/>
          <w:sz w:val="21"/>
        </w:rPr>
        <w:t xml:space="preserve">预拌沥青防水粘结层沥青采用 </w:t>
      </w:r>
      <w:r>
        <w:rPr>
          <w:sz w:val="21"/>
        </w:rPr>
        <w:t>70</w:t>
      </w:r>
      <w:r>
        <w:rPr>
          <w:spacing w:val="-31"/>
          <w:sz w:val="21"/>
        </w:rPr>
        <w:t xml:space="preserve"> 号 </w:t>
      </w:r>
      <w:r>
        <w:rPr>
          <w:sz w:val="21"/>
        </w:rPr>
        <w:t>A</w:t>
      </w:r>
      <w:r>
        <w:rPr>
          <w:spacing w:val="-11"/>
          <w:sz w:val="21"/>
        </w:rPr>
        <w:t xml:space="preserve"> 级道路石油沥青，质量要求应符合表 </w:t>
      </w:r>
      <w:r>
        <w:rPr>
          <w:sz w:val="21"/>
        </w:rPr>
        <w:t>4</w:t>
      </w:r>
      <w:r>
        <w:rPr>
          <w:spacing w:val="-8"/>
          <w:sz w:val="21"/>
        </w:rPr>
        <w:t xml:space="preserve"> 规定。集料的粒</w:t>
      </w:r>
      <w:r>
        <w:rPr>
          <w:spacing w:val="-17"/>
          <w:sz w:val="21"/>
        </w:rPr>
        <w:t xml:space="preserve">径采用 </w:t>
      </w:r>
      <w:r>
        <w:rPr>
          <w:sz w:val="21"/>
        </w:rPr>
        <w:t>4.75mm～9.5mm</w:t>
      </w:r>
      <w:r>
        <w:rPr>
          <w:spacing w:val="-10"/>
          <w:sz w:val="21"/>
        </w:rPr>
        <w:t xml:space="preserve">，质量符合表 </w:t>
      </w:r>
      <w:r>
        <w:rPr>
          <w:sz w:val="21"/>
        </w:rPr>
        <w:t>2</w:t>
      </w:r>
      <w:r>
        <w:rPr>
          <w:spacing w:val="-15"/>
          <w:sz w:val="21"/>
        </w:rPr>
        <w:t xml:space="preserve"> 规定。</w:t>
      </w:r>
    </w:p>
    <w:p>
      <w:pPr>
        <w:pStyle w:val="ListParagraph"/>
        <w:numPr>
          <w:ilvl w:val="4"/>
          <w:numId w:val="30"/>
        </w:numPr>
        <w:tabs>
          <w:tab w:val="left" w:pos="1075"/>
          <w:tab w:val="left" w:pos="1076"/>
        </w:tabs>
        <w:spacing w:before="0" w:after="0" w:line="269" w:lineRule="exact"/>
        <w:ind w:left="1075" w:right="0" w:hanging="424"/>
        <w:jc w:val="left"/>
        <w:rPr>
          <w:sz w:val="21"/>
        </w:rPr>
      </w:pPr>
      <w:r>
        <w:rPr>
          <w:spacing w:val="-5"/>
          <w:sz w:val="21"/>
        </w:rPr>
        <w:t xml:space="preserve">聚合物改性沥青防水粘结层采用聚合物改性沥青，其质量应符合表 </w:t>
      </w:r>
      <w:r>
        <w:rPr>
          <w:sz w:val="21"/>
        </w:rPr>
        <w:t>5</w:t>
      </w:r>
      <w:r>
        <w:rPr>
          <w:spacing w:val="-15"/>
          <w:sz w:val="21"/>
        </w:rPr>
        <w:t xml:space="preserve"> 规定。</w:t>
      </w:r>
    </w:p>
    <w:p>
      <w:pPr>
        <w:pStyle w:val="BodyText"/>
        <w:spacing w:before="7"/>
        <w:rPr>
          <w:sz w:val="15"/>
        </w:rPr>
      </w:pPr>
    </w:p>
    <w:p>
      <w:pPr>
        <w:pStyle w:val="ListParagraph"/>
        <w:numPr>
          <w:ilvl w:val="2"/>
          <w:numId w:val="30"/>
        </w:numPr>
        <w:tabs>
          <w:tab w:val="left" w:pos="969"/>
          <w:tab w:val="left" w:pos="970"/>
        </w:tabs>
        <w:spacing w:before="0" w:after="0" w:line="240" w:lineRule="auto"/>
        <w:ind w:left="969" w:right="0" w:hanging="738"/>
        <w:jc w:val="left"/>
        <w:rPr>
          <w:rFonts w:ascii="黑体" w:eastAsia="黑体" w:hint="eastAsia"/>
          <w:sz w:val="21"/>
        </w:rPr>
      </w:pPr>
      <w:bookmarkStart w:id="93" w:name="5.2.3  沥青路面原材料质量技术要求"/>
      <w:bookmarkEnd w:id="93"/>
      <w:r>
        <w:rPr>
          <w:rFonts w:ascii="黑体" w:eastAsia="黑体" w:hint="eastAsia"/>
          <w:spacing w:val="-3"/>
          <w:sz w:val="21"/>
        </w:rPr>
        <w:t>沥青路面原材料质量技术要求</w:t>
      </w:r>
    </w:p>
    <w:p>
      <w:pPr>
        <w:pStyle w:val="BodyText"/>
        <w:spacing w:before="7"/>
        <w:rPr>
          <w:rFonts w:ascii="黑体"/>
          <w:sz w:val="15"/>
        </w:rPr>
      </w:pPr>
    </w:p>
    <w:p>
      <w:pPr>
        <w:pStyle w:val="ListParagraph"/>
        <w:numPr>
          <w:ilvl w:val="3"/>
          <w:numId w:val="30"/>
        </w:numPr>
        <w:tabs>
          <w:tab w:val="left" w:pos="1178"/>
          <w:tab w:val="left" w:pos="1179"/>
          <w:tab w:val="left" w:pos="1809"/>
        </w:tabs>
        <w:spacing w:before="0" w:after="0" w:line="278" w:lineRule="auto"/>
        <w:ind w:left="233" w:right="595" w:hanging="1"/>
        <w:jc w:val="left"/>
        <w:rPr>
          <w:sz w:val="21"/>
        </w:rPr>
      </w:pPr>
      <w:bookmarkStart w:id="94" w:name="5.2.3.1  沥青  沥青下面层采用优质道路70号A级道路石油沥青，中面层、"/>
      <w:bookmarkEnd w:id="94"/>
      <w:r>
        <w:rPr>
          <w:sz w:val="21"/>
        </w:rPr>
        <w:t>沥</w:t>
      </w:r>
      <w:r>
        <w:rPr>
          <w:sz w:val="21"/>
        </w:rPr>
        <w:t>青</w:t>
        <w:tab/>
      </w:r>
      <w:r>
        <w:rPr>
          <w:spacing w:val="-3"/>
          <w:sz w:val="21"/>
        </w:rPr>
        <w:t>沥</w:t>
      </w:r>
      <w:r>
        <w:rPr>
          <w:sz w:val="21"/>
        </w:rPr>
        <w:t>青</w:t>
      </w:r>
      <w:r>
        <w:rPr>
          <w:spacing w:val="-3"/>
          <w:sz w:val="21"/>
        </w:rPr>
        <w:t>下面</w:t>
      </w:r>
      <w:r>
        <w:rPr>
          <w:sz w:val="21"/>
        </w:rPr>
        <w:t>层采</w:t>
      </w:r>
      <w:r>
        <w:rPr>
          <w:spacing w:val="-3"/>
          <w:sz w:val="21"/>
        </w:rPr>
        <w:t>用</w:t>
      </w:r>
      <w:r>
        <w:rPr>
          <w:sz w:val="21"/>
        </w:rPr>
        <w:t>优</w:t>
      </w:r>
      <w:r>
        <w:rPr>
          <w:spacing w:val="-3"/>
          <w:sz w:val="21"/>
        </w:rPr>
        <w:t>质道</w:t>
      </w:r>
      <w:r>
        <w:rPr>
          <w:sz w:val="21"/>
        </w:rPr>
        <w:t>路</w:t>
      </w:r>
      <w:r>
        <w:rPr>
          <w:spacing w:val="-47"/>
          <w:sz w:val="21"/>
        </w:rPr>
        <w:t xml:space="preserve"> </w:t>
      </w:r>
      <w:r>
        <w:rPr>
          <w:sz w:val="21"/>
        </w:rPr>
        <w:t>70</w:t>
      </w:r>
      <w:r>
        <w:rPr>
          <w:spacing w:val="-49"/>
          <w:sz w:val="21"/>
        </w:rPr>
        <w:t xml:space="preserve"> </w:t>
      </w:r>
      <w:r>
        <w:rPr>
          <w:sz w:val="21"/>
        </w:rPr>
        <w:t>号</w:t>
      </w:r>
      <w:r>
        <w:rPr>
          <w:spacing w:val="-47"/>
          <w:sz w:val="21"/>
        </w:rPr>
        <w:t xml:space="preserve"> </w:t>
      </w:r>
      <w:r>
        <w:rPr>
          <w:sz w:val="21"/>
        </w:rPr>
        <w:t>A</w:t>
      </w:r>
      <w:r>
        <w:rPr>
          <w:spacing w:val="-49"/>
          <w:sz w:val="21"/>
        </w:rPr>
        <w:t xml:space="preserve"> </w:t>
      </w:r>
      <w:r>
        <w:rPr>
          <w:spacing w:val="-3"/>
          <w:sz w:val="21"/>
        </w:rPr>
        <w:t>级</w:t>
      </w:r>
      <w:r>
        <w:rPr>
          <w:sz w:val="21"/>
        </w:rPr>
        <w:t>道路</w:t>
      </w:r>
      <w:r>
        <w:rPr>
          <w:spacing w:val="-3"/>
          <w:sz w:val="21"/>
        </w:rPr>
        <w:t>石</w:t>
      </w:r>
      <w:r>
        <w:rPr>
          <w:sz w:val="21"/>
        </w:rPr>
        <w:t>油</w:t>
      </w:r>
      <w:r>
        <w:rPr>
          <w:spacing w:val="-3"/>
          <w:sz w:val="21"/>
        </w:rPr>
        <w:t>沥</w:t>
      </w:r>
      <w:r>
        <w:rPr>
          <w:sz w:val="21"/>
        </w:rPr>
        <w:t>青</w:t>
      </w:r>
      <w:r>
        <w:rPr>
          <w:spacing w:val="-51"/>
          <w:sz w:val="21"/>
        </w:rPr>
        <w:t>，</w:t>
      </w:r>
      <w:r>
        <w:rPr>
          <w:sz w:val="21"/>
        </w:rPr>
        <w:t>中</w:t>
      </w:r>
      <w:r>
        <w:rPr>
          <w:spacing w:val="-3"/>
          <w:sz w:val="21"/>
        </w:rPr>
        <w:t>面</w:t>
      </w:r>
      <w:r>
        <w:rPr>
          <w:sz w:val="21"/>
        </w:rPr>
        <w:t>层</w:t>
      </w:r>
      <w:r>
        <w:rPr>
          <w:spacing w:val="-51"/>
          <w:sz w:val="21"/>
        </w:rPr>
        <w:t>、</w:t>
      </w:r>
      <w:r>
        <w:rPr>
          <w:spacing w:val="-3"/>
          <w:sz w:val="21"/>
        </w:rPr>
        <w:t>表</w:t>
      </w:r>
      <w:r>
        <w:rPr>
          <w:sz w:val="21"/>
        </w:rPr>
        <w:t>面层</w:t>
      </w:r>
      <w:r>
        <w:rPr>
          <w:spacing w:val="-3"/>
          <w:sz w:val="21"/>
        </w:rPr>
        <w:t>采</w:t>
      </w:r>
      <w:r>
        <w:rPr>
          <w:sz w:val="21"/>
        </w:rPr>
        <w:t>用</w:t>
      </w:r>
      <w:r>
        <w:rPr>
          <w:spacing w:val="-3"/>
          <w:sz w:val="21"/>
        </w:rPr>
        <w:t>优</w:t>
      </w:r>
      <w:r>
        <w:rPr>
          <w:sz w:val="21"/>
        </w:rPr>
        <w:t>质</w:t>
      </w:r>
      <w:r>
        <w:rPr>
          <w:spacing w:val="-47"/>
          <w:sz w:val="21"/>
        </w:rPr>
        <w:t xml:space="preserve"> </w:t>
      </w:r>
      <w:r>
        <w:rPr>
          <w:sz w:val="21"/>
        </w:rPr>
        <w:t>SBS</w:t>
      </w:r>
      <w:r>
        <w:rPr>
          <w:spacing w:val="-46"/>
          <w:sz w:val="21"/>
        </w:rPr>
        <w:t xml:space="preserve"> </w:t>
      </w:r>
      <w:r>
        <w:rPr>
          <w:spacing w:val="-3"/>
          <w:sz w:val="21"/>
        </w:rPr>
        <w:t>改性</w:t>
      </w:r>
      <w:r>
        <w:rPr>
          <w:sz w:val="21"/>
        </w:rPr>
        <w:t>沥青</w:t>
      </w:r>
      <w:r>
        <w:rPr>
          <w:spacing w:val="-3"/>
          <w:sz w:val="21"/>
        </w:rPr>
        <w:t>。</w:t>
      </w:r>
      <w:r>
        <w:rPr>
          <w:sz w:val="21"/>
        </w:rPr>
        <w:t>70</w:t>
      </w:r>
      <w:r>
        <w:rPr>
          <w:spacing w:val="-51"/>
          <w:sz w:val="21"/>
        </w:rPr>
        <w:t xml:space="preserve"> </w:t>
      </w:r>
      <w:r>
        <w:rPr>
          <w:sz w:val="21"/>
        </w:rPr>
        <w:t>号</w:t>
      </w:r>
      <w:r>
        <w:rPr>
          <w:spacing w:val="-49"/>
          <w:sz w:val="21"/>
        </w:rPr>
        <w:t xml:space="preserve"> </w:t>
      </w:r>
      <w:r>
        <w:rPr>
          <w:sz w:val="21"/>
        </w:rPr>
        <w:t>A</w:t>
      </w:r>
      <w:r>
        <w:rPr>
          <w:spacing w:val="-51"/>
          <w:sz w:val="21"/>
        </w:rPr>
        <w:t xml:space="preserve"> </w:t>
      </w:r>
      <w:r>
        <w:rPr>
          <w:sz w:val="21"/>
        </w:rPr>
        <w:t>级</w:t>
      </w:r>
      <w:r>
        <w:rPr>
          <w:spacing w:val="-3"/>
          <w:sz w:val="21"/>
        </w:rPr>
        <w:t>道</w:t>
      </w:r>
      <w:r>
        <w:rPr>
          <w:sz w:val="21"/>
        </w:rPr>
        <w:t>路</w:t>
      </w:r>
      <w:r>
        <w:rPr>
          <w:spacing w:val="-3"/>
          <w:sz w:val="21"/>
        </w:rPr>
        <w:t>石油</w:t>
      </w:r>
      <w:r>
        <w:rPr>
          <w:sz w:val="21"/>
        </w:rPr>
        <w:t>的技</w:t>
      </w:r>
      <w:r>
        <w:rPr>
          <w:spacing w:val="-3"/>
          <w:sz w:val="21"/>
        </w:rPr>
        <w:t>术</w:t>
      </w:r>
      <w:r>
        <w:rPr>
          <w:sz w:val="21"/>
        </w:rPr>
        <w:t>要</w:t>
      </w:r>
      <w:r>
        <w:rPr>
          <w:spacing w:val="-3"/>
          <w:sz w:val="21"/>
        </w:rPr>
        <w:t>求</w:t>
      </w:r>
      <w:r>
        <w:rPr>
          <w:sz w:val="21"/>
        </w:rPr>
        <w:t>应</w:t>
      </w:r>
      <w:r>
        <w:rPr>
          <w:spacing w:val="-3"/>
          <w:sz w:val="21"/>
        </w:rPr>
        <w:t>符合</w:t>
      </w:r>
      <w:r>
        <w:rPr>
          <w:sz w:val="21"/>
        </w:rPr>
        <w:t>表</w:t>
      </w:r>
      <w:r>
        <w:rPr>
          <w:spacing w:val="-48"/>
          <w:sz w:val="21"/>
        </w:rPr>
        <w:t xml:space="preserve"> </w:t>
      </w:r>
      <w:r>
        <w:rPr>
          <w:sz w:val="21"/>
        </w:rPr>
        <w:t>4</w:t>
      </w:r>
      <w:r>
        <w:rPr>
          <w:spacing w:val="-49"/>
          <w:sz w:val="21"/>
        </w:rPr>
        <w:t xml:space="preserve"> </w:t>
      </w:r>
      <w:r>
        <w:rPr>
          <w:spacing w:val="-3"/>
          <w:sz w:val="21"/>
        </w:rPr>
        <w:t>的</w:t>
      </w:r>
      <w:r>
        <w:rPr>
          <w:sz w:val="21"/>
        </w:rPr>
        <w:t>规定,SBS</w:t>
      </w:r>
      <w:r>
        <w:rPr>
          <w:spacing w:val="-50"/>
          <w:sz w:val="21"/>
        </w:rPr>
        <w:t xml:space="preserve"> </w:t>
      </w:r>
      <w:r>
        <w:rPr>
          <w:sz w:val="21"/>
        </w:rPr>
        <w:t>改</w:t>
      </w:r>
      <w:r>
        <w:rPr>
          <w:spacing w:val="-3"/>
          <w:sz w:val="21"/>
        </w:rPr>
        <w:t>性</w:t>
      </w:r>
      <w:r>
        <w:rPr>
          <w:sz w:val="21"/>
        </w:rPr>
        <w:t>沥</w:t>
      </w:r>
      <w:r>
        <w:rPr>
          <w:spacing w:val="-3"/>
          <w:sz w:val="21"/>
        </w:rPr>
        <w:t>青</w:t>
      </w:r>
      <w:r>
        <w:rPr>
          <w:sz w:val="21"/>
        </w:rPr>
        <w:t>的</w:t>
      </w:r>
      <w:r>
        <w:rPr>
          <w:spacing w:val="-3"/>
          <w:sz w:val="21"/>
        </w:rPr>
        <w:t>技术</w:t>
      </w:r>
      <w:r>
        <w:rPr>
          <w:sz w:val="21"/>
        </w:rPr>
        <w:t>要求</w:t>
      </w:r>
      <w:r>
        <w:rPr>
          <w:spacing w:val="-3"/>
          <w:sz w:val="21"/>
        </w:rPr>
        <w:t>应</w:t>
      </w:r>
      <w:r>
        <w:rPr>
          <w:sz w:val="21"/>
        </w:rPr>
        <w:t>符</w:t>
      </w:r>
      <w:r>
        <w:rPr>
          <w:spacing w:val="-3"/>
          <w:sz w:val="21"/>
        </w:rPr>
        <w:t>合</w:t>
      </w:r>
      <w:r>
        <w:rPr>
          <w:sz w:val="21"/>
        </w:rPr>
        <w:t>表</w:t>
      </w:r>
      <w:r>
        <w:rPr>
          <w:spacing w:val="-49"/>
          <w:sz w:val="21"/>
        </w:rPr>
        <w:t xml:space="preserve"> </w:t>
      </w:r>
      <w:r>
        <w:rPr>
          <w:sz w:val="21"/>
        </w:rPr>
        <w:t>5</w:t>
      </w:r>
      <w:r>
        <w:rPr>
          <w:spacing w:val="-51"/>
          <w:sz w:val="21"/>
        </w:rPr>
        <w:t xml:space="preserve"> </w:t>
      </w:r>
      <w:r>
        <w:rPr>
          <w:sz w:val="21"/>
        </w:rPr>
        <w:t>的</w:t>
      </w:r>
      <w:r>
        <w:rPr>
          <w:spacing w:val="-3"/>
          <w:sz w:val="21"/>
        </w:rPr>
        <w:t>规</w:t>
      </w:r>
      <w:r>
        <w:rPr>
          <w:sz w:val="21"/>
        </w:rPr>
        <w:t>定, 改性</w:t>
      </w:r>
      <w:r>
        <w:rPr>
          <w:spacing w:val="-3"/>
          <w:sz w:val="21"/>
        </w:rPr>
        <w:t>乳</w:t>
      </w:r>
      <w:r>
        <w:rPr>
          <w:sz w:val="21"/>
        </w:rPr>
        <w:t>化</w:t>
      </w:r>
      <w:r>
        <w:rPr>
          <w:spacing w:val="-3"/>
          <w:sz w:val="21"/>
        </w:rPr>
        <w:t>沥</w:t>
      </w:r>
      <w:r>
        <w:rPr>
          <w:sz w:val="21"/>
        </w:rPr>
        <w:t>青</w:t>
      </w:r>
      <w:r>
        <w:rPr>
          <w:spacing w:val="-3"/>
          <w:sz w:val="21"/>
        </w:rPr>
        <w:t>的</w:t>
      </w:r>
      <w:r>
        <w:rPr>
          <w:sz w:val="21"/>
        </w:rPr>
        <w:t>技</w:t>
      </w:r>
      <w:r>
        <w:rPr>
          <w:spacing w:val="-3"/>
          <w:sz w:val="21"/>
        </w:rPr>
        <w:t>术</w:t>
      </w:r>
      <w:r>
        <w:rPr>
          <w:sz w:val="21"/>
        </w:rPr>
        <w:t>要</w:t>
      </w:r>
      <w:r>
        <w:rPr>
          <w:spacing w:val="-3"/>
          <w:sz w:val="21"/>
        </w:rPr>
        <w:t>求</w:t>
      </w:r>
      <w:r>
        <w:rPr>
          <w:sz w:val="21"/>
        </w:rPr>
        <w:t>应符</w:t>
      </w:r>
      <w:r>
        <w:rPr>
          <w:spacing w:val="-3"/>
          <w:sz w:val="21"/>
        </w:rPr>
        <w:t>合</w:t>
      </w:r>
      <w:r>
        <w:rPr>
          <w:sz w:val="21"/>
        </w:rPr>
        <w:t>表</w:t>
      </w:r>
      <w:r>
        <w:rPr>
          <w:spacing w:val="-31"/>
          <w:sz w:val="21"/>
        </w:rPr>
        <w:t xml:space="preserve"> </w:t>
      </w:r>
      <w:r>
        <w:rPr>
          <w:sz w:val="21"/>
        </w:rPr>
        <w:t>6</w:t>
      </w:r>
      <w:r>
        <w:rPr>
          <w:spacing w:val="-33"/>
          <w:sz w:val="21"/>
        </w:rPr>
        <w:t xml:space="preserve"> </w:t>
      </w:r>
      <w:r>
        <w:rPr>
          <w:sz w:val="21"/>
        </w:rPr>
        <w:t>的</w:t>
      </w:r>
      <w:r>
        <w:rPr>
          <w:spacing w:val="-3"/>
          <w:sz w:val="21"/>
        </w:rPr>
        <w:t>规</w:t>
      </w:r>
      <w:r>
        <w:rPr>
          <w:sz w:val="21"/>
        </w:rPr>
        <w:t>定</w:t>
      </w:r>
      <w:r>
        <w:rPr>
          <w:spacing w:val="-51"/>
          <w:sz w:val="21"/>
        </w:rPr>
        <w:t>。</w:t>
      </w:r>
      <w:r>
        <w:rPr>
          <w:sz w:val="21"/>
        </w:rPr>
        <w:t>每</w:t>
      </w:r>
      <w:r>
        <w:rPr>
          <w:spacing w:val="-3"/>
          <w:sz w:val="21"/>
        </w:rPr>
        <w:t>个</w:t>
      </w:r>
      <w:r>
        <w:rPr>
          <w:sz w:val="21"/>
        </w:rPr>
        <w:t>标段</w:t>
      </w:r>
      <w:r>
        <w:rPr>
          <w:spacing w:val="-3"/>
          <w:sz w:val="21"/>
        </w:rPr>
        <w:t>的</w:t>
      </w:r>
      <w:r>
        <w:rPr>
          <w:sz w:val="21"/>
        </w:rPr>
        <w:t>同</w:t>
      </w:r>
      <w:r>
        <w:rPr>
          <w:spacing w:val="-3"/>
          <w:sz w:val="21"/>
        </w:rPr>
        <w:t>一</w:t>
      </w:r>
      <w:r>
        <w:rPr>
          <w:sz w:val="21"/>
        </w:rPr>
        <w:t>面</w:t>
      </w:r>
      <w:r>
        <w:rPr>
          <w:spacing w:val="-3"/>
          <w:sz w:val="21"/>
        </w:rPr>
        <w:t>层</w:t>
      </w:r>
      <w:r>
        <w:rPr>
          <w:sz w:val="21"/>
        </w:rPr>
        <w:t>的</w:t>
      </w:r>
      <w:r>
        <w:rPr>
          <w:spacing w:val="-3"/>
          <w:sz w:val="21"/>
        </w:rPr>
        <w:t>沥</w:t>
      </w:r>
      <w:r>
        <w:rPr>
          <w:sz w:val="21"/>
        </w:rPr>
        <w:t>青</w:t>
      </w:r>
      <w:r>
        <w:rPr>
          <w:spacing w:val="-3"/>
          <w:sz w:val="21"/>
        </w:rPr>
        <w:t>品</w:t>
      </w:r>
      <w:r>
        <w:rPr>
          <w:sz w:val="21"/>
        </w:rPr>
        <w:t>牌应</w:t>
      </w:r>
      <w:r>
        <w:rPr>
          <w:spacing w:val="-3"/>
          <w:sz w:val="21"/>
        </w:rPr>
        <w:t>保</w:t>
      </w:r>
      <w:r>
        <w:rPr>
          <w:sz w:val="21"/>
        </w:rPr>
        <w:t>持</w:t>
      </w:r>
      <w:r>
        <w:rPr>
          <w:spacing w:val="-3"/>
          <w:sz w:val="21"/>
        </w:rPr>
        <w:t>一</w:t>
      </w:r>
      <w:r>
        <w:rPr>
          <w:sz w:val="21"/>
        </w:rPr>
        <w:t>致</w:t>
      </w:r>
      <w:r>
        <w:rPr>
          <w:spacing w:val="-51"/>
          <w:sz w:val="21"/>
        </w:rPr>
        <w:t>，</w:t>
      </w:r>
      <w:r>
        <w:rPr>
          <w:sz w:val="21"/>
        </w:rPr>
        <w:t>并</w:t>
      </w:r>
      <w:r>
        <w:rPr>
          <w:spacing w:val="-3"/>
          <w:sz w:val="21"/>
        </w:rPr>
        <w:t>符合以下</w:t>
      </w:r>
      <w:r>
        <w:rPr>
          <w:sz w:val="21"/>
        </w:rPr>
        <w:t>要求：</w:t>
      </w:r>
    </w:p>
    <w:p>
      <w:pPr>
        <w:pStyle w:val="ListParagraph"/>
        <w:numPr>
          <w:ilvl w:val="4"/>
          <w:numId w:val="30"/>
        </w:numPr>
        <w:tabs>
          <w:tab w:val="left" w:pos="1076"/>
          <w:tab w:val="left" w:pos="1077"/>
        </w:tabs>
        <w:spacing w:before="155" w:after="0" w:line="278" w:lineRule="auto"/>
        <w:ind w:left="1073" w:right="590" w:hanging="421"/>
        <w:jc w:val="left"/>
        <w:rPr>
          <w:sz w:val="21"/>
        </w:rPr>
      </w:pPr>
      <w:r>
        <w:rPr>
          <w:spacing w:val="-7"/>
          <w:sz w:val="21"/>
        </w:rPr>
        <w:t>沥青全套性能检验由建设单位委托有关试验单位进行，施工单位和监理单位工地试验室按施工</w:t>
      </w:r>
      <w:r>
        <w:rPr>
          <w:spacing w:val="-5"/>
          <w:sz w:val="21"/>
        </w:rPr>
        <w:t>技术规范要求对到场沥青进行检测。</w:t>
      </w:r>
    </w:p>
    <w:p>
      <w:pPr>
        <w:pStyle w:val="ListParagraph"/>
        <w:numPr>
          <w:ilvl w:val="4"/>
          <w:numId w:val="30"/>
        </w:numPr>
        <w:tabs>
          <w:tab w:val="left" w:pos="1076"/>
          <w:tab w:val="left" w:pos="1077"/>
        </w:tabs>
        <w:spacing w:before="0" w:after="0" w:line="269" w:lineRule="exact"/>
        <w:ind w:left="1076" w:right="0" w:hanging="424"/>
        <w:jc w:val="left"/>
        <w:rPr>
          <w:sz w:val="21"/>
        </w:rPr>
      </w:pPr>
      <w:r>
        <w:rPr>
          <w:spacing w:val="-10"/>
          <w:sz w:val="21"/>
        </w:rPr>
        <w:t xml:space="preserve">施工单位对到场 </w:t>
      </w:r>
      <w:r>
        <w:rPr>
          <w:sz w:val="21"/>
        </w:rPr>
        <w:t>70</w:t>
      </w:r>
      <w:r>
        <w:rPr>
          <w:spacing w:val="-35"/>
          <w:sz w:val="21"/>
        </w:rPr>
        <w:t xml:space="preserve"> 号 </w:t>
      </w:r>
      <w:r>
        <w:rPr>
          <w:sz w:val="21"/>
        </w:rPr>
        <w:t>A</w:t>
      </w:r>
      <w:r>
        <w:rPr>
          <w:spacing w:val="-9"/>
          <w:sz w:val="21"/>
        </w:rPr>
        <w:t xml:space="preserve"> 级道路石油沥青应每天留样封存，</w:t>
      </w:r>
      <w:r>
        <w:rPr>
          <w:sz w:val="21"/>
        </w:rPr>
        <w:t>SBS</w:t>
      </w:r>
      <w:r>
        <w:rPr>
          <w:spacing w:val="-8"/>
          <w:sz w:val="21"/>
        </w:rPr>
        <w:t xml:space="preserve"> 改性沥青应每车留样封存。</w:t>
      </w:r>
    </w:p>
    <w:p>
      <w:pPr>
        <w:pStyle w:val="ListParagraph"/>
        <w:numPr>
          <w:ilvl w:val="4"/>
          <w:numId w:val="30"/>
        </w:numPr>
        <w:tabs>
          <w:tab w:val="left" w:pos="1076"/>
          <w:tab w:val="left" w:pos="1077"/>
        </w:tabs>
        <w:spacing w:before="43" w:after="0" w:line="240" w:lineRule="auto"/>
        <w:ind w:left="1076" w:right="0" w:hanging="424"/>
        <w:jc w:val="left"/>
        <w:rPr>
          <w:sz w:val="21"/>
        </w:rPr>
      </w:pPr>
      <w:r>
        <w:rPr>
          <w:spacing w:val="-3"/>
          <w:sz w:val="21"/>
        </w:rPr>
        <w:t>沥青性能指标应满足上述要求，各批量检测指标相对稳定。</w:t>
      </w:r>
    </w:p>
    <w:p>
      <w:pPr>
        <w:pStyle w:val="ListParagraph"/>
        <w:numPr>
          <w:ilvl w:val="4"/>
          <w:numId w:val="30"/>
        </w:numPr>
        <w:tabs>
          <w:tab w:val="left" w:pos="1076"/>
          <w:tab w:val="left" w:pos="1077"/>
        </w:tabs>
        <w:spacing w:before="43" w:after="0" w:line="278" w:lineRule="auto"/>
        <w:ind w:left="1074" w:right="590" w:hanging="421"/>
        <w:jc w:val="left"/>
        <w:rPr>
          <w:sz w:val="21"/>
        </w:rPr>
      </w:pPr>
      <w:r>
        <w:rPr>
          <w:spacing w:val="-3"/>
          <w:sz w:val="21"/>
        </w:rPr>
        <w:t xml:space="preserve">改性沥青宜采用《改性沥青中 </w:t>
      </w:r>
      <w:r>
        <w:rPr>
          <w:sz w:val="21"/>
        </w:rPr>
        <w:t>SBS</w:t>
      </w:r>
      <w:r>
        <w:rPr>
          <w:spacing w:val="-2"/>
          <w:sz w:val="21"/>
        </w:rPr>
        <w:t xml:space="preserve"> 含量的测定 红外光谱法》</w:t>
      </w:r>
      <w:r>
        <w:rPr>
          <w:sz w:val="21"/>
        </w:rPr>
        <w:t>（DB</w:t>
      </w:r>
      <w:r>
        <w:rPr>
          <w:spacing w:val="7"/>
          <w:sz w:val="21"/>
        </w:rPr>
        <w:t xml:space="preserve"> </w:t>
      </w:r>
      <w:r>
        <w:rPr>
          <w:sz w:val="21"/>
        </w:rPr>
        <w:t>33/T</w:t>
      </w:r>
      <w:r>
        <w:rPr>
          <w:spacing w:val="4"/>
          <w:sz w:val="21"/>
        </w:rPr>
        <w:t xml:space="preserve"> </w:t>
      </w:r>
      <w:r>
        <w:rPr>
          <w:sz w:val="21"/>
        </w:rPr>
        <w:t>989）</w:t>
      </w:r>
      <w:r>
        <w:rPr>
          <w:spacing w:val="-3"/>
          <w:sz w:val="21"/>
        </w:rPr>
        <w:t>、《改性沥青中 SBS</w:t>
      </w:r>
      <w:r>
        <w:rPr>
          <w:spacing w:val="-6"/>
          <w:sz w:val="21"/>
        </w:rPr>
        <w:t xml:space="preserve"> 掺量测定指南滴定法》等规定的方法进行 </w:t>
      </w:r>
      <w:r>
        <w:rPr>
          <w:sz w:val="21"/>
        </w:rPr>
        <w:t>SBS</w:t>
      </w:r>
      <w:r>
        <w:rPr>
          <w:spacing w:val="-12"/>
          <w:sz w:val="21"/>
        </w:rPr>
        <w:t xml:space="preserve"> 含量测定。</w:t>
      </w:r>
    </w:p>
    <w:p>
      <w:pPr>
        <w:pStyle w:val="BodyText"/>
        <w:tabs>
          <w:tab w:val="left" w:pos="578"/>
        </w:tabs>
        <w:spacing w:before="157"/>
        <w:ind w:right="361"/>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4</w:t>
        <w:tab/>
        <w:t>70</w:t>
      </w:r>
      <w:r>
        <w:rPr>
          <w:rFonts w:ascii="黑体" w:eastAsia="黑体" w:hint="eastAsia"/>
          <w:spacing w:val="-55"/>
        </w:rPr>
        <w:t xml:space="preserve"> </w:t>
      </w:r>
      <w:r>
        <w:rPr>
          <w:rFonts w:ascii="黑体" w:eastAsia="黑体" w:hint="eastAsia"/>
        </w:rPr>
        <w:t>号</w:t>
      </w:r>
      <w:r>
        <w:rPr>
          <w:rFonts w:ascii="黑体" w:eastAsia="黑体" w:hint="eastAsia"/>
          <w:spacing w:val="-52"/>
        </w:rPr>
        <w:t xml:space="preserve"> </w:t>
      </w:r>
      <w:r>
        <w:rPr>
          <w:rFonts w:ascii="黑体" w:eastAsia="黑体" w:hint="eastAsia"/>
        </w:rPr>
        <w:t>A</w:t>
      </w:r>
      <w:r>
        <w:rPr>
          <w:rFonts w:ascii="黑体" w:eastAsia="黑体" w:hint="eastAsia"/>
          <w:spacing w:val="-53"/>
        </w:rPr>
        <w:t xml:space="preserve"> </w:t>
      </w:r>
      <w:r>
        <w:rPr>
          <w:rFonts w:ascii="黑体" w:eastAsia="黑体" w:hint="eastAsia"/>
          <w:spacing w:val="-3"/>
        </w:rPr>
        <w:t>级</w:t>
      </w:r>
      <w:r>
        <w:rPr>
          <w:rFonts w:ascii="黑体" w:eastAsia="黑体" w:hint="eastAsia"/>
        </w:rPr>
        <w:t>道</w:t>
      </w:r>
      <w:r>
        <w:rPr>
          <w:rFonts w:ascii="黑体" w:eastAsia="黑体" w:hint="eastAsia"/>
          <w:spacing w:val="-3"/>
        </w:rPr>
        <w:t>路</w:t>
      </w:r>
      <w:r>
        <w:rPr>
          <w:rFonts w:ascii="黑体" w:eastAsia="黑体" w:hint="eastAsia"/>
        </w:rPr>
        <w:t>石</w:t>
      </w:r>
      <w:r>
        <w:rPr>
          <w:rFonts w:ascii="黑体" w:eastAsia="黑体" w:hint="eastAsia"/>
          <w:spacing w:val="-3"/>
        </w:rPr>
        <w:t>油</w:t>
      </w:r>
      <w:r>
        <w:rPr>
          <w:rFonts w:ascii="黑体" w:eastAsia="黑体" w:hint="eastAsia"/>
        </w:rPr>
        <w:t>沥青</w:t>
      </w:r>
      <w:r>
        <w:rPr>
          <w:rFonts w:ascii="黑体" w:eastAsia="黑体" w:hint="eastAsia"/>
          <w:spacing w:val="-3"/>
        </w:rPr>
        <w:t>的</w:t>
      </w:r>
      <w:r>
        <w:rPr>
          <w:rFonts w:ascii="黑体" w:eastAsia="黑体" w:hint="eastAsia"/>
        </w:rPr>
        <w:t>技</w:t>
      </w:r>
      <w:r>
        <w:rPr>
          <w:rFonts w:ascii="黑体" w:eastAsia="黑体" w:hint="eastAsia"/>
          <w:spacing w:val="-3"/>
        </w:rPr>
        <w:t>术</w:t>
      </w:r>
      <w:r>
        <w:rPr>
          <w:rFonts w:ascii="黑体" w:eastAsia="黑体" w:hint="eastAsia"/>
        </w:rPr>
        <w:t>要求</w:t>
      </w:r>
    </w:p>
    <w:p>
      <w:pPr>
        <w:pStyle w:val="BodyText"/>
        <w:spacing w:before="9"/>
        <w:rPr>
          <w:rFonts w:ascii="黑体"/>
          <w:sz w:val="13"/>
        </w:rPr>
      </w:pPr>
    </w:p>
    <w:tbl>
      <w:tblPr>
        <w:tblStyle w:val="TableNormal2"/>
        <w:tblW w:w="0" w:type="auto"/>
        <w:jc w:val="left"/>
        <w:tblInd w:w="2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14"/>
        <w:gridCol w:w="1277"/>
        <w:gridCol w:w="1851"/>
        <w:gridCol w:w="1851"/>
      </w:tblGrid>
      <w:tr>
        <w:tblPrEx>
          <w:tblW w:w="0" w:type="auto"/>
          <w:jc w:val="left"/>
          <w:tblInd w:w="2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63"/>
          <w:jc w:val="left"/>
        </w:trPr>
        <w:tc>
          <w:tcPr>
            <w:tcW w:w="4414" w:type="dxa"/>
            <w:tcBorders>
              <w:bottom w:val="single" w:sz="4" w:space="0" w:color="000000"/>
              <w:right w:val="single" w:sz="4" w:space="0" w:color="000000"/>
            </w:tcBorders>
          </w:tcPr>
          <w:p>
            <w:pPr>
              <w:pStyle w:val="TableParagraph"/>
              <w:tabs>
                <w:tab w:val="left" w:pos="839"/>
              </w:tabs>
              <w:spacing w:before="85"/>
              <w:ind w:left="25"/>
              <w:rPr>
                <w:sz w:val="18"/>
              </w:rPr>
            </w:pPr>
            <w:r>
              <w:rPr>
                <w:sz w:val="18"/>
              </w:rPr>
              <w:t>项</w:t>
              <w:tab/>
              <w:t>目</w:t>
            </w:r>
          </w:p>
        </w:tc>
        <w:tc>
          <w:tcPr>
            <w:tcW w:w="1277" w:type="dxa"/>
            <w:tcBorders>
              <w:left w:val="single" w:sz="4" w:space="0" w:color="000000"/>
              <w:bottom w:val="single" w:sz="4" w:space="0" w:color="000000"/>
              <w:right w:val="single" w:sz="4" w:space="0" w:color="000000"/>
            </w:tcBorders>
          </w:tcPr>
          <w:p>
            <w:pPr>
              <w:pStyle w:val="TableParagraph"/>
              <w:spacing w:before="85"/>
              <w:ind w:left="400" w:right="373"/>
              <w:rPr>
                <w:sz w:val="18"/>
              </w:rPr>
            </w:pPr>
            <w:r>
              <w:rPr>
                <w:sz w:val="18"/>
              </w:rPr>
              <w:t>单位</w:t>
            </w:r>
          </w:p>
        </w:tc>
        <w:tc>
          <w:tcPr>
            <w:tcW w:w="1851" w:type="dxa"/>
            <w:tcBorders>
              <w:left w:val="single" w:sz="4" w:space="0" w:color="000000"/>
              <w:bottom w:val="single" w:sz="4" w:space="0" w:color="000000"/>
              <w:right w:val="single" w:sz="4" w:space="0" w:color="000000"/>
            </w:tcBorders>
          </w:tcPr>
          <w:p>
            <w:pPr>
              <w:pStyle w:val="TableParagraph"/>
              <w:spacing w:before="85"/>
              <w:ind w:left="415" w:right="391"/>
              <w:rPr>
                <w:sz w:val="18"/>
              </w:rPr>
            </w:pPr>
            <w:r>
              <w:rPr>
                <w:sz w:val="18"/>
              </w:rPr>
              <w:t>技术要求</w:t>
            </w:r>
          </w:p>
        </w:tc>
        <w:tc>
          <w:tcPr>
            <w:tcW w:w="1851" w:type="dxa"/>
            <w:tcBorders>
              <w:left w:val="single" w:sz="4" w:space="0" w:color="000000"/>
              <w:bottom w:val="single" w:sz="4" w:space="0" w:color="000000"/>
            </w:tcBorders>
          </w:tcPr>
          <w:p>
            <w:pPr>
              <w:pStyle w:val="TableParagraph"/>
              <w:spacing w:before="85"/>
              <w:ind w:left="554" w:right="516"/>
              <w:rPr>
                <w:sz w:val="18"/>
              </w:rPr>
            </w:pPr>
            <w:r>
              <w:rPr>
                <w:sz w:val="18"/>
              </w:rPr>
              <w:t>试验方法</w:t>
            </w:r>
          </w:p>
        </w:tc>
      </w:tr>
      <w:tr>
        <w:tblPrEx>
          <w:tblW w:w="0" w:type="auto"/>
          <w:jc w:val="left"/>
          <w:tblInd w:w="229" w:type="dxa"/>
          <w:tblLayout w:type="fixed"/>
          <w:tblCellMar>
            <w:top w:w="0" w:type="dxa"/>
            <w:left w:w="0" w:type="dxa"/>
            <w:bottom w:w="0" w:type="dxa"/>
            <w:right w:w="0" w:type="dxa"/>
          </w:tblCellMar>
          <w:tblLook w:val="01E0"/>
        </w:tblPrEx>
        <w:trPr>
          <w:trHeight w:val="362"/>
          <w:jc w:val="left"/>
        </w:trPr>
        <w:tc>
          <w:tcPr>
            <w:tcW w:w="4414" w:type="dxa"/>
            <w:tcBorders>
              <w:top w:val="single" w:sz="4" w:space="0" w:color="000000"/>
              <w:bottom w:val="single" w:sz="4" w:space="0" w:color="000000"/>
              <w:right w:val="single" w:sz="4" w:space="0" w:color="000000"/>
            </w:tcBorders>
          </w:tcPr>
          <w:p>
            <w:pPr>
              <w:pStyle w:val="TableParagraph"/>
              <w:spacing w:before="86"/>
              <w:ind w:left="1127"/>
              <w:jc w:val="left"/>
              <w:rPr>
                <w:sz w:val="18"/>
              </w:rPr>
            </w:pPr>
            <w:r>
              <w:rPr>
                <w:sz w:val="18"/>
              </w:rPr>
              <w:t>针入度（25℃，100g，5s）</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86"/>
              <w:ind w:left="403" w:right="373"/>
              <w:rPr>
                <w:sz w:val="18"/>
              </w:rPr>
            </w:pPr>
            <w:r>
              <w:rPr>
                <w:sz w:val="18"/>
              </w:rPr>
              <w:t>0.1mm</w:t>
            </w:r>
          </w:p>
        </w:tc>
        <w:tc>
          <w:tcPr>
            <w:tcW w:w="1851" w:type="dxa"/>
            <w:tcBorders>
              <w:top w:val="single" w:sz="4" w:space="0" w:color="000000"/>
              <w:left w:val="single" w:sz="4" w:space="0" w:color="000000"/>
              <w:bottom w:val="single" w:sz="4" w:space="0" w:color="000000"/>
              <w:right w:val="single" w:sz="4" w:space="0" w:color="000000"/>
            </w:tcBorders>
          </w:tcPr>
          <w:p>
            <w:pPr>
              <w:pStyle w:val="TableParagraph"/>
              <w:spacing w:before="86"/>
              <w:ind w:left="418" w:right="391"/>
              <w:rPr>
                <w:sz w:val="18"/>
              </w:rPr>
            </w:pPr>
            <w:r>
              <w:rPr>
                <w:sz w:val="18"/>
              </w:rPr>
              <w:t>60～80</w:t>
            </w:r>
          </w:p>
        </w:tc>
        <w:tc>
          <w:tcPr>
            <w:tcW w:w="1851" w:type="dxa"/>
            <w:tcBorders>
              <w:top w:val="single" w:sz="4" w:space="0" w:color="000000"/>
              <w:left w:val="single" w:sz="4" w:space="0" w:color="000000"/>
              <w:bottom w:val="single" w:sz="4" w:space="0" w:color="000000"/>
            </w:tcBorders>
          </w:tcPr>
          <w:p>
            <w:pPr>
              <w:pStyle w:val="TableParagraph"/>
              <w:spacing w:before="86"/>
              <w:ind w:left="551" w:right="516"/>
              <w:rPr>
                <w:sz w:val="18"/>
              </w:rPr>
            </w:pPr>
            <w:r>
              <w:rPr>
                <w:sz w:val="18"/>
              </w:rPr>
              <w:t>T 0604</w:t>
            </w:r>
          </w:p>
        </w:tc>
      </w:tr>
      <w:tr>
        <w:tblPrEx>
          <w:tblW w:w="0" w:type="auto"/>
          <w:jc w:val="left"/>
          <w:tblInd w:w="229" w:type="dxa"/>
          <w:tblLayout w:type="fixed"/>
          <w:tblCellMar>
            <w:top w:w="0" w:type="dxa"/>
            <w:left w:w="0" w:type="dxa"/>
            <w:bottom w:w="0" w:type="dxa"/>
            <w:right w:w="0" w:type="dxa"/>
          </w:tblCellMar>
          <w:tblLook w:val="01E0"/>
        </w:tblPrEx>
        <w:trPr>
          <w:trHeight w:val="364"/>
          <w:jc w:val="left"/>
        </w:trPr>
        <w:tc>
          <w:tcPr>
            <w:tcW w:w="4414" w:type="dxa"/>
            <w:tcBorders>
              <w:top w:val="single" w:sz="4" w:space="0" w:color="000000"/>
              <w:bottom w:val="single" w:sz="4" w:space="0" w:color="000000"/>
              <w:right w:val="single" w:sz="4" w:space="0" w:color="000000"/>
            </w:tcBorders>
          </w:tcPr>
          <w:p>
            <w:pPr>
              <w:pStyle w:val="TableParagraph"/>
              <w:spacing w:before="86"/>
              <w:ind w:left="1825"/>
              <w:jc w:val="left"/>
              <w:rPr>
                <w:sz w:val="18"/>
              </w:rPr>
            </w:pPr>
            <w:r>
              <w:rPr>
                <w:sz w:val="18"/>
              </w:rPr>
              <w:t>针入度指数 PI</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0"/>
              <w:jc w:val="left"/>
              <w:rPr>
                <w:rFonts w:ascii="Times New Roman"/>
                <w:sz w:val="20"/>
              </w:rPr>
            </w:pPr>
          </w:p>
        </w:tc>
        <w:tc>
          <w:tcPr>
            <w:tcW w:w="1851" w:type="dxa"/>
            <w:tcBorders>
              <w:top w:val="single" w:sz="4" w:space="0" w:color="000000"/>
              <w:left w:val="single" w:sz="4" w:space="0" w:color="000000"/>
              <w:bottom w:val="single" w:sz="4" w:space="0" w:color="000000"/>
              <w:right w:val="single" w:sz="4" w:space="0" w:color="000000"/>
            </w:tcBorders>
          </w:tcPr>
          <w:p>
            <w:pPr>
              <w:pStyle w:val="TableParagraph"/>
              <w:spacing w:before="86"/>
              <w:ind w:left="419" w:right="391"/>
              <w:rPr>
                <w:sz w:val="18"/>
              </w:rPr>
            </w:pPr>
            <w:r>
              <w:rPr>
                <w:sz w:val="18"/>
              </w:rPr>
              <w:t>-1.3～＋1.0</w:t>
            </w:r>
          </w:p>
        </w:tc>
        <w:tc>
          <w:tcPr>
            <w:tcW w:w="1851" w:type="dxa"/>
            <w:tcBorders>
              <w:top w:val="single" w:sz="4" w:space="0" w:color="000000"/>
              <w:left w:val="single" w:sz="4" w:space="0" w:color="000000"/>
              <w:bottom w:val="single" w:sz="4" w:space="0" w:color="000000"/>
            </w:tcBorders>
          </w:tcPr>
          <w:p>
            <w:pPr>
              <w:pStyle w:val="TableParagraph"/>
              <w:spacing w:before="86"/>
              <w:ind w:left="551" w:right="516"/>
              <w:rPr>
                <w:sz w:val="18"/>
              </w:rPr>
            </w:pPr>
            <w:r>
              <w:rPr>
                <w:sz w:val="18"/>
              </w:rPr>
              <w:t>T 0604</w:t>
            </w:r>
          </w:p>
        </w:tc>
      </w:tr>
      <w:tr>
        <w:tblPrEx>
          <w:tblW w:w="0" w:type="auto"/>
          <w:jc w:val="left"/>
          <w:tblInd w:w="229" w:type="dxa"/>
          <w:tblLayout w:type="fixed"/>
          <w:tblCellMar>
            <w:top w:w="0" w:type="dxa"/>
            <w:left w:w="0" w:type="dxa"/>
            <w:bottom w:w="0" w:type="dxa"/>
            <w:right w:w="0" w:type="dxa"/>
          </w:tblCellMar>
          <w:tblLook w:val="01E0"/>
        </w:tblPrEx>
        <w:trPr>
          <w:trHeight w:val="361"/>
          <w:jc w:val="left"/>
        </w:trPr>
        <w:tc>
          <w:tcPr>
            <w:tcW w:w="4414" w:type="dxa"/>
            <w:tcBorders>
              <w:top w:val="single" w:sz="4" w:space="0" w:color="000000"/>
              <w:right w:val="single" w:sz="4" w:space="0" w:color="000000"/>
            </w:tcBorders>
          </w:tcPr>
          <w:p>
            <w:pPr>
              <w:pStyle w:val="TableParagraph"/>
              <w:spacing w:before="83"/>
              <w:ind w:left="1173"/>
              <w:jc w:val="left"/>
              <w:rPr>
                <w:sz w:val="18"/>
              </w:rPr>
            </w:pPr>
            <w:r>
              <w:rPr>
                <w:sz w:val="18"/>
              </w:rPr>
              <w:t>延度（</w:t>
            </w:r>
            <w:r>
              <w:rPr>
                <w:spacing w:val="1"/>
                <w:sz w:val="18"/>
              </w:rPr>
              <w:t>5c</w:t>
            </w:r>
            <w:r>
              <w:rPr>
                <w:spacing w:val="-2"/>
                <w:sz w:val="18"/>
              </w:rPr>
              <w:t>m</w:t>
            </w:r>
            <w:r>
              <w:rPr>
                <w:spacing w:val="1"/>
                <w:sz w:val="18"/>
              </w:rPr>
              <w:t>/</w:t>
            </w:r>
            <w:r>
              <w:rPr>
                <w:spacing w:val="-2"/>
                <w:sz w:val="18"/>
              </w:rPr>
              <w:t>m</w:t>
            </w:r>
            <w:r>
              <w:rPr>
                <w:spacing w:val="1"/>
                <w:sz w:val="18"/>
              </w:rPr>
              <w:t>i</w:t>
            </w:r>
            <w:r>
              <w:rPr>
                <w:spacing w:val="-2"/>
                <w:sz w:val="18"/>
              </w:rPr>
              <w:t>n</w:t>
            </w:r>
            <w:r>
              <w:rPr>
                <w:spacing w:val="1"/>
                <w:sz w:val="18"/>
              </w:rPr>
              <w:t>,</w:t>
            </w:r>
            <w:r>
              <w:rPr>
                <w:spacing w:val="-2"/>
                <w:sz w:val="18"/>
              </w:rPr>
              <w:t>1</w:t>
            </w:r>
            <w:r>
              <w:rPr>
                <w:spacing w:val="1"/>
                <w:sz w:val="18"/>
              </w:rPr>
              <w:t>0</w:t>
            </w:r>
            <w:r>
              <w:rPr>
                <w:sz w:val="18"/>
              </w:rPr>
              <w:t>℃</w:t>
            </w:r>
            <w:r>
              <w:rPr>
                <w:spacing w:val="-92"/>
                <w:sz w:val="18"/>
              </w:rPr>
              <w:t>）</w:t>
            </w:r>
            <w:r>
              <w:rPr>
                <w:sz w:val="18"/>
              </w:rPr>
              <w:t>，不小于</w:t>
            </w:r>
          </w:p>
        </w:tc>
        <w:tc>
          <w:tcPr>
            <w:tcW w:w="1277" w:type="dxa"/>
            <w:tcBorders>
              <w:top w:val="single" w:sz="4" w:space="0" w:color="000000"/>
              <w:left w:val="single" w:sz="4" w:space="0" w:color="000000"/>
              <w:right w:val="single" w:sz="4" w:space="0" w:color="000000"/>
            </w:tcBorders>
          </w:tcPr>
          <w:p>
            <w:pPr>
              <w:pStyle w:val="TableParagraph"/>
              <w:spacing w:before="83"/>
              <w:ind w:left="403" w:right="371"/>
              <w:rPr>
                <w:sz w:val="18"/>
              </w:rPr>
            </w:pPr>
            <w:r>
              <w:rPr>
                <w:sz w:val="18"/>
              </w:rPr>
              <w:t>cm</w:t>
            </w:r>
          </w:p>
        </w:tc>
        <w:tc>
          <w:tcPr>
            <w:tcW w:w="1851" w:type="dxa"/>
            <w:tcBorders>
              <w:top w:val="single" w:sz="4" w:space="0" w:color="000000"/>
              <w:left w:val="single" w:sz="4" w:space="0" w:color="000000"/>
              <w:right w:val="single" w:sz="4" w:space="0" w:color="000000"/>
            </w:tcBorders>
          </w:tcPr>
          <w:p>
            <w:pPr>
              <w:pStyle w:val="TableParagraph"/>
              <w:spacing w:before="83"/>
              <w:ind w:left="419" w:right="390"/>
              <w:rPr>
                <w:sz w:val="18"/>
              </w:rPr>
            </w:pPr>
            <w:r>
              <w:rPr>
                <w:sz w:val="18"/>
              </w:rPr>
              <w:t>20</w:t>
            </w:r>
          </w:p>
        </w:tc>
        <w:tc>
          <w:tcPr>
            <w:tcW w:w="1851" w:type="dxa"/>
            <w:tcBorders>
              <w:top w:val="single" w:sz="4" w:space="0" w:color="000000"/>
              <w:left w:val="single" w:sz="4" w:space="0" w:color="000000"/>
            </w:tcBorders>
          </w:tcPr>
          <w:p>
            <w:pPr>
              <w:pStyle w:val="TableParagraph"/>
              <w:spacing w:before="83"/>
              <w:ind w:left="551" w:right="516"/>
              <w:rPr>
                <w:sz w:val="18"/>
              </w:rPr>
            </w:pPr>
            <w:r>
              <w:rPr>
                <w:sz w:val="18"/>
              </w:rPr>
              <w:t>T 0605</w:t>
            </w:r>
          </w:p>
        </w:tc>
      </w:tr>
    </w:tbl>
    <w:p>
      <w:pPr>
        <w:spacing w:after="0"/>
        <w:rPr>
          <w:sz w:val="18"/>
        </w:rPr>
        <w:sectPr>
          <w:footerReference w:type="even" r:id="rId24"/>
          <w:footerReference w:type="default" r:id="rId25"/>
          <w:pgSz w:w="11910" w:h="16840"/>
          <w:pgMar w:top="1400" w:right="820" w:bottom="1200" w:left="900" w:header="0" w:footer="1001"/>
          <w:pgNumType w:start="8"/>
          <w:cols w:space="708"/>
        </w:sectPr>
      </w:pPr>
    </w:p>
    <w:p>
      <w:pPr>
        <w:pStyle w:val="BodyText"/>
        <w:tabs>
          <w:tab w:val="left" w:pos="779"/>
        </w:tabs>
        <w:spacing w:before="44"/>
        <w:ind w:left="201"/>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4</w:t>
        <w:tab/>
        <w:t>70</w:t>
      </w:r>
      <w:r>
        <w:rPr>
          <w:rFonts w:ascii="黑体" w:eastAsia="黑体" w:hint="eastAsia"/>
          <w:spacing w:val="-55"/>
        </w:rPr>
        <w:t xml:space="preserve"> </w:t>
      </w:r>
      <w:r>
        <w:rPr>
          <w:rFonts w:ascii="黑体" w:eastAsia="黑体" w:hint="eastAsia"/>
        </w:rPr>
        <w:t>号</w:t>
      </w:r>
      <w:r>
        <w:rPr>
          <w:rFonts w:ascii="黑体" w:eastAsia="黑体" w:hint="eastAsia"/>
          <w:spacing w:val="-52"/>
        </w:rPr>
        <w:t xml:space="preserve"> </w:t>
      </w:r>
      <w:r>
        <w:rPr>
          <w:rFonts w:ascii="黑体" w:eastAsia="黑体" w:hint="eastAsia"/>
        </w:rPr>
        <w:t>A</w:t>
      </w:r>
      <w:r>
        <w:rPr>
          <w:rFonts w:ascii="黑体" w:eastAsia="黑体" w:hint="eastAsia"/>
          <w:spacing w:val="-53"/>
        </w:rPr>
        <w:t xml:space="preserve"> </w:t>
      </w:r>
      <w:r>
        <w:rPr>
          <w:rFonts w:ascii="黑体" w:eastAsia="黑体" w:hint="eastAsia"/>
          <w:spacing w:val="-3"/>
        </w:rPr>
        <w:t>级</w:t>
      </w:r>
      <w:r>
        <w:rPr>
          <w:rFonts w:ascii="黑体" w:eastAsia="黑体" w:hint="eastAsia"/>
        </w:rPr>
        <w:t>道</w:t>
      </w:r>
      <w:r>
        <w:rPr>
          <w:rFonts w:ascii="黑体" w:eastAsia="黑体" w:hint="eastAsia"/>
          <w:spacing w:val="-3"/>
        </w:rPr>
        <w:t>路</w:t>
      </w:r>
      <w:r>
        <w:rPr>
          <w:rFonts w:ascii="黑体" w:eastAsia="黑体" w:hint="eastAsia"/>
        </w:rPr>
        <w:t>石</w:t>
      </w:r>
      <w:r>
        <w:rPr>
          <w:rFonts w:ascii="黑体" w:eastAsia="黑体" w:hint="eastAsia"/>
          <w:spacing w:val="-3"/>
        </w:rPr>
        <w:t>油</w:t>
      </w:r>
      <w:r>
        <w:rPr>
          <w:rFonts w:ascii="黑体" w:eastAsia="黑体" w:hint="eastAsia"/>
        </w:rPr>
        <w:t>沥青</w:t>
      </w:r>
      <w:r>
        <w:rPr>
          <w:rFonts w:ascii="黑体" w:eastAsia="黑体" w:hint="eastAsia"/>
          <w:spacing w:val="-3"/>
        </w:rPr>
        <w:t>的</w:t>
      </w:r>
      <w:r>
        <w:rPr>
          <w:rFonts w:ascii="黑体" w:eastAsia="黑体" w:hint="eastAsia"/>
        </w:rPr>
        <w:t>技</w:t>
      </w:r>
      <w:r>
        <w:rPr>
          <w:rFonts w:ascii="黑体" w:eastAsia="黑体" w:hint="eastAsia"/>
          <w:spacing w:val="-3"/>
        </w:rPr>
        <w:t>术</w:t>
      </w:r>
      <w:r>
        <w:rPr>
          <w:rFonts w:ascii="黑体" w:eastAsia="黑体" w:hint="eastAsia"/>
        </w:rPr>
        <w:t>要</w:t>
      </w:r>
      <w:r>
        <w:rPr>
          <w:rFonts w:ascii="黑体" w:eastAsia="黑体" w:hint="eastAsia"/>
          <w:spacing w:val="-3"/>
        </w:rPr>
        <w:t>求</w:t>
      </w:r>
      <w:r>
        <w:rPr>
          <w:rFonts w:ascii="黑体" w:eastAsia="黑体" w:hint="eastAsia"/>
        </w:rPr>
        <w:t>（</w:t>
      </w:r>
      <w:r>
        <w:rPr>
          <w:rFonts w:ascii="黑体" w:eastAsia="黑体" w:hint="eastAsia"/>
          <w:spacing w:val="-3"/>
        </w:rPr>
        <w:t>续）</w:t>
      </w:r>
    </w:p>
    <w:p>
      <w:pPr>
        <w:pStyle w:val="BodyText"/>
        <w:spacing w:before="9" w:after="1"/>
        <w:rPr>
          <w:rFonts w:ascii="黑体"/>
          <w:sz w:val="13"/>
        </w:rPr>
      </w:pPr>
    </w:p>
    <w:tbl>
      <w:tblPr>
        <w:tblStyle w:val="TableNormal3"/>
        <w:tblW w:w="0" w:type="auto"/>
        <w:jc w:val="left"/>
        <w:tblInd w:w="5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558"/>
        <w:gridCol w:w="2696"/>
        <w:gridCol w:w="1275"/>
        <w:gridCol w:w="1851"/>
        <w:gridCol w:w="1853"/>
      </w:tblGrid>
      <w:tr>
        <w:tblPrEx>
          <w:tblW w:w="0" w:type="auto"/>
          <w:jc w:val="left"/>
          <w:tblInd w:w="5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64"/>
          <w:jc w:val="left"/>
        </w:trPr>
        <w:tc>
          <w:tcPr>
            <w:tcW w:w="4254" w:type="dxa"/>
            <w:gridSpan w:val="2"/>
            <w:tcBorders>
              <w:bottom w:val="single" w:sz="4" w:space="0" w:color="000000"/>
              <w:right w:val="single" w:sz="4" w:space="0" w:color="000000"/>
            </w:tcBorders>
          </w:tcPr>
          <w:p>
            <w:pPr>
              <w:pStyle w:val="TableParagraph"/>
              <w:tabs>
                <w:tab w:val="left" w:pos="831"/>
              </w:tabs>
              <w:spacing w:before="85"/>
              <w:ind w:left="17"/>
              <w:rPr>
                <w:sz w:val="18"/>
              </w:rPr>
            </w:pPr>
            <w:r>
              <w:rPr>
                <w:sz w:val="18"/>
              </w:rPr>
              <w:t>项</w:t>
              <w:tab/>
              <w:t>目</w:t>
            </w:r>
          </w:p>
        </w:tc>
        <w:tc>
          <w:tcPr>
            <w:tcW w:w="1275" w:type="dxa"/>
            <w:tcBorders>
              <w:left w:val="single" w:sz="4" w:space="0" w:color="000000"/>
              <w:bottom w:val="single" w:sz="4" w:space="0" w:color="000000"/>
              <w:right w:val="single" w:sz="4" w:space="0" w:color="000000"/>
            </w:tcBorders>
          </w:tcPr>
          <w:p>
            <w:pPr>
              <w:pStyle w:val="TableParagraph"/>
              <w:spacing w:before="85"/>
              <w:ind w:left="419" w:right="396"/>
              <w:rPr>
                <w:sz w:val="18"/>
              </w:rPr>
            </w:pPr>
            <w:r>
              <w:rPr>
                <w:sz w:val="18"/>
              </w:rPr>
              <w:t>单位</w:t>
            </w:r>
          </w:p>
        </w:tc>
        <w:tc>
          <w:tcPr>
            <w:tcW w:w="1851" w:type="dxa"/>
            <w:tcBorders>
              <w:left w:val="single" w:sz="4" w:space="0" w:color="000000"/>
              <w:bottom w:val="single" w:sz="4" w:space="0" w:color="000000"/>
              <w:right w:val="single" w:sz="4" w:space="0" w:color="000000"/>
            </w:tcBorders>
          </w:tcPr>
          <w:p>
            <w:pPr>
              <w:pStyle w:val="TableParagraph"/>
              <w:spacing w:before="85"/>
              <w:ind w:left="418" w:right="391"/>
              <w:rPr>
                <w:sz w:val="18"/>
              </w:rPr>
            </w:pPr>
            <w:r>
              <w:rPr>
                <w:sz w:val="18"/>
              </w:rPr>
              <w:t>技术要求</w:t>
            </w:r>
          </w:p>
        </w:tc>
        <w:tc>
          <w:tcPr>
            <w:tcW w:w="1853" w:type="dxa"/>
            <w:tcBorders>
              <w:left w:val="single" w:sz="4" w:space="0" w:color="000000"/>
              <w:bottom w:val="single" w:sz="4" w:space="0" w:color="000000"/>
            </w:tcBorders>
          </w:tcPr>
          <w:p>
            <w:pPr>
              <w:pStyle w:val="TableParagraph"/>
              <w:spacing w:before="85"/>
              <w:ind w:left="555" w:right="517"/>
              <w:rPr>
                <w:sz w:val="18"/>
              </w:rPr>
            </w:pPr>
            <w:r>
              <w:rPr>
                <w:sz w:val="18"/>
              </w:rPr>
              <w:t>试验方法</w:t>
            </w:r>
          </w:p>
        </w:tc>
      </w:tr>
      <w:tr>
        <w:tblPrEx>
          <w:tblW w:w="0" w:type="auto"/>
          <w:jc w:val="left"/>
          <w:tblInd w:w="594" w:type="dxa"/>
          <w:tblLayout w:type="fixed"/>
          <w:tblCellMar>
            <w:top w:w="0" w:type="dxa"/>
            <w:left w:w="0" w:type="dxa"/>
            <w:bottom w:w="0" w:type="dxa"/>
            <w:right w:w="0" w:type="dxa"/>
          </w:tblCellMar>
          <w:tblLook w:val="01E0"/>
        </w:tblPrEx>
        <w:trPr>
          <w:trHeight w:val="362"/>
          <w:jc w:val="left"/>
        </w:trPr>
        <w:tc>
          <w:tcPr>
            <w:tcW w:w="4254" w:type="dxa"/>
            <w:gridSpan w:val="2"/>
            <w:tcBorders>
              <w:top w:val="single" w:sz="4" w:space="0" w:color="000000"/>
              <w:bottom w:val="single" w:sz="4" w:space="0" w:color="000000"/>
              <w:right w:val="single" w:sz="4" w:space="0" w:color="000000"/>
            </w:tcBorders>
          </w:tcPr>
          <w:p>
            <w:pPr>
              <w:pStyle w:val="TableParagraph"/>
              <w:spacing w:before="84"/>
              <w:ind w:left="1269"/>
              <w:jc w:val="left"/>
              <w:rPr>
                <w:sz w:val="18"/>
              </w:rPr>
            </w:pPr>
            <w:r>
              <w:rPr>
                <w:sz w:val="18"/>
              </w:rPr>
              <w:t>软化点（环球法</w:t>
            </w:r>
            <w:r>
              <w:rPr>
                <w:spacing w:val="-92"/>
                <w:sz w:val="18"/>
              </w:rPr>
              <w:t>）</w:t>
            </w:r>
            <w:r>
              <w:rPr>
                <w:sz w:val="18"/>
              </w:rPr>
              <w:t>，不小于</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84"/>
              <w:ind w:left="26"/>
              <w:rPr>
                <w:sz w:val="18"/>
              </w:rPr>
            </w:pPr>
            <w:r>
              <w:rPr>
                <w:sz w:val="18"/>
              </w:rPr>
              <w:t>℃</w:t>
            </w:r>
          </w:p>
        </w:tc>
        <w:tc>
          <w:tcPr>
            <w:tcW w:w="1851" w:type="dxa"/>
            <w:tcBorders>
              <w:top w:val="single" w:sz="4" w:space="0" w:color="000000"/>
              <w:left w:val="single" w:sz="4" w:space="0" w:color="000000"/>
              <w:bottom w:val="single" w:sz="4" w:space="0" w:color="000000"/>
              <w:right w:val="single" w:sz="4" w:space="0" w:color="000000"/>
            </w:tcBorders>
          </w:tcPr>
          <w:p>
            <w:pPr>
              <w:pStyle w:val="TableParagraph"/>
              <w:spacing w:before="84"/>
              <w:ind w:left="419" w:right="387"/>
              <w:rPr>
                <w:sz w:val="18"/>
              </w:rPr>
            </w:pPr>
            <w:r>
              <w:rPr>
                <w:sz w:val="18"/>
              </w:rPr>
              <w:t>46</w:t>
            </w:r>
          </w:p>
        </w:tc>
        <w:tc>
          <w:tcPr>
            <w:tcW w:w="1853" w:type="dxa"/>
            <w:tcBorders>
              <w:top w:val="single" w:sz="4" w:space="0" w:color="000000"/>
              <w:left w:val="single" w:sz="4" w:space="0" w:color="000000"/>
              <w:bottom w:val="single" w:sz="4" w:space="0" w:color="000000"/>
            </w:tcBorders>
          </w:tcPr>
          <w:p>
            <w:pPr>
              <w:pStyle w:val="TableParagraph"/>
              <w:spacing w:before="84"/>
              <w:ind w:left="553" w:right="517"/>
              <w:rPr>
                <w:sz w:val="18"/>
              </w:rPr>
            </w:pPr>
            <w:r>
              <w:rPr>
                <w:sz w:val="18"/>
              </w:rPr>
              <w:t>T 0606</w:t>
            </w:r>
          </w:p>
        </w:tc>
      </w:tr>
      <w:tr>
        <w:tblPrEx>
          <w:tblW w:w="0" w:type="auto"/>
          <w:jc w:val="left"/>
          <w:tblInd w:w="594" w:type="dxa"/>
          <w:tblLayout w:type="fixed"/>
          <w:tblCellMar>
            <w:top w:w="0" w:type="dxa"/>
            <w:left w:w="0" w:type="dxa"/>
            <w:bottom w:w="0" w:type="dxa"/>
            <w:right w:w="0" w:type="dxa"/>
          </w:tblCellMar>
          <w:tblLook w:val="01E0"/>
        </w:tblPrEx>
        <w:trPr>
          <w:trHeight w:val="364"/>
          <w:jc w:val="left"/>
        </w:trPr>
        <w:tc>
          <w:tcPr>
            <w:tcW w:w="4254" w:type="dxa"/>
            <w:gridSpan w:val="2"/>
            <w:tcBorders>
              <w:top w:val="single" w:sz="4" w:space="0" w:color="000000"/>
              <w:bottom w:val="single" w:sz="4" w:space="0" w:color="000000"/>
              <w:right w:val="single" w:sz="4" w:space="0" w:color="000000"/>
            </w:tcBorders>
          </w:tcPr>
          <w:p>
            <w:pPr>
              <w:pStyle w:val="TableParagraph"/>
              <w:spacing w:before="86"/>
              <w:ind w:left="1269"/>
              <w:jc w:val="left"/>
              <w:rPr>
                <w:sz w:val="18"/>
              </w:rPr>
            </w:pPr>
            <w:r>
              <w:rPr>
                <w:sz w:val="18"/>
              </w:rPr>
              <w:t>动力黏度（</w:t>
            </w:r>
            <w:r>
              <w:rPr>
                <w:spacing w:val="1"/>
                <w:sz w:val="18"/>
              </w:rPr>
              <w:t>60</w:t>
            </w:r>
            <w:r>
              <w:rPr>
                <w:sz w:val="18"/>
              </w:rPr>
              <w:t>℃</w:t>
            </w:r>
            <w:r>
              <w:rPr>
                <w:spacing w:val="-92"/>
                <w:sz w:val="18"/>
              </w:rPr>
              <w:t>）</w:t>
            </w:r>
            <w:r>
              <w:rPr>
                <w:sz w:val="18"/>
              </w:rPr>
              <w:t>，不小于</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86"/>
              <w:ind w:left="420" w:right="396"/>
              <w:rPr>
                <w:sz w:val="18"/>
              </w:rPr>
            </w:pPr>
            <w:r>
              <w:rPr>
                <w:sz w:val="18"/>
              </w:rPr>
              <w:t>Pa.S</w:t>
            </w:r>
          </w:p>
        </w:tc>
        <w:tc>
          <w:tcPr>
            <w:tcW w:w="1851" w:type="dxa"/>
            <w:tcBorders>
              <w:top w:val="single" w:sz="4" w:space="0" w:color="000000"/>
              <w:left w:val="single" w:sz="4" w:space="0" w:color="000000"/>
              <w:bottom w:val="single" w:sz="4" w:space="0" w:color="000000"/>
              <w:right w:val="single" w:sz="4" w:space="0" w:color="000000"/>
            </w:tcBorders>
          </w:tcPr>
          <w:p>
            <w:pPr>
              <w:pStyle w:val="TableParagraph"/>
              <w:spacing w:before="86"/>
              <w:ind w:left="419" w:right="387"/>
              <w:rPr>
                <w:sz w:val="18"/>
              </w:rPr>
            </w:pPr>
            <w:r>
              <w:rPr>
                <w:sz w:val="18"/>
              </w:rPr>
              <w:t>180</w:t>
            </w:r>
          </w:p>
        </w:tc>
        <w:tc>
          <w:tcPr>
            <w:tcW w:w="1853" w:type="dxa"/>
            <w:tcBorders>
              <w:top w:val="single" w:sz="4" w:space="0" w:color="000000"/>
              <w:left w:val="single" w:sz="4" w:space="0" w:color="000000"/>
              <w:bottom w:val="single" w:sz="4" w:space="0" w:color="000000"/>
            </w:tcBorders>
          </w:tcPr>
          <w:p>
            <w:pPr>
              <w:pStyle w:val="TableParagraph"/>
              <w:spacing w:before="86"/>
              <w:ind w:left="553" w:right="517"/>
              <w:rPr>
                <w:sz w:val="18"/>
              </w:rPr>
            </w:pPr>
            <w:r>
              <w:rPr>
                <w:sz w:val="18"/>
              </w:rPr>
              <w:t>T 0620</w:t>
            </w:r>
          </w:p>
        </w:tc>
      </w:tr>
      <w:tr>
        <w:tblPrEx>
          <w:tblW w:w="0" w:type="auto"/>
          <w:jc w:val="left"/>
          <w:tblInd w:w="594" w:type="dxa"/>
          <w:tblLayout w:type="fixed"/>
          <w:tblCellMar>
            <w:top w:w="0" w:type="dxa"/>
            <w:left w:w="0" w:type="dxa"/>
            <w:bottom w:w="0" w:type="dxa"/>
            <w:right w:w="0" w:type="dxa"/>
          </w:tblCellMar>
          <w:tblLook w:val="01E0"/>
        </w:tblPrEx>
        <w:trPr>
          <w:trHeight w:val="361"/>
          <w:jc w:val="left"/>
        </w:trPr>
        <w:tc>
          <w:tcPr>
            <w:tcW w:w="4254" w:type="dxa"/>
            <w:gridSpan w:val="2"/>
            <w:tcBorders>
              <w:top w:val="single" w:sz="4" w:space="0" w:color="000000"/>
              <w:bottom w:val="single" w:sz="4" w:space="0" w:color="000000"/>
              <w:right w:val="single" w:sz="4" w:space="0" w:color="000000"/>
            </w:tcBorders>
          </w:tcPr>
          <w:p>
            <w:pPr>
              <w:pStyle w:val="TableParagraph"/>
              <w:spacing w:before="83"/>
              <w:ind w:left="1269"/>
              <w:jc w:val="left"/>
              <w:rPr>
                <w:sz w:val="18"/>
              </w:rPr>
            </w:pPr>
            <w:r>
              <w:rPr>
                <w:sz w:val="18"/>
              </w:rPr>
              <w:t>含蜡量（蒸馏法</w:t>
            </w:r>
            <w:r>
              <w:rPr>
                <w:spacing w:val="-92"/>
                <w:sz w:val="18"/>
              </w:rPr>
              <w:t>）</w:t>
            </w:r>
            <w:r>
              <w:rPr>
                <w:sz w:val="18"/>
              </w:rPr>
              <w:t>，不大于</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83"/>
              <w:ind w:left="22"/>
              <w:rPr>
                <w:sz w:val="18"/>
              </w:rPr>
            </w:pPr>
            <w:r>
              <w:rPr>
                <w:sz w:val="18"/>
              </w:rPr>
              <w:t>%</w:t>
            </w:r>
          </w:p>
        </w:tc>
        <w:tc>
          <w:tcPr>
            <w:tcW w:w="1851" w:type="dxa"/>
            <w:tcBorders>
              <w:top w:val="single" w:sz="4" w:space="0" w:color="000000"/>
              <w:left w:val="single" w:sz="4" w:space="0" w:color="000000"/>
              <w:bottom w:val="single" w:sz="4" w:space="0" w:color="000000"/>
              <w:right w:val="single" w:sz="4" w:space="0" w:color="000000"/>
            </w:tcBorders>
          </w:tcPr>
          <w:p>
            <w:pPr>
              <w:pStyle w:val="TableParagraph"/>
              <w:spacing w:before="83"/>
              <w:ind w:left="419" w:right="387"/>
              <w:rPr>
                <w:sz w:val="18"/>
              </w:rPr>
            </w:pPr>
            <w:r>
              <w:rPr>
                <w:sz w:val="18"/>
              </w:rPr>
              <w:t>2.0</w:t>
            </w:r>
          </w:p>
        </w:tc>
        <w:tc>
          <w:tcPr>
            <w:tcW w:w="1853" w:type="dxa"/>
            <w:tcBorders>
              <w:top w:val="single" w:sz="4" w:space="0" w:color="000000"/>
              <w:left w:val="single" w:sz="4" w:space="0" w:color="000000"/>
              <w:bottom w:val="single" w:sz="4" w:space="0" w:color="000000"/>
            </w:tcBorders>
          </w:tcPr>
          <w:p>
            <w:pPr>
              <w:pStyle w:val="TableParagraph"/>
              <w:spacing w:before="83"/>
              <w:ind w:left="553" w:right="517"/>
              <w:rPr>
                <w:sz w:val="18"/>
              </w:rPr>
            </w:pPr>
            <w:r>
              <w:rPr>
                <w:sz w:val="18"/>
              </w:rPr>
              <w:t>T 0615</w:t>
            </w:r>
          </w:p>
        </w:tc>
      </w:tr>
      <w:tr>
        <w:tblPrEx>
          <w:tblW w:w="0" w:type="auto"/>
          <w:jc w:val="left"/>
          <w:tblInd w:w="594" w:type="dxa"/>
          <w:tblLayout w:type="fixed"/>
          <w:tblCellMar>
            <w:top w:w="0" w:type="dxa"/>
            <w:left w:w="0" w:type="dxa"/>
            <w:bottom w:w="0" w:type="dxa"/>
            <w:right w:w="0" w:type="dxa"/>
          </w:tblCellMar>
          <w:tblLook w:val="01E0"/>
        </w:tblPrEx>
        <w:trPr>
          <w:trHeight w:val="362"/>
          <w:jc w:val="left"/>
        </w:trPr>
        <w:tc>
          <w:tcPr>
            <w:tcW w:w="4254" w:type="dxa"/>
            <w:gridSpan w:val="2"/>
            <w:tcBorders>
              <w:top w:val="single" w:sz="4" w:space="0" w:color="000000"/>
              <w:bottom w:val="single" w:sz="4" w:space="0" w:color="000000"/>
              <w:right w:val="single" w:sz="4" w:space="0" w:color="000000"/>
            </w:tcBorders>
          </w:tcPr>
          <w:p>
            <w:pPr>
              <w:pStyle w:val="TableParagraph"/>
              <w:spacing w:before="84"/>
              <w:ind w:left="1449"/>
              <w:jc w:val="left"/>
              <w:rPr>
                <w:sz w:val="18"/>
              </w:rPr>
            </w:pPr>
            <w:r>
              <w:rPr>
                <w:sz w:val="18"/>
              </w:rPr>
              <w:t>密度（</w:t>
            </w:r>
            <w:r>
              <w:rPr>
                <w:spacing w:val="1"/>
                <w:sz w:val="18"/>
              </w:rPr>
              <w:t>15</w:t>
            </w:r>
            <w:r>
              <w:rPr>
                <w:sz w:val="18"/>
              </w:rPr>
              <w:t>℃</w:t>
            </w:r>
            <w:r>
              <w:rPr>
                <w:spacing w:val="-92"/>
                <w:sz w:val="18"/>
              </w:rPr>
              <w:t>）</w:t>
            </w:r>
            <w:r>
              <w:rPr>
                <w:sz w:val="18"/>
              </w:rPr>
              <w:t>，不小于</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84"/>
              <w:ind w:left="424" w:right="396"/>
              <w:rPr>
                <w:sz w:val="9"/>
              </w:rPr>
            </w:pPr>
            <w:r>
              <w:rPr>
                <w:sz w:val="18"/>
              </w:rPr>
              <w:t>g/cm</w:t>
            </w:r>
            <w:r>
              <w:rPr>
                <w:position w:val="9"/>
                <w:sz w:val="9"/>
              </w:rPr>
              <w:t>3</w:t>
            </w:r>
          </w:p>
        </w:tc>
        <w:tc>
          <w:tcPr>
            <w:tcW w:w="1851" w:type="dxa"/>
            <w:tcBorders>
              <w:top w:val="single" w:sz="4" w:space="0" w:color="000000"/>
              <w:left w:val="single" w:sz="4" w:space="0" w:color="000000"/>
              <w:bottom w:val="single" w:sz="4" w:space="0" w:color="000000"/>
              <w:right w:val="single" w:sz="4" w:space="0" w:color="000000"/>
            </w:tcBorders>
          </w:tcPr>
          <w:p>
            <w:pPr>
              <w:pStyle w:val="TableParagraph"/>
              <w:spacing w:before="84"/>
              <w:ind w:left="419" w:right="391"/>
              <w:rPr>
                <w:sz w:val="18"/>
              </w:rPr>
            </w:pPr>
            <w:r>
              <w:rPr>
                <w:sz w:val="18"/>
              </w:rPr>
              <w:t>1.01</w:t>
            </w:r>
          </w:p>
        </w:tc>
        <w:tc>
          <w:tcPr>
            <w:tcW w:w="1853" w:type="dxa"/>
            <w:tcBorders>
              <w:top w:val="single" w:sz="4" w:space="0" w:color="000000"/>
              <w:left w:val="single" w:sz="4" w:space="0" w:color="000000"/>
              <w:bottom w:val="single" w:sz="4" w:space="0" w:color="000000"/>
            </w:tcBorders>
          </w:tcPr>
          <w:p>
            <w:pPr>
              <w:pStyle w:val="TableParagraph"/>
              <w:spacing w:before="84"/>
              <w:ind w:left="553" w:right="517"/>
              <w:rPr>
                <w:sz w:val="18"/>
              </w:rPr>
            </w:pPr>
            <w:r>
              <w:rPr>
                <w:sz w:val="18"/>
              </w:rPr>
              <w:t>T 0603</w:t>
            </w:r>
          </w:p>
        </w:tc>
      </w:tr>
      <w:tr>
        <w:tblPrEx>
          <w:tblW w:w="0" w:type="auto"/>
          <w:jc w:val="left"/>
          <w:tblInd w:w="594" w:type="dxa"/>
          <w:tblLayout w:type="fixed"/>
          <w:tblCellMar>
            <w:top w:w="0" w:type="dxa"/>
            <w:left w:w="0" w:type="dxa"/>
            <w:bottom w:w="0" w:type="dxa"/>
            <w:right w:w="0" w:type="dxa"/>
          </w:tblCellMar>
          <w:tblLook w:val="01E0"/>
        </w:tblPrEx>
        <w:trPr>
          <w:trHeight w:val="364"/>
          <w:jc w:val="left"/>
        </w:trPr>
        <w:tc>
          <w:tcPr>
            <w:tcW w:w="4254" w:type="dxa"/>
            <w:gridSpan w:val="2"/>
            <w:tcBorders>
              <w:top w:val="single" w:sz="4" w:space="0" w:color="000000"/>
              <w:bottom w:val="single" w:sz="4" w:space="0" w:color="000000"/>
              <w:right w:val="single" w:sz="4" w:space="0" w:color="000000"/>
            </w:tcBorders>
          </w:tcPr>
          <w:p>
            <w:pPr>
              <w:pStyle w:val="TableParagraph"/>
              <w:spacing w:before="86"/>
              <w:ind w:left="1180"/>
              <w:jc w:val="left"/>
              <w:rPr>
                <w:sz w:val="18"/>
              </w:rPr>
            </w:pPr>
            <w:r>
              <w:rPr>
                <w:sz w:val="18"/>
              </w:rPr>
              <w:t>溶解度（三氯乙烯</w:t>
            </w:r>
            <w:r>
              <w:rPr>
                <w:spacing w:val="-92"/>
                <w:sz w:val="18"/>
              </w:rPr>
              <w:t>）</w:t>
            </w:r>
            <w:r>
              <w:rPr>
                <w:sz w:val="18"/>
              </w:rPr>
              <w:t>，不小于</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86"/>
              <w:ind w:left="22"/>
              <w:rPr>
                <w:sz w:val="18"/>
              </w:rPr>
            </w:pPr>
            <w:r>
              <w:rPr>
                <w:sz w:val="18"/>
              </w:rPr>
              <w:t>%</w:t>
            </w:r>
          </w:p>
        </w:tc>
        <w:tc>
          <w:tcPr>
            <w:tcW w:w="1851" w:type="dxa"/>
            <w:tcBorders>
              <w:top w:val="single" w:sz="4" w:space="0" w:color="000000"/>
              <w:left w:val="single" w:sz="4" w:space="0" w:color="000000"/>
              <w:bottom w:val="single" w:sz="4" w:space="0" w:color="000000"/>
              <w:right w:val="single" w:sz="4" w:space="0" w:color="000000"/>
            </w:tcBorders>
          </w:tcPr>
          <w:p>
            <w:pPr>
              <w:pStyle w:val="TableParagraph"/>
              <w:spacing w:before="86"/>
              <w:ind w:left="419" w:right="391"/>
              <w:rPr>
                <w:sz w:val="18"/>
              </w:rPr>
            </w:pPr>
            <w:r>
              <w:rPr>
                <w:sz w:val="18"/>
              </w:rPr>
              <w:t>99.5</w:t>
            </w:r>
          </w:p>
        </w:tc>
        <w:tc>
          <w:tcPr>
            <w:tcW w:w="1853" w:type="dxa"/>
            <w:tcBorders>
              <w:top w:val="single" w:sz="4" w:space="0" w:color="000000"/>
              <w:left w:val="single" w:sz="4" w:space="0" w:color="000000"/>
              <w:bottom w:val="single" w:sz="4" w:space="0" w:color="000000"/>
            </w:tcBorders>
          </w:tcPr>
          <w:p>
            <w:pPr>
              <w:pStyle w:val="TableParagraph"/>
              <w:spacing w:before="86"/>
              <w:ind w:left="553" w:right="517"/>
              <w:rPr>
                <w:sz w:val="18"/>
              </w:rPr>
            </w:pPr>
            <w:r>
              <w:rPr>
                <w:sz w:val="18"/>
              </w:rPr>
              <w:t>T 0607</w:t>
            </w:r>
          </w:p>
        </w:tc>
      </w:tr>
      <w:tr>
        <w:tblPrEx>
          <w:tblW w:w="0" w:type="auto"/>
          <w:jc w:val="left"/>
          <w:tblInd w:w="594" w:type="dxa"/>
          <w:tblLayout w:type="fixed"/>
          <w:tblCellMar>
            <w:top w:w="0" w:type="dxa"/>
            <w:left w:w="0" w:type="dxa"/>
            <w:bottom w:w="0" w:type="dxa"/>
            <w:right w:w="0" w:type="dxa"/>
          </w:tblCellMar>
          <w:tblLook w:val="01E0"/>
        </w:tblPrEx>
        <w:trPr>
          <w:trHeight w:val="270"/>
          <w:jc w:val="left"/>
        </w:trPr>
        <w:tc>
          <w:tcPr>
            <w:tcW w:w="1558" w:type="dxa"/>
            <w:vMerge w:val="restart"/>
            <w:tcBorders>
              <w:top w:val="single" w:sz="4" w:space="0" w:color="000000"/>
              <w:right w:val="single" w:sz="4" w:space="0" w:color="000000"/>
            </w:tcBorders>
          </w:tcPr>
          <w:p>
            <w:pPr>
              <w:pStyle w:val="TableParagraph"/>
              <w:spacing w:before="34" w:line="280" w:lineRule="atLeast"/>
              <w:ind w:left="419" w:right="396"/>
              <w:rPr>
                <w:sz w:val="18"/>
              </w:rPr>
            </w:pPr>
            <w:r>
              <w:rPr>
                <w:sz w:val="18"/>
              </w:rPr>
              <w:t>薄膜加热试验163℃</w:t>
            </w:r>
          </w:p>
        </w:tc>
        <w:tc>
          <w:tcPr>
            <w:tcW w:w="2696" w:type="dxa"/>
            <w:tcBorders>
              <w:top w:val="single" w:sz="4" w:space="0" w:color="000000"/>
              <w:left w:val="single" w:sz="4" w:space="0" w:color="000000"/>
              <w:bottom w:val="single" w:sz="4" w:space="0" w:color="000000"/>
              <w:right w:val="single" w:sz="4" w:space="0" w:color="000000"/>
            </w:tcBorders>
          </w:tcPr>
          <w:p>
            <w:pPr>
              <w:pStyle w:val="TableParagraph"/>
              <w:spacing w:before="43" w:line="207" w:lineRule="exact"/>
              <w:ind w:left="301" w:right="272"/>
              <w:rPr>
                <w:sz w:val="18"/>
              </w:rPr>
            </w:pPr>
            <w:r>
              <w:rPr>
                <w:sz w:val="18"/>
              </w:rPr>
              <w:t>质量损失，不大于</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43" w:line="207" w:lineRule="exact"/>
              <w:ind w:left="22"/>
              <w:rPr>
                <w:sz w:val="18"/>
              </w:rPr>
            </w:pPr>
            <w:r>
              <w:rPr>
                <w:sz w:val="18"/>
              </w:rPr>
              <w:t>%</w:t>
            </w:r>
          </w:p>
        </w:tc>
        <w:tc>
          <w:tcPr>
            <w:tcW w:w="1851" w:type="dxa"/>
            <w:tcBorders>
              <w:top w:val="single" w:sz="4" w:space="0" w:color="000000"/>
              <w:left w:val="single" w:sz="4" w:space="0" w:color="000000"/>
              <w:bottom w:val="single" w:sz="4" w:space="0" w:color="000000"/>
              <w:right w:val="single" w:sz="4" w:space="0" w:color="000000"/>
            </w:tcBorders>
          </w:tcPr>
          <w:p>
            <w:pPr>
              <w:pStyle w:val="TableParagraph"/>
              <w:spacing w:before="43" w:line="207" w:lineRule="exact"/>
              <w:ind w:left="419" w:right="387"/>
              <w:rPr>
                <w:sz w:val="18"/>
              </w:rPr>
            </w:pPr>
            <w:r>
              <w:rPr>
                <w:sz w:val="18"/>
              </w:rPr>
              <w:t>0.6</w:t>
            </w:r>
          </w:p>
        </w:tc>
        <w:tc>
          <w:tcPr>
            <w:tcW w:w="1853" w:type="dxa"/>
            <w:vMerge w:val="restart"/>
            <w:tcBorders>
              <w:top w:val="single" w:sz="4" w:space="0" w:color="000000"/>
              <w:left w:val="single" w:sz="4" w:space="0" w:color="000000"/>
            </w:tcBorders>
          </w:tcPr>
          <w:p>
            <w:pPr>
              <w:pStyle w:val="TableParagraph"/>
              <w:spacing w:before="7"/>
              <w:jc w:val="left"/>
              <w:rPr>
                <w:rFonts w:ascii="黑体"/>
                <w:sz w:val="17"/>
              </w:rPr>
            </w:pPr>
          </w:p>
          <w:p>
            <w:pPr>
              <w:pStyle w:val="TableParagraph"/>
              <w:spacing w:before="0"/>
              <w:ind w:left="553" w:right="517"/>
              <w:rPr>
                <w:sz w:val="18"/>
              </w:rPr>
            </w:pPr>
            <w:r>
              <w:rPr>
                <w:sz w:val="18"/>
              </w:rPr>
              <w:t>T</w:t>
            </w:r>
            <w:r>
              <w:rPr>
                <w:spacing w:val="-3"/>
                <w:sz w:val="18"/>
              </w:rPr>
              <w:t xml:space="preserve"> </w:t>
            </w:r>
            <w:r>
              <w:rPr>
                <w:sz w:val="18"/>
              </w:rPr>
              <w:t>0609</w:t>
            </w:r>
          </w:p>
          <w:p>
            <w:pPr>
              <w:pStyle w:val="TableParagraph"/>
              <w:spacing w:before="48"/>
              <w:ind w:left="553" w:right="517"/>
              <w:rPr>
                <w:sz w:val="18"/>
              </w:rPr>
            </w:pPr>
            <w:r>
              <w:rPr>
                <w:sz w:val="18"/>
              </w:rPr>
              <w:t>T</w:t>
            </w:r>
            <w:r>
              <w:rPr>
                <w:spacing w:val="-3"/>
                <w:sz w:val="18"/>
              </w:rPr>
              <w:t xml:space="preserve"> </w:t>
            </w:r>
            <w:r>
              <w:rPr>
                <w:sz w:val="18"/>
              </w:rPr>
              <w:t>0610</w:t>
            </w:r>
          </w:p>
        </w:tc>
      </w:tr>
      <w:tr>
        <w:tblPrEx>
          <w:tblW w:w="0" w:type="auto"/>
          <w:jc w:val="left"/>
          <w:tblInd w:w="594" w:type="dxa"/>
          <w:tblLayout w:type="fixed"/>
          <w:tblCellMar>
            <w:top w:w="0" w:type="dxa"/>
            <w:left w:w="0" w:type="dxa"/>
            <w:bottom w:w="0" w:type="dxa"/>
            <w:right w:w="0" w:type="dxa"/>
          </w:tblCellMar>
          <w:tblLook w:val="01E0"/>
        </w:tblPrEx>
        <w:trPr>
          <w:trHeight w:val="291"/>
          <w:jc w:val="left"/>
        </w:trPr>
        <w:tc>
          <w:tcPr>
            <w:tcW w:w="1558" w:type="dxa"/>
            <w:vMerge/>
            <w:tcBorders>
              <w:top w:val="nil"/>
              <w:right w:val="single" w:sz="4" w:space="0" w:color="000000"/>
            </w:tcBorders>
          </w:tcPr>
          <w:p>
            <w:pPr>
              <w:rPr>
                <w:sz w:val="2"/>
                <w:szCs w:val="2"/>
              </w:rPr>
            </w:pPr>
          </w:p>
        </w:tc>
        <w:tc>
          <w:tcPr>
            <w:tcW w:w="2696" w:type="dxa"/>
            <w:tcBorders>
              <w:top w:val="single" w:sz="4" w:space="0" w:color="000000"/>
              <w:left w:val="single" w:sz="4" w:space="0" w:color="000000"/>
              <w:bottom w:val="single" w:sz="4" w:space="0" w:color="000000"/>
              <w:right w:val="single" w:sz="4" w:space="0" w:color="000000"/>
            </w:tcBorders>
          </w:tcPr>
          <w:p>
            <w:pPr>
              <w:pStyle w:val="TableParagraph"/>
              <w:spacing w:before="28"/>
              <w:ind w:left="301" w:right="274"/>
              <w:rPr>
                <w:sz w:val="18"/>
              </w:rPr>
            </w:pPr>
            <w:r>
              <w:rPr>
                <w:sz w:val="18"/>
              </w:rPr>
              <w:t>加热后针入度比，不小于</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28"/>
              <w:ind w:left="22"/>
              <w:rPr>
                <w:sz w:val="18"/>
              </w:rPr>
            </w:pPr>
            <w:r>
              <w:rPr>
                <w:sz w:val="18"/>
              </w:rPr>
              <w:t>%</w:t>
            </w:r>
          </w:p>
        </w:tc>
        <w:tc>
          <w:tcPr>
            <w:tcW w:w="1851" w:type="dxa"/>
            <w:tcBorders>
              <w:top w:val="single" w:sz="4" w:space="0" w:color="000000"/>
              <w:left w:val="single" w:sz="4" w:space="0" w:color="000000"/>
              <w:bottom w:val="single" w:sz="4" w:space="0" w:color="000000"/>
              <w:right w:val="single" w:sz="4" w:space="0" w:color="000000"/>
            </w:tcBorders>
          </w:tcPr>
          <w:p>
            <w:pPr>
              <w:pStyle w:val="TableParagraph"/>
              <w:spacing w:before="28"/>
              <w:ind w:left="419" w:right="387"/>
              <w:rPr>
                <w:sz w:val="18"/>
              </w:rPr>
            </w:pPr>
            <w:r>
              <w:rPr>
                <w:sz w:val="18"/>
              </w:rPr>
              <w:t>65</w:t>
            </w:r>
          </w:p>
        </w:tc>
        <w:tc>
          <w:tcPr>
            <w:tcW w:w="1853" w:type="dxa"/>
            <w:vMerge/>
            <w:tcBorders>
              <w:top w:val="nil"/>
              <w:left w:val="single" w:sz="4" w:space="0" w:color="000000"/>
            </w:tcBorders>
          </w:tcPr>
          <w:p>
            <w:pPr>
              <w:rPr>
                <w:sz w:val="2"/>
                <w:szCs w:val="2"/>
              </w:rPr>
            </w:pPr>
          </w:p>
        </w:tc>
      </w:tr>
      <w:tr>
        <w:tblPrEx>
          <w:tblW w:w="0" w:type="auto"/>
          <w:jc w:val="left"/>
          <w:tblInd w:w="594" w:type="dxa"/>
          <w:tblLayout w:type="fixed"/>
          <w:tblCellMar>
            <w:top w:w="0" w:type="dxa"/>
            <w:left w:w="0" w:type="dxa"/>
            <w:bottom w:w="0" w:type="dxa"/>
            <w:right w:w="0" w:type="dxa"/>
          </w:tblCellMar>
          <w:tblLook w:val="01E0"/>
        </w:tblPrEx>
        <w:trPr>
          <w:trHeight w:val="298"/>
          <w:jc w:val="left"/>
        </w:trPr>
        <w:tc>
          <w:tcPr>
            <w:tcW w:w="1558" w:type="dxa"/>
            <w:vMerge/>
            <w:tcBorders>
              <w:top w:val="nil"/>
              <w:right w:val="single" w:sz="4" w:space="0" w:color="000000"/>
            </w:tcBorders>
          </w:tcPr>
          <w:p>
            <w:pPr>
              <w:rPr>
                <w:sz w:val="2"/>
                <w:szCs w:val="2"/>
              </w:rPr>
            </w:pPr>
          </w:p>
        </w:tc>
        <w:tc>
          <w:tcPr>
            <w:tcW w:w="2696" w:type="dxa"/>
            <w:tcBorders>
              <w:top w:val="single" w:sz="4" w:space="0" w:color="000000"/>
              <w:left w:val="single" w:sz="4" w:space="0" w:color="000000"/>
              <w:right w:val="single" w:sz="4" w:space="0" w:color="000000"/>
            </w:tcBorders>
          </w:tcPr>
          <w:p>
            <w:pPr>
              <w:pStyle w:val="TableParagraph"/>
              <w:spacing w:before="28"/>
              <w:ind w:left="301" w:right="274"/>
              <w:rPr>
                <w:sz w:val="18"/>
              </w:rPr>
            </w:pPr>
            <w:r>
              <w:rPr>
                <w:sz w:val="18"/>
              </w:rPr>
              <w:t>残留延度（</w:t>
            </w:r>
            <w:r>
              <w:rPr>
                <w:spacing w:val="1"/>
                <w:sz w:val="18"/>
              </w:rPr>
              <w:t>10</w:t>
            </w:r>
            <w:r>
              <w:rPr>
                <w:sz w:val="18"/>
              </w:rPr>
              <w:t>℃</w:t>
            </w:r>
            <w:r>
              <w:rPr>
                <w:spacing w:val="-92"/>
                <w:sz w:val="18"/>
              </w:rPr>
              <w:t>）</w:t>
            </w:r>
            <w:r>
              <w:rPr>
                <w:sz w:val="18"/>
              </w:rPr>
              <w:t>，不小于</w:t>
            </w:r>
          </w:p>
        </w:tc>
        <w:tc>
          <w:tcPr>
            <w:tcW w:w="1275" w:type="dxa"/>
            <w:tcBorders>
              <w:top w:val="single" w:sz="4" w:space="0" w:color="000000"/>
              <w:left w:val="single" w:sz="4" w:space="0" w:color="000000"/>
              <w:right w:val="single" w:sz="4" w:space="0" w:color="000000"/>
            </w:tcBorders>
          </w:tcPr>
          <w:p>
            <w:pPr>
              <w:pStyle w:val="TableParagraph"/>
              <w:spacing w:before="28"/>
              <w:ind w:left="424" w:right="396"/>
              <w:rPr>
                <w:sz w:val="18"/>
              </w:rPr>
            </w:pPr>
            <w:r>
              <w:rPr>
                <w:sz w:val="18"/>
              </w:rPr>
              <w:t>cm</w:t>
            </w:r>
          </w:p>
        </w:tc>
        <w:tc>
          <w:tcPr>
            <w:tcW w:w="1851" w:type="dxa"/>
            <w:tcBorders>
              <w:top w:val="single" w:sz="4" w:space="0" w:color="000000"/>
              <w:left w:val="single" w:sz="4" w:space="0" w:color="000000"/>
              <w:right w:val="single" w:sz="4" w:space="0" w:color="000000"/>
            </w:tcBorders>
          </w:tcPr>
          <w:p>
            <w:pPr>
              <w:pStyle w:val="TableParagraph"/>
              <w:spacing w:before="28"/>
              <w:ind w:left="25"/>
              <w:rPr>
                <w:sz w:val="18"/>
              </w:rPr>
            </w:pPr>
            <w:r>
              <w:rPr>
                <w:sz w:val="18"/>
              </w:rPr>
              <w:t>6</w:t>
            </w:r>
          </w:p>
        </w:tc>
        <w:tc>
          <w:tcPr>
            <w:tcW w:w="1853" w:type="dxa"/>
            <w:vMerge/>
            <w:tcBorders>
              <w:top w:val="nil"/>
              <w:left w:val="single" w:sz="4" w:space="0" w:color="000000"/>
            </w:tcBorders>
          </w:tcPr>
          <w:p>
            <w:pPr>
              <w:rPr>
                <w:sz w:val="2"/>
                <w:szCs w:val="2"/>
              </w:rPr>
            </w:pPr>
          </w:p>
        </w:tc>
      </w:tr>
    </w:tbl>
    <w:p>
      <w:pPr>
        <w:pStyle w:val="BodyText"/>
        <w:spacing w:before="1"/>
        <w:rPr>
          <w:rFonts w:ascii="黑体"/>
          <w:sz w:val="14"/>
        </w:rPr>
      </w:pPr>
    </w:p>
    <w:p>
      <w:pPr>
        <w:pStyle w:val="BodyText"/>
        <w:tabs>
          <w:tab w:val="left" w:pos="779"/>
        </w:tabs>
        <w:spacing w:before="1"/>
        <w:ind w:left="201"/>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5</w:t>
        <w:tab/>
        <w:t>SBS</w:t>
      </w:r>
      <w:r>
        <w:rPr>
          <w:rFonts w:ascii="黑体" w:eastAsia="黑体" w:hint="eastAsia"/>
          <w:spacing w:val="-55"/>
        </w:rPr>
        <w:t xml:space="preserve"> </w:t>
      </w:r>
      <w:r>
        <w:rPr>
          <w:rFonts w:ascii="黑体" w:eastAsia="黑体" w:hint="eastAsia"/>
        </w:rPr>
        <w:t>改</w:t>
      </w:r>
      <w:r>
        <w:rPr>
          <w:rFonts w:ascii="黑体" w:eastAsia="黑体" w:hint="eastAsia"/>
          <w:spacing w:val="-3"/>
        </w:rPr>
        <w:t>性</w:t>
      </w:r>
      <w:r>
        <w:rPr>
          <w:rFonts w:ascii="黑体" w:eastAsia="黑体" w:hint="eastAsia"/>
        </w:rPr>
        <w:t>沥青(70</w:t>
      </w:r>
      <w:r>
        <w:rPr>
          <w:rFonts w:ascii="黑体" w:eastAsia="黑体" w:hint="eastAsia"/>
          <w:spacing w:val="-54"/>
        </w:rPr>
        <w:t xml:space="preserve"> </w:t>
      </w:r>
      <w:r>
        <w:rPr>
          <w:rFonts w:ascii="黑体" w:eastAsia="黑体" w:hint="eastAsia"/>
          <w:spacing w:val="50"/>
        </w:rPr>
        <w:t>号</w:t>
      </w:r>
      <w:r>
        <w:rPr>
          <w:rFonts w:ascii="黑体" w:eastAsia="黑体" w:hint="eastAsia"/>
        </w:rPr>
        <w:t>A</w:t>
      </w:r>
      <w:r>
        <w:rPr>
          <w:rFonts w:ascii="黑体" w:eastAsia="黑体" w:hint="eastAsia"/>
          <w:spacing w:val="-53"/>
        </w:rPr>
        <w:t xml:space="preserve"> </w:t>
      </w:r>
      <w:r>
        <w:rPr>
          <w:rFonts w:ascii="黑体" w:eastAsia="黑体" w:hint="eastAsia"/>
        </w:rPr>
        <w:t>级</w:t>
      </w:r>
      <w:r>
        <w:rPr>
          <w:rFonts w:ascii="黑体" w:eastAsia="黑体" w:hint="eastAsia"/>
          <w:spacing w:val="-3"/>
        </w:rPr>
        <w:t>道</w:t>
      </w:r>
      <w:r>
        <w:rPr>
          <w:rFonts w:ascii="黑体" w:eastAsia="黑体" w:hint="eastAsia"/>
        </w:rPr>
        <w:t>路</w:t>
      </w:r>
      <w:r>
        <w:rPr>
          <w:rFonts w:ascii="黑体" w:eastAsia="黑体" w:hint="eastAsia"/>
          <w:spacing w:val="-3"/>
        </w:rPr>
        <w:t>石</w:t>
      </w:r>
      <w:r>
        <w:rPr>
          <w:rFonts w:ascii="黑体" w:eastAsia="黑体" w:hint="eastAsia"/>
        </w:rPr>
        <w:t>油</w:t>
      </w:r>
      <w:r>
        <w:rPr>
          <w:rFonts w:ascii="黑体" w:eastAsia="黑体" w:hint="eastAsia"/>
          <w:spacing w:val="-3"/>
        </w:rPr>
        <w:t>沥</w:t>
      </w:r>
      <w:r>
        <w:rPr>
          <w:rFonts w:ascii="黑体" w:eastAsia="黑体" w:hint="eastAsia"/>
        </w:rPr>
        <w:t>青</w:t>
      </w:r>
      <w:r>
        <w:rPr>
          <w:rFonts w:ascii="黑体" w:eastAsia="黑体" w:hint="eastAsia"/>
          <w:spacing w:val="-3"/>
        </w:rPr>
        <w:t>)</w:t>
      </w:r>
      <w:r>
        <w:rPr>
          <w:rFonts w:ascii="黑体" w:eastAsia="黑体" w:hint="eastAsia"/>
        </w:rPr>
        <w:t>的</w:t>
      </w:r>
      <w:r>
        <w:rPr>
          <w:rFonts w:ascii="黑体" w:eastAsia="黑体" w:hint="eastAsia"/>
          <w:spacing w:val="-3"/>
        </w:rPr>
        <w:t>技术</w:t>
      </w:r>
      <w:r>
        <w:rPr>
          <w:rFonts w:ascii="黑体" w:eastAsia="黑体" w:hint="eastAsia"/>
        </w:rPr>
        <w:t>要求</w:t>
      </w:r>
    </w:p>
    <w:p>
      <w:pPr>
        <w:pStyle w:val="BodyText"/>
        <w:spacing w:before="9"/>
        <w:rPr>
          <w:rFonts w:ascii="黑体"/>
          <w:sz w:val="13"/>
        </w:rPr>
      </w:pPr>
    </w:p>
    <w:tbl>
      <w:tblPr>
        <w:tblStyle w:val="TableNormal3"/>
        <w:tblW w:w="0" w:type="auto"/>
        <w:jc w:val="left"/>
        <w:tblInd w:w="6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81"/>
        <w:gridCol w:w="2933"/>
        <w:gridCol w:w="1135"/>
        <w:gridCol w:w="1922"/>
        <w:gridCol w:w="1728"/>
      </w:tblGrid>
      <w:tr>
        <w:tblPrEx>
          <w:tblW w:w="0" w:type="auto"/>
          <w:jc w:val="left"/>
          <w:tblInd w:w="6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625"/>
          <w:jc w:val="left"/>
        </w:trPr>
        <w:tc>
          <w:tcPr>
            <w:tcW w:w="4414" w:type="dxa"/>
            <w:gridSpan w:val="2"/>
            <w:tcBorders>
              <w:bottom w:val="single" w:sz="6" w:space="0" w:color="000000"/>
              <w:right w:val="single" w:sz="6" w:space="0" w:color="000000"/>
            </w:tcBorders>
          </w:tcPr>
          <w:p>
            <w:pPr>
              <w:pStyle w:val="TableParagraph"/>
              <w:spacing w:before="4"/>
              <w:jc w:val="left"/>
              <w:rPr>
                <w:rFonts w:ascii="黑体"/>
                <w:sz w:val="15"/>
              </w:rPr>
            </w:pPr>
          </w:p>
          <w:p>
            <w:pPr>
              <w:pStyle w:val="TableParagraph"/>
              <w:tabs>
                <w:tab w:val="left" w:pos="842"/>
              </w:tabs>
              <w:spacing w:before="0"/>
              <w:ind w:left="28"/>
              <w:rPr>
                <w:sz w:val="18"/>
              </w:rPr>
            </w:pPr>
            <w:r>
              <w:rPr>
                <w:sz w:val="18"/>
              </w:rPr>
              <w:t>项</w:t>
              <w:tab/>
              <w:t>目</w:t>
            </w:r>
          </w:p>
        </w:tc>
        <w:tc>
          <w:tcPr>
            <w:tcW w:w="1135" w:type="dxa"/>
            <w:tcBorders>
              <w:left w:val="single" w:sz="6" w:space="0" w:color="000000"/>
              <w:bottom w:val="single" w:sz="6" w:space="0" w:color="000000"/>
              <w:right w:val="single" w:sz="6" w:space="0" w:color="000000"/>
            </w:tcBorders>
          </w:tcPr>
          <w:p>
            <w:pPr>
              <w:pStyle w:val="TableParagraph"/>
              <w:spacing w:before="4"/>
              <w:jc w:val="left"/>
              <w:rPr>
                <w:rFonts w:ascii="黑体"/>
                <w:sz w:val="15"/>
              </w:rPr>
            </w:pPr>
          </w:p>
          <w:p>
            <w:pPr>
              <w:pStyle w:val="TableParagraph"/>
              <w:spacing w:before="0"/>
              <w:ind w:left="328" w:right="298"/>
              <w:rPr>
                <w:sz w:val="18"/>
              </w:rPr>
            </w:pPr>
            <w:r>
              <w:rPr>
                <w:sz w:val="18"/>
              </w:rPr>
              <w:t>单位</w:t>
            </w:r>
          </w:p>
        </w:tc>
        <w:tc>
          <w:tcPr>
            <w:tcW w:w="1922" w:type="dxa"/>
            <w:tcBorders>
              <w:left w:val="single" w:sz="6" w:space="0" w:color="000000"/>
              <w:bottom w:val="single" w:sz="6" w:space="0" w:color="000000"/>
              <w:right w:val="single" w:sz="4" w:space="0" w:color="000000"/>
            </w:tcBorders>
          </w:tcPr>
          <w:p>
            <w:pPr>
              <w:pStyle w:val="TableParagraph"/>
              <w:spacing w:before="40"/>
              <w:ind w:left="408" w:right="380"/>
              <w:rPr>
                <w:sz w:val="18"/>
              </w:rPr>
            </w:pPr>
            <w:r>
              <w:rPr>
                <w:sz w:val="18"/>
              </w:rPr>
              <w:t>技术要求</w:t>
            </w:r>
          </w:p>
          <w:p>
            <w:pPr>
              <w:pStyle w:val="TableParagraph"/>
              <w:spacing w:before="81"/>
              <w:ind w:left="408" w:right="381"/>
              <w:rPr>
                <w:sz w:val="18"/>
              </w:rPr>
            </w:pPr>
            <w:r>
              <w:rPr>
                <w:sz w:val="18"/>
              </w:rPr>
              <w:t>(5%SBS 掺量)</w:t>
            </w:r>
          </w:p>
        </w:tc>
        <w:tc>
          <w:tcPr>
            <w:tcW w:w="1728" w:type="dxa"/>
            <w:tcBorders>
              <w:left w:val="single" w:sz="4" w:space="0" w:color="000000"/>
              <w:bottom w:val="single" w:sz="6" w:space="0" w:color="000000"/>
            </w:tcBorders>
          </w:tcPr>
          <w:p>
            <w:pPr>
              <w:pStyle w:val="TableParagraph"/>
              <w:spacing w:before="3"/>
              <w:jc w:val="left"/>
              <w:rPr>
                <w:rFonts w:ascii="黑体"/>
                <w:sz w:val="15"/>
              </w:rPr>
            </w:pPr>
          </w:p>
          <w:p>
            <w:pPr>
              <w:pStyle w:val="TableParagraph"/>
              <w:spacing w:before="1"/>
              <w:ind w:left="496" w:right="452"/>
              <w:rPr>
                <w:sz w:val="18"/>
              </w:rPr>
            </w:pPr>
            <w:r>
              <w:rPr>
                <w:sz w:val="18"/>
              </w:rPr>
              <w:t>试验方法</w:t>
            </w:r>
          </w:p>
        </w:tc>
      </w:tr>
      <w:tr>
        <w:tblPrEx>
          <w:tblW w:w="0" w:type="auto"/>
          <w:jc w:val="left"/>
          <w:tblInd w:w="608" w:type="dxa"/>
          <w:tblLayout w:type="fixed"/>
          <w:tblCellMar>
            <w:top w:w="0" w:type="dxa"/>
            <w:left w:w="0" w:type="dxa"/>
            <w:bottom w:w="0" w:type="dxa"/>
            <w:right w:w="0" w:type="dxa"/>
          </w:tblCellMar>
          <w:tblLook w:val="01E0"/>
        </w:tblPrEx>
        <w:trPr>
          <w:trHeight w:val="342"/>
          <w:jc w:val="left"/>
        </w:trPr>
        <w:tc>
          <w:tcPr>
            <w:tcW w:w="4414" w:type="dxa"/>
            <w:gridSpan w:val="2"/>
            <w:tcBorders>
              <w:top w:val="single" w:sz="6" w:space="0" w:color="000000"/>
              <w:bottom w:val="single" w:sz="6" w:space="0" w:color="000000"/>
              <w:right w:val="single" w:sz="6" w:space="0" w:color="000000"/>
            </w:tcBorders>
          </w:tcPr>
          <w:p>
            <w:pPr>
              <w:pStyle w:val="TableParagraph"/>
              <w:spacing w:before="55"/>
              <w:ind w:left="1307"/>
              <w:jc w:val="left"/>
              <w:rPr>
                <w:sz w:val="18"/>
              </w:rPr>
            </w:pPr>
            <w:r>
              <w:rPr>
                <w:sz w:val="18"/>
              </w:rPr>
              <w:t>针入度（25℃，100g，5s）</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55"/>
              <w:ind w:left="331" w:right="298"/>
              <w:rPr>
                <w:sz w:val="18"/>
              </w:rPr>
            </w:pPr>
            <w:r>
              <w:rPr>
                <w:sz w:val="18"/>
              </w:rPr>
              <w:t>0.1mm</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55"/>
              <w:ind w:left="407" w:right="381"/>
              <w:rPr>
                <w:sz w:val="18"/>
              </w:rPr>
            </w:pPr>
            <w:r>
              <w:rPr>
                <w:sz w:val="18"/>
              </w:rPr>
              <w:t>40～70</w:t>
            </w:r>
          </w:p>
        </w:tc>
        <w:tc>
          <w:tcPr>
            <w:tcW w:w="1728" w:type="dxa"/>
            <w:tcBorders>
              <w:top w:val="single" w:sz="6" w:space="0" w:color="000000"/>
              <w:left w:val="single" w:sz="4" w:space="0" w:color="000000"/>
              <w:bottom w:val="single" w:sz="6" w:space="0" w:color="000000"/>
            </w:tcBorders>
          </w:tcPr>
          <w:p>
            <w:pPr>
              <w:pStyle w:val="TableParagraph"/>
              <w:spacing w:before="55"/>
              <w:ind w:left="493" w:right="452"/>
              <w:rPr>
                <w:sz w:val="18"/>
              </w:rPr>
            </w:pPr>
            <w:r>
              <w:rPr>
                <w:sz w:val="18"/>
              </w:rPr>
              <w:t>T 0604</w:t>
            </w:r>
          </w:p>
        </w:tc>
      </w:tr>
      <w:tr>
        <w:tblPrEx>
          <w:tblW w:w="0" w:type="auto"/>
          <w:jc w:val="left"/>
          <w:tblInd w:w="608" w:type="dxa"/>
          <w:tblLayout w:type="fixed"/>
          <w:tblCellMar>
            <w:top w:w="0" w:type="dxa"/>
            <w:left w:w="0" w:type="dxa"/>
            <w:bottom w:w="0" w:type="dxa"/>
            <w:right w:w="0" w:type="dxa"/>
          </w:tblCellMar>
          <w:tblLook w:val="01E0"/>
        </w:tblPrEx>
        <w:trPr>
          <w:trHeight w:val="342"/>
          <w:jc w:val="left"/>
        </w:trPr>
        <w:tc>
          <w:tcPr>
            <w:tcW w:w="4414" w:type="dxa"/>
            <w:gridSpan w:val="2"/>
            <w:tcBorders>
              <w:top w:val="single" w:sz="6" w:space="0" w:color="000000"/>
              <w:bottom w:val="single" w:sz="6" w:space="0" w:color="000000"/>
              <w:right w:val="single" w:sz="6" w:space="0" w:color="000000"/>
            </w:tcBorders>
          </w:tcPr>
          <w:p>
            <w:pPr>
              <w:pStyle w:val="TableParagraph"/>
              <w:spacing w:before="55"/>
              <w:ind w:left="925"/>
              <w:jc w:val="left"/>
              <w:rPr>
                <w:sz w:val="18"/>
              </w:rPr>
            </w:pPr>
            <w:r>
              <w:rPr>
                <w:sz w:val="18"/>
              </w:rPr>
              <w:t>针入度指数 PI（15℃、25℃、30℃）</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0"/>
              <w:jc w:val="left"/>
              <w:rPr>
                <w:rFonts w:ascii="Times New Roman"/>
                <w:sz w:val="18"/>
              </w:rPr>
            </w:pP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55"/>
              <w:ind w:left="408" w:right="381"/>
              <w:rPr>
                <w:sz w:val="18"/>
              </w:rPr>
            </w:pPr>
            <w:r>
              <w:rPr>
                <w:sz w:val="18"/>
              </w:rPr>
              <w:t>-0.2～＋1.0</w:t>
            </w:r>
          </w:p>
        </w:tc>
        <w:tc>
          <w:tcPr>
            <w:tcW w:w="1728" w:type="dxa"/>
            <w:tcBorders>
              <w:top w:val="single" w:sz="6" w:space="0" w:color="000000"/>
              <w:left w:val="single" w:sz="4" w:space="0" w:color="000000"/>
              <w:bottom w:val="single" w:sz="6" w:space="0" w:color="000000"/>
            </w:tcBorders>
          </w:tcPr>
          <w:p>
            <w:pPr>
              <w:pStyle w:val="TableParagraph"/>
              <w:spacing w:before="55"/>
              <w:ind w:left="493" w:right="452"/>
              <w:rPr>
                <w:sz w:val="18"/>
              </w:rPr>
            </w:pPr>
            <w:r>
              <w:rPr>
                <w:sz w:val="18"/>
              </w:rPr>
              <w:t>T 0604</w:t>
            </w:r>
          </w:p>
        </w:tc>
      </w:tr>
      <w:tr>
        <w:tblPrEx>
          <w:tblW w:w="0" w:type="auto"/>
          <w:jc w:val="left"/>
          <w:tblInd w:w="608" w:type="dxa"/>
          <w:tblLayout w:type="fixed"/>
          <w:tblCellMar>
            <w:top w:w="0" w:type="dxa"/>
            <w:left w:w="0" w:type="dxa"/>
            <w:bottom w:w="0" w:type="dxa"/>
            <w:right w:w="0" w:type="dxa"/>
          </w:tblCellMar>
          <w:tblLook w:val="01E0"/>
        </w:tblPrEx>
        <w:trPr>
          <w:trHeight w:val="342"/>
          <w:jc w:val="left"/>
        </w:trPr>
        <w:tc>
          <w:tcPr>
            <w:tcW w:w="4414" w:type="dxa"/>
            <w:gridSpan w:val="2"/>
            <w:tcBorders>
              <w:top w:val="single" w:sz="6" w:space="0" w:color="000000"/>
              <w:bottom w:val="single" w:sz="6" w:space="0" w:color="000000"/>
              <w:right w:val="single" w:sz="6" w:space="0" w:color="000000"/>
            </w:tcBorders>
          </w:tcPr>
          <w:p>
            <w:pPr>
              <w:pStyle w:val="TableParagraph"/>
              <w:spacing w:before="55"/>
              <w:ind w:left="1578"/>
              <w:jc w:val="left"/>
              <w:rPr>
                <w:sz w:val="18"/>
              </w:rPr>
            </w:pPr>
            <w:r>
              <w:rPr>
                <w:sz w:val="18"/>
              </w:rPr>
              <w:t>延度（</w:t>
            </w:r>
            <w:r>
              <w:rPr>
                <w:spacing w:val="1"/>
                <w:sz w:val="18"/>
              </w:rPr>
              <w:t>5</w:t>
            </w:r>
            <w:r>
              <w:rPr>
                <w:sz w:val="18"/>
              </w:rPr>
              <w:t>℃</w:t>
            </w:r>
            <w:r>
              <w:rPr>
                <w:spacing w:val="-92"/>
                <w:sz w:val="18"/>
              </w:rPr>
              <w:t>）</w:t>
            </w:r>
            <w:r>
              <w:rPr>
                <w:sz w:val="18"/>
              </w:rPr>
              <w:t>，不小于</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55"/>
              <w:ind w:left="328" w:right="298"/>
              <w:rPr>
                <w:sz w:val="18"/>
              </w:rPr>
            </w:pPr>
            <w:r>
              <w:rPr>
                <w:sz w:val="18"/>
              </w:rPr>
              <w:t>cm</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55"/>
              <w:ind w:left="408" w:right="380"/>
              <w:rPr>
                <w:sz w:val="18"/>
              </w:rPr>
            </w:pPr>
            <w:r>
              <w:rPr>
                <w:sz w:val="18"/>
              </w:rPr>
              <w:t>25</w:t>
            </w:r>
          </w:p>
        </w:tc>
        <w:tc>
          <w:tcPr>
            <w:tcW w:w="1728" w:type="dxa"/>
            <w:tcBorders>
              <w:top w:val="single" w:sz="6" w:space="0" w:color="000000"/>
              <w:left w:val="single" w:sz="4" w:space="0" w:color="000000"/>
              <w:bottom w:val="single" w:sz="6" w:space="0" w:color="000000"/>
            </w:tcBorders>
          </w:tcPr>
          <w:p>
            <w:pPr>
              <w:pStyle w:val="TableParagraph"/>
              <w:spacing w:before="55"/>
              <w:ind w:left="493" w:right="452"/>
              <w:rPr>
                <w:sz w:val="18"/>
              </w:rPr>
            </w:pPr>
            <w:r>
              <w:rPr>
                <w:sz w:val="18"/>
              </w:rPr>
              <w:t>T 0605</w:t>
            </w:r>
          </w:p>
        </w:tc>
      </w:tr>
      <w:tr>
        <w:tblPrEx>
          <w:tblW w:w="0" w:type="auto"/>
          <w:jc w:val="left"/>
          <w:tblInd w:w="608" w:type="dxa"/>
          <w:tblLayout w:type="fixed"/>
          <w:tblCellMar>
            <w:top w:w="0" w:type="dxa"/>
            <w:left w:w="0" w:type="dxa"/>
            <w:bottom w:w="0" w:type="dxa"/>
            <w:right w:w="0" w:type="dxa"/>
          </w:tblCellMar>
          <w:tblLook w:val="01E0"/>
        </w:tblPrEx>
        <w:trPr>
          <w:trHeight w:val="345"/>
          <w:jc w:val="left"/>
        </w:trPr>
        <w:tc>
          <w:tcPr>
            <w:tcW w:w="4414" w:type="dxa"/>
            <w:gridSpan w:val="2"/>
            <w:tcBorders>
              <w:top w:val="single" w:sz="6" w:space="0" w:color="000000"/>
              <w:bottom w:val="single" w:sz="6" w:space="0" w:color="000000"/>
              <w:right w:val="single" w:sz="6" w:space="0" w:color="000000"/>
            </w:tcBorders>
          </w:tcPr>
          <w:p>
            <w:pPr>
              <w:pStyle w:val="TableParagraph"/>
              <w:spacing w:before="55"/>
              <w:ind w:left="1352"/>
              <w:jc w:val="left"/>
              <w:rPr>
                <w:sz w:val="18"/>
              </w:rPr>
            </w:pPr>
            <w:r>
              <w:rPr>
                <w:sz w:val="18"/>
              </w:rPr>
              <w:t>软化点（环球法</w:t>
            </w:r>
            <w:r>
              <w:rPr>
                <w:spacing w:val="-92"/>
                <w:sz w:val="18"/>
              </w:rPr>
              <w:t>）</w:t>
            </w:r>
            <w:r>
              <w:rPr>
                <w:sz w:val="18"/>
              </w:rPr>
              <w:t>，不小于</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55"/>
              <w:ind w:left="28"/>
              <w:rPr>
                <w:sz w:val="18"/>
              </w:rPr>
            </w:pPr>
            <w:r>
              <w:rPr>
                <w:sz w:val="18"/>
              </w:rPr>
              <w:t>℃</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55"/>
              <w:ind w:left="408" w:right="380"/>
              <w:rPr>
                <w:sz w:val="18"/>
              </w:rPr>
            </w:pPr>
            <w:r>
              <w:rPr>
                <w:sz w:val="18"/>
              </w:rPr>
              <w:t>70</w:t>
            </w:r>
          </w:p>
        </w:tc>
        <w:tc>
          <w:tcPr>
            <w:tcW w:w="1728" w:type="dxa"/>
            <w:tcBorders>
              <w:top w:val="single" w:sz="6" w:space="0" w:color="000000"/>
              <w:left w:val="single" w:sz="4" w:space="0" w:color="000000"/>
              <w:bottom w:val="single" w:sz="6" w:space="0" w:color="000000"/>
            </w:tcBorders>
          </w:tcPr>
          <w:p>
            <w:pPr>
              <w:pStyle w:val="TableParagraph"/>
              <w:spacing w:before="55"/>
              <w:ind w:left="493" w:right="452"/>
              <w:rPr>
                <w:sz w:val="18"/>
              </w:rPr>
            </w:pPr>
            <w:r>
              <w:rPr>
                <w:sz w:val="18"/>
              </w:rPr>
              <w:t>T 0606</w:t>
            </w:r>
          </w:p>
        </w:tc>
      </w:tr>
      <w:tr>
        <w:tblPrEx>
          <w:tblW w:w="0" w:type="auto"/>
          <w:jc w:val="left"/>
          <w:tblInd w:w="608" w:type="dxa"/>
          <w:tblLayout w:type="fixed"/>
          <w:tblCellMar>
            <w:top w:w="0" w:type="dxa"/>
            <w:left w:w="0" w:type="dxa"/>
            <w:bottom w:w="0" w:type="dxa"/>
            <w:right w:w="0" w:type="dxa"/>
          </w:tblCellMar>
          <w:tblLook w:val="01E0"/>
        </w:tblPrEx>
        <w:trPr>
          <w:trHeight w:val="342"/>
          <w:jc w:val="left"/>
        </w:trPr>
        <w:tc>
          <w:tcPr>
            <w:tcW w:w="4414" w:type="dxa"/>
            <w:gridSpan w:val="2"/>
            <w:tcBorders>
              <w:top w:val="single" w:sz="6" w:space="0" w:color="000000"/>
              <w:bottom w:val="single" w:sz="6" w:space="0" w:color="000000"/>
              <w:right w:val="single" w:sz="6" w:space="0" w:color="000000"/>
            </w:tcBorders>
          </w:tcPr>
          <w:p>
            <w:pPr>
              <w:pStyle w:val="TableParagraph"/>
              <w:spacing w:before="52"/>
              <w:ind w:left="947"/>
              <w:jc w:val="left"/>
              <w:rPr>
                <w:sz w:val="18"/>
              </w:rPr>
            </w:pPr>
            <w:r>
              <w:rPr>
                <w:sz w:val="18"/>
              </w:rPr>
              <w:t>布氏旋转黏度（</w:t>
            </w:r>
            <w:r>
              <w:rPr>
                <w:spacing w:val="1"/>
                <w:sz w:val="18"/>
              </w:rPr>
              <w:t>135</w:t>
            </w:r>
            <w:r>
              <w:rPr>
                <w:sz w:val="18"/>
              </w:rPr>
              <w:t>℃</w:t>
            </w:r>
            <w:r>
              <w:rPr>
                <w:spacing w:val="-92"/>
                <w:sz w:val="18"/>
              </w:rPr>
              <w:t>）</w:t>
            </w:r>
            <w:r>
              <w:rPr>
                <w:spacing w:val="-1"/>
                <w:sz w:val="18"/>
              </w:rPr>
              <w:t>，不大于</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52"/>
              <w:ind w:left="329" w:right="298"/>
              <w:rPr>
                <w:sz w:val="18"/>
              </w:rPr>
            </w:pPr>
            <w:r>
              <w:rPr>
                <w:sz w:val="18"/>
              </w:rPr>
              <w:t>Pa.S</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52"/>
              <w:ind w:left="27"/>
              <w:rPr>
                <w:sz w:val="18"/>
              </w:rPr>
            </w:pPr>
            <w:r>
              <w:rPr>
                <w:sz w:val="18"/>
              </w:rPr>
              <w:t>3</w:t>
            </w:r>
          </w:p>
        </w:tc>
        <w:tc>
          <w:tcPr>
            <w:tcW w:w="1728" w:type="dxa"/>
            <w:tcBorders>
              <w:top w:val="single" w:sz="6" w:space="0" w:color="000000"/>
              <w:left w:val="single" w:sz="4" w:space="0" w:color="000000"/>
              <w:bottom w:val="single" w:sz="6" w:space="0" w:color="000000"/>
            </w:tcBorders>
          </w:tcPr>
          <w:p>
            <w:pPr>
              <w:pStyle w:val="TableParagraph"/>
              <w:spacing w:before="52"/>
              <w:ind w:left="493" w:right="452"/>
              <w:rPr>
                <w:sz w:val="18"/>
              </w:rPr>
            </w:pPr>
            <w:r>
              <w:rPr>
                <w:sz w:val="18"/>
              </w:rPr>
              <w:t>T 0625</w:t>
            </w:r>
          </w:p>
        </w:tc>
      </w:tr>
      <w:tr>
        <w:tblPrEx>
          <w:tblW w:w="0" w:type="auto"/>
          <w:jc w:val="left"/>
          <w:tblInd w:w="608" w:type="dxa"/>
          <w:tblLayout w:type="fixed"/>
          <w:tblCellMar>
            <w:top w:w="0" w:type="dxa"/>
            <w:left w:w="0" w:type="dxa"/>
            <w:bottom w:w="0" w:type="dxa"/>
            <w:right w:w="0" w:type="dxa"/>
          </w:tblCellMar>
          <w:tblLook w:val="01E0"/>
        </w:tblPrEx>
        <w:trPr>
          <w:trHeight w:val="342"/>
          <w:jc w:val="left"/>
        </w:trPr>
        <w:tc>
          <w:tcPr>
            <w:tcW w:w="4414" w:type="dxa"/>
            <w:gridSpan w:val="2"/>
            <w:tcBorders>
              <w:top w:val="single" w:sz="6" w:space="0" w:color="000000"/>
              <w:bottom w:val="single" w:sz="6" w:space="0" w:color="000000"/>
              <w:right w:val="single" w:sz="6" w:space="0" w:color="000000"/>
            </w:tcBorders>
          </w:tcPr>
          <w:p>
            <w:pPr>
              <w:pStyle w:val="TableParagraph"/>
              <w:spacing w:before="55"/>
              <w:ind w:left="383"/>
              <w:rPr>
                <w:sz w:val="18"/>
              </w:rPr>
            </w:pPr>
            <w:r>
              <w:rPr>
                <w:sz w:val="18"/>
              </w:rPr>
              <w:t>闪点，不小于</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55"/>
              <w:ind w:left="28"/>
              <w:rPr>
                <w:sz w:val="18"/>
              </w:rPr>
            </w:pPr>
            <w:r>
              <w:rPr>
                <w:sz w:val="18"/>
              </w:rPr>
              <w:t>℃</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55"/>
              <w:ind w:left="408" w:right="288"/>
              <w:rPr>
                <w:sz w:val="18"/>
              </w:rPr>
            </w:pPr>
            <w:r>
              <w:rPr>
                <w:sz w:val="18"/>
              </w:rPr>
              <w:t>245</w:t>
            </w:r>
          </w:p>
        </w:tc>
        <w:tc>
          <w:tcPr>
            <w:tcW w:w="1728" w:type="dxa"/>
            <w:tcBorders>
              <w:top w:val="single" w:sz="6" w:space="0" w:color="000000"/>
              <w:left w:val="single" w:sz="4" w:space="0" w:color="000000"/>
              <w:bottom w:val="single" w:sz="6" w:space="0" w:color="000000"/>
            </w:tcBorders>
          </w:tcPr>
          <w:p>
            <w:pPr>
              <w:pStyle w:val="TableParagraph"/>
              <w:spacing w:before="55"/>
              <w:ind w:left="493" w:right="452"/>
              <w:rPr>
                <w:sz w:val="18"/>
              </w:rPr>
            </w:pPr>
            <w:r>
              <w:rPr>
                <w:sz w:val="18"/>
              </w:rPr>
              <w:t>T 0611</w:t>
            </w:r>
          </w:p>
        </w:tc>
      </w:tr>
      <w:tr>
        <w:tblPrEx>
          <w:tblW w:w="0" w:type="auto"/>
          <w:jc w:val="left"/>
          <w:tblInd w:w="608" w:type="dxa"/>
          <w:tblLayout w:type="fixed"/>
          <w:tblCellMar>
            <w:top w:w="0" w:type="dxa"/>
            <w:left w:w="0" w:type="dxa"/>
            <w:bottom w:w="0" w:type="dxa"/>
            <w:right w:w="0" w:type="dxa"/>
          </w:tblCellMar>
          <w:tblLook w:val="01E0"/>
        </w:tblPrEx>
        <w:trPr>
          <w:trHeight w:val="342"/>
          <w:jc w:val="left"/>
        </w:trPr>
        <w:tc>
          <w:tcPr>
            <w:tcW w:w="4414" w:type="dxa"/>
            <w:gridSpan w:val="2"/>
            <w:tcBorders>
              <w:top w:val="single" w:sz="6" w:space="0" w:color="000000"/>
              <w:bottom w:val="single" w:sz="6" w:space="0" w:color="000000"/>
              <w:right w:val="single" w:sz="6" w:space="0" w:color="000000"/>
            </w:tcBorders>
          </w:tcPr>
          <w:p>
            <w:pPr>
              <w:pStyle w:val="TableParagraph"/>
              <w:spacing w:before="55"/>
              <w:ind w:left="1261"/>
              <w:jc w:val="left"/>
              <w:rPr>
                <w:sz w:val="18"/>
              </w:rPr>
            </w:pPr>
            <w:r>
              <w:rPr>
                <w:sz w:val="18"/>
              </w:rPr>
              <w:t>溶解度（三氯乙烯</w:t>
            </w:r>
            <w:r>
              <w:rPr>
                <w:spacing w:val="-92"/>
                <w:sz w:val="18"/>
              </w:rPr>
              <w:t>）</w:t>
            </w:r>
            <w:r>
              <w:rPr>
                <w:sz w:val="18"/>
              </w:rPr>
              <w:t>，不小于</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55"/>
              <w:ind w:left="29"/>
              <w:rPr>
                <w:sz w:val="18"/>
              </w:rPr>
            </w:pPr>
            <w:r>
              <w:rPr>
                <w:sz w:val="18"/>
              </w:rPr>
              <w:t>%</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55"/>
              <w:ind w:left="408" w:right="379"/>
              <w:rPr>
                <w:sz w:val="18"/>
              </w:rPr>
            </w:pPr>
            <w:r>
              <w:rPr>
                <w:sz w:val="18"/>
              </w:rPr>
              <w:t>99</w:t>
            </w:r>
          </w:p>
        </w:tc>
        <w:tc>
          <w:tcPr>
            <w:tcW w:w="1728" w:type="dxa"/>
            <w:tcBorders>
              <w:top w:val="single" w:sz="6" w:space="0" w:color="000000"/>
              <w:left w:val="single" w:sz="4" w:space="0" w:color="000000"/>
              <w:bottom w:val="single" w:sz="6" w:space="0" w:color="000000"/>
            </w:tcBorders>
          </w:tcPr>
          <w:p>
            <w:pPr>
              <w:pStyle w:val="TableParagraph"/>
              <w:spacing w:before="55"/>
              <w:ind w:left="493" w:right="452"/>
              <w:rPr>
                <w:sz w:val="18"/>
              </w:rPr>
            </w:pPr>
            <w:r>
              <w:rPr>
                <w:sz w:val="18"/>
              </w:rPr>
              <w:t>T 0607</w:t>
            </w:r>
          </w:p>
        </w:tc>
      </w:tr>
      <w:tr>
        <w:tblPrEx>
          <w:tblW w:w="0" w:type="auto"/>
          <w:jc w:val="left"/>
          <w:tblInd w:w="608" w:type="dxa"/>
          <w:tblLayout w:type="fixed"/>
          <w:tblCellMar>
            <w:top w:w="0" w:type="dxa"/>
            <w:left w:w="0" w:type="dxa"/>
            <w:bottom w:w="0" w:type="dxa"/>
            <w:right w:w="0" w:type="dxa"/>
          </w:tblCellMar>
          <w:tblLook w:val="01E0"/>
        </w:tblPrEx>
        <w:trPr>
          <w:trHeight w:val="342"/>
          <w:jc w:val="left"/>
        </w:trPr>
        <w:tc>
          <w:tcPr>
            <w:tcW w:w="4414" w:type="dxa"/>
            <w:gridSpan w:val="2"/>
            <w:tcBorders>
              <w:top w:val="single" w:sz="6" w:space="0" w:color="000000"/>
              <w:bottom w:val="single" w:sz="6" w:space="0" w:color="000000"/>
              <w:right w:val="single" w:sz="6" w:space="0" w:color="000000"/>
            </w:tcBorders>
          </w:tcPr>
          <w:p>
            <w:pPr>
              <w:pStyle w:val="TableParagraph"/>
              <w:spacing w:before="55"/>
              <w:ind w:left="1398"/>
              <w:jc w:val="left"/>
              <w:rPr>
                <w:sz w:val="18"/>
              </w:rPr>
            </w:pPr>
            <w:r>
              <w:rPr>
                <w:sz w:val="18"/>
              </w:rPr>
              <w:t>离析，软化点差，不大于</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55"/>
              <w:ind w:left="28"/>
              <w:rPr>
                <w:sz w:val="18"/>
              </w:rPr>
            </w:pPr>
            <w:r>
              <w:rPr>
                <w:sz w:val="18"/>
              </w:rPr>
              <w:t>℃</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55"/>
              <w:ind w:left="408" w:right="380"/>
              <w:rPr>
                <w:sz w:val="18"/>
              </w:rPr>
            </w:pPr>
            <w:r>
              <w:rPr>
                <w:sz w:val="18"/>
              </w:rPr>
              <w:t>2.5</w:t>
            </w:r>
          </w:p>
        </w:tc>
        <w:tc>
          <w:tcPr>
            <w:tcW w:w="1728" w:type="dxa"/>
            <w:tcBorders>
              <w:top w:val="single" w:sz="6" w:space="0" w:color="000000"/>
              <w:left w:val="single" w:sz="4" w:space="0" w:color="000000"/>
              <w:bottom w:val="single" w:sz="6" w:space="0" w:color="000000"/>
            </w:tcBorders>
          </w:tcPr>
          <w:p>
            <w:pPr>
              <w:pStyle w:val="TableParagraph"/>
              <w:spacing w:before="55"/>
              <w:ind w:left="493" w:right="452"/>
              <w:rPr>
                <w:sz w:val="18"/>
              </w:rPr>
            </w:pPr>
            <w:r>
              <w:rPr>
                <w:sz w:val="18"/>
              </w:rPr>
              <w:t>T 0661</w:t>
            </w:r>
          </w:p>
        </w:tc>
      </w:tr>
      <w:tr>
        <w:tblPrEx>
          <w:tblW w:w="0" w:type="auto"/>
          <w:jc w:val="left"/>
          <w:tblInd w:w="608" w:type="dxa"/>
          <w:tblLayout w:type="fixed"/>
          <w:tblCellMar>
            <w:top w:w="0" w:type="dxa"/>
            <w:left w:w="0" w:type="dxa"/>
            <w:bottom w:w="0" w:type="dxa"/>
            <w:right w:w="0" w:type="dxa"/>
          </w:tblCellMar>
          <w:tblLook w:val="01E0"/>
        </w:tblPrEx>
        <w:trPr>
          <w:trHeight w:val="342"/>
          <w:jc w:val="left"/>
        </w:trPr>
        <w:tc>
          <w:tcPr>
            <w:tcW w:w="4414" w:type="dxa"/>
            <w:gridSpan w:val="2"/>
            <w:tcBorders>
              <w:top w:val="single" w:sz="6" w:space="0" w:color="000000"/>
              <w:bottom w:val="single" w:sz="6" w:space="0" w:color="000000"/>
              <w:right w:val="single" w:sz="6" w:space="0" w:color="000000"/>
            </w:tcBorders>
          </w:tcPr>
          <w:p>
            <w:pPr>
              <w:pStyle w:val="TableParagraph"/>
              <w:spacing w:before="55"/>
              <w:ind w:left="1352"/>
              <w:jc w:val="left"/>
              <w:rPr>
                <w:sz w:val="18"/>
              </w:rPr>
            </w:pPr>
            <w:r>
              <w:rPr>
                <w:sz w:val="18"/>
              </w:rPr>
              <w:t>弹性恢复（</w:t>
            </w:r>
            <w:r>
              <w:rPr>
                <w:spacing w:val="1"/>
                <w:sz w:val="18"/>
              </w:rPr>
              <w:t>25</w:t>
            </w:r>
            <w:r>
              <w:rPr>
                <w:sz w:val="18"/>
              </w:rPr>
              <w:t>℃</w:t>
            </w:r>
            <w:r>
              <w:rPr>
                <w:spacing w:val="-92"/>
                <w:sz w:val="18"/>
              </w:rPr>
              <w:t>）</w:t>
            </w:r>
            <w:r>
              <w:rPr>
                <w:sz w:val="18"/>
              </w:rPr>
              <w:t>，不小于</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55"/>
              <w:ind w:left="29"/>
              <w:rPr>
                <w:sz w:val="18"/>
              </w:rPr>
            </w:pPr>
            <w:r>
              <w:rPr>
                <w:sz w:val="18"/>
              </w:rPr>
              <w:t>%</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55"/>
              <w:ind w:left="408" w:right="380"/>
              <w:rPr>
                <w:sz w:val="18"/>
              </w:rPr>
            </w:pPr>
            <w:r>
              <w:rPr>
                <w:sz w:val="18"/>
              </w:rPr>
              <w:t>80</w:t>
            </w:r>
          </w:p>
        </w:tc>
        <w:tc>
          <w:tcPr>
            <w:tcW w:w="1728" w:type="dxa"/>
            <w:tcBorders>
              <w:top w:val="single" w:sz="6" w:space="0" w:color="000000"/>
              <w:left w:val="single" w:sz="4" w:space="0" w:color="000000"/>
              <w:bottom w:val="single" w:sz="6" w:space="0" w:color="000000"/>
            </w:tcBorders>
          </w:tcPr>
          <w:p>
            <w:pPr>
              <w:pStyle w:val="TableParagraph"/>
              <w:spacing w:before="55"/>
              <w:ind w:left="493" w:right="452"/>
              <w:rPr>
                <w:sz w:val="18"/>
              </w:rPr>
            </w:pPr>
            <w:r>
              <w:rPr>
                <w:sz w:val="18"/>
              </w:rPr>
              <w:t>T 0662</w:t>
            </w:r>
          </w:p>
        </w:tc>
      </w:tr>
      <w:tr>
        <w:tblPrEx>
          <w:tblW w:w="0" w:type="auto"/>
          <w:jc w:val="left"/>
          <w:tblInd w:w="608" w:type="dxa"/>
          <w:tblLayout w:type="fixed"/>
          <w:tblCellMar>
            <w:top w:w="0" w:type="dxa"/>
            <w:left w:w="0" w:type="dxa"/>
            <w:bottom w:w="0" w:type="dxa"/>
            <w:right w:w="0" w:type="dxa"/>
          </w:tblCellMar>
          <w:tblLook w:val="01E0"/>
        </w:tblPrEx>
        <w:trPr>
          <w:trHeight w:val="306"/>
          <w:jc w:val="left"/>
        </w:trPr>
        <w:tc>
          <w:tcPr>
            <w:tcW w:w="1481" w:type="dxa"/>
            <w:vMerge w:val="restart"/>
            <w:tcBorders>
              <w:top w:val="single" w:sz="6" w:space="0" w:color="000000"/>
              <w:right w:val="single" w:sz="6" w:space="0" w:color="000000"/>
            </w:tcBorders>
          </w:tcPr>
          <w:p>
            <w:pPr>
              <w:pStyle w:val="TableParagraph"/>
              <w:spacing w:before="5"/>
              <w:jc w:val="left"/>
              <w:rPr>
                <w:rFonts w:ascii="黑体"/>
                <w:sz w:val="16"/>
              </w:rPr>
            </w:pPr>
          </w:p>
          <w:p>
            <w:pPr>
              <w:pStyle w:val="TableParagraph"/>
              <w:spacing w:before="1"/>
              <w:ind w:left="405"/>
              <w:jc w:val="left"/>
              <w:rPr>
                <w:sz w:val="18"/>
              </w:rPr>
            </w:pPr>
            <w:r>
              <w:rPr>
                <w:sz w:val="18"/>
              </w:rPr>
              <w:t>RTFOT 后</w:t>
            </w:r>
          </w:p>
          <w:p>
            <w:pPr>
              <w:pStyle w:val="TableParagraph"/>
              <w:spacing w:before="81"/>
              <w:ind w:left="472"/>
              <w:jc w:val="left"/>
              <w:rPr>
                <w:sz w:val="18"/>
              </w:rPr>
            </w:pPr>
            <w:r>
              <w:rPr>
                <w:sz w:val="18"/>
              </w:rPr>
              <w:t>残留物</w:t>
            </w:r>
          </w:p>
        </w:tc>
        <w:tc>
          <w:tcPr>
            <w:tcW w:w="2933" w:type="dxa"/>
            <w:tcBorders>
              <w:top w:val="single" w:sz="6" w:space="0" w:color="000000"/>
              <w:left w:val="single" w:sz="6" w:space="0" w:color="000000"/>
              <w:bottom w:val="single" w:sz="6" w:space="0" w:color="000000"/>
              <w:right w:val="single" w:sz="6" w:space="0" w:color="000000"/>
            </w:tcBorders>
          </w:tcPr>
          <w:p>
            <w:pPr>
              <w:pStyle w:val="TableParagraph"/>
              <w:spacing w:before="40"/>
              <w:ind w:left="464" w:right="431"/>
              <w:rPr>
                <w:sz w:val="18"/>
              </w:rPr>
            </w:pPr>
            <w:r>
              <w:rPr>
                <w:sz w:val="18"/>
              </w:rPr>
              <w:t>质量损失，不大于</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40"/>
              <w:ind w:left="29"/>
              <w:rPr>
                <w:sz w:val="18"/>
              </w:rPr>
            </w:pPr>
            <w:r>
              <w:rPr>
                <w:sz w:val="18"/>
              </w:rPr>
              <w:t>%</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40"/>
              <w:ind w:left="408" w:right="377"/>
              <w:rPr>
                <w:sz w:val="18"/>
              </w:rPr>
            </w:pPr>
            <w:r>
              <w:rPr>
                <w:sz w:val="18"/>
              </w:rPr>
              <w:t>±0.5</w:t>
            </w:r>
          </w:p>
        </w:tc>
        <w:tc>
          <w:tcPr>
            <w:tcW w:w="1728" w:type="dxa"/>
            <w:vMerge w:val="restart"/>
            <w:tcBorders>
              <w:top w:val="single" w:sz="6" w:space="0" w:color="000000"/>
              <w:left w:val="single" w:sz="4" w:space="0" w:color="000000"/>
            </w:tcBorders>
          </w:tcPr>
          <w:p>
            <w:pPr>
              <w:pStyle w:val="TableParagraph"/>
              <w:spacing w:before="5"/>
              <w:jc w:val="left"/>
              <w:rPr>
                <w:rFonts w:ascii="黑体"/>
                <w:sz w:val="16"/>
              </w:rPr>
            </w:pPr>
          </w:p>
          <w:p>
            <w:pPr>
              <w:pStyle w:val="TableParagraph"/>
              <w:spacing w:before="1"/>
              <w:ind w:left="605"/>
              <w:jc w:val="left"/>
              <w:rPr>
                <w:sz w:val="18"/>
              </w:rPr>
            </w:pPr>
            <w:r>
              <w:rPr>
                <w:sz w:val="18"/>
              </w:rPr>
              <w:t>T</w:t>
            </w:r>
            <w:r>
              <w:rPr>
                <w:spacing w:val="-3"/>
                <w:sz w:val="18"/>
              </w:rPr>
              <w:t xml:space="preserve"> </w:t>
            </w:r>
            <w:r>
              <w:rPr>
                <w:sz w:val="18"/>
              </w:rPr>
              <w:t>0609</w:t>
            </w:r>
          </w:p>
          <w:p>
            <w:pPr>
              <w:pStyle w:val="TableParagraph"/>
              <w:spacing w:before="81"/>
              <w:ind w:left="605"/>
              <w:jc w:val="left"/>
              <w:rPr>
                <w:sz w:val="18"/>
              </w:rPr>
            </w:pPr>
            <w:r>
              <w:rPr>
                <w:sz w:val="18"/>
              </w:rPr>
              <w:t>T</w:t>
            </w:r>
            <w:r>
              <w:rPr>
                <w:spacing w:val="-3"/>
                <w:sz w:val="18"/>
              </w:rPr>
              <w:t xml:space="preserve"> </w:t>
            </w:r>
            <w:r>
              <w:rPr>
                <w:sz w:val="18"/>
              </w:rPr>
              <w:t>0610</w:t>
            </w:r>
          </w:p>
        </w:tc>
      </w:tr>
      <w:tr>
        <w:tblPrEx>
          <w:tblW w:w="0" w:type="auto"/>
          <w:jc w:val="left"/>
          <w:tblInd w:w="608" w:type="dxa"/>
          <w:tblLayout w:type="fixed"/>
          <w:tblCellMar>
            <w:top w:w="0" w:type="dxa"/>
            <w:left w:w="0" w:type="dxa"/>
            <w:bottom w:w="0" w:type="dxa"/>
            <w:right w:w="0" w:type="dxa"/>
          </w:tblCellMar>
          <w:tblLook w:val="01E0"/>
        </w:tblPrEx>
        <w:trPr>
          <w:trHeight w:val="296"/>
          <w:jc w:val="left"/>
        </w:trPr>
        <w:tc>
          <w:tcPr>
            <w:tcW w:w="1481" w:type="dxa"/>
            <w:vMerge/>
            <w:tcBorders>
              <w:top w:val="nil"/>
              <w:right w:val="single" w:sz="6" w:space="0" w:color="000000"/>
            </w:tcBorders>
          </w:tcPr>
          <w:p>
            <w:pPr>
              <w:rPr>
                <w:sz w:val="2"/>
                <w:szCs w:val="2"/>
              </w:rPr>
            </w:pPr>
          </w:p>
        </w:tc>
        <w:tc>
          <w:tcPr>
            <w:tcW w:w="2933" w:type="dxa"/>
            <w:tcBorders>
              <w:top w:val="single" w:sz="6" w:space="0" w:color="000000"/>
              <w:left w:val="single" w:sz="6" w:space="0" w:color="000000"/>
              <w:bottom w:val="single" w:sz="6" w:space="0" w:color="000000"/>
              <w:right w:val="single" w:sz="6" w:space="0" w:color="000000"/>
            </w:tcBorders>
          </w:tcPr>
          <w:p>
            <w:pPr>
              <w:pStyle w:val="TableParagraph"/>
              <w:spacing w:before="30"/>
              <w:ind w:left="464" w:right="434"/>
              <w:rPr>
                <w:sz w:val="18"/>
              </w:rPr>
            </w:pPr>
            <w:r>
              <w:rPr>
                <w:sz w:val="18"/>
              </w:rPr>
              <w:t>加热后针入度比，不小于</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30"/>
              <w:ind w:left="29"/>
              <w:rPr>
                <w:sz w:val="18"/>
              </w:rPr>
            </w:pPr>
            <w:r>
              <w:rPr>
                <w:sz w:val="18"/>
              </w:rPr>
              <w:t>%</w:t>
            </w:r>
          </w:p>
        </w:tc>
        <w:tc>
          <w:tcPr>
            <w:tcW w:w="1922" w:type="dxa"/>
            <w:tcBorders>
              <w:top w:val="single" w:sz="6" w:space="0" w:color="000000"/>
              <w:left w:val="single" w:sz="6" w:space="0" w:color="000000"/>
              <w:bottom w:val="single" w:sz="6" w:space="0" w:color="000000"/>
              <w:right w:val="single" w:sz="4" w:space="0" w:color="000000"/>
            </w:tcBorders>
          </w:tcPr>
          <w:p>
            <w:pPr>
              <w:pStyle w:val="TableParagraph"/>
              <w:spacing w:before="30"/>
              <w:ind w:left="408" w:right="380"/>
              <w:rPr>
                <w:sz w:val="18"/>
              </w:rPr>
            </w:pPr>
            <w:r>
              <w:rPr>
                <w:sz w:val="18"/>
              </w:rPr>
              <w:t>65</w:t>
            </w:r>
          </w:p>
        </w:tc>
        <w:tc>
          <w:tcPr>
            <w:tcW w:w="1728" w:type="dxa"/>
            <w:vMerge/>
            <w:tcBorders>
              <w:top w:val="nil"/>
              <w:left w:val="single" w:sz="4" w:space="0" w:color="000000"/>
            </w:tcBorders>
          </w:tcPr>
          <w:p>
            <w:pPr>
              <w:rPr>
                <w:sz w:val="2"/>
                <w:szCs w:val="2"/>
              </w:rPr>
            </w:pPr>
          </w:p>
        </w:tc>
      </w:tr>
      <w:tr>
        <w:tblPrEx>
          <w:tblW w:w="0" w:type="auto"/>
          <w:jc w:val="left"/>
          <w:tblInd w:w="608" w:type="dxa"/>
          <w:tblLayout w:type="fixed"/>
          <w:tblCellMar>
            <w:top w:w="0" w:type="dxa"/>
            <w:left w:w="0" w:type="dxa"/>
            <w:bottom w:w="0" w:type="dxa"/>
            <w:right w:w="0" w:type="dxa"/>
          </w:tblCellMar>
          <w:tblLook w:val="01E0"/>
        </w:tblPrEx>
        <w:trPr>
          <w:trHeight w:val="306"/>
          <w:jc w:val="left"/>
        </w:trPr>
        <w:tc>
          <w:tcPr>
            <w:tcW w:w="1481" w:type="dxa"/>
            <w:vMerge/>
            <w:tcBorders>
              <w:top w:val="nil"/>
              <w:right w:val="single" w:sz="6" w:space="0" w:color="000000"/>
            </w:tcBorders>
          </w:tcPr>
          <w:p>
            <w:pPr>
              <w:rPr>
                <w:sz w:val="2"/>
                <w:szCs w:val="2"/>
              </w:rPr>
            </w:pPr>
          </w:p>
        </w:tc>
        <w:tc>
          <w:tcPr>
            <w:tcW w:w="2933" w:type="dxa"/>
            <w:tcBorders>
              <w:top w:val="single" w:sz="6" w:space="0" w:color="000000"/>
              <w:left w:val="single" w:sz="6" w:space="0" w:color="000000"/>
              <w:right w:val="single" w:sz="6" w:space="0" w:color="000000"/>
            </w:tcBorders>
          </w:tcPr>
          <w:p>
            <w:pPr>
              <w:pStyle w:val="TableParagraph"/>
              <w:spacing w:before="30"/>
              <w:ind w:left="464" w:right="434"/>
              <w:rPr>
                <w:sz w:val="18"/>
              </w:rPr>
            </w:pPr>
            <w:r>
              <w:rPr>
                <w:sz w:val="18"/>
              </w:rPr>
              <w:t>延度（</w:t>
            </w:r>
            <w:r>
              <w:rPr>
                <w:spacing w:val="1"/>
                <w:sz w:val="18"/>
              </w:rPr>
              <w:t>5</w:t>
            </w:r>
            <w:r>
              <w:rPr>
                <w:sz w:val="18"/>
              </w:rPr>
              <w:t>℃</w:t>
            </w:r>
            <w:r>
              <w:rPr>
                <w:spacing w:val="-92"/>
                <w:sz w:val="18"/>
              </w:rPr>
              <w:t>）</w:t>
            </w:r>
            <w:r>
              <w:rPr>
                <w:sz w:val="18"/>
              </w:rPr>
              <w:t>，不小于</w:t>
            </w:r>
          </w:p>
        </w:tc>
        <w:tc>
          <w:tcPr>
            <w:tcW w:w="1135" w:type="dxa"/>
            <w:tcBorders>
              <w:top w:val="single" w:sz="6" w:space="0" w:color="000000"/>
              <w:left w:val="single" w:sz="6" w:space="0" w:color="000000"/>
              <w:right w:val="single" w:sz="6" w:space="0" w:color="000000"/>
            </w:tcBorders>
          </w:tcPr>
          <w:p>
            <w:pPr>
              <w:pStyle w:val="TableParagraph"/>
              <w:spacing w:before="30"/>
              <w:ind w:left="328" w:right="298"/>
              <w:rPr>
                <w:sz w:val="18"/>
              </w:rPr>
            </w:pPr>
            <w:r>
              <w:rPr>
                <w:sz w:val="18"/>
              </w:rPr>
              <w:t>cm</w:t>
            </w:r>
          </w:p>
        </w:tc>
        <w:tc>
          <w:tcPr>
            <w:tcW w:w="1922" w:type="dxa"/>
            <w:tcBorders>
              <w:top w:val="single" w:sz="6" w:space="0" w:color="000000"/>
              <w:left w:val="single" w:sz="6" w:space="0" w:color="000000"/>
              <w:right w:val="single" w:sz="4" w:space="0" w:color="000000"/>
            </w:tcBorders>
          </w:tcPr>
          <w:p>
            <w:pPr>
              <w:pStyle w:val="TableParagraph"/>
              <w:spacing w:before="30"/>
              <w:ind w:left="408" w:right="380"/>
              <w:rPr>
                <w:sz w:val="18"/>
              </w:rPr>
            </w:pPr>
            <w:r>
              <w:rPr>
                <w:sz w:val="18"/>
              </w:rPr>
              <w:t>15</w:t>
            </w:r>
          </w:p>
        </w:tc>
        <w:tc>
          <w:tcPr>
            <w:tcW w:w="1728" w:type="dxa"/>
            <w:vMerge/>
            <w:tcBorders>
              <w:top w:val="nil"/>
              <w:left w:val="single" w:sz="4" w:space="0" w:color="000000"/>
            </w:tcBorders>
          </w:tcPr>
          <w:p>
            <w:pPr>
              <w:rPr>
                <w:sz w:val="2"/>
                <w:szCs w:val="2"/>
              </w:rPr>
            </w:pPr>
          </w:p>
        </w:tc>
      </w:tr>
    </w:tbl>
    <w:p>
      <w:pPr>
        <w:pStyle w:val="BodyText"/>
        <w:tabs>
          <w:tab w:val="left" w:pos="779"/>
        </w:tabs>
        <w:spacing w:before="179"/>
        <w:ind w:left="201"/>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6</w:t>
        <w:tab/>
        <w:t>改</w:t>
      </w:r>
      <w:r>
        <w:rPr>
          <w:rFonts w:ascii="黑体" w:eastAsia="黑体" w:hint="eastAsia"/>
          <w:spacing w:val="-3"/>
        </w:rPr>
        <w:t>性</w:t>
      </w:r>
      <w:r>
        <w:rPr>
          <w:rFonts w:ascii="黑体" w:eastAsia="黑体" w:hint="eastAsia"/>
        </w:rPr>
        <w:t>乳</w:t>
      </w:r>
      <w:r>
        <w:rPr>
          <w:rFonts w:ascii="黑体" w:eastAsia="黑体" w:hint="eastAsia"/>
          <w:spacing w:val="-3"/>
        </w:rPr>
        <w:t>化</w:t>
      </w:r>
      <w:r>
        <w:rPr>
          <w:rFonts w:ascii="黑体" w:eastAsia="黑体" w:hint="eastAsia"/>
        </w:rPr>
        <w:t>沥</w:t>
      </w:r>
      <w:r>
        <w:rPr>
          <w:rFonts w:ascii="黑体" w:eastAsia="黑体" w:hint="eastAsia"/>
          <w:spacing w:val="-3"/>
        </w:rPr>
        <w:t>青</w:t>
      </w:r>
      <w:r>
        <w:rPr>
          <w:rFonts w:ascii="黑体" w:eastAsia="黑体" w:hint="eastAsia"/>
        </w:rPr>
        <w:t>（PCR）的</w:t>
      </w:r>
      <w:r>
        <w:rPr>
          <w:rFonts w:ascii="黑体" w:eastAsia="黑体" w:hint="eastAsia"/>
          <w:spacing w:val="-3"/>
        </w:rPr>
        <w:t>技</w:t>
      </w:r>
      <w:r>
        <w:rPr>
          <w:rFonts w:ascii="黑体" w:eastAsia="黑体" w:hint="eastAsia"/>
        </w:rPr>
        <w:t>术</w:t>
      </w:r>
      <w:r>
        <w:rPr>
          <w:rFonts w:ascii="黑体" w:eastAsia="黑体" w:hint="eastAsia"/>
          <w:spacing w:val="-3"/>
        </w:rPr>
        <w:t>要</w:t>
      </w:r>
      <w:r>
        <w:rPr>
          <w:rFonts w:ascii="黑体" w:eastAsia="黑体" w:hint="eastAsia"/>
        </w:rPr>
        <w:t>求</w:t>
      </w:r>
    </w:p>
    <w:p>
      <w:pPr>
        <w:pStyle w:val="BodyText"/>
        <w:spacing w:before="9"/>
        <w:rPr>
          <w:rFonts w:ascii="黑体"/>
          <w:sz w:val="13"/>
        </w:rPr>
      </w:pPr>
    </w:p>
    <w:tbl>
      <w:tblPr>
        <w:tblStyle w:val="TableNormal3"/>
        <w:tblW w:w="0" w:type="auto"/>
        <w:jc w:val="left"/>
        <w:tblInd w:w="5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831"/>
        <w:gridCol w:w="3137"/>
        <w:gridCol w:w="1431"/>
        <w:gridCol w:w="1431"/>
        <w:gridCol w:w="1431"/>
      </w:tblGrid>
      <w:tr>
        <w:tblPrEx>
          <w:tblW w:w="0" w:type="auto"/>
          <w:jc w:val="left"/>
          <w:tblInd w:w="5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56"/>
          <w:jc w:val="left"/>
        </w:trPr>
        <w:tc>
          <w:tcPr>
            <w:tcW w:w="4968" w:type="dxa"/>
            <w:gridSpan w:val="2"/>
            <w:tcBorders>
              <w:bottom w:val="single" w:sz="4" w:space="0" w:color="000000"/>
              <w:right w:val="single" w:sz="4" w:space="0" w:color="000000"/>
            </w:tcBorders>
          </w:tcPr>
          <w:p>
            <w:pPr>
              <w:pStyle w:val="TableParagraph"/>
              <w:spacing w:before="81"/>
              <w:ind w:left="1653" w:right="1635"/>
              <w:rPr>
                <w:sz w:val="18"/>
              </w:rPr>
            </w:pPr>
            <w:r>
              <w:rPr>
                <w:sz w:val="18"/>
              </w:rPr>
              <w:t>试验项目</w:t>
            </w:r>
          </w:p>
        </w:tc>
        <w:tc>
          <w:tcPr>
            <w:tcW w:w="1431" w:type="dxa"/>
            <w:tcBorders>
              <w:left w:val="single" w:sz="4" w:space="0" w:color="000000"/>
              <w:bottom w:val="single" w:sz="4" w:space="0" w:color="000000"/>
              <w:right w:val="single" w:sz="4" w:space="0" w:color="000000"/>
            </w:tcBorders>
          </w:tcPr>
          <w:p>
            <w:pPr>
              <w:pStyle w:val="TableParagraph"/>
              <w:spacing w:before="81"/>
              <w:ind w:left="207" w:right="179"/>
              <w:rPr>
                <w:sz w:val="18"/>
              </w:rPr>
            </w:pPr>
            <w:r>
              <w:rPr>
                <w:sz w:val="18"/>
              </w:rPr>
              <w:t>单位</w:t>
            </w:r>
          </w:p>
        </w:tc>
        <w:tc>
          <w:tcPr>
            <w:tcW w:w="1431" w:type="dxa"/>
            <w:tcBorders>
              <w:left w:val="single" w:sz="4" w:space="0" w:color="000000"/>
              <w:bottom w:val="single" w:sz="4" w:space="0" w:color="000000"/>
              <w:right w:val="single" w:sz="4" w:space="0" w:color="000000"/>
            </w:tcBorders>
          </w:tcPr>
          <w:p>
            <w:pPr>
              <w:pStyle w:val="TableParagraph"/>
              <w:spacing w:before="81"/>
              <w:ind w:left="207" w:right="180"/>
              <w:rPr>
                <w:sz w:val="18"/>
              </w:rPr>
            </w:pPr>
            <w:r>
              <w:rPr>
                <w:sz w:val="18"/>
              </w:rPr>
              <w:t>技术要求</w:t>
            </w:r>
          </w:p>
        </w:tc>
        <w:tc>
          <w:tcPr>
            <w:tcW w:w="1431" w:type="dxa"/>
            <w:tcBorders>
              <w:left w:val="single" w:sz="4" w:space="0" w:color="000000"/>
              <w:bottom w:val="single" w:sz="4" w:space="0" w:color="000000"/>
            </w:tcBorders>
          </w:tcPr>
          <w:p>
            <w:pPr>
              <w:pStyle w:val="TableParagraph"/>
              <w:spacing w:before="61"/>
              <w:ind w:left="345" w:right="305"/>
              <w:rPr>
                <w:sz w:val="18"/>
              </w:rPr>
            </w:pPr>
            <w:r>
              <w:rPr>
                <w:sz w:val="18"/>
              </w:rPr>
              <w:t>试验方法</w:t>
            </w:r>
          </w:p>
        </w:tc>
      </w:tr>
      <w:tr>
        <w:tblPrEx>
          <w:tblW w:w="0" w:type="auto"/>
          <w:jc w:val="left"/>
          <w:tblInd w:w="579" w:type="dxa"/>
          <w:tblLayout w:type="fixed"/>
          <w:tblCellMar>
            <w:top w:w="0" w:type="dxa"/>
            <w:left w:w="0" w:type="dxa"/>
            <w:bottom w:w="0" w:type="dxa"/>
            <w:right w:w="0" w:type="dxa"/>
          </w:tblCellMar>
          <w:tblLook w:val="01E0"/>
        </w:tblPrEx>
        <w:trPr>
          <w:trHeight w:val="357"/>
          <w:jc w:val="left"/>
        </w:trPr>
        <w:tc>
          <w:tcPr>
            <w:tcW w:w="4968" w:type="dxa"/>
            <w:gridSpan w:val="2"/>
            <w:tcBorders>
              <w:top w:val="single" w:sz="4" w:space="0" w:color="000000"/>
              <w:bottom w:val="single" w:sz="4" w:space="0" w:color="000000"/>
              <w:right w:val="single" w:sz="4" w:space="0" w:color="000000"/>
            </w:tcBorders>
          </w:tcPr>
          <w:p>
            <w:pPr>
              <w:pStyle w:val="TableParagraph"/>
              <w:spacing w:before="81"/>
              <w:ind w:left="1653" w:right="1635"/>
              <w:rPr>
                <w:sz w:val="18"/>
              </w:rPr>
            </w:pPr>
            <w:r>
              <w:rPr>
                <w:sz w:val="18"/>
              </w:rPr>
              <w:t>破乳速度</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0"/>
              <w:jc w:val="left"/>
              <w:rPr>
                <w:rFonts w:ascii="Times New Roman"/>
                <w:sz w:val="18"/>
              </w:rPr>
            </w:pP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81"/>
              <w:ind w:left="207" w:right="183"/>
              <w:rPr>
                <w:sz w:val="18"/>
              </w:rPr>
            </w:pPr>
            <w:r>
              <w:rPr>
                <w:sz w:val="18"/>
              </w:rPr>
              <w:t>快裂、中裂</w:t>
            </w:r>
          </w:p>
        </w:tc>
        <w:tc>
          <w:tcPr>
            <w:tcW w:w="1431" w:type="dxa"/>
            <w:tcBorders>
              <w:top w:val="single" w:sz="4" w:space="0" w:color="000000"/>
              <w:left w:val="single" w:sz="4" w:space="0" w:color="000000"/>
              <w:bottom w:val="single" w:sz="4" w:space="0" w:color="000000"/>
            </w:tcBorders>
          </w:tcPr>
          <w:p>
            <w:pPr>
              <w:pStyle w:val="TableParagraph"/>
              <w:spacing w:before="62"/>
              <w:ind w:left="342" w:right="305"/>
              <w:rPr>
                <w:sz w:val="18"/>
              </w:rPr>
            </w:pPr>
            <w:r>
              <w:rPr>
                <w:sz w:val="18"/>
              </w:rPr>
              <w:t>T 0658</w:t>
            </w:r>
          </w:p>
        </w:tc>
      </w:tr>
      <w:tr>
        <w:tblPrEx>
          <w:tblW w:w="0" w:type="auto"/>
          <w:jc w:val="left"/>
          <w:tblInd w:w="579" w:type="dxa"/>
          <w:tblLayout w:type="fixed"/>
          <w:tblCellMar>
            <w:top w:w="0" w:type="dxa"/>
            <w:left w:w="0" w:type="dxa"/>
            <w:bottom w:w="0" w:type="dxa"/>
            <w:right w:w="0" w:type="dxa"/>
          </w:tblCellMar>
          <w:tblLook w:val="01E0"/>
        </w:tblPrEx>
        <w:trPr>
          <w:trHeight w:val="357"/>
          <w:jc w:val="left"/>
        </w:trPr>
        <w:tc>
          <w:tcPr>
            <w:tcW w:w="4968" w:type="dxa"/>
            <w:gridSpan w:val="2"/>
            <w:tcBorders>
              <w:top w:val="single" w:sz="4" w:space="0" w:color="000000"/>
              <w:bottom w:val="single" w:sz="4" w:space="0" w:color="000000"/>
              <w:right w:val="single" w:sz="4" w:space="0" w:color="000000"/>
            </w:tcBorders>
          </w:tcPr>
          <w:p>
            <w:pPr>
              <w:pStyle w:val="TableParagraph"/>
              <w:spacing w:before="81"/>
              <w:ind w:left="1653" w:right="1635"/>
              <w:rPr>
                <w:sz w:val="18"/>
              </w:rPr>
            </w:pPr>
            <w:r>
              <w:rPr>
                <w:sz w:val="18"/>
              </w:rPr>
              <w:t>粒子电荷</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0"/>
              <w:jc w:val="left"/>
              <w:rPr>
                <w:rFonts w:ascii="Times New Roman"/>
                <w:sz w:val="18"/>
              </w:rPr>
            </w:pP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81"/>
              <w:ind w:left="207" w:right="183"/>
              <w:rPr>
                <w:sz w:val="18"/>
              </w:rPr>
            </w:pPr>
            <w:r>
              <w:rPr>
                <w:sz w:val="18"/>
              </w:rPr>
              <w:t>阳离子（+）</w:t>
            </w:r>
          </w:p>
        </w:tc>
        <w:tc>
          <w:tcPr>
            <w:tcW w:w="1431" w:type="dxa"/>
            <w:tcBorders>
              <w:top w:val="single" w:sz="4" w:space="0" w:color="000000"/>
              <w:left w:val="single" w:sz="4" w:space="0" w:color="000000"/>
              <w:bottom w:val="single" w:sz="4" w:space="0" w:color="000000"/>
            </w:tcBorders>
          </w:tcPr>
          <w:p>
            <w:pPr>
              <w:pStyle w:val="TableParagraph"/>
              <w:spacing w:before="60"/>
              <w:ind w:left="343" w:right="305"/>
              <w:rPr>
                <w:sz w:val="18"/>
              </w:rPr>
            </w:pPr>
            <w:r>
              <w:rPr>
                <w:sz w:val="18"/>
              </w:rPr>
              <w:t>T 0653</w:t>
            </w:r>
          </w:p>
        </w:tc>
      </w:tr>
      <w:tr>
        <w:tblPrEx>
          <w:tblW w:w="0" w:type="auto"/>
          <w:jc w:val="left"/>
          <w:tblInd w:w="579" w:type="dxa"/>
          <w:tblLayout w:type="fixed"/>
          <w:tblCellMar>
            <w:top w:w="0" w:type="dxa"/>
            <w:left w:w="0" w:type="dxa"/>
            <w:bottom w:w="0" w:type="dxa"/>
            <w:right w:w="0" w:type="dxa"/>
          </w:tblCellMar>
          <w:tblLook w:val="01E0"/>
        </w:tblPrEx>
        <w:trPr>
          <w:trHeight w:val="311"/>
          <w:jc w:val="left"/>
        </w:trPr>
        <w:tc>
          <w:tcPr>
            <w:tcW w:w="4968" w:type="dxa"/>
            <w:gridSpan w:val="2"/>
            <w:tcBorders>
              <w:top w:val="single" w:sz="4" w:space="0" w:color="000000"/>
              <w:bottom w:val="single" w:sz="4" w:space="0" w:color="000000"/>
              <w:right w:val="single" w:sz="4" w:space="0" w:color="000000"/>
            </w:tcBorders>
          </w:tcPr>
          <w:p>
            <w:pPr>
              <w:pStyle w:val="TableParagraph"/>
              <w:spacing w:before="60"/>
              <w:ind w:left="1653" w:right="1635"/>
              <w:rPr>
                <w:sz w:val="18"/>
              </w:rPr>
            </w:pPr>
            <w:r>
              <w:rPr>
                <w:sz w:val="18"/>
              </w:rPr>
              <w:t>沥青标准黏度 C25.3</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60"/>
              <w:ind w:left="26"/>
              <w:rPr>
                <w:sz w:val="18"/>
              </w:rPr>
            </w:pPr>
            <w:r>
              <w:rPr>
                <w:sz w:val="18"/>
              </w:rPr>
              <w:t>s</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60"/>
              <w:ind w:left="207" w:right="178"/>
              <w:rPr>
                <w:sz w:val="18"/>
              </w:rPr>
            </w:pPr>
            <w:r>
              <w:rPr>
                <w:sz w:val="18"/>
              </w:rPr>
              <w:t>8～25</w:t>
            </w:r>
          </w:p>
        </w:tc>
        <w:tc>
          <w:tcPr>
            <w:tcW w:w="1431" w:type="dxa"/>
            <w:tcBorders>
              <w:top w:val="single" w:sz="4" w:space="0" w:color="000000"/>
              <w:left w:val="single" w:sz="4" w:space="0" w:color="000000"/>
              <w:bottom w:val="single" w:sz="4" w:space="0" w:color="000000"/>
            </w:tcBorders>
          </w:tcPr>
          <w:p>
            <w:pPr>
              <w:pStyle w:val="TableParagraph"/>
              <w:ind w:left="343" w:right="305"/>
              <w:rPr>
                <w:sz w:val="18"/>
              </w:rPr>
            </w:pPr>
            <w:r>
              <w:rPr>
                <w:sz w:val="18"/>
              </w:rPr>
              <w:t>T 0621</w:t>
            </w:r>
          </w:p>
        </w:tc>
      </w:tr>
      <w:tr>
        <w:tblPrEx>
          <w:tblW w:w="0" w:type="auto"/>
          <w:jc w:val="left"/>
          <w:tblInd w:w="579" w:type="dxa"/>
          <w:tblLayout w:type="fixed"/>
          <w:tblCellMar>
            <w:top w:w="0" w:type="dxa"/>
            <w:left w:w="0" w:type="dxa"/>
            <w:bottom w:w="0" w:type="dxa"/>
            <w:right w:w="0" w:type="dxa"/>
          </w:tblCellMar>
          <w:tblLook w:val="01E0"/>
        </w:tblPrEx>
        <w:trPr>
          <w:trHeight w:val="357"/>
          <w:jc w:val="left"/>
        </w:trPr>
        <w:tc>
          <w:tcPr>
            <w:tcW w:w="4968" w:type="dxa"/>
            <w:gridSpan w:val="2"/>
            <w:tcBorders>
              <w:top w:val="single" w:sz="4" w:space="0" w:color="000000"/>
              <w:bottom w:val="single" w:sz="4" w:space="0" w:color="000000"/>
              <w:right w:val="single" w:sz="4" w:space="0" w:color="000000"/>
            </w:tcBorders>
          </w:tcPr>
          <w:p>
            <w:pPr>
              <w:pStyle w:val="TableParagraph"/>
              <w:spacing w:before="81"/>
              <w:ind w:left="1653" w:right="1635"/>
              <w:rPr>
                <w:sz w:val="18"/>
              </w:rPr>
            </w:pPr>
            <w:r>
              <w:rPr>
                <w:sz w:val="18"/>
              </w:rPr>
              <w:t>恩格拉黏度 E25</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0"/>
              <w:jc w:val="left"/>
              <w:rPr>
                <w:rFonts w:ascii="Times New Roman"/>
                <w:sz w:val="18"/>
              </w:rPr>
            </w:pP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81"/>
              <w:ind w:left="207" w:right="178"/>
              <w:rPr>
                <w:sz w:val="18"/>
              </w:rPr>
            </w:pPr>
            <w:r>
              <w:rPr>
                <w:sz w:val="18"/>
              </w:rPr>
              <w:t>1～10</w:t>
            </w:r>
          </w:p>
        </w:tc>
        <w:tc>
          <w:tcPr>
            <w:tcW w:w="1431" w:type="dxa"/>
            <w:tcBorders>
              <w:top w:val="single" w:sz="4" w:space="0" w:color="000000"/>
              <w:left w:val="single" w:sz="4" w:space="0" w:color="000000"/>
              <w:bottom w:val="single" w:sz="4" w:space="0" w:color="000000"/>
            </w:tcBorders>
          </w:tcPr>
          <w:p>
            <w:pPr>
              <w:pStyle w:val="TableParagraph"/>
              <w:spacing w:before="62"/>
              <w:ind w:left="342" w:right="305"/>
              <w:rPr>
                <w:sz w:val="18"/>
              </w:rPr>
            </w:pPr>
            <w:r>
              <w:rPr>
                <w:sz w:val="18"/>
              </w:rPr>
              <w:t>T 0622</w:t>
            </w:r>
          </w:p>
        </w:tc>
      </w:tr>
      <w:tr>
        <w:tblPrEx>
          <w:tblW w:w="0" w:type="auto"/>
          <w:jc w:val="left"/>
          <w:tblInd w:w="579" w:type="dxa"/>
          <w:tblLayout w:type="fixed"/>
          <w:tblCellMar>
            <w:top w:w="0" w:type="dxa"/>
            <w:left w:w="0" w:type="dxa"/>
            <w:bottom w:w="0" w:type="dxa"/>
            <w:right w:w="0" w:type="dxa"/>
          </w:tblCellMar>
          <w:tblLook w:val="01E0"/>
        </w:tblPrEx>
        <w:trPr>
          <w:trHeight w:val="311"/>
          <w:jc w:val="left"/>
        </w:trPr>
        <w:tc>
          <w:tcPr>
            <w:tcW w:w="4968" w:type="dxa"/>
            <w:gridSpan w:val="2"/>
            <w:tcBorders>
              <w:top w:val="single" w:sz="4" w:space="0" w:color="000000"/>
              <w:bottom w:val="single" w:sz="4" w:space="0" w:color="000000"/>
              <w:right w:val="single" w:sz="4" w:space="0" w:color="000000"/>
            </w:tcBorders>
          </w:tcPr>
          <w:p>
            <w:pPr>
              <w:pStyle w:val="TableParagraph"/>
              <w:tabs>
                <w:tab w:val="left" w:pos="3544"/>
              </w:tabs>
              <w:spacing w:before="60"/>
              <w:ind w:left="885"/>
              <w:jc w:val="left"/>
              <w:rPr>
                <w:sz w:val="18"/>
              </w:rPr>
            </w:pPr>
            <w:r>
              <w:rPr>
                <w:sz w:val="18"/>
              </w:rPr>
              <w:t>筛上筛余量（1.18mm</w:t>
            </w:r>
            <w:r>
              <w:rPr>
                <w:spacing w:val="-45"/>
                <w:sz w:val="18"/>
              </w:rPr>
              <w:t xml:space="preserve"> </w:t>
            </w:r>
            <w:r>
              <w:rPr>
                <w:sz w:val="18"/>
              </w:rPr>
              <w:t>筛）</w:t>
              <w:tab/>
              <w:t>不大于</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60"/>
              <w:ind w:left="27"/>
              <w:rPr>
                <w:sz w:val="18"/>
              </w:rPr>
            </w:pPr>
            <w:r>
              <w:rPr>
                <w:sz w:val="18"/>
              </w:rPr>
              <w:t>%</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60"/>
              <w:ind w:left="207" w:right="180"/>
              <w:rPr>
                <w:sz w:val="18"/>
              </w:rPr>
            </w:pPr>
            <w:r>
              <w:rPr>
                <w:sz w:val="18"/>
              </w:rPr>
              <w:t>0.1</w:t>
            </w:r>
          </w:p>
        </w:tc>
        <w:tc>
          <w:tcPr>
            <w:tcW w:w="1431" w:type="dxa"/>
            <w:tcBorders>
              <w:top w:val="single" w:sz="4" w:space="0" w:color="000000"/>
              <w:left w:val="single" w:sz="4" w:space="0" w:color="000000"/>
              <w:bottom w:val="single" w:sz="4" w:space="0" w:color="000000"/>
            </w:tcBorders>
          </w:tcPr>
          <w:p>
            <w:pPr>
              <w:pStyle w:val="TableParagraph"/>
              <w:ind w:left="343" w:right="305"/>
              <w:rPr>
                <w:sz w:val="18"/>
              </w:rPr>
            </w:pPr>
            <w:r>
              <w:rPr>
                <w:sz w:val="18"/>
              </w:rPr>
              <w:t>T 0652</w:t>
            </w:r>
          </w:p>
        </w:tc>
      </w:tr>
      <w:tr>
        <w:tblPrEx>
          <w:tblW w:w="0" w:type="auto"/>
          <w:jc w:val="left"/>
          <w:tblInd w:w="579" w:type="dxa"/>
          <w:tblLayout w:type="fixed"/>
          <w:tblCellMar>
            <w:top w:w="0" w:type="dxa"/>
            <w:left w:w="0" w:type="dxa"/>
            <w:bottom w:w="0" w:type="dxa"/>
            <w:right w:w="0" w:type="dxa"/>
          </w:tblCellMar>
          <w:tblLook w:val="01E0"/>
        </w:tblPrEx>
        <w:trPr>
          <w:trHeight w:val="357"/>
          <w:jc w:val="left"/>
        </w:trPr>
        <w:tc>
          <w:tcPr>
            <w:tcW w:w="4968" w:type="dxa"/>
            <w:gridSpan w:val="2"/>
            <w:tcBorders>
              <w:top w:val="single" w:sz="4" w:space="0" w:color="000000"/>
              <w:bottom w:val="single" w:sz="4" w:space="0" w:color="000000"/>
              <w:right w:val="single" w:sz="4" w:space="0" w:color="000000"/>
            </w:tcBorders>
          </w:tcPr>
          <w:p>
            <w:pPr>
              <w:pStyle w:val="TableParagraph"/>
              <w:tabs>
                <w:tab w:val="left" w:pos="3520"/>
              </w:tabs>
              <w:spacing w:before="81"/>
              <w:ind w:left="906"/>
              <w:jc w:val="left"/>
              <w:rPr>
                <w:sz w:val="18"/>
              </w:rPr>
            </w:pPr>
            <w:r>
              <w:rPr>
                <w:sz w:val="18"/>
              </w:rPr>
              <w:t>与粗集料的粘附性，裹覆面积</w:t>
              <w:tab/>
              <w:t>不小于</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0"/>
              <w:jc w:val="left"/>
              <w:rPr>
                <w:rFonts w:ascii="Times New Roman"/>
                <w:sz w:val="18"/>
              </w:rPr>
            </w:pP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81"/>
              <w:ind w:left="207" w:right="180"/>
              <w:rPr>
                <w:sz w:val="18"/>
              </w:rPr>
            </w:pPr>
            <w:r>
              <w:rPr>
                <w:sz w:val="18"/>
              </w:rPr>
              <w:t>2/3</w:t>
            </w:r>
          </w:p>
        </w:tc>
        <w:tc>
          <w:tcPr>
            <w:tcW w:w="1431" w:type="dxa"/>
            <w:tcBorders>
              <w:top w:val="single" w:sz="4" w:space="0" w:color="000000"/>
              <w:left w:val="single" w:sz="4" w:space="0" w:color="000000"/>
              <w:bottom w:val="single" w:sz="4" w:space="0" w:color="000000"/>
            </w:tcBorders>
          </w:tcPr>
          <w:p>
            <w:pPr>
              <w:pStyle w:val="TableParagraph"/>
              <w:spacing w:before="62"/>
              <w:ind w:left="343" w:right="305"/>
              <w:rPr>
                <w:sz w:val="18"/>
              </w:rPr>
            </w:pPr>
            <w:r>
              <w:rPr>
                <w:sz w:val="18"/>
              </w:rPr>
              <w:t>T 0654</w:t>
            </w:r>
          </w:p>
        </w:tc>
      </w:tr>
      <w:tr>
        <w:tblPrEx>
          <w:tblW w:w="0" w:type="auto"/>
          <w:jc w:val="left"/>
          <w:tblInd w:w="579" w:type="dxa"/>
          <w:tblLayout w:type="fixed"/>
          <w:tblCellMar>
            <w:top w:w="0" w:type="dxa"/>
            <w:left w:w="0" w:type="dxa"/>
            <w:bottom w:w="0" w:type="dxa"/>
            <w:right w:w="0" w:type="dxa"/>
          </w:tblCellMar>
          <w:tblLook w:val="01E0"/>
        </w:tblPrEx>
        <w:trPr>
          <w:trHeight w:val="332"/>
          <w:jc w:val="left"/>
        </w:trPr>
        <w:tc>
          <w:tcPr>
            <w:tcW w:w="1831" w:type="dxa"/>
            <w:vMerge w:val="restart"/>
            <w:tcBorders>
              <w:top w:val="single" w:sz="4" w:space="0" w:color="000000"/>
              <w:right w:val="single" w:sz="4" w:space="0" w:color="000000"/>
            </w:tcBorders>
          </w:tcPr>
          <w:p>
            <w:pPr>
              <w:pStyle w:val="TableParagraph"/>
              <w:spacing w:before="0"/>
              <w:jc w:val="left"/>
              <w:rPr>
                <w:rFonts w:ascii="黑体"/>
                <w:sz w:val="18"/>
              </w:rPr>
            </w:pPr>
          </w:p>
          <w:p>
            <w:pPr>
              <w:pStyle w:val="TableParagraph"/>
              <w:spacing w:before="4"/>
              <w:jc w:val="left"/>
              <w:rPr>
                <w:rFonts w:ascii="黑体"/>
                <w:sz w:val="15"/>
              </w:rPr>
            </w:pPr>
          </w:p>
          <w:p>
            <w:pPr>
              <w:pStyle w:val="TableParagraph"/>
              <w:spacing w:before="0"/>
              <w:ind w:left="285"/>
              <w:jc w:val="left"/>
              <w:rPr>
                <w:sz w:val="18"/>
              </w:rPr>
            </w:pPr>
            <w:r>
              <w:rPr>
                <w:sz w:val="18"/>
              </w:rPr>
              <w:t>蒸发残留物性质</w:t>
            </w:r>
          </w:p>
        </w:tc>
        <w:tc>
          <w:tcPr>
            <w:tcW w:w="3137" w:type="dxa"/>
            <w:tcBorders>
              <w:top w:val="single" w:sz="4" w:space="0" w:color="000000"/>
              <w:left w:val="single" w:sz="4" w:space="0" w:color="000000"/>
              <w:bottom w:val="single" w:sz="4" w:space="0" w:color="000000"/>
              <w:right w:val="single" w:sz="4" w:space="0" w:color="000000"/>
            </w:tcBorders>
          </w:tcPr>
          <w:p>
            <w:pPr>
              <w:pStyle w:val="TableParagraph"/>
              <w:spacing w:before="74"/>
              <w:ind w:left="29"/>
              <w:rPr>
                <w:sz w:val="18"/>
              </w:rPr>
            </w:pPr>
            <w:r>
              <w:rPr>
                <w:sz w:val="18"/>
              </w:rPr>
              <w:t>残留物含量，不小于</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74"/>
              <w:ind w:left="26"/>
              <w:rPr>
                <w:sz w:val="18"/>
              </w:rPr>
            </w:pPr>
            <w:r>
              <w:rPr>
                <w:sz w:val="18"/>
              </w:rPr>
              <w:t>%</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74"/>
              <w:ind w:left="207" w:right="180"/>
              <w:rPr>
                <w:sz w:val="18"/>
              </w:rPr>
            </w:pPr>
            <w:r>
              <w:rPr>
                <w:sz w:val="18"/>
              </w:rPr>
              <w:t>50</w:t>
            </w:r>
          </w:p>
        </w:tc>
        <w:tc>
          <w:tcPr>
            <w:tcW w:w="1431" w:type="dxa"/>
            <w:tcBorders>
              <w:top w:val="single" w:sz="4" w:space="0" w:color="000000"/>
              <w:left w:val="single" w:sz="4" w:space="0" w:color="000000"/>
              <w:bottom w:val="single" w:sz="4" w:space="0" w:color="000000"/>
            </w:tcBorders>
          </w:tcPr>
          <w:p>
            <w:pPr>
              <w:pStyle w:val="TableParagraph"/>
              <w:spacing w:before="52"/>
              <w:ind w:left="343" w:right="305"/>
              <w:rPr>
                <w:sz w:val="18"/>
              </w:rPr>
            </w:pPr>
            <w:r>
              <w:rPr>
                <w:sz w:val="18"/>
              </w:rPr>
              <w:t>T 0651</w:t>
            </w:r>
          </w:p>
        </w:tc>
      </w:tr>
      <w:tr>
        <w:tblPrEx>
          <w:tblW w:w="0" w:type="auto"/>
          <w:jc w:val="left"/>
          <w:tblInd w:w="579" w:type="dxa"/>
          <w:tblLayout w:type="fixed"/>
          <w:tblCellMar>
            <w:top w:w="0" w:type="dxa"/>
            <w:left w:w="0" w:type="dxa"/>
            <w:bottom w:w="0" w:type="dxa"/>
            <w:right w:w="0" w:type="dxa"/>
          </w:tblCellMar>
          <w:tblLook w:val="01E0"/>
        </w:tblPrEx>
        <w:trPr>
          <w:trHeight w:val="320"/>
          <w:jc w:val="left"/>
        </w:trPr>
        <w:tc>
          <w:tcPr>
            <w:tcW w:w="1831" w:type="dxa"/>
            <w:vMerge/>
            <w:tcBorders>
              <w:top w:val="nil"/>
              <w:right w:val="single" w:sz="4" w:space="0" w:color="000000"/>
            </w:tcBorders>
          </w:tcPr>
          <w:p>
            <w:pPr>
              <w:rPr>
                <w:sz w:val="2"/>
                <w:szCs w:val="2"/>
              </w:rPr>
            </w:pPr>
          </w:p>
        </w:tc>
        <w:tc>
          <w:tcPr>
            <w:tcW w:w="3137" w:type="dxa"/>
            <w:tcBorders>
              <w:top w:val="single" w:sz="4" w:space="0" w:color="000000"/>
              <w:left w:val="single" w:sz="4" w:space="0" w:color="000000"/>
              <w:bottom w:val="single" w:sz="4" w:space="0" w:color="000000"/>
              <w:right w:val="single" w:sz="4" w:space="0" w:color="000000"/>
            </w:tcBorders>
          </w:tcPr>
          <w:p>
            <w:pPr>
              <w:pStyle w:val="TableParagraph"/>
              <w:spacing w:before="64"/>
              <w:ind w:left="31"/>
              <w:rPr>
                <w:sz w:val="18"/>
              </w:rPr>
            </w:pPr>
            <w:r>
              <w:rPr>
                <w:sz w:val="18"/>
              </w:rPr>
              <w:t>针入度（100g,25℃,5s）</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64"/>
              <w:ind w:left="207" w:right="176"/>
              <w:rPr>
                <w:sz w:val="18"/>
              </w:rPr>
            </w:pPr>
            <w:r>
              <w:rPr>
                <w:sz w:val="18"/>
              </w:rPr>
              <w:t>0.1mm</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64"/>
              <w:ind w:left="207" w:right="181"/>
              <w:rPr>
                <w:sz w:val="18"/>
              </w:rPr>
            </w:pPr>
            <w:r>
              <w:rPr>
                <w:sz w:val="18"/>
              </w:rPr>
              <w:t>40～120</w:t>
            </w:r>
          </w:p>
        </w:tc>
        <w:tc>
          <w:tcPr>
            <w:tcW w:w="1431" w:type="dxa"/>
            <w:tcBorders>
              <w:top w:val="single" w:sz="4" w:space="0" w:color="000000"/>
              <w:left w:val="single" w:sz="4" w:space="0" w:color="000000"/>
              <w:bottom w:val="single" w:sz="4" w:space="0" w:color="000000"/>
            </w:tcBorders>
          </w:tcPr>
          <w:p>
            <w:pPr>
              <w:pStyle w:val="TableParagraph"/>
              <w:spacing w:before="42"/>
              <w:ind w:left="343" w:right="305"/>
              <w:rPr>
                <w:sz w:val="18"/>
              </w:rPr>
            </w:pPr>
            <w:r>
              <w:rPr>
                <w:sz w:val="18"/>
              </w:rPr>
              <w:t>T 0604</w:t>
            </w:r>
          </w:p>
        </w:tc>
      </w:tr>
      <w:tr>
        <w:tblPrEx>
          <w:tblW w:w="0" w:type="auto"/>
          <w:jc w:val="left"/>
          <w:tblInd w:w="579" w:type="dxa"/>
          <w:tblLayout w:type="fixed"/>
          <w:tblCellMar>
            <w:top w:w="0" w:type="dxa"/>
            <w:left w:w="0" w:type="dxa"/>
            <w:bottom w:w="0" w:type="dxa"/>
            <w:right w:w="0" w:type="dxa"/>
          </w:tblCellMar>
          <w:tblLook w:val="01E0"/>
        </w:tblPrEx>
        <w:trPr>
          <w:trHeight w:val="330"/>
          <w:jc w:val="left"/>
        </w:trPr>
        <w:tc>
          <w:tcPr>
            <w:tcW w:w="1831" w:type="dxa"/>
            <w:vMerge/>
            <w:tcBorders>
              <w:top w:val="nil"/>
              <w:right w:val="single" w:sz="4" w:space="0" w:color="000000"/>
            </w:tcBorders>
          </w:tcPr>
          <w:p>
            <w:pPr>
              <w:rPr>
                <w:sz w:val="2"/>
                <w:szCs w:val="2"/>
              </w:rPr>
            </w:pPr>
          </w:p>
        </w:tc>
        <w:tc>
          <w:tcPr>
            <w:tcW w:w="3137" w:type="dxa"/>
            <w:tcBorders>
              <w:top w:val="single" w:sz="4" w:space="0" w:color="000000"/>
              <w:left w:val="single" w:sz="4" w:space="0" w:color="000000"/>
              <w:right w:val="single" w:sz="4" w:space="0" w:color="000000"/>
            </w:tcBorders>
          </w:tcPr>
          <w:p>
            <w:pPr>
              <w:pStyle w:val="TableParagraph"/>
              <w:tabs>
                <w:tab w:val="left" w:pos="1473"/>
              </w:tabs>
              <w:spacing w:before="64"/>
              <w:ind w:left="31"/>
              <w:rPr>
                <w:sz w:val="18"/>
              </w:rPr>
            </w:pPr>
            <w:r>
              <w:rPr>
                <w:sz w:val="18"/>
              </w:rPr>
              <w:t>延度（5℃）</w:t>
              <w:tab/>
              <w:t>不小于</w:t>
            </w:r>
          </w:p>
        </w:tc>
        <w:tc>
          <w:tcPr>
            <w:tcW w:w="1431" w:type="dxa"/>
            <w:tcBorders>
              <w:top w:val="single" w:sz="4" w:space="0" w:color="000000"/>
              <w:left w:val="single" w:sz="4" w:space="0" w:color="000000"/>
              <w:right w:val="single" w:sz="4" w:space="0" w:color="000000"/>
            </w:tcBorders>
          </w:tcPr>
          <w:p>
            <w:pPr>
              <w:pStyle w:val="TableParagraph"/>
              <w:spacing w:before="64"/>
              <w:ind w:left="207" w:right="179"/>
              <w:rPr>
                <w:sz w:val="18"/>
              </w:rPr>
            </w:pPr>
            <w:r>
              <w:rPr>
                <w:sz w:val="18"/>
              </w:rPr>
              <w:t>cm</w:t>
            </w:r>
          </w:p>
        </w:tc>
        <w:tc>
          <w:tcPr>
            <w:tcW w:w="1431" w:type="dxa"/>
            <w:tcBorders>
              <w:top w:val="single" w:sz="4" w:space="0" w:color="000000"/>
              <w:left w:val="single" w:sz="4" w:space="0" w:color="000000"/>
              <w:right w:val="single" w:sz="4" w:space="0" w:color="000000"/>
            </w:tcBorders>
          </w:tcPr>
          <w:p>
            <w:pPr>
              <w:pStyle w:val="TableParagraph"/>
              <w:spacing w:before="64"/>
              <w:ind w:left="207" w:right="180"/>
              <w:rPr>
                <w:sz w:val="18"/>
              </w:rPr>
            </w:pPr>
            <w:r>
              <w:rPr>
                <w:sz w:val="18"/>
              </w:rPr>
              <w:t>20</w:t>
            </w:r>
          </w:p>
        </w:tc>
        <w:tc>
          <w:tcPr>
            <w:tcW w:w="1431" w:type="dxa"/>
            <w:tcBorders>
              <w:top w:val="single" w:sz="4" w:space="0" w:color="000000"/>
              <w:left w:val="single" w:sz="4" w:space="0" w:color="000000"/>
            </w:tcBorders>
          </w:tcPr>
          <w:p>
            <w:pPr>
              <w:pStyle w:val="TableParagraph"/>
              <w:spacing w:before="45"/>
              <w:ind w:left="343" w:right="305"/>
              <w:rPr>
                <w:sz w:val="18"/>
              </w:rPr>
            </w:pPr>
            <w:r>
              <w:rPr>
                <w:sz w:val="18"/>
              </w:rPr>
              <w:t>T 0605</w:t>
            </w:r>
          </w:p>
        </w:tc>
      </w:tr>
    </w:tbl>
    <w:p>
      <w:pPr>
        <w:spacing w:after="0"/>
        <w:rPr>
          <w:sz w:val="18"/>
        </w:rPr>
        <w:sectPr>
          <w:footerReference w:type="even" r:id="rId26"/>
          <w:footerReference w:type="default" r:id="rId27"/>
          <w:pgSz w:w="11910" w:h="16840"/>
          <w:pgMar w:top="1400" w:right="820" w:bottom="1540" w:left="900" w:header="0" w:footer="1354"/>
          <w:pgNumType w:start="9"/>
          <w:cols w:space="708"/>
        </w:sectPr>
      </w:pPr>
    </w:p>
    <w:p>
      <w:pPr>
        <w:pStyle w:val="BodyText"/>
        <w:tabs>
          <w:tab w:val="left" w:pos="578"/>
        </w:tabs>
        <w:spacing w:before="44"/>
        <w:ind w:right="360"/>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6</w:t>
        <w:tab/>
        <w:t>改</w:t>
      </w:r>
      <w:r>
        <w:rPr>
          <w:rFonts w:ascii="黑体" w:eastAsia="黑体" w:hint="eastAsia"/>
          <w:spacing w:val="-3"/>
        </w:rPr>
        <w:t>性</w:t>
      </w:r>
      <w:r>
        <w:rPr>
          <w:rFonts w:ascii="黑体" w:eastAsia="黑体" w:hint="eastAsia"/>
        </w:rPr>
        <w:t>乳</w:t>
      </w:r>
      <w:r>
        <w:rPr>
          <w:rFonts w:ascii="黑体" w:eastAsia="黑体" w:hint="eastAsia"/>
          <w:spacing w:val="-3"/>
        </w:rPr>
        <w:t>化</w:t>
      </w:r>
      <w:r>
        <w:rPr>
          <w:rFonts w:ascii="黑体" w:eastAsia="黑体" w:hint="eastAsia"/>
        </w:rPr>
        <w:t>沥</w:t>
      </w:r>
      <w:r>
        <w:rPr>
          <w:rFonts w:ascii="黑体" w:eastAsia="黑体" w:hint="eastAsia"/>
          <w:spacing w:val="-3"/>
        </w:rPr>
        <w:t>青</w:t>
      </w:r>
      <w:r>
        <w:rPr>
          <w:rFonts w:ascii="黑体" w:eastAsia="黑体" w:hint="eastAsia"/>
        </w:rPr>
        <w:t>（PCR）的</w:t>
      </w:r>
      <w:r>
        <w:rPr>
          <w:rFonts w:ascii="黑体" w:eastAsia="黑体" w:hint="eastAsia"/>
          <w:spacing w:val="-3"/>
        </w:rPr>
        <w:t>技</w:t>
      </w:r>
      <w:r>
        <w:rPr>
          <w:rFonts w:ascii="黑体" w:eastAsia="黑体" w:hint="eastAsia"/>
        </w:rPr>
        <w:t>术</w:t>
      </w:r>
      <w:r>
        <w:rPr>
          <w:rFonts w:ascii="黑体" w:eastAsia="黑体" w:hint="eastAsia"/>
          <w:spacing w:val="-3"/>
        </w:rPr>
        <w:t>要</w:t>
      </w:r>
      <w:r>
        <w:rPr>
          <w:rFonts w:ascii="黑体" w:eastAsia="黑体" w:hint="eastAsia"/>
        </w:rPr>
        <w:t>求</w:t>
      </w:r>
      <w:r>
        <w:rPr>
          <w:rFonts w:ascii="黑体" w:eastAsia="黑体" w:hint="eastAsia"/>
          <w:spacing w:val="-3"/>
        </w:rPr>
        <w:t>（</w:t>
      </w:r>
      <w:r>
        <w:rPr>
          <w:rFonts w:ascii="黑体" w:eastAsia="黑体" w:hint="eastAsia"/>
        </w:rPr>
        <w:t>续）</w:t>
      </w:r>
    </w:p>
    <w:p>
      <w:pPr>
        <w:pStyle w:val="BodyText"/>
        <w:spacing w:before="9" w:after="1"/>
        <w:rPr>
          <w:rFonts w:ascii="黑体"/>
          <w:sz w:val="13"/>
        </w:rPr>
      </w:pPr>
    </w:p>
    <w:tbl>
      <w:tblPr>
        <w:tblStyle w:val="TableNormal4"/>
        <w:tblW w:w="0" w:type="auto"/>
        <w:jc w:val="left"/>
        <w:tblInd w:w="2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831"/>
        <w:gridCol w:w="3137"/>
        <w:gridCol w:w="1431"/>
        <w:gridCol w:w="1431"/>
        <w:gridCol w:w="1431"/>
      </w:tblGrid>
      <w:tr>
        <w:tblPrEx>
          <w:tblW w:w="0" w:type="auto"/>
          <w:jc w:val="left"/>
          <w:tblInd w:w="2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56"/>
          <w:jc w:val="left"/>
        </w:trPr>
        <w:tc>
          <w:tcPr>
            <w:tcW w:w="4968" w:type="dxa"/>
            <w:gridSpan w:val="2"/>
            <w:tcBorders>
              <w:bottom w:val="single" w:sz="4" w:space="0" w:color="000000"/>
              <w:right w:val="single" w:sz="4" w:space="0" w:color="000000"/>
            </w:tcBorders>
          </w:tcPr>
          <w:p>
            <w:pPr>
              <w:pStyle w:val="TableParagraph"/>
              <w:spacing w:before="83"/>
              <w:ind w:left="1653" w:right="1635"/>
              <w:rPr>
                <w:sz w:val="18"/>
              </w:rPr>
            </w:pPr>
            <w:r>
              <w:rPr>
                <w:sz w:val="18"/>
              </w:rPr>
              <w:t>试验项目</w:t>
            </w:r>
          </w:p>
        </w:tc>
        <w:tc>
          <w:tcPr>
            <w:tcW w:w="1431" w:type="dxa"/>
            <w:tcBorders>
              <w:left w:val="single" w:sz="4" w:space="0" w:color="000000"/>
              <w:bottom w:val="single" w:sz="4" w:space="0" w:color="000000"/>
              <w:right w:val="single" w:sz="4" w:space="0" w:color="000000"/>
            </w:tcBorders>
          </w:tcPr>
          <w:p>
            <w:pPr>
              <w:pStyle w:val="TableParagraph"/>
              <w:spacing w:before="83"/>
              <w:ind w:left="207" w:right="179"/>
              <w:rPr>
                <w:sz w:val="18"/>
              </w:rPr>
            </w:pPr>
            <w:r>
              <w:rPr>
                <w:sz w:val="18"/>
              </w:rPr>
              <w:t>单位</w:t>
            </w:r>
          </w:p>
        </w:tc>
        <w:tc>
          <w:tcPr>
            <w:tcW w:w="1431" w:type="dxa"/>
            <w:tcBorders>
              <w:left w:val="single" w:sz="4" w:space="0" w:color="000000"/>
              <w:bottom w:val="single" w:sz="4" w:space="0" w:color="000000"/>
              <w:right w:val="single" w:sz="4" w:space="0" w:color="000000"/>
            </w:tcBorders>
          </w:tcPr>
          <w:p>
            <w:pPr>
              <w:pStyle w:val="TableParagraph"/>
              <w:spacing w:before="83"/>
              <w:ind w:left="207" w:right="180"/>
              <w:rPr>
                <w:sz w:val="18"/>
              </w:rPr>
            </w:pPr>
            <w:r>
              <w:rPr>
                <w:sz w:val="18"/>
              </w:rPr>
              <w:t>技术要求</w:t>
            </w:r>
          </w:p>
        </w:tc>
        <w:tc>
          <w:tcPr>
            <w:tcW w:w="1431" w:type="dxa"/>
            <w:tcBorders>
              <w:left w:val="single" w:sz="4" w:space="0" w:color="000000"/>
              <w:bottom w:val="single" w:sz="4" w:space="0" w:color="000000"/>
            </w:tcBorders>
          </w:tcPr>
          <w:p>
            <w:pPr>
              <w:pStyle w:val="TableParagraph"/>
              <w:spacing w:before="61"/>
              <w:ind w:left="345" w:right="305"/>
              <w:rPr>
                <w:sz w:val="18"/>
              </w:rPr>
            </w:pPr>
            <w:r>
              <w:rPr>
                <w:sz w:val="18"/>
              </w:rPr>
              <w:t>试验方法</w:t>
            </w:r>
          </w:p>
        </w:tc>
      </w:tr>
      <w:tr>
        <w:tblPrEx>
          <w:tblW w:w="0" w:type="auto"/>
          <w:jc w:val="left"/>
          <w:tblInd w:w="296" w:type="dxa"/>
          <w:tblLayout w:type="fixed"/>
          <w:tblCellMar>
            <w:top w:w="0" w:type="dxa"/>
            <w:left w:w="0" w:type="dxa"/>
            <w:bottom w:w="0" w:type="dxa"/>
            <w:right w:w="0" w:type="dxa"/>
          </w:tblCellMar>
          <w:tblLook w:val="01E0"/>
        </w:tblPrEx>
        <w:trPr>
          <w:trHeight w:val="342"/>
          <w:jc w:val="left"/>
        </w:trPr>
        <w:tc>
          <w:tcPr>
            <w:tcW w:w="1831" w:type="dxa"/>
            <w:vMerge w:val="restart"/>
            <w:tcBorders>
              <w:top w:val="single" w:sz="4" w:space="0" w:color="000000"/>
              <w:bottom w:val="single" w:sz="4" w:space="0" w:color="000000"/>
              <w:right w:val="single" w:sz="4" w:space="0" w:color="000000"/>
            </w:tcBorders>
          </w:tcPr>
          <w:p>
            <w:pPr>
              <w:pStyle w:val="TableParagraph"/>
              <w:spacing w:before="0"/>
              <w:jc w:val="left"/>
              <w:rPr>
                <w:rFonts w:ascii="黑体"/>
                <w:sz w:val="18"/>
              </w:rPr>
            </w:pPr>
          </w:p>
          <w:p>
            <w:pPr>
              <w:pStyle w:val="TableParagraph"/>
              <w:spacing w:before="4"/>
              <w:jc w:val="left"/>
              <w:rPr>
                <w:rFonts w:ascii="黑体"/>
                <w:sz w:val="15"/>
              </w:rPr>
            </w:pPr>
          </w:p>
          <w:p>
            <w:pPr>
              <w:pStyle w:val="TableParagraph"/>
              <w:spacing w:before="0"/>
              <w:ind w:left="284"/>
              <w:jc w:val="left"/>
              <w:rPr>
                <w:sz w:val="18"/>
              </w:rPr>
            </w:pPr>
            <w:r>
              <w:rPr>
                <w:sz w:val="18"/>
              </w:rPr>
              <w:t>蒸发残留物性质</w:t>
            </w:r>
          </w:p>
        </w:tc>
        <w:tc>
          <w:tcPr>
            <w:tcW w:w="3137" w:type="dxa"/>
            <w:tcBorders>
              <w:top w:val="single" w:sz="4" w:space="0" w:color="000000"/>
              <w:left w:val="single" w:sz="4" w:space="0" w:color="000000"/>
              <w:bottom w:val="single" w:sz="4" w:space="0" w:color="000000"/>
              <w:right w:val="single" w:sz="4" w:space="0" w:color="000000"/>
            </w:tcBorders>
          </w:tcPr>
          <w:p>
            <w:pPr>
              <w:pStyle w:val="TableParagraph"/>
              <w:tabs>
                <w:tab w:val="left" w:pos="1474"/>
              </w:tabs>
              <w:spacing w:before="74"/>
              <w:ind w:left="31"/>
              <w:rPr>
                <w:sz w:val="18"/>
              </w:rPr>
            </w:pPr>
            <w:r>
              <w:rPr>
                <w:sz w:val="18"/>
              </w:rPr>
              <w:t>软化点</w:t>
              <w:tab/>
              <w:t>不小于</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74"/>
              <w:ind w:left="25"/>
              <w:rPr>
                <w:sz w:val="18"/>
              </w:rPr>
            </w:pPr>
            <w:r>
              <w:rPr>
                <w:sz w:val="18"/>
              </w:rPr>
              <w:t>℃</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74"/>
              <w:ind w:left="207" w:right="180"/>
              <w:rPr>
                <w:sz w:val="18"/>
              </w:rPr>
            </w:pPr>
            <w:r>
              <w:rPr>
                <w:sz w:val="18"/>
              </w:rPr>
              <w:t>50</w:t>
            </w:r>
          </w:p>
        </w:tc>
        <w:tc>
          <w:tcPr>
            <w:tcW w:w="1431" w:type="dxa"/>
            <w:tcBorders>
              <w:top w:val="single" w:sz="4" w:space="0" w:color="000000"/>
              <w:left w:val="single" w:sz="4" w:space="0" w:color="000000"/>
              <w:bottom w:val="single" w:sz="4" w:space="0" w:color="000000"/>
            </w:tcBorders>
          </w:tcPr>
          <w:p>
            <w:pPr>
              <w:pStyle w:val="TableParagraph"/>
              <w:spacing w:before="55"/>
              <w:ind w:left="343" w:right="305"/>
              <w:rPr>
                <w:sz w:val="18"/>
              </w:rPr>
            </w:pPr>
            <w:r>
              <w:rPr>
                <w:sz w:val="18"/>
              </w:rPr>
              <w:t>T 0606</w:t>
            </w:r>
          </w:p>
        </w:tc>
      </w:tr>
      <w:tr>
        <w:tblPrEx>
          <w:tblW w:w="0" w:type="auto"/>
          <w:jc w:val="left"/>
          <w:tblInd w:w="296" w:type="dxa"/>
          <w:tblLayout w:type="fixed"/>
          <w:tblCellMar>
            <w:top w:w="0" w:type="dxa"/>
            <w:left w:w="0" w:type="dxa"/>
            <w:bottom w:w="0" w:type="dxa"/>
            <w:right w:w="0" w:type="dxa"/>
          </w:tblCellMar>
          <w:tblLook w:val="01E0"/>
        </w:tblPrEx>
        <w:trPr>
          <w:trHeight w:val="342"/>
          <w:jc w:val="left"/>
        </w:trPr>
        <w:tc>
          <w:tcPr>
            <w:tcW w:w="1831" w:type="dxa"/>
            <w:vMerge/>
            <w:tcBorders>
              <w:top w:val="nil"/>
              <w:bottom w:val="single" w:sz="4" w:space="0" w:color="000000"/>
              <w:right w:val="single" w:sz="4" w:space="0" w:color="000000"/>
            </w:tcBorders>
          </w:tcPr>
          <w:p>
            <w:pPr>
              <w:rPr>
                <w:sz w:val="2"/>
                <w:szCs w:val="2"/>
              </w:rPr>
            </w:pPr>
          </w:p>
        </w:tc>
        <w:tc>
          <w:tcPr>
            <w:tcW w:w="3137" w:type="dxa"/>
            <w:tcBorders>
              <w:top w:val="single" w:sz="4" w:space="0" w:color="000000"/>
              <w:left w:val="single" w:sz="4" w:space="0" w:color="000000"/>
              <w:bottom w:val="single" w:sz="4" w:space="0" w:color="000000"/>
              <w:right w:val="single" w:sz="4" w:space="0" w:color="000000"/>
            </w:tcBorders>
          </w:tcPr>
          <w:p>
            <w:pPr>
              <w:pStyle w:val="TableParagraph"/>
              <w:spacing w:before="74"/>
              <w:ind w:left="31"/>
              <w:rPr>
                <w:sz w:val="18"/>
              </w:rPr>
            </w:pPr>
            <w:r>
              <w:rPr>
                <w:sz w:val="18"/>
              </w:rPr>
              <w:t>弹性恢复（</w:t>
            </w:r>
            <w:r>
              <w:rPr>
                <w:spacing w:val="1"/>
                <w:sz w:val="18"/>
              </w:rPr>
              <w:t>25</w:t>
            </w:r>
            <w:r>
              <w:rPr>
                <w:spacing w:val="-1"/>
                <w:sz w:val="18"/>
              </w:rPr>
              <w:t>℃,</w:t>
            </w:r>
            <w:r>
              <w:rPr>
                <w:spacing w:val="1"/>
                <w:sz w:val="18"/>
              </w:rPr>
              <w:t>1h</w:t>
            </w:r>
            <w:r>
              <w:rPr>
                <w:spacing w:val="-92"/>
                <w:sz w:val="18"/>
              </w:rPr>
              <w:t>）</w:t>
            </w:r>
            <w:r>
              <w:rPr>
                <w:sz w:val="18"/>
              </w:rPr>
              <w:t>， 不小于</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74"/>
              <w:ind w:left="27"/>
              <w:rPr>
                <w:sz w:val="18"/>
              </w:rPr>
            </w:pPr>
            <w:r>
              <w:rPr>
                <w:sz w:val="18"/>
              </w:rPr>
              <w:t>%</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74"/>
              <w:ind w:left="207" w:right="180"/>
              <w:rPr>
                <w:sz w:val="18"/>
              </w:rPr>
            </w:pPr>
            <w:r>
              <w:rPr>
                <w:sz w:val="18"/>
              </w:rPr>
              <w:t>60</w:t>
            </w:r>
          </w:p>
        </w:tc>
        <w:tc>
          <w:tcPr>
            <w:tcW w:w="1431" w:type="dxa"/>
            <w:tcBorders>
              <w:top w:val="single" w:sz="4" w:space="0" w:color="000000"/>
              <w:left w:val="single" w:sz="4" w:space="0" w:color="000000"/>
              <w:bottom w:val="single" w:sz="4" w:space="0" w:color="000000"/>
            </w:tcBorders>
          </w:tcPr>
          <w:p>
            <w:pPr>
              <w:pStyle w:val="TableParagraph"/>
              <w:spacing w:before="88"/>
              <w:ind w:left="343" w:right="305"/>
              <w:rPr>
                <w:sz w:val="18"/>
              </w:rPr>
            </w:pPr>
            <w:r>
              <w:rPr>
                <w:sz w:val="18"/>
              </w:rPr>
              <w:t>T 0662</w:t>
            </w: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1831" w:type="dxa"/>
            <w:vMerge/>
            <w:tcBorders>
              <w:top w:val="nil"/>
              <w:bottom w:val="single" w:sz="4" w:space="0" w:color="000000"/>
              <w:right w:val="single" w:sz="4" w:space="0" w:color="000000"/>
            </w:tcBorders>
          </w:tcPr>
          <w:p>
            <w:pPr>
              <w:rPr>
                <w:sz w:val="2"/>
                <w:szCs w:val="2"/>
              </w:rPr>
            </w:pPr>
          </w:p>
        </w:tc>
        <w:tc>
          <w:tcPr>
            <w:tcW w:w="3137" w:type="dxa"/>
            <w:tcBorders>
              <w:top w:val="single" w:sz="4" w:space="0" w:color="000000"/>
              <w:left w:val="single" w:sz="4" w:space="0" w:color="000000"/>
              <w:bottom w:val="single" w:sz="4" w:space="0" w:color="000000"/>
              <w:right w:val="single" w:sz="4" w:space="0" w:color="000000"/>
            </w:tcBorders>
          </w:tcPr>
          <w:p>
            <w:pPr>
              <w:pStyle w:val="TableParagraph"/>
              <w:spacing w:before="74"/>
              <w:ind w:left="29"/>
              <w:rPr>
                <w:sz w:val="18"/>
              </w:rPr>
            </w:pPr>
            <w:r>
              <w:rPr>
                <w:sz w:val="18"/>
              </w:rPr>
              <w:t>溶解度（三氯乙烯</w:t>
            </w:r>
            <w:r>
              <w:rPr>
                <w:spacing w:val="-92"/>
                <w:sz w:val="18"/>
              </w:rPr>
              <w:t>）</w:t>
            </w:r>
            <w:r>
              <w:rPr>
                <w:sz w:val="18"/>
              </w:rPr>
              <w:t>，  不小于</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74"/>
              <w:ind w:left="27"/>
              <w:rPr>
                <w:sz w:val="18"/>
              </w:rPr>
            </w:pPr>
            <w:r>
              <w:rPr>
                <w:sz w:val="18"/>
              </w:rPr>
              <w:t>%</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74"/>
              <w:ind w:left="207" w:right="179"/>
              <w:rPr>
                <w:sz w:val="18"/>
              </w:rPr>
            </w:pPr>
            <w:r>
              <w:rPr>
                <w:sz w:val="18"/>
              </w:rPr>
              <w:t>97.5</w:t>
            </w:r>
          </w:p>
        </w:tc>
        <w:tc>
          <w:tcPr>
            <w:tcW w:w="1431" w:type="dxa"/>
            <w:tcBorders>
              <w:top w:val="single" w:sz="4" w:space="0" w:color="000000"/>
              <w:left w:val="single" w:sz="4" w:space="0" w:color="000000"/>
              <w:bottom w:val="single" w:sz="4" w:space="0" w:color="000000"/>
            </w:tcBorders>
          </w:tcPr>
          <w:p>
            <w:pPr>
              <w:pStyle w:val="TableParagraph"/>
              <w:spacing w:before="86"/>
              <w:ind w:left="343" w:right="305"/>
              <w:rPr>
                <w:sz w:val="18"/>
              </w:rPr>
            </w:pPr>
            <w:r>
              <w:rPr>
                <w:sz w:val="18"/>
              </w:rPr>
              <w:t>T 0607</w:t>
            </w:r>
          </w:p>
        </w:tc>
      </w:tr>
      <w:tr>
        <w:tblPrEx>
          <w:tblW w:w="0" w:type="auto"/>
          <w:jc w:val="left"/>
          <w:tblInd w:w="296" w:type="dxa"/>
          <w:tblLayout w:type="fixed"/>
          <w:tblCellMar>
            <w:top w:w="0" w:type="dxa"/>
            <w:left w:w="0" w:type="dxa"/>
            <w:bottom w:w="0" w:type="dxa"/>
            <w:right w:w="0" w:type="dxa"/>
          </w:tblCellMar>
          <w:tblLook w:val="01E0"/>
        </w:tblPrEx>
        <w:trPr>
          <w:trHeight w:val="311"/>
          <w:jc w:val="left"/>
        </w:trPr>
        <w:tc>
          <w:tcPr>
            <w:tcW w:w="1831" w:type="dxa"/>
            <w:vMerge w:val="restart"/>
            <w:tcBorders>
              <w:top w:val="single" w:sz="4" w:space="0" w:color="000000"/>
              <w:right w:val="single" w:sz="4" w:space="0" w:color="000000"/>
            </w:tcBorders>
          </w:tcPr>
          <w:p>
            <w:pPr>
              <w:pStyle w:val="TableParagraph"/>
              <w:spacing w:before="12"/>
              <w:jc w:val="left"/>
              <w:rPr>
                <w:rFonts w:ascii="黑体"/>
                <w:sz w:val="17"/>
              </w:rPr>
            </w:pPr>
          </w:p>
          <w:p>
            <w:pPr>
              <w:pStyle w:val="TableParagraph"/>
              <w:spacing w:before="0"/>
              <w:ind w:left="373"/>
              <w:jc w:val="left"/>
              <w:rPr>
                <w:sz w:val="18"/>
              </w:rPr>
            </w:pPr>
            <w:r>
              <w:rPr>
                <w:sz w:val="18"/>
              </w:rPr>
              <w:t>常温贮存稳定</w:t>
            </w:r>
          </w:p>
        </w:tc>
        <w:tc>
          <w:tcPr>
            <w:tcW w:w="3137" w:type="dxa"/>
            <w:tcBorders>
              <w:top w:val="single" w:sz="4" w:space="0" w:color="000000"/>
              <w:left w:val="single" w:sz="4" w:space="0" w:color="000000"/>
              <w:bottom w:val="single" w:sz="4" w:space="0" w:color="000000"/>
              <w:right w:val="single" w:sz="4" w:space="0" w:color="000000"/>
            </w:tcBorders>
          </w:tcPr>
          <w:p>
            <w:pPr>
              <w:pStyle w:val="TableParagraph"/>
              <w:tabs>
                <w:tab w:val="left" w:pos="571"/>
              </w:tabs>
              <w:spacing w:before="64" w:line="227" w:lineRule="exact"/>
              <w:ind w:left="28"/>
              <w:rPr>
                <w:sz w:val="18"/>
              </w:rPr>
            </w:pPr>
            <w:r>
              <w:rPr>
                <w:sz w:val="18"/>
              </w:rPr>
              <w:t>1d</w:t>
              <w:tab/>
              <w:t>不大于</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64" w:line="227" w:lineRule="exact"/>
              <w:ind w:left="27"/>
              <w:rPr>
                <w:sz w:val="18"/>
              </w:rPr>
            </w:pPr>
            <w:r>
              <w:rPr>
                <w:sz w:val="18"/>
              </w:rPr>
              <w:t>%</w:t>
            </w:r>
          </w:p>
        </w:tc>
        <w:tc>
          <w:tcPr>
            <w:tcW w:w="1431" w:type="dxa"/>
            <w:tcBorders>
              <w:top w:val="single" w:sz="4" w:space="0" w:color="000000"/>
              <w:left w:val="single" w:sz="4" w:space="0" w:color="000000"/>
              <w:bottom w:val="single" w:sz="4" w:space="0" w:color="000000"/>
              <w:right w:val="single" w:sz="4" w:space="0" w:color="000000"/>
            </w:tcBorders>
          </w:tcPr>
          <w:p>
            <w:pPr>
              <w:pStyle w:val="TableParagraph"/>
              <w:spacing w:before="64" w:line="227" w:lineRule="exact"/>
              <w:ind w:left="25"/>
              <w:rPr>
                <w:sz w:val="18"/>
              </w:rPr>
            </w:pPr>
            <w:r>
              <w:rPr>
                <w:sz w:val="18"/>
              </w:rPr>
              <w:t>1</w:t>
            </w:r>
          </w:p>
        </w:tc>
        <w:tc>
          <w:tcPr>
            <w:tcW w:w="1431" w:type="dxa"/>
            <w:vMerge w:val="restart"/>
            <w:tcBorders>
              <w:top w:val="single" w:sz="4" w:space="0" w:color="000000"/>
              <w:left w:val="single" w:sz="4" w:space="0" w:color="000000"/>
            </w:tcBorders>
          </w:tcPr>
          <w:p>
            <w:pPr>
              <w:pStyle w:val="TableParagraph"/>
              <w:spacing w:before="3"/>
              <w:jc w:val="left"/>
              <w:rPr>
                <w:rFonts w:ascii="黑体"/>
                <w:sz w:val="16"/>
              </w:rPr>
            </w:pPr>
          </w:p>
          <w:p>
            <w:pPr>
              <w:pStyle w:val="TableParagraph"/>
              <w:spacing w:before="0"/>
              <w:ind w:left="454"/>
              <w:jc w:val="left"/>
              <w:rPr>
                <w:sz w:val="18"/>
              </w:rPr>
            </w:pPr>
            <w:r>
              <w:rPr>
                <w:sz w:val="18"/>
              </w:rPr>
              <w:t>T 0655</w:t>
            </w:r>
          </w:p>
        </w:tc>
      </w:tr>
      <w:tr>
        <w:tblPrEx>
          <w:tblW w:w="0" w:type="auto"/>
          <w:jc w:val="left"/>
          <w:tblInd w:w="296" w:type="dxa"/>
          <w:tblLayout w:type="fixed"/>
          <w:tblCellMar>
            <w:top w:w="0" w:type="dxa"/>
            <w:left w:w="0" w:type="dxa"/>
            <w:bottom w:w="0" w:type="dxa"/>
            <w:right w:w="0" w:type="dxa"/>
          </w:tblCellMar>
          <w:tblLook w:val="01E0"/>
        </w:tblPrEx>
        <w:trPr>
          <w:trHeight w:val="308"/>
          <w:jc w:val="left"/>
        </w:trPr>
        <w:tc>
          <w:tcPr>
            <w:tcW w:w="1831" w:type="dxa"/>
            <w:vMerge/>
            <w:tcBorders>
              <w:top w:val="nil"/>
              <w:right w:val="single" w:sz="4" w:space="0" w:color="000000"/>
            </w:tcBorders>
          </w:tcPr>
          <w:p>
            <w:pPr>
              <w:rPr>
                <w:sz w:val="2"/>
                <w:szCs w:val="2"/>
              </w:rPr>
            </w:pPr>
          </w:p>
        </w:tc>
        <w:tc>
          <w:tcPr>
            <w:tcW w:w="3137" w:type="dxa"/>
            <w:tcBorders>
              <w:top w:val="single" w:sz="4" w:space="0" w:color="000000"/>
              <w:left w:val="single" w:sz="4" w:space="0" w:color="000000"/>
              <w:right w:val="single" w:sz="4" w:space="0" w:color="000000"/>
            </w:tcBorders>
          </w:tcPr>
          <w:p>
            <w:pPr>
              <w:pStyle w:val="TableParagraph"/>
              <w:tabs>
                <w:tab w:val="left" w:pos="571"/>
              </w:tabs>
              <w:spacing w:before="52"/>
              <w:ind w:left="28"/>
              <w:rPr>
                <w:sz w:val="18"/>
              </w:rPr>
            </w:pPr>
            <w:r>
              <w:rPr>
                <w:sz w:val="18"/>
              </w:rPr>
              <w:t>5d</w:t>
              <w:tab/>
              <w:t>不大于</w:t>
            </w:r>
          </w:p>
        </w:tc>
        <w:tc>
          <w:tcPr>
            <w:tcW w:w="1431" w:type="dxa"/>
            <w:tcBorders>
              <w:top w:val="single" w:sz="4" w:space="0" w:color="000000"/>
              <w:left w:val="single" w:sz="4" w:space="0" w:color="000000"/>
              <w:right w:val="single" w:sz="4" w:space="0" w:color="000000"/>
            </w:tcBorders>
          </w:tcPr>
          <w:p>
            <w:pPr>
              <w:pStyle w:val="TableParagraph"/>
              <w:spacing w:before="52"/>
              <w:ind w:left="27"/>
              <w:rPr>
                <w:sz w:val="18"/>
              </w:rPr>
            </w:pPr>
            <w:r>
              <w:rPr>
                <w:sz w:val="18"/>
              </w:rPr>
              <w:t>%</w:t>
            </w:r>
          </w:p>
        </w:tc>
        <w:tc>
          <w:tcPr>
            <w:tcW w:w="1431" w:type="dxa"/>
            <w:tcBorders>
              <w:top w:val="single" w:sz="4" w:space="0" w:color="000000"/>
              <w:left w:val="single" w:sz="4" w:space="0" w:color="000000"/>
              <w:right w:val="single" w:sz="4" w:space="0" w:color="000000"/>
            </w:tcBorders>
          </w:tcPr>
          <w:p>
            <w:pPr>
              <w:pStyle w:val="TableParagraph"/>
              <w:spacing w:before="52"/>
              <w:ind w:left="25"/>
              <w:rPr>
                <w:sz w:val="18"/>
              </w:rPr>
            </w:pPr>
            <w:r>
              <w:rPr>
                <w:sz w:val="18"/>
              </w:rPr>
              <w:t>5</w:t>
            </w:r>
          </w:p>
        </w:tc>
        <w:tc>
          <w:tcPr>
            <w:tcW w:w="1431" w:type="dxa"/>
            <w:vMerge/>
            <w:tcBorders>
              <w:top w:val="nil"/>
              <w:left w:val="single" w:sz="4" w:space="0" w:color="000000"/>
            </w:tcBorders>
          </w:tcPr>
          <w:p>
            <w:pPr>
              <w:rPr>
                <w:sz w:val="2"/>
                <w:szCs w:val="2"/>
              </w:rPr>
            </w:pPr>
          </w:p>
        </w:tc>
      </w:tr>
    </w:tbl>
    <w:p>
      <w:pPr>
        <w:pStyle w:val="BodyText"/>
        <w:spacing w:before="1"/>
        <w:rPr>
          <w:rFonts w:ascii="黑体"/>
          <w:sz w:val="14"/>
        </w:rPr>
      </w:pPr>
    </w:p>
    <w:p>
      <w:pPr>
        <w:pStyle w:val="ListParagraph"/>
        <w:numPr>
          <w:ilvl w:val="3"/>
          <w:numId w:val="31"/>
        </w:numPr>
        <w:tabs>
          <w:tab w:val="left" w:pos="1179"/>
        </w:tabs>
        <w:spacing w:before="1" w:after="0" w:line="278" w:lineRule="auto"/>
        <w:ind w:left="232" w:right="594" w:firstLine="0"/>
        <w:jc w:val="both"/>
        <w:rPr>
          <w:sz w:val="21"/>
        </w:rPr>
      </w:pPr>
      <w:bookmarkStart w:id="95" w:name="5.2.3.2  粗集料  应采用石质坚硬、清洁、不含风化颗粒、近立方体颗粒的岩"/>
      <w:bookmarkEnd w:id="95"/>
      <w:r>
        <w:rPr>
          <w:spacing w:val="-3"/>
          <w:sz w:val="21"/>
        </w:rPr>
        <w:t>粗集料 应采用石质坚硬、清洁、不含风化颗粒、近立方体颗粒的岩石。表面层宜采用玄武</w:t>
      </w:r>
      <w:r>
        <w:rPr>
          <w:spacing w:val="-11"/>
          <w:sz w:val="21"/>
        </w:rPr>
        <w:t>岩、辉绿岩、辉长岩等满足表面层指标要求的岩石，中下面层宜按照就近取材原则，采用石灰岩、凝灰</w:t>
      </w:r>
      <w:r>
        <w:rPr>
          <w:spacing w:val="-8"/>
          <w:sz w:val="21"/>
        </w:rPr>
        <w:t xml:space="preserve">岩等满足中下面层指标要求的岩石。集料与沥青的粘附性应满足规范要求，未采取抗剥落措施之前粗集料与沥青的粘附性应原则上不低于 </w:t>
      </w:r>
      <w:r>
        <w:rPr>
          <w:sz w:val="21"/>
        </w:rPr>
        <w:t>4</w:t>
      </w:r>
      <w:r>
        <w:rPr>
          <w:spacing w:val="-10"/>
          <w:sz w:val="21"/>
        </w:rPr>
        <w:t xml:space="preserve"> 级。沥青混合料用粗集料的质量技术要求应符合表 </w:t>
      </w:r>
      <w:r>
        <w:rPr>
          <w:sz w:val="21"/>
        </w:rPr>
        <w:t>7</w:t>
      </w:r>
      <w:r>
        <w:rPr>
          <w:spacing w:val="-14"/>
          <w:sz w:val="21"/>
        </w:rPr>
        <w:t xml:space="preserve"> 规定。</w:t>
      </w:r>
    </w:p>
    <w:p>
      <w:pPr>
        <w:pStyle w:val="BodyText"/>
        <w:tabs>
          <w:tab w:val="left" w:pos="578"/>
        </w:tabs>
        <w:spacing w:before="155"/>
        <w:ind w:right="361"/>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7</w:t>
        <w:tab/>
        <w:t>沥</w:t>
      </w:r>
      <w:r>
        <w:rPr>
          <w:rFonts w:ascii="黑体" w:eastAsia="黑体" w:hint="eastAsia"/>
          <w:spacing w:val="-3"/>
        </w:rPr>
        <w:t>青</w:t>
      </w:r>
      <w:r>
        <w:rPr>
          <w:rFonts w:ascii="黑体" w:eastAsia="黑体" w:hint="eastAsia"/>
        </w:rPr>
        <w:t>混</w:t>
      </w:r>
      <w:r>
        <w:rPr>
          <w:rFonts w:ascii="黑体" w:eastAsia="黑体" w:hint="eastAsia"/>
          <w:spacing w:val="-3"/>
        </w:rPr>
        <w:t>合</w:t>
      </w:r>
      <w:r>
        <w:rPr>
          <w:rFonts w:ascii="黑体" w:eastAsia="黑体" w:hint="eastAsia"/>
        </w:rPr>
        <w:t>料</w:t>
      </w:r>
      <w:r>
        <w:rPr>
          <w:rFonts w:ascii="黑体" w:eastAsia="黑体" w:hint="eastAsia"/>
          <w:spacing w:val="-3"/>
        </w:rPr>
        <w:t>用</w:t>
      </w:r>
      <w:r>
        <w:rPr>
          <w:rFonts w:ascii="黑体" w:eastAsia="黑体" w:hint="eastAsia"/>
        </w:rPr>
        <w:t>粗</w:t>
      </w:r>
      <w:r>
        <w:rPr>
          <w:rFonts w:ascii="黑体" w:eastAsia="黑体" w:hint="eastAsia"/>
          <w:spacing w:val="-3"/>
        </w:rPr>
        <w:t>集</w:t>
      </w:r>
      <w:r>
        <w:rPr>
          <w:rFonts w:ascii="黑体" w:eastAsia="黑体" w:hint="eastAsia"/>
        </w:rPr>
        <w:t>料质</w:t>
      </w:r>
      <w:r>
        <w:rPr>
          <w:rFonts w:ascii="黑体" w:eastAsia="黑体" w:hint="eastAsia"/>
          <w:spacing w:val="-3"/>
        </w:rPr>
        <w:t>量</w:t>
      </w:r>
      <w:r>
        <w:rPr>
          <w:rFonts w:ascii="黑体" w:eastAsia="黑体" w:hint="eastAsia"/>
        </w:rPr>
        <w:t>技</w:t>
      </w:r>
      <w:r>
        <w:rPr>
          <w:rFonts w:ascii="黑体" w:eastAsia="黑体" w:hint="eastAsia"/>
          <w:spacing w:val="-3"/>
        </w:rPr>
        <w:t>术</w:t>
      </w:r>
      <w:r>
        <w:rPr>
          <w:rFonts w:ascii="黑体" w:eastAsia="黑体" w:hint="eastAsia"/>
        </w:rPr>
        <w:t>要求</w:t>
      </w:r>
    </w:p>
    <w:p>
      <w:pPr>
        <w:pStyle w:val="BodyText"/>
        <w:spacing w:before="9" w:after="1"/>
        <w:rPr>
          <w:rFonts w:ascii="黑体"/>
          <w:sz w:val="13"/>
        </w:rPr>
      </w:pPr>
    </w:p>
    <w:tbl>
      <w:tblPr>
        <w:tblStyle w:val="TableNormal4"/>
        <w:tblW w:w="0" w:type="auto"/>
        <w:jc w:val="left"/>
        <w:tblInd w:w="3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11"/>
        <w:gridCol w:w="1538"/>
        <w:gridCol w:w="1274"/>
        <w:gridCol w:w="1276"/>
        <w:gridCol w:w="1418"/>
        <w:gridCol w:w="1713"/>
      </w:tblGrid>
      <w:tr>
        <w:tblPrEx>
          <w:tblW w:w="0" w:type="auto"/>
          <w:jc w:val="left"/>
          <w:tblInd w:w="3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433"/>
          <w:jc w:val="left"/>
        </w:trPr>
        <w:tc>
          <w:tcPr>
            <w:tcW w:w="4823" w:type="dxa"/>
            <w:gridSpan w:val="3"/>
            <w:tcBorders>
              <w:bottom w:val="single" w:sz="6" w:space="0" w:color="000000"/>
              <w:right w:val="single" w:sz="6" w:space="0" w:color="000000"/>
            </w:tcBorders>
          </w:tcPr>
          <w:p>
            <w:pPr>
              <w:pStyle w:val="TableParagraph"/>
              <w:tabs>
                <w:tab w:val="left" w:pos="841"/>
              </w:tabs>
              <w:spacing w:before="126"/>
              <w:ind w:left="27"/>
              <w:rPr>
                <w:sz w:val="18"/>
              </w:rPr>
            </w:pPr>
            <w:r>
              <w:rPr>
                <w:sz w:val="18"/>
              </w:rPr>
              <w:t>项</w:t>
              <w:tab/>
              <w:t>目</w:t>
            </w:r>
          </w:p>
        </w:tc>
        <w:tc>
          <w:tcPr>
            <w:tcW w:w="1276" w:type="dxa"/>
            <w:tcBorders>
              <w:left w:val="single" w:sz="6" w:space="0" w:color="000000"/>
              <w:bottom w:val="single" w:sz="6" w:space="0" w:color="000000"/>
              <w:right w:val="single" w:sz="6" w:space="0" w:color="000000"/>
            </w:tcBorders>
          </w:tcPr>
          <w:p>
            <w:pPr>
              <w:pStyle w:val="TableParagraph"/>
              <w:spacing w:before="126"/>
              <w:ind w:left="448" w:right="412"/>
              <w:rPr>
                <w:sz w:val="18"/>
              </w:rPr>
            </w:pPr>
            <w:r>
              <w:rPr>
                <w:sz w:val="18"/>
              </w:rPr>
              <w:t>单位</w:t>
            </w:r>
          </w:p>
        </w:tc>
        <w:tc>
          <w:tcPr>
            <w:tcW w:w="1418" w:type="dxa"/>
            <w:tcBorders>
              <w:left w:val="single" w:sz="6" w:space="0" w:color="000000"/>
              <w:bottom w:val="single" w:sz="6" w:space="0" w:color="000000"/>
              <w:right w:val="single" w:sz="4" w:space="0" w:color="000000"/>
            </w:tcBorders>
          </w:tcPr>
          <w:p>
            <w:pPr>
              <w:pStyle w:val="TableParagraph"/>
              <w:spacing w:before="126"/>
              <w:ind w:left="158" w:right="126"/>
              <w:rPr>
                <w:sz w:val="18"/>
              </w:rPr>
            </w:pPr>
            <w:r>
              <w:rPr>
                <w:sz w:val="18"/>
              </w:rPr>
              <w:t>质量技术要求</w:t>
            </w:r>
          </w:p>
        </w:tc>
        <w:tc>
          <w:tcPr>
            <w:tcW w:w="1713" w:type="dxa"/>
            <w:tcBorders>
              <w:left w:val="single" w:sz="4" w:space="0" w:color="000000"/>
              <w:bottom w:val="single" w:sz="6" w:space="0" w:color="000000"/>
            </w:tcBorders>
          </w:tcPr>
          <w:p>
            <w:pPr>
              <w:pStyle w:val="TableParagraph"/>
              <w:spacing w:before="126"/>
              <w:ind w:left="306" w:right="263"/>
              <w:rPr>
                <w:sz w:val="18"/>
              </w:rPr>
            </w:pPr>
            <w:r>
              <w:rPr>
                <w:sz w:val="18"/>
              </w:rPr>
              <w:t>试验方法</w:t>
            </w:r>
          </w:p>
        </w:tc>
      </w:tr>
      <w:tr>
        <w:tblPrEx>
          <w:tblW w:w="0" w:type="auto"/>
          <w:jc w:val="left"/>
          <w:tblInd w:w="308" w:type="dxa"/>
          <w:tblLayout w:type="fixed"/>
          <w:tblCellMar>
            <w:top w:w="0" w:type="dxa"/>
            <w:left w:w="0" w:type="dxa"/>
            <w:bottom w:w="0" w:type="dxa"/>
            <w:right w:w="0" w:type="dxa"/>
          </w:tblCellMar>
          <w:tblLook w:val="01E0"/>
        </w:tblPrEx>
        <w:trPr>
          <w:trHeight w:val="409"/>
          <w:jc w:val="left"/>
        </w:trPr>
        <w:tc>
          <w:tcPr>
            <w:tcW w:w="3549" w:type="dxa"/>
            <w:gridSpan w:val="2"/>
            <w:vMerge w:val="restart"/>
            <w:tcBorders>
              <w:top w:val="single" w:sz="6" w:space="0" w:color="000000"/>
              <w:bottom w:val="single" w:sz="6" w:space="0" w:color="000000"/>
              <w:right w:val="single" w:sz="6" w:space="0" w:color="000000"/>
            </w:tcBorders>
          </w:tcPr>
          <w:p>
            <w:pPr>
              <w:pStyle w:val="TableParagraph"/>
              <w:spacing w:before="5"/>
              <w:jc w:val="left"/>
              <w:rPr>
                <w:rFonts w:ascii="黑体"/>
                <w:sz w:val="25"/>
              </w:rPr>
            </w:pPr>
          </w:p>
          <w:p>
            <w:pPr>
              <w:pStyle w:val="TableParagraph"/>
              <w:spacing w:before="0"/>
              <w:ind w:left="964"/>
              <w:jc w:val="left"/>
              <w:rPr>
                <w:sz w:val="18"/>
              </w:rPr>
            </w:pPr>
            <w:r>
              <w:rPr>
                <w:sz w:val="18"/>
              </w:rPr>
              <w:t>石料压碎值，不大于</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115"/>
              <w:ind w:right="342"/>
              <w:jc w:val="right"/>
              <w:rPr>
                <w:sz w:val="18"/>
              </w:rPr>
            </w:pPr>
            <w:r>
              <w:rPr>
                <w:sz w:val="18"/>
              </w:rPr>
              <w:t>表面层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15"/>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115"/>
              <w:ind w:left="158" w:right="125"/>
              <w:rPr>
                <w:sz w:val="18"/>
              </w:rPr>
            </w:pPr>
            <w:r>
              <w:rPr>
                <w:sz w:val="18"/>
              </w:rPr>
              <w:t>20</w:t>
            </w:r>
          </w:p>
        </w:tc>
        <w:tc>
          <w:tcPr>
            <w:tcW w:w="1713" w:type="dxa"/>
            <w:vMerge w:val="restart"/>
            <w:tcBorders>
              <w:top w:val="single" w:sz="6" w:space="0" w:color="000000"/>
              <w:left w:val="single" w:sz="4" w:space="0" w:color="000000"/>
              <w:bottom w:val="single" w:sz="6" w:space="0" w:color="000000"/>
            </w:tcBorders>
          </w:tcPr>
          <w:p>
            <w:pPr>
              <w:pStyle w:val="TableParagraph"/>
              <w:spacing w:before="5"/>
              <w:jc w:val="left"/>
              <w:rPr>
                <w:rFonts w:ascii="黑体"/>
                <w:sz w:val="25"/>
              </w:rPr>
            </w:pPr>
          </w:p>
          <w:p>
            <w:pPr>
              <w:pStyle w:val="TableParagraph"/>
              <w:spacing w:before="0"/>
              <w:ind w:left="599"/>
              <w:jc w:val="left"/>
              <w:rPr>
                <w:sz w:val="18"/>
              </w:rPr>
            </w:pPr>
            <w:r>
              <w:rPr>
                <w:sz w:val="18"/>
              </w:rPr>
              <w:t>T 0316</w:t>
            </w:r>
          </w:p>
        </w:tc>
      </w:tr>
      <w:tr>
        <w:tblPrEx>
          <w:tblW w:w="0" w:type="auto"/>
          <w:jc w:val="left"/>
          <w:tblInd w:w="308" w:type="dxa"/>
          <w:tblLayout w:type="fixed"/>
          <w:tblCellMar>
            <w:top w:w="0" w:type="dxa"/>
            <w:left w:w="0" w:type="dxa"/>
            <w:bottom w:w="0" w:type="dxa"/>
            <w:right w:w="0" w:type="dxa"/>
          </w:tblCellMar>
          <w:tblLook w:val="01E0"/>
        </w:tblPrEx>
        <w:trPr>
          <w:trHeight w:val="409"/>
          <w:jc w:val="left"/>
        </w:trPr>
        <w:tc>
          <w:tcPr>
            <w:tcW w:w="3549" w:type="dxa"/>
            <w:gridSpan w:val="2"/>
            <w:vMerge/>
            <w:tcBorders>
              <w:top w:val="nil"/>
              <w:bottom w:val="single" w:sz="6" w:space="0" w:color="000000"/>
              <w:right w:val="single" w:sz="6" w:space="0" w:color="000000"/>
            </w:tcBorders>
          </w:tcPr>
          <w:p>
            <w:pPr>
              <w:rPr>
                <w:sz w:val="2"/>
                <w:szCs w:val="2"/>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115"/>
              <w:ind w:right="342"/>
              <w:jc w:val="right"/>
              <w:rPr>
                <w:sz w:val="18"/>
              </w:rPr>
            </w:pPr>
            <w:r>
              <w:rPr>
                <w:sz w:val="18"/>
              </w:rPr>
              <w:t>其他层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15"/>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115"/>
              <w:ind w:left="158" w:right="125"/>
              <w:rPr>
                <w:sz w:val="18"/>
              </w:rPr>
            </w:pPr>
            <w:r>
              <w:rPr>
                <w:sz w:val="18"/>
              </w:rPr>
              <w:t>24</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376"/>
          <w:jc w:val="left"/>
        </w:trPr>
        <w:tc>
          <w:tcPr>
            <w:tcW w:w="3549" w:type="dxa"/>
            <w:gridSpan w:val="2"/>
            <w:tcBorders>
              <w:top w:val="single" w:sz="6" w:space="0" w:color="000000"/>
              <w:bottom w:val="single" w:sz="6" w:space="0" w:color="000000"/>
              <w:right w:val="single" w:sz="6" w:space="0" w:color="000000"/>
            </w:tcBorders>
          </w:tcPr>
          <w:p>
            <w:pPr>
              <w:pStyle w:val="TableParagraph"/>
              <w:spacing w:before="98"/>
              <w:ind w:left="1144"/>
              <w:jc w:val="left"/>
              <w:rPr>
                <w:sz w:val="18"/>
              </w:rPr>
            </w:pPr>
            <w:r>
              <w:rPr>
                <w:sz w:val="18"/>
              </w:rPr>
              <w:t>磨光值，不小于</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98"/>
              <w:ind w:right="342"/>
              <w:jc w:val="right"/>
              <w:rPr>
                <w:sz w:val="18"/>
              </w:rPr>
            </w:pPr>
            <w:r>
              <w:rPr>
                <w:sz w:val="18"/>
              </w:rPr>
              <w:t>表面层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98"/>
              <w:ind w:left="33"/>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98"/>
              <w:ind w:left="158" w:right="126"/>
              <w:rPr>
                <w:sz w:val="18"/>
              </w:rPr>
            </w:pPr>
            <w:r>
              <w:rPr>
                <w:sz w:val="18"/>
              </w:rPr>
              <w:t>42</w:t>
            </w:r>
          </w:p>
        </w:tc>
        <w:tc>
          <w:tcPr>
            <w:tcW w:w="1713" w:type="dxa"/>
            <w:tcBorders>
              <w:top w:val="single" w:sz="6" w:space="0" w:color="000000"/>
              <w:left w:val="single" w:sz="4" w:space="0" w:color="000000"/>
              <w:bottom w:val="single" w:sz="6" w:space="0" w:color="000000"/>
            </w:tcBorders>
          </w:tcPr>
          <w:p>
            <w:pPr>
              <w:pStyle w:val="TableParagraph"/>
              <w:spacing w:before="98"/>
              <w:ind w:left="309" w:right="263"/>
              <w:rPr>
                <w:sz w:val="18"/>
              </w:rPr>
            </w:pPr>
            <w:r>
              <w:rPr>
                <w:sz w:val="18"/>
              </w:rPr>
              <w:t>T 0321</w:t>
            </w:r>
          </w:p>
        </w:tc>
      </w:tr>
      <w:tr>
        <w:tblPrEx>
          <w:tblW w:w="0" w:type="auto"/>
          <w:jc w:val="left"/>
          <w:tblInd w:w="308" w:type="dxa"/>
          <w:tblLayout w:type="fixed"/>
          <w:tblCellMar>
            <w:top w:w="0" w:type="dxa"/>
            <w:left w:w="0" w:type="dxa"/>
            <w:bottom w:w="0" w:type="dxa"/>
            <w:right w:w="0" w:type="dxa"/>
          </w:tblCellMar>
          <w:tblLook w:val="01E0"/>
        </w:tblPrEx>
        <w:trPr>
          <w:trHeight w:val="376"/>
          <w:jc w:val="left"/>
        </w:trPr>
        <w:tc>
          <w:tcPr>
            <w:tcW w:w="4823" w:type="dxa"/>
            <w:gridSpan w:val="3"/>
            <w:tcBorders>
              <w:top w:val="single" w:sz="6" w:space="0" w:color="000000"/>
              <w:bottom w:val="single" w:sz="6" w:space="0" w:color="000000"/>
              <w:right w:val="single" w:sz="6" w:space="0" w:color="000000"/>
            </w:tcBorders>
          </w:tcPr>
          <w:p>
            <w:pPr>
              <w:pStyle w:val="TableParagraph"/>
              <w:spacing w:before="98"/>
              <w:ind w:left="1422"/>
              <w:jc w:val="left"/>
              <w:rPr>
                <w:sz w:val="18"/>
              </w:rPr>
            </w:pPr>
            <w:r>
              <w:rPr>
                <w:sz w:val="18"/>
              </w:rPr>
              <w:t>洛杉矶磨耗损失，不大于</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98"/>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98"/>
              <w:ind w:left="158" w:right="126"/>
              <w:rPr>
                <w:sz w:val="18"/>
              </w:rPr>
            </w:pPr>
            <w:r>
              <w:rPr>
                <w:sz w:val="18"/>
              </w:rPr>
              <w:t>28</w:t>
            </w:r>
          </w:p>
        </w:tc>
        <w:tc>
          <w:tcPr>
            <w:tcW w:w="1713" w:type="dxa"/>
            <w:tcBorders>
              <w:top w:val="single" w:sz="6" w:space="0" w:color="000000"/>
              <w:left w:val="single" w:sz="4" w:space="0" w:color="000000"/>
              <w:bottom w:val="single" w:sz="6" w:space="0" w:color="000000"/>
            </w:tcBorders>
          </w:tcPr>
          <w:p>
            <w:pPr>
              <w:pStyle w:val="TableParagraph"/>
              <w:spacing w:before="98"/>
              <w:ind w:left="309" w:right="263"/>
              <w:rPr>
                <w:sz w:val="18"/>
              </w:rPr>
            </w:pPr>
            <w:r>
              <w:rPr>
                <w:sz w:val="18"/>
              </w:rPr>
              <w:t>T 0317</w:t>
            </w:r>
          </w:p>
        </w:tc>
      </w:tr>
      <w:tr>
        <w:tblPrEx>
          <w:tblW w:w="0" w:type="auto"/>
          <w:jc w:val="left"/>
          <w:tblInd w:w="308" w:type="dxa"/>
          <w:tblLayout w:type="fixed"/>
          <w:tblCellMar>
            <w:top w:w="0" w:type="dxa"/>
            <w:left w:w="0" w:type="dxa"/>
            <w:bottom w:w="0" w:type="dxa"/>
            <w:right w:w="0" w:type="dxa"/>
          </w:tblCellMar>
          <w:tblLook w:val="01E0"/>
        </w:tblPrEx>
        <w:trPr>
          <w:trHeight w:val="376"/>
          <w:jc w:val="left"/>
        </w:trPr>
        <w:tc>
          <w:tcPr>
            <w:tcW w:w="4823" w:type="dxa"/>
            <w:gridSpan w:val="3"/>
            <w:tcBorders>
              <w:top w:val="single" w:sz="6" w:space="0" w:color="000000"/>
              <w:bottom w:val="single" w:sz="6" w:space="0" w:color="000000"/>
              <w:right w:val="single" w:sz="6" w:space="0" w:color="000000"/>
            </w:tcBorders>
          </w:tcPr>
          <w:p>
            <w:pPr>
              <w:pStyle w:val="TableParagraph"/>
              <w:spacing w:before="98"/>
              <w:ind w:left="1513"/>
              <w:jc w:val="left"/>
              <w:rPr>
                <w:sz w:val="18"/>
              </w:rPr>
            </w:pPr>
            <w:r>
              <w:rPr>
                <w:sz w:val="18"/>
              </w:rPr>
              <w:t>表观相对密度，不小于</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98"/>
              <w:ind w:left="34"/>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98"/>
              <w:ind w:left="158" w:right="125"/>
              <w:rPr>
                <w:sz w:val="18"/>
              </w:rPr>
            </w:pPr>
            <w:r>
              <w:rPr>
                <w:sz w:val="18"/>
              </w:rPr>
              <w:t>2.6</w:t>
            </w:r>
          </w:p>
        </w:tc>
        <w:tc>
          <w:tcPr>
            <w:tcW w:w="1713" w:type="dxa"/>
            <w:tcBorders>
              <w:top w:val="single" w:sz="6" w:space="0" w:color="000000"/>
              <w:left w:val="single" w:sz="4" w:space="0" w:color="000000"/>
              <w:bottom w:val="single" w:sz="6" w:space="0" w:color="000000"/>
            </w:tcBorders>
          </w:tcPr>
          <w:p>
            <w:pPr>
              <w:pStyle w:val="TableParagraph"/>
              <w:spacing w:before="98"/>
              <w:ind w:left="309" w:right="263"/>
              <w:rPr>
                <w:sz w:val="18"/>
              </w:rPr>
            </w:pPr>
            <w:r>
              <w:rPr>
                <w:sz w:val="18"/>
              </w:rPr>
              <w:t>T 0304</w:t>
            </w:r>
          </w:p>
        </w:tc>
      </w:tr>
      <w:tr>
        <w:tblPrEx>
          <w:tblW w:w="0" w:type="auto"/>
          <w:jc w:val="left"/>
          <w:tblInd w:w="308" w:type="dxa"/>
          <w:tblLayout w:type="fixed"/>
          <w:tblCellMar>
            <w:top w:w="0" w:type="dxa"/>
            <w:left w:w="0" w:type="dxa"/>
            <w:bottom w:w="0" w:type="dxa"/>
            <w:right w:w="0" w:type="dxa"/>
          </w:tblCellMar>
          <w:tblLook w:val="01E0"/>
        </w:tblPrEx>
        <w:trPr>
          <w:trHeight w:val="373"/>
          <w:jc w:val="left"/>
        </w:trPr>
        <w:tc>
          <w:tcPr>
            <w:tcW w:w="4823" w:type="dxa"/>
            <w:gridSpan w:val="3"/>
            <w:tcBorders>
              <w:top w:val="single" w:sz="6" w:space="0" w:color="000000"/>
              <w:bottom w:val="single" w:sz="6" w:space="0" w:color="000000"/>
              <w:right w:val="single" w:sz="6" w:space="0" w:color="000000"/>
            </w:tcBorders>
          </w:tcPr>
          <w:p>
            <w:pPr>
              <w:pStyle w:val="TableParagraph"/>
              <w:spacing w:before="98"/>
              <w:ind w:left="24"/>
              <w:rPr>
                <w:sz w:val="18"/>
              </w:rPr>
            </w:pPr>
            <w:r>
              <w:rPr>
                <w:sz w:val="18"/>
              </w:rPr>
              <w:t>吸水率，不大于</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98"/>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98"/>
              <w:ind w:left="158" w:right="125"/>
              <w:rPr>
                <w:sz w:val="18"/>
              </w:rPr>
            </w:pPr>
            <w:r>
              <w:rPr>
                <w:sz w:val="18"/>
              </w:rPr>
              <w:t>2.0</w:t>
            </w:r>
          </w:p>
        </w:tc>
        <w:tc>
          <w:tcPr>
            <w:tcW w:w="1713" w:type="dxa"/>
            <w:tcBorders>
              <w:top w:val="single" w:sz="6" w:space="0" w:color="000000"/>
              <w:left w:val="single" w:sz="4" w:space="0" w:color="000000"/>
              <w:bottom w:val="single" w:sz="6" w:space="0" w:color="000000"/>
            </w:tcBorders>
          </w:tcPr>
          <w:p>
            <w:pPr>
              <w:pStyle w:val="TableParagraph"/>
              <w:spacing w:before="98"/>
              <w:ind w:left="309" w:right="263"/>
              <w:rPr>
                <w:sz w:val="18"/>
              </w:rPr>
            </w:pPr>
            <w:r>
              <w:rPr>
                <w:sz w:val="18"/>
              </w:rPr>
              <w:t>T 0304</w:t>
            </w:r>
          </w:p>
        </w:tc>
      </w:tr>
      <w:tr>
        <w:tblPrEx>
          <w:tblW w:w="0" w:type="auto"/>
          <w:jc w:val="left"/>
          <w:tblInd w:w="308" w:type="dxa"/>
          <w:tblLayout w:type="fixed"/>
          <w:tblCellMar>
            <w:top w:w="0" w:type="dxa"/>
            <w:left w:w="0" w:type="dxa"/>
            <w:bottom w:w="0" w:type="dxa"/>
            <w:right w:w="0" w:type="dxa"/>
          </w:tblCellMar>
          <w:tblLook w:val="01E0"/>
        </w:tblPrEx>
        <w:trPr>
          <w:trHeight w:val="412"/>
          <w:jc w:val="left"/>
        </w:trPr>
        <w:tc>
          <w:tcPr>
            <w:tcW w:w="3549" w:type="dxa"/>
            <w:gridSpan w:val="2"/>
            <w:vMerge w:val="restart"/>
            <w:tcBorders>
              <w:top w:val="single" w:sz="6" w:space="0" w:color="000000"/>
              <w:bottom w:val="single" w:sz="6" w:space="0" w:color="000000"/>
              <w:right w:val="single" w:sz="6" w:space="0" w:color="000000"/>
            </w:tcBorders>
          </w:tcPr>
          <w:p>
            <w:pPr>
              <w:pStyle w:val="TableParagraph"/>
              <w:spacing w:before="8"/>
              <w:jc w:val="left"/>
              <w:rPr>
                <w:rFonts w:ascii="黑体"/>
                <w:sz w:val="25"/>
              </w:rPr>
            </w:pPr>
          </w:p>
          <w:p>
            <w:pPr>
              <w:pStyle w:val="TableParagraph"/>
              <w:spacing w:before="0"/>
              <w:ind w:left="784"/>
              <w:jc w:val="left"/>
              <w:rPr>
                <w:sz w:val="18"/>
              </w:rPr>
            </w:pPr>
            <w:r>
              <w:rPr>
                <w:sz w:val="18"/>
              </w:rPr>
              <w:t>对沥青的粘附性，不小于</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117"/>
              <w:ind w:right="342"/>
              <w:jc w:val="right"/>
              <w:rPr>
                <w:sz w:val="18"/>
              </w:rPr>
            </w:pPr>
            <w:r>
              <w:rPr>
                <w:sz w:val="18"/>
              </w:rPr>
              <w:t>表面层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17"/>
              <w:ind w:left="33"/>
              <w:rPr>
                <w:sz w:val="18"/>
              </w:rPr>
            </w:pPr>
            <w:r>
              <w:rPr>
                <w:sz w:val="18"/>
              </w:rPr>
              <w:t>级</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117"/>
              <w:ind w:left="31"/>
              <w:rPr>
                <w:sz w:val="18"/>
              </w:rPr>
            </w:pPr>
            <w:r>
              <w:rPr>
                <w:sz w:val="18"/>
              </w:rPr>
              <w:t>5</w:t>
            </w:r>
          </w:p>
        </w:tc>
        <w:tc>
          <w:tcPr>
            <w:tcW w:w="1713" w:type="dxa"/>
            <w:vMerge w:val="restart"/>
            <w:tcBorders>
              <w:top w:val="single" w:sz="6" w:space="0" w:color="000000"/>
              <w:left w:val="single" w:sz="4" w:space="0" w:color="000000"/>
              <w:bottom w:val="single" w:sz="6" w:space="0" w:color="000000"/>
            </w:tcBorders>
          </w:tcPr>
          <w:p>
            <w:pPr>
              <w:pStyle w:val="TableParagraph"/>
              <w:spacing w:before="8"/>
              <w:jc w:val="left"/>
              <w:rPr>
                <w:rFonts w:ascii="黑体"/>
                <w:sz w:val="25"/>
              </w:rPr>
            </w:pPr>
          </w:p>
          <w:p>
            <w:pPr>
              <w:pStyle w:val="TableParagraph"/>
              <w:spacing w:before="0"/>
              <w:ind w:left="599"/>
              <w:jc w:val="left"/>
              <w:rPr>
                <w:sz w:val="18"/>
              </w:rPr>
            </w:pPr>
            <w:r>
              <w:rPr>
                <w:sz w:val="18"/>
              </w:rPr>
              <w:t>T 0616</w:t>
            </w:r>
          </w:p>
        </w:tc>
      </w:tr>
      <w:tr>
        <w:tblPrEx>
          <w:tblW w:w="0" w:type="auto"/>
          <w:jc w:val="left"/>
          <w:tblInd w:w="308" w:type="dxa"/>
          <w:tblLayout w:type="fixed"/>
          <w:tblCellMar>
            <w:top w:w="0" w:type="dxa"/>
            <w:left w:w="0" w:type="dxa"/>
            <w:bottom w:w="0" w:type="dxa"/>
            <w:right w:w="0" w:type="dxa"/>
          </w:tblCellMar>
          <w:tblLook w:val="01E0"/>
        </w:tblPrEx>
        <w:trPr>
          <w:trHeight w:val="409"/>
          <w:jc w:val="left"/>
        </w:trPr>
        <w:tc>
          <w:tcPr>
            <w:tcW w:w="3549" w:type="dxa"/>
            <w:gridSpan w:val="2"/>
            <w:vMerge/>
            <w:tcBorders>
              <w:top w:val="nil"/>
              <w:bottom w:val="single" w:sz="6" w:space="0" w:color="000000"/>
              <w:right w:val="single" w:sz="6" w:space="0" w:color="000000"/>
            </w:tcBorders>
          </w:tcPr>
          <w:p>
            <w:pPr>
              <w:rPr>
                <w:sz w:val="2"/>
                <w:szCs w:val="2"/>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115"/>
              <w:ind w:right="342"/>
              <w:jc w:val="right"/>
              <w:rPr>
                <w:sz w:val="18"/>
              </w:rPr>
            </w:pPr>
            <w:r>
              <w:rPr>
                <w:sz w:val="18"/>
              </w:rPr>
              <w:t>其他层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15"/>
              <w:ind w:left="33"/>
              <w:rPr>
                <w:sz w:val="18"/>
              </w:rPr>
            </w:pPr>
            <w:r>
              <w:rPr>
                <w:sz w:val="18"/>
              </w:rPr>
              <w:t>级</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115"/>
              <w:ind w:left="31"/>
              <w:rPr>
                <w:sz w:val="18"/>
              </w:rPr>
            </w:pPr>
            <w:r>
              <w:rPr>
                <w:sz w:val="18"/>
              </w:rPr>
              <w:t>4</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299"/>
          <w:jc w:val="left"/>
        </w:trPr>
        <w:tc>
          <w:tcPr>
            <w:tcW w:w="4823" w:type="dxa"/>
            <w:gridSpan w:val="3"/>
            <w:tcBorders>
              <w:top w:val="single" w:sz="6" w:space="0" w:color="000000"/>
              <w:bottom w:val="single" w:sz="6" w:space="0" w:color="000000"/>
              <w:right w:val="single" w:sz="6" w:space="0" w:color="000000"/>
            </w:tcBorders>
          </w:tcPr>
          <w:p>
            <w:pPr>
              <w:pStyle w:val="TableParagraph"/>
              <w:spacing w:before="59" w:line="220" w:lineRule="exact"/>
              <w:ind w:left="24"/>
              <w:rPr>
                <w:sz w:val="18"/>
              </w:rPr>
            </w:pPr>
            <w:r>
              <w:rPr>
                <w:sz w:val="18"/>
              </w:rPr>
              <w:t>坚固性，不大于</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59" w:line="220" w:lineRule="exact"/>
              <w:ind w:left="158" w:right="126"/>
              <w:rPr>
                <w:sz w:val="18"/>
              </w:rPr>
            </w:pPr>
            <w:r>
              <w:rPr>
                <w:sz w:val="18"/>
              </w:rPr>
              <w:t>12</w:t>
            </w:r>
          </w:p>
        </w:tc>
        <w:tc>
          <w:tcPr>
            <w:tcW w:w="1713" w:type="dxa"/>
            <w:tcBorders>
              <w:top w:val="single" w:sz="6" w:space="0" w:color="000000"/>
              <w:left w:val="single" w:sz="4" w:space="0" w:color="000000"/>
              <w:bottom w:val="single" w:sz="6" w:space="0" w:color="000000"/>
            </w:tcBorders>
          </w:tcPr>
          <w:p>
            <w:pPr>
              <w:pStyle w:val="TableParagraph"/>
              <w:spacing w:before="59" w:line="220" w:lineRule="exact"/>
              <w:ind w:left="309" w:right="263"/>
              <w:rPr>
                <w:sz w:val="18"/>
              </w:rPr>
            </w:pPr>
            <w:r>
              <w:rPr>
                <w:sz w:val="18"/>
              </w:rPr>
              <w:t>T 0314</w:t>
            </w:r>
          </w:p>
        </w:tc>
      </w:tr>
      <w:tr>
        <w:tblPrEx>
          <w:tblW w:w="0" w:type="auto"/>
          <w:jc w:val="left"/>
          <w:tblInd w:w="308" w:type="dxa"/>
          <w:tblLayout w:type="fixed"/>
          <w:tblCellMar>
            <w:top w:w="0" w:type="dxa"/>
            <w:left w:w="0" w:type="dxa"/>
            <w:bottom w:w="0" w:type="dxa"/>
            <w:right w:w="0" w:type="dxa"/>
          </w:tblCellMar>
          <w:tblLook w:val="01E0"/>
        </w:tblPrEx>
        <w:trPr>
          <w:trHeight w:val="299"/>
          <w:jc w:val="left"/>
        </w:trPr>
        <w:tc>
          <w:tcPr>
            <w:tcW w:w="2011" w:type="dxa"/>
            <w:vMerge w:val="restart"/>
            <w:tcBorders>
              <w:top w:val="single" w:sz="6" w:space="0" w:color="000000"/>
              <w:bottom w:val="single" w:sz="6" w:space="0" w:color="000000"/>
              <w:right w:val="single" w:sz="4" w:space="0" w:color="000000"/>
            </w:tcBorders>
          </w:tcPr>
          <w:p>
            <w:pPr>
              <w:pStyle w:val="TableParagraph"/>
              <w:spacing w:before="0"/>
              <w:jc w:val="left"/>
              <w:rPr>
                <w:rFonts w:ascii="黑体"/>
                <w:sz w:val="18"/>
              </w:rPr>
            </w:pPr>
          </w:p>
          <w:p>
            <w:pPr>
              <w:pStyle w:val="TableParagraph"/>
              <w:spacing w:before="0"/>
              <w:jc w:val="left"/>
              <w:rPr>
                <w:rFonts w:ascii="黑体"/>
                <w:sz w:val="18"/>
              </w:rPr>
            </w:pPr>
          </w:p>
          <w:p>
            <w:pPr>
              <w:pStyle w:val="TableParagraph"/>
              <w:spacing w:before="6"/>
              <w:jc w:val="left"/>
              <w:rPr>
                <w:rFonts w:ascii="黑体"/>
                <w:sz w:val="18"/>
              </w:rPr>
            </w:pPr>
          </w:p>
          <w:p>
            <w:pPr>
              <w:pStyle w:val="TableParagraph"/>
              <w:spacing w:before="0" w:line="312" w:lineRule="auto"/>
              <w:ind w:left="916" w:right="43" w:hanging="807"/>
              <w:jc w:val="left"/>
              <w:rPr>
                <w:sz w:val="18"/>
              </w:rPr>
            </w:pPr>
            <w:r>
              <w:rPr>
                <w:sz w:val="18"/>
              </w:rPr>
              <w:t>针片状颗粒含量，不大于</w:t>
            </w:r>
          </w:p>
        </w:tc>
        <w:tc>
          <w:tcPr>
            <w:tcW w:w="1538" w:type="dxa"/>
            <w:vMerge w:val="restart"/>
            <w:tcBorders>
              <w:top w:val="single" w:sz="6" w:space="0" w:color="000000"/>
              <w:left w:val="single" w:sz="4" w:space="0" w:color="000000"/>
              <w:bottom w:val="single" w:sz="6" w:space="0" w:color="000000"/>
              <w:right w:val="single" w:sz="6" w:space="0" w:color="000000"/>
            </w:tcBorders>
          </w:tcPr>
          <w:p>
            <w:pPr>
              <w:pStyle w:val="TableParagraph"/>
              <w:spacing w:before="0"/>
              <w:jc w:val="left"/>
              <w:rPr>
                <w:rFonts w:ascii="黑体"/>
                <w:sz w:val="17"/>
              </w:rPr>
            </w:pPr>
          </w:p>
          <w:p>
            <w:pPr>
              <w:pStyle w:val="TableParagraph"/>
              <w:spacing w:before="0"/>
              <w:ind w:left="508"/>
              <w:jc w:val="left"/>
              <w:rPr>
                <w:sz w:val="18"/>
              </w:rPr>
            </w:pPr>
            <w:r>
              <w:rPr>
                <w:sz w:val="18"/>
              </w:rPr>
              <w:t>混合料</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60" w:line="220" w:lineRule="exact"/>
              <w:ind w:right="342"/>
              <w:jc w:val="right"/>
              <w:rPr>
                <w:sz w:val="18"/>
              </w:rPr>
            </w:pPr>
            <w:r>
              <w:rPr>
                <w:sz w:val="18"/>
              </w:rPr>
              <w:t>表面层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0"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60" w:line="220" w:lineRule="exact"/>
              <w:ind w:left="158" w:right="126"/>
              <w:rPr>
                <w:sz w:val="18"/>
              </w:rPr>
            </w:pPr>
            <w:r>
              <w:rPr>
                <w:sz w:val="18"/>
              </w:rPr>
              <w:t>12</w:t>
            </w:r>
          </w:p>
        </w:tc>
        <w:tc>
          <w:tcPr>
            <w:tcW w:w="1713" w:type="dxa"/>
            <w:vMerge w:val="restart"/>
            <w:tcBorders>
              <w:top w:val="single" w:sz="6" w:space="0" w:color="000000"/>
              <w:left w:val="single" w:sz="4" w:space="0" w:color="000000"/>
              <w:bottom w:val="single" w:sz="6" w:space="0" w:color="000000"/>
            </w:tcBorders>
          </w:tcPr>
          <w:p>
            <w:pPr>
              <w:pStyle w:val="TableParagraph"/>
              <w:spacing w:before="0"/>
              <w:jc w:val="left"/>
              <w:rPr>
                <w:rFonts w:ascii="黑体"/>
                <w:sz w:val="18"/>
              </w:rPr>
            </w:pPr>
          </w:p>
          <w:p>
            <w:pPr>
              <w:pStyle w:val="TableParagraph"/>
              <w:spacing w:before="0"/>
              <w:jc w:val="left"/>
              <w:rPr>
                <w:rFonts w:ascii="黑体"/>
                <w:sz w:val="18"/>
              </w:rPr>
            </w:pPr>
          </w:p>
          <w:p>
            <w:pPr>
              <w:pStyle w:val="TableParagraph"/>
              <w:spacing w:before="0"/>
              <w:jc w:val="left"/>
              <w:rPr>
                <w:rFonts w:ascii="黑体"/>
                <w:sz w:val="18"/>
              </w:rPr>
            </w:pPr>
          </w:p>
          <w:p>
            <w:pPr>
              <w:pStyle w:val="TableParagraph"/>
              <w:spacing w:before="155"/>
              <w:ind w:left="599"/>
              <w:jc w:val="left"/>
              <w:rPr>
                <w:sz w:val="18"/>
              </w:rPr>
            </w:pPr>
            <w:r>
              <w:rPr>
                <w:sz w:val="18"/>
              </w:rPr>
              <w:t>T 0312</w:t>
            </w:r>
          </w:p>
        </w:tc>
      </w:tr>
      <w:tr>
        <w:tblPrEx>
          <w:tblW w:w="0" w:type="auto"/>
          <w:jc w:val="left"/>
          <w:tblInd w:w="308" w:type="dxa"/>
          <w:tblLayout w:type="fixed"/>
          <w:tblCellMar>
            <w:top w:w="0" w:type="dxa"/>
            <w:left w:w="0" w:type="dxa"/>
            <w:bottom w:w="0" w:type="dxa"/>
            <w:right w:w="0" w:type="dxa"/>
          </w:tblCellMar>
          <w:tblLook w:val="01E0"/>
        </w:tblPrEx>
        <w:trPr>
          <w:trHeight w:val="299"/>
          <w:jc w:val="left"/>
        </w:trPr>
        <w:tc>
          <w:tcPr>
            <w:tcW w:w="2011" w:type="dxa"/>
            <w:vMerge/>
            <w:tcBorders>
              <w:top w:val="nil"/>
              <w:bottom w:val="single" w:sz="6" w:space="0" w:color="000000"/>
              <w:right w:val="single" w:sz="4" w:space="0" w:color="000000"/>
            </w:tcBorders>
          </w:tcPr>
          <w:p>
            <w:pPr>
              <w:rPr>
                <w:sz w:val="2"/>
                <w:szCs w:val="2"/>
              </w:rPr>
            </w:pPr>
          </w:p>
        </w:tc>
        <w:tc>
          <w:tcPr>
            <w:tcW w:w="1538" w:type="dxa"/>
            <w:vMerge/>
            <w:tcBorders>
              <w:top w:val="nil"/>
              <w:left w:val="single" w:sz="4" w:space="0" w:color="000000"/>
              <w:bottom w:val="single" w:sz="6" w:space="0" w:color="000000"/>
              <w:right w:val="single" w:sz="6" w:space="0" w:color="000000"/>
            </w:tcBorders>
          </w:tcPr>
          <w:p>
            <w:pPr>
              <w:rPr>
                <w:sz w:val="2"/>
                <w:szCs w:val="2"/>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right="342"/>
              <w:jc w:val="right"/>
              <w:rPr>
                <w:sz w:val="18"/>
              </w:rPr>
            </w:pPr>
            <w:r>
              <w:rPr>
                <w:sz w:val="18"/>
              </w:rPr>
              <w:t>其他层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59" w:line="220" w:lineRule="exact"/>
              <w:ind w:left="158" w:right="125"/>
              <w:rPr>
                <w:sz w:val="18"/>
              </w:rPr>
            </w:pPr>
            <w:r>
              <w:rPr>
                <w:sz w:val="18"/>
              </w:rPr>
              <w:t>15</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301"/>
          <w:jc w:val="left"/>
        </w:trPr>
        <w:tc>
          <w:tcPr>
            <w:tcW w:w="2011" w:type="dxa"/>
            <w:vMerge/>
            <w:tcBorders>
              <w:top w:val="nil"/>
              <w:bottom w:val="single" w:sz="6" w:space="0" w:color="000000"/>
              <w:right w:val="single" w:sz="4" w:space="0" w:color="000000"/>
            </w:tcBorders>
          </w:tcPr>
          <w:p>
            <w:pPr>
              <w:rPr>
                <w:sz w:val="2"/>
                <w:szCs w:val="2"/>
              </w:rPr>
            </w:pPr>
          </w:p>
        </w:tc>
        <w:tc>
          <w:tcPr>
            <w:tcW w:w="1538" w:type="dxa"/>
            <w:vMerge w:val="restart"/>
            <w:tcBorders>
              <w:top w:val="single" w:sz="6" w:space="0" w:color="000000"/>
              <w:left w:val="single" w:sz="4" w:space="0" w:color="000000"/>
              <w:bottom w:val="single" w:sz="6" w:space="0" w:color="000000"/>
              <w:right w:val="single" w:sz="6" w:space="0" w:color="000000"/>
            </w:tcBorders>
          </w:tcPr>
          <w:p>
            <w:pPr>
              <w:pStyle w:val="TableParagraph"/>
              <w:spacing w:before="0"/>
              <w:jc w:val="left"/>
              <w:rPr>
                <w:rFonts w:ascii="黑体"/>
                <w:sz w:val="17"/>
              </w:rPr>
            </w:pPr>
          </w:p>
          <w:p>
            <w:pPr>
              <w:pStyle w:val="TableParagraph"/>
              <w:spacing w:before="0"/>
              <w:ind w:left="148"/>
              <w:jc w:val="left"/>
              <w:rPr>
                <w:sz w:val="18"/>
              </w:rPr>
            </w:pPr>
            <w:r>
              <w:rPr>
                <w:sz w:val="18"/>
              </w:rPr>
              <w:t>4.75mm～13.2mm</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62" w:line="220" w:lineRule="exact"/>
              <w:ind w:right="342"/>
              <w:jc w:val="right"/>
              <w:rPr>
                <w:sz w:val="18"/>
              </w:rPr>
            </w:pPr>
            <w:r>
              <w:rPr>
                <w:sz w:val="18"/>
              </w:rPr>
              <w:t>表面层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62" w:line="220" w:lineRule="exact"/>
              <w:ind w:left="158" w:right="126"/>
              <w:rPr>
                <w:sz w:val="18"/>
              </w:rPr>
            </w:pPr>
            <w:r>
              <w:rPr>
                <w:sz w:val="18"/>
              </w:rPr>
              <w:t>15</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299"/>
          <w:jc w:val="left"/>
        </w:trPr>
        <w:tc>
          <w:tcPr>
            <w:tcW w:w="2011" w:type="dxa"/>
            <w:vMerge/>
            <w:tcBorders>
              <w:top w:val="nil"/>
              <w:bottom w:val="single" w:sz="6" w:space="0" w:color="000000"/>
              <w:right w:val="single" w:sz="4" w:space="0" w:color="000000"/>
            </w:tcBorders>
          </w:tcPr>
          <w:p>
            <w:pPr>
              <w:rPr>
                <w:sz w:val="2"/>
                <w:szCs w:val="2"/>
              </w:rPr>
            </w:pPr>
          </w:p>
        </w:tc>
        <w:tc>
          <w:tcPr>
            <w:tcW w:w="1538" w:type="dxa"/>
            <w:vMerge/>
            <w:tcBorders>
              <w:top w:val="nil"/>
              <w:left w:val="single" w:sz="4" w:space="0" w:color="000000"/>
              <w:bottom w:val="single" w:sz="6" w:space="0" w:color="000000"/>
              <w:right w:val="single" w:sz="6" w:space="0" w:color="000000"/>
            </w:tcBorders>
          </w:tcPr>
          <w:p>
            <w:pPr>
              <w:rPr>
                <w:sz w:val="2"/>
                <w:szCs w:val="2"/>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right="342"/>
              <w:jc w:val="right"/>
              <w:rPr>
                <w:sz w:val="18"/>
              </w:rPr>
            </w:pPr>
            <w:r>
              <w:rPr>
                <w:sz w:val="18"/>
              </w:rPr>
              <w:t>其他层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59" w:line="220" w:lineRule="exact"/>
              <w:ind w:left="158" w:right="125"/>
              <w:rPr>
                <w:sz w:val="18"/>
              </w:rPr>
            </w:pPr>
            <w:r>
              <w:rPr>
                <w:sz w:val="18"/>
              </w:rPr>
              <w:t>18</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299"/>
          <w:jc w:val="left"/>
        </w:trPr>
        <w:tc>
          <w:tcPr>
            <w:tcW w:w="2011" w:type="dxa"/>
            <w:vMerge/>
            <w:tcBorders>
              <w:top w:val="nil"/>
              <w:bottom w:val="single" w:sz="6" w:space="0" w:color="000000"/>
              <w:right w:val="single" w:sz="4" w:space="0" w:color="000000"/>
            </w:tcBorders>
          </w:tcPr>
          <w:p>
            <w:pPr>
              <w:rPr>
                <w:sz w:val="2"/>
                <w:szCs w:val="2"/>
              </w:rPr>
            </w:pPr>
          </w:p>
        </w:tc>
        <w:tc>
          <w:tcPr>
            <w:tcW w:w="1538" w:type="dxa"/>
            <w:vMerge w:val="restart"/>
            <w:tcBorders>
              <w:top w:val="single" w:sz="6" w:space="0" w:color="000000"/>
              <w:left w:val="single" w:sz="4" w:space="0" w:color="000000"/>
              <w:bottom w:val="single" w:sz="6" w:space="0" w:color="000000"/>
              <w:right w:val="single" w:sz="6" w:space="0" w:color="000000"/>
            </w:tcBorders>
          </w:tcPr>
          <w:p>
            <w:pPr>
              <w:pStyle w:val="TableParagraph"/>
              <w:spacing w:before="0"/>
              <w:jc w:val="left"/>
              <w:rPr>
                <w:rFonts w:ascii="黑体"/>
                <w:sz w:val="17"/>
              </w:rPr>
            </w:pPr>
          </w:p>
          <w:p>
            <w:pPr>
              <w:pStyle w:val="TableParagraph"/>
              <w:spacing w:before="0"/>
              <w:ind w:left="307"/>
              <w:jc w:val="left"/>
              <w:rPr>
                <w:sz w:val="18"/>
              </w:rPr>
            </w:pPr>
            <w:r>
              <w:rPr>
                <w:sz w:val="18"/>
              </w:rPr>
              <w:t>13.2mm 以上</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right="342"/>
              <w:jc w:val="right"/>
              <w:rPr>
                <w:sz w:val="18"/>
              </w:rPr>
            </w:pPr>
            <w:r>
              <w:rPr>
                <w:sz w:val="18"/>
              </w:rPr>
              <w:t>表面层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59" w:line="220" w:lineRule="exact"/>
              <w:ind w:left="158" w:right="125"/>
              <w:rPr>
                <w:sz w:val="18"/>
              </w:rPr>
            </w:pPr>
            <w:r>
              <w:rPr>
                <w:sz w:val="18"/>
              </w:rPr>
              <w:t>10</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299"/>
          <w:jc w:val="left"/>
        </w:trPr>
        <w:tc>
          <w:tcPr>
            <w:tcW w:w="2011" w:type="dxa"/>
            <w:vMerge/>
            <w:tcBorders>
              <w:top w:val="nil"/>
              <w:bottom w:val="single" w:sz="6" w:space="0" w:color="000000"/>
              <w:right w:val="single" w:sz="4" w:space="0" w:color="000000"/>
            </w:tcBorders>
          </w:tcPr>
          <w:p>
            <w:pPr>
              <w:rPr>
                <w:sz w:val="2"/>
                <w:szCs w:val="2"/>
              </w:rPr>
            </w:pPr>
          </w:p>
        </w:tc>
        <w:tc>
          <w:tcPr>
            <w:tcW w:w="1538" w:type="dxa"/>
            <w:vMerge/>
            <w:tcBorders>
              <w:top w:val="nil"/>
              <w:left w:val="single" w:sz="4" w:space="0" w:color="000000"/>
              <w:bottom w:val="single" w:sz="6" w:space="0" w:color="000000"/>
              <w:right w:val="single" w:sz="6" w:space="0" w:color="000000"/>
            </w:tcBorders>
          </w:tcPr>
          <w:p>
            <w:pPr>
              <w:rPr>
                <w:sz w:val="2"/>
                <w:szCs w:val="2"/>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right="342"/>
              <w:jc w:val="right"/>
              <w:rPr>
                <w:sz w:val="18"/>
              </w:rPr>
            </w:pPr>
            <w:r>
              <w:rPr>
                <w:sz w:val="18"/>
              </w:rPr>
              <w:t>其他层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59" w:line="220" w:lineRule="exact"/>
              <w:ind w:left="158" w:right="125"/>
              <w:rPr>
                <w:sz w:val="18"/>
              </w:rPr>
            </w:pPr>
            <w:r>
              <w:rPr>
                <w:sz w:val="18"/>
              </w:rPr>
              <w:t>12</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301"/>
          <w:jc w:val="left"/>
        </w:trPr>
        <w:tc>
          <w:tcPr>
            <w:tcW w:w="2011" w:type="dxa"/>
            <w:vMerge w:val="restart"/>
            <w:tcBorders>
              <w:top w:val="single" w:sz="6" w:space="0" w:color="000000"/>
              <w:bottom w:val="single" w:sz="6" w:space="0" w:color="000000"/>
              <w:right w:val="single" w:sz="4" w:space="0" w:color="000000"/>
            </w:tcBorders>
          </w:tcPr>
          <w:p>
            <w:pPr>
              <w:pStyle w:val="TableParagraph"/>
              <w:spacing w:before="7"/>
              <w:jc w:val="left"/>
              <w:rPr>
                <w:rFonts w:ascii="黑体"/>
                <w:sz w:val="17"/>
              </w:rPr>
            </w:pPr>
          </w:p>
          <w:p>
            <w:pPr>
              <w:pStyle w:val="TableParagraph"/>
              <w:spacing w:before="0" w:line="312" w:lineRule="auto"/>
              <w:ind w:left="467" w:right="86" w:hanging="293"/>
              <w:jc w:val="left"/>
              <w:rPr>
                <w:sz w:val="18"/>
              </w:rPr>
            </w:pPr>
            <w:r>
              <w:rPr>
                <w:sz w:val="18"/>
              </w:rPr>
              <w:t>水洗法&lt;0.075mm 颗粒含量，不大于</w:t>
            </w:r>
          </w:p>
        </w:tc>
        <w:tc>
          <w:tcPr>
            <w:tcW w:w="1538" w:type="dxa"/>
            <w:vMerge w:val="restart"/>
            <w:tcBorders>
              <w:top w:val="single" w:sz="6" w:space="0" w:color="000000"/>
              <w:left w:val="single" w:sz="4" w:space="0" w:color="000000"/>
              <w:bottom w:val="single" w:sz="4" w:space="0" w:color="000000"/>
              <w:right w:val="single" w:sz="6" w:space="0" w:color="000000"/>
            </w:tcBorders>
          </w:tcPr>
          <w:p>
            <w:pPr>
              <w:pStyle w:val="TableParagraph"/>
              <w:spacing w:before="0"/>
              <w:jc w:val="left"/>
              <w:rPr>
                <w:rFonts w:ascii="黑体"/>
                <w:sz w:val="17"/>
              </w:rPr>
            </w:pPr>
          </w:p>
          <w:p>
            <w:pPr>
              <w:pStyle w:val="TableParagraph"/>
              <w:spacing w:before="0"/>
              <w:ind w:left="127"/>
              <w:jc w:val="left"/>
              <w:rPr>
                <w:sz w:val="18"/>
              </w:rPr>
            </w:pPr>
            <w:r>
              <w:rPr>
                <w:sz w:val="18"/>
              </w:rPr>
              <w:t>粒径大于 4.75mm</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62" w:line="220" w:lineRule="exact"/>
              <w:ind w:right="342"/>
              <w:jc w:val="right"/>
              <w:rPr>
                <w:sz w:val="18"/>
              </w:rPr>
            </w:pPr>
            <w:r>
              <w:rPr>
                <w:sz w:val="18"/>
              </w:rPr>
              <w:t>表面层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62" w:line="220" w:lineRule="exact"/>
              <w:ind w:left="158" w:right="125"/>
              <w:rPr>
                <w:sz w:val="18"/>
              </w:rPr>
            </w:pPr>
            <w:r>
              <w:rPr>
                <w:sz w:val="18"/>
              </w:rPr>
              <w:t>0.8</w:t>
            </w:r>
          </w:p>
        </w:tc>
        <w:tc>
          <w:tcPr>
            <w:tcW w:w="1713" w:type="dxa"/>
            <w:vMerge w:val="restart"/>
            <w:tcBorders>
              <w:top w:val="single" w:sz="6" w:space="0" w:color="000000"/>
              <w:left w:val="single" w:sz="4" w:space="0" w:color="000000"/>
              <w:bottom w:val="single" w:sz="6" w:space="0" w:color="000000"/>
            </w:tcBorders>
          </w:tcPr>
          <w:p>
            <w:pPr>
              <w:pStyle w:val="TableParagraph"/>
              <w:spacing w:before="0"/>
              <w:jc w:val="left"/>
              <w:rPr>
                <w:rFonts w:ascii="黑体"/>
                <w:sz w:val="18"/>
              </w:rPr>
            </w:pPr>
          </w:p>
          <w:p>
            <w:pPr>
              <w:pStyle w:val="TableParagraph"/>
              <w:spacing w:before="146"/>
              <w:ind w:left="599"/>
              <w:jc w:val="left"/>
              <w:rPr>
                <w:sz w:val="18"/>
              </w:rPr>
            </w:pPr>
            <w:r>
              <w:rPr>
                <w:sz w:val="18"/>
              </w:rPr>
              <w:t>T 0310</w:t>
            </w:r>
          </w:p>
        </w:tc>
      </w:tr>
      <w:tr>
        <w:tblPrEx>
          <w:tblW w:w="0" w:type="auto"/>
          <w:jc w:val="left"/>
          <w:tblInd w:w="308" w:type="dxa"/>
          <w:tblLayout w:type="fixed"/>
          <w:tblCellMar>
            <w:top w:w="0" w:type="dxa"/>
            <w:left w:w="0" w:type="dxa"/>
            <w:bottom w:w="0" w:type="dxa"/>
            <w:right w:w="0" w:type="dxa"/>
          </w:tblCellMar>
          <w:tblLook w:val="01E0"/>
        </w:tblPrEx>
        <w:trPr>
          <w:trHeight w:val="299"/>
          <w:jc w:val="left"/>
        </w:trPr>
        <w:tc>
          <w:tcPr>
            <w:tcW w:w="2011" w:type="dxa"/>
            <w:vMerge/>
            <w:tcBorders>
              <w:top w:val="nil"/>
              <w:bottom w:val="single" w:sz="6" w:space="0" w:color="000000"/>
              <w:right w:val="single" w:sz="4" w:space="0" w:color="000000"/>
            </w:tcBorders>
          </w:tcPr>
          <w:p>
            <w:pPr>
              <w:rPr>
                <w:sz w:val="2"/>
                <w:szCs w:val="2"/>
              </w:rPr>
            </w:pPr>
          </w:p>
        </w:tc>
        <w:tc>
          <w:tcPr>
            <w:tcW w:w="1538" w:type="dxa"/>
            <w:vMerge/>
            <w:tcBorders>
              <w:top w:val="nil"/>
              <w:left w:val="single" w:sz="4" w:space="0" w:color="000000"/>
              <w:bottom w:val="single" w:sz="4" w:space="0" w:color="000000"/>
              <w:right w:val="single" w:sz="6" w:space="0" w:color="000000"/>
            </w:tcBorders>
          </w:tcPr>
          <w:p>
            <w:pPr>
              <w:rPr>
                <w:sz w:val="2"/>
                <w:szCs w:val="2"/>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right="342"/>
              <w:jc w:val="right"/>
              <w:rPr>
                <w:sz w:val="18"/>
              </w:rPr>
            </w:pPr>
            <w:r>
              <w:rPr>
                <w:sz w:val="18"/>
              </w:rPr>
              <w:t>其他层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59" w:line="220" w:lineRule="exact"/>
              <w:ind w:left="158" w:right="125"/>
              <w:rPr>
                <w:sz w:val="18"/>
              </w:rPr>
            </w:pPr>
            <w:r>
              <w:rPr>
                <w:sz w:val="18"/>
              </w:rPr>
              <w:t>1.0</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299"/>
          <w:jc w:val="left"/>
        </w:trPr>
        <w:tc>
          <w:tcPr>
            <w:tcW w:w="2011" w:type="dxa"/>
            <w:vMerge/>
            <w:tcBorders>
              <w:top w:val="nil"/>
              <w:bottom w:val="single" w:sz="6" w:space="0" w:color="000000"/>
              <w:right w:val="single" w:sz="4" w:space="0" w:color="000000"/>
            </w:tcBorders>
          </w:tcPr>
          <w:p>
            <w:pPr>
              <w:rPr>
                <w:sz w:val="2"/>
                <w:szCs w:val="2"/>
              </w:rPr>
            </w:pPr>
          </w:p>
        </w:tc>
        <w:tc>
          <w:tcPr>
            <w:tcW w:w="2812" w:type="dxa"/>
            <w:gridSpan w:val="2"/>
            <w:tcBorders>
              <w:top w:val="single" w:sz="6" w:space="0" w:color="000000"/>
              <w:left w:val="single" w:sz="4" w:space="0" w:color="000000"/>
              <w:bottom w:val="single" w:sz="6" w:space="0" w:color="000000"/>
              <w:right w:val="single" w:sz="6" w:space="0" w:color="000000"/>
            </w:tcBorders>
          </w:tcPr>
          <w:p>
            <w:pPr>
              <w:pStyle w:val="TableParagraph"/>
              <w:spacing w:before="59" w:line="220" w:lineRule="exact"/>
              <w:ind w:left="540"/>
              <w:jc w:val="left"/>
              <w:rPr>
                <w:sz w:val="18"/>
              </w:rPr>
            </w:pPr>
            <w:r>
              <w:rPr>
                <w:sz w:val="18"/>
              </w:rPr>
              <w:t>粒径 2．36mm－4.75mm</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9" w:line="220"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59" w:line="220" w:lineRule="exact"/>
              <w:ind w:left="31"/>
              <w:rPr>
                <w:sz w:val="18"/>
              </w:rPr>
            </w:pPr>
            <w:r>
              <w:rPr>
                <w:sz w:val="18"/>
              </w:rPr>
              <w:t>2</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311"/>
          <w:jc w:val="left"/>
        </w:trPr>
        <w:tc>
          <w:tcPr>
            <w:tcW w:w="3549" w:type="dxa"/>
            <w:gridSpan w:val="2"/>
            <w:vMerge w:val="restart"/>
            <w:tcBorders>
              <w:top w:val="single" w:sz="6" w:space="0" w:color="000000"/>
              <w:bottom w:val="single" w:sz="6" w:space="0" w:color="000000"/>
              <w:right w:val="single" w:sz="6" w:space="0" w:color="000000"/>
            </w:tcBorders>
          </w:tcPr>
          <w:p>
            <w:pPr>
              <w:pStyle w:val="TableParagraph"/>
              <w:spacing w:before="12"/>
              <w:jc w:val="left"/>
              <w:rPr>
                <w:rFonts w:ascii="黑体"/>
                <w:sz w:val="17"/>
              </w:rPr>
            </w:pPr>
          </w:p>
          <w:p>
            <w:pPr>
              <w:pStyle w:val="TableParagraph"/>
              <w:spacing w:before="0"/>
              <w:ind w:left="1055"/>
              <w:jc w:val="left"/>
              <w:rPr>
                <w:sz w:val="18"/>
              </w:rPr>
            </w:pPr>
            <w:r>
              <w:rPr>
                <w:sz w:val="18"/>
              </w:rPr>
              <w:t>软石含量，不大于</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67" w:line="225" w:lineRule="exact"/>
              <w:ind w:right="342"/>
              <w:jc w:val="right"/>
              <w:rPr>
                <w:sz w:val="18"/>
              </w:rPr>
            </w:pPr>
            <w:r>
              <w:rPr>
                <w:sz w:val="18"/>
              </w:rPr>
              <w:t>表面层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7" w:line="225"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67" w:line="225" w:lineRule="exact"/>
              <w:ind w:left="158" w:right="125"/>
              <w:rPr>
                <w:sz w:val="18"/>
              </w:rPr>
            </w:pPr>
            <w:r>
              <w:rPr>
                <w:sz w:val="18"/>
              </w:rPr>
              <w:t>2.5</w:t>
            </w:r>
          </w:p>
        </w:tc>
        <w:tc>
          <w:tcPr>
            <w:tcW w:w="1713" w:type="dxa"/>
            <w:vMerge w:val="restart"/>
            <w:tcBorders>
              <w:top w:val="single" w:sz="6" w:space="0" w:color="000000"/>
              <w:left w:val="single" w:sz="4" w:space="0" w:color="000000"/>
              <w:bottom w:val="single" w:sz="6" w:space="0" w:color="000000"/>
            </w:tcBorders>
          </w:tcPr>
          <w:p>
            <w:pPr>
              <w:pStyle w:val="TableParagraph"/>
              <w:spacing w:before="12"/>
              <w:jc w:val="left"/>
              <w:rPr>
                <w:rFonts w:ascii="黑体"/>
                <w:sz w:val="17"/>
              </w:rPr>
            </w:pPr>
          </w:p>
          <w:p>
            <w:pPr>
              <w:pStyle w:val="TableParagraph"/>
              <w:spacing w:before="0"/>
              <w:ind w:left="599"/>
              <w:jc w:val="left"/>
              <w:rPr>
                <w:sz w:val="18"/>
              </w:rPr>
            </w:pPr>
            <w:r>
              <w:rPr>
                <w:sz w:val="18"/>
              </w:rPr>
              <w:t>T 0320</w:t>
            </w:r>
          </w:p>
        </w:tc>
      </w:tr>
      <w:tr>
        <w:tblPrEx>
          <w:tblW w:w="0" w:type="auto"/>
          <w:jc w:val="left"/>
          <w:tblInd w:w="308" w:type="dxa"/>
          <w:tblLayout w:type="fixed"/>
          <w:tblCellMar>
            <w:top w:w="0" w:type="dxa"/>
            <w:left w:w="0" w:type="dxa"/>
            <w:bottom w:w="0" w:type="dxa"/>
            <w:right w:w="0" w:type="dxa"/>
          </w:tblCellMar>
          <w:tblLook w:val="01E0"/>
        </w:tblPrEx>
        <w:trPr>
          <w:trHeight w:val="313"/>
          <w:jc w:val="left"/>
        </w:trPr>
        <w:tc>
          <w:tcPr>
            <w:tcW w:w="3549" w:type="dxa"/>
            <w:gridSpan w:val="2"/>
            <w:vMerge/>
            <w:tcBorders>
              <w:top w:val="nil"/>
              <w:bottom w:val="single" w:sz="6" w:space="0" w:color="000000"/>
              <w:right w:val="single" w:sz="6" w:space="0" w:color="000000"/>
            </w:tcBorders>
          </w:tcPr>
          <w:p>
            <w:pPr>
              <w:rPr>
                <w:sz w:val="2"/>
                <w:szCs w:val="2"/>
              </w:rPr>
            </w:pP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67" w:line="227" w:lineRule="exact"/>
              <w:ind w:right="342"/>
              <w:jc w:val="right"/>
              <w:rPr>
                <w:sz w:val="18"/>
              </w:rPr>
            </w:pPr>
            <w:r>
              <w:rPr>
                <w:sz w:val="18"/>
              </w:rPr>
              <w:t>其他层</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7" w:line="227" w:lineRule="exact"/>
              <w:ind w:left="35"/>
              <w:rPr>
                <w:sz w:val="18"/>
              </w:rPr>
            </w:pPr>
            <w:r>
              <w:rPr>
                <w:sz w:val="18"/>
              </w:rPr>
              <w:t>%</w:t>
            </w:r>
          </w:p>
        </w:tc>
        <w:tc>
          <w:tcPr>
            <w:tcW w:w="1418" w:type="dxa"/>
            <w:tcBorders>
              <w:top w:val="single" w:sz="6" w:space="0" w:color="000000"/>
              <w:left w:val="single" w:sz="6" w:space="0" w:color="000000"/>
              <w:bottom w:val="single" w:sz="6" w:space="0" w:color="000000"/>
              <w:right w:val="single" w:sz="4" w:space="0" w:color="000000"/>
            </w:tcBorders>
          </w:tcPr>
          <w:p>
            <w:pPr>
              <w:pStyle w:val="TableParagraph"/>
              <w:spacing w:before="67" w:line="227" w:lineRule="exact"/>
              <w:ind w:left="158" w:right="125"/>
              <w:rPr>
                <w:sz w:val="18"/>
              </w:rPr>
            </w:pPr>
            <w:r>
              <w:rPr>
                <w:sz w:val="18"/>
              </w:rPr>
              <w:t>3.5</w:t>
            </w:r>
          </w:p>
        </w:tc>
        <w:tc>
          <w:tcPr>
            <w:tcW w:w="1713" w:type="dxa"/>
            <w:vMerge/>
            <w:tcBorders>
              <w:top w:val="nil"/>
              <w:left w:val="single" w:sz="4" w:space="0" w:color="000000"/>
              <w:bottom w:val="single" w:sz="6" w:space="0" w:color="000000"/>
            </w:tcBorders>
          </w:tcPr>
          <w:p>
            <w:pPr>
              <w:rPr>
                <w:sz w:val="2"/>
                <w:szCs w:val="2"/>
              </w:rPr>
            </w:pPr>
          </w:p>
        </w:tc>
      </w:tr>
      <w:tr>
        <w:tblPrEx>
          <w:tblW w:w="0" w:type="auto"/>
          <w:jc w:val="left"/>
          <w:tblInd w:w="308" w:type="dxa"/>
          <w:tblLayout w:type="fixed"/>
          <w:tblCellMar>
            <w:top w:w="0" w:type="dxa"/>
            <w:left w:w="0" w:type="dxa"/>
            <w:bottom w:w="0" w:type="dxa"/>
            <w:right w:w="0" w:type="dxa"/>
          </w:tblCellMar>
          <w:tblLook w:val="01E0"/>
        </w:tblPrEx>
        <w:trPr>
          <w:trHeight w:val="337"/>
          <w:jc w:val="left"/>
        </w:trPr>
        <w:tc>
          <w:tcPr>
            <w:tcW w:w="4823" w:type="dxa"/>
            <w:gridSpan w:val="3"/>
            <w:tcBorders>
              <w:top w:val="single" w:sz="6" w:space="0" w:color="000000"/>
              <w:right w:val="single" w:sz="6" w:space="0" w:color="000000"/>
            </w:tcBorders>
          </w:tcPr>
          <w:p>
            <w:pPr>
              <w:pStyle w:val="TableParagraph"/>
              <w:spacing w:before="79"/>
              <w:ind w:left="921"/>
              <w:jc w:val="left"/>
              <w:rPr>
                <w:sz w:val="18"/>
              </w:rPr>
            </w:pPr>
            <w:r>
              <w:rPr>
                <w:sz w:val="18"/>
              </w:rPr>
              <w:t>方解石含量，不大于</w:t>
            </w:r>
          </w:p>
        </w:tc>
        <w:tc>
          <w:tcPr>
            <w:tcW w:w="1276" w:type="dxa"/>
            <w:tcBorders>
              <w:top w:val="single" w:sz="6" w:space="0" w:color="000000"/>
              <w:left w:val="single" w:sz="6" w:space="0" w:color="000000"/>
              <w:right w:val="single" w:sz="6" w:space="0" w:color="000000"/>
            </w:tcBorders>
          </w:tcPr>
          <w:p>
            <w:pPr>
              <w:pStyle w:val="TableParagraph"/>
              <w:spacing w:before="79"/>
              <w:ind w:left="35"/>
              <w:rPr>
                <w:sz w:val="18"/>
              </w:rPr>
            </w:pPr>
            <w:r>
              <w:rPr>
                <w:sz w:val="18"/>
              </w:rPr>
              <w:t>%</w:t>
            </w:r>
          </w:p>
        </w:tc>
        <w:tc>
          <w:tcPr>
            <w:tcW w:w="1418" w:type="dxa"/>
            <w:tcBorders>
              <w:top w:val="single" w:sz="6" w:space="0" w:color="000000"/>
              <w:left w:val="single" w:sz="6" w:space="0" w:color="000000"/>
              <w:right w:val="single" w:sz="4" w:space="0" w:color="000000"/>
            </w:tcBorders>
          </w:tcPr>
          <w:p>
            <w:pPr>
              <w:pStyle w:val="TableParagraph"/>
              <w:spacing w:before="79"/>
              <w:ind w:left="158" w:right="125"/>
              <w:rPr>
                <w:sz w:val="18"/>
              </w:rPr>
            </w:pPr>
            <w:r>
              <w:rPr>
                <w:sz w:val="18"/>
              </w:rPr>
              <w:t>10</w:t>
            </w:r>
          </w:p>
        </w:tc>
        <w:tc>
          <w:tcPr>
            <w:tcW w:w="1713" w:type="dxa"/>
            <w:tcBorders>
              <w:top w:val="single" w:sz="6" w:space="0" w:color="000000"/>
              <w:left w:val="single" w:sz="4" w:space="0" w:color="000000"/>
            </w:tcBorders>
          </w:tcPr>
          <w:p>
            <w:pPr>
              <w:pStyle w:val="TableParagraph"/>
              <w:spacing w:before="79"/>
              <w:ind w:left="310" w:right="263"/>
              <w:rPr>
                <w:sz w:val="18"/>
              </w:rPr>
            </w:pPr>
            <w:r>
              <w:rPr>
                <w:sz w:val="18"/>
              </w:rPr>
              <w:t>本指南附录 F</w:t>
            </w:r>
          </w:p>
        </w:tc>
      </w:tr>
    </w:tbl>
    <w:p>
      <w:pPr>
        <w:pStyle w:val="ListParagraph"/>
        <w:numPr>
          <w:ilvl w:val="3"/>
          <w:numId w:val="31"/>
        </w:numPr>
        <w:tabs>
          <w:tab w:val="left" w:pos="1179"/>
        </w:tabs>
        <w:spacing w:before="178" w:after="0" w:line="278" w:lineRule="auto"/>
        <w:ind w:left="232" w:right="596" w:firstLine="0"/>
        <w:jc w:val="both"/>
        <w:rPr>
          <w:sz w:val="21"/>
        </w:rPr>
      </w:pPr>
      <w:bookmarkStart w:id="96" w:name="5.2.3.3  细集料  采用坚硬、清洁、干燥、无风化、无杂质并有适当级配的0"/>
      <w:bookmarkEnd w:id="96"/>
      <w:r>
        <w:rPr>
          <w:spacing w:val="-5"/>
          <w:sz w:val="21"/>
        </w:rPr>
        <w:t xml:space="preserve">细集料 采用坚硬、清洁、干燥、无风化、无杂质并有适当级配的 </w:t>
      </w:r>
      <w:r>
        <w:rPr>
          <w:sz w:val="21"/>
        </w:rPr>
        <w:t>0～2.36mm</w:t>
      </w:r>
      <w:r>
        <w:rPr>
          <w:spacing w:val="-9"/>
          <w:sz w:val="21"/>
        </w:rPr>
        <w:t xml:space="preserve"> 机制砂，优先</w:t>
      </w:r>
      <w:r>
        <w:rPr>
          <w:spacing w:val="-11"/>
          <w:sz w:val="21"/>
        </w:rPr>
        <w:t>选用石灰岩石质，不宜选用酸性岩质，不应采用矿山的下脚料。沥青混合料用细集料质量技术要求应符</w:t>
      </w:r>
      <w:r>
        <w:rPr>
          <w:spacing w:val="-25"/>
          <w:sz w:val="21"/>
        </w:rPr>
        <w:t xml:space="preserve">合表 </w:t>
      </w:r>
      <w:r>
        <w:rPr>
          <w:sz w:val="21"/>
        </w:rPr>
        <w:t>8</w:t>
      </w:r>
      <w:r>
        <w:rPr>
          <w:spacing w:val="-16"/>
          <w:sz w:val="21"/>
        </w:rPr>
        <w:t xml:space="preserve"> 规定。</w:t>
      </w:r>
    </w:p>
    <w:p>
      <w:pPr>
        <w:spacing w:after="0" w:line="278" w:lineRule="auto"/>
        <w:jc w:val="both"/>
        <w:rPr>
          <w:sz w:val="21"/>
        </w:rPr>
        <w:sectPr>
          <w:footerReference w:type="even" r:id="rId28"/>
          <w:footerReference w:type="default" r:id="rId29"/>
          <w:pgSz w:w="11910" w:h="16840"/>
          <w:pgMar w:top="1400" w:right="820" w:bottom="1200" w:left="900" w:header="0" w:footer="1001"/>
          <w:pgNumType w:start="10"/>
          <w:cols w:space="708"/>
        </w:sectPr>
      </w:pPr>
    </w:p>
    <w:p>
      <w:pPr>
        <w:pStyle w:val="BodyText"/>
        <w:tabs>
          <w:tab w:val="left" w:pos="781"/>
        </w:tabs>
        <w:spacing w:before="44"/>
        <w:ind w:left="203"/>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8</w:t>
        <w:tab/>
        <w:t>沥</w:t>
      </w:r>
      <w:r>
        <w:rPr>
          <w:rFonts w:ascii="黑体" w:eastAsia="黑体" w:hint="eastAsia"/>
          <w:spacing w:val="-3"/>
        </w:rPr>
        <w:t>青</w:t>
      </w:r>
      <w:r>
        <w:rPr>
          <w:rFonts w:ascii="黑体" w:eastAsia="黑体" w:hint="eastAsia"/>
        </w:rPr>
        <w:t>混</w:t>
      </w:r>
      <w:r>
        <w:rPr>
          <w:rFonts w:ascii="黑体" w:eastAsia="黑体" w:hint="eastAsia"/>
          <w:spacing w:val="-3"/>
        </w:rPr>
        <w:t>合</w:t>
      </w:r>
      <w:r>
        <w:rPr>
          <w:rFonts w:ascii="黑体" w:eastAsia="黑体" w:hint="eastAsia"/>
        </w:rPr>
        <w:t>料</w:t>
      </w:r>
      <w:r>
        <w:rPr>
          <w:rFonts w:ascii="黑体" w:eastAsia="黑体" w:hint="eastAsia"/>
          <w:spacing w:val="-3"/>
        </w:rPr>
        <w:t>用</w:t>
      </w:r>
      <w:r>
        <w:rPr>
          <w:rFonts w:ascii="黑体" w:eastAsia="黑体" w:hint="eastAsia"/>
        </w:rPr>
        <w:t>细</w:t>
      </w:r>
      <w:r>
        <w:rPr>
          <w:rFonts w:ascii="黑体" w:eastAsia="黑体" w:hint="eastAsia"/>
          <w:spacing w:val="-3"/>
        </w:rPr>
        <w:t>集</w:t>
      </w:r>
      <w:r>
        <w:rPr>
          <w:rFonts w:ascii="黑体" w:eastAsia="黑体" w:hint="eastAsia"/>
        </w:rPr>
        <w:t>料质</w:t>
      </w:r>
      <w:r>
        <w:rPr>
          <w:rFonts w:ascii="黑体" w:eastAsia="黑体" w:hint="eastAsia"/>
          <w:spacing w:val="-3"/>
        </w:rPr>
        <w:t>量</w:t>
      </w:r>
      <w:r>
        <w:rPr>
          <w:rFonts w:ascii="黑体" w:eastAsia="黑体" w:hint="eastAsia"/>
        </w:rPr>
        <w:t>技</w:t>
      </w:r>
      <w:r>
        <w:rPr>
          <w:rFonts w:ascii="黑体" w:eastAsia="黑体" w:hint="eastAsia"/>
          <w:spacing w:val="-3"/>
        </w:rPr>
        <w:t>术</w:t>
      </w:r>
      <w:r>
        <w:rPr>
          <w:rFonts w:ascii="黑体" w:eastAsia="黑体" w:hint="eastAsia"/>
        </w:rPr>
        <w:t>要求</w:t>
      </w:r>
    </w:p>
    <w:p>
      <w:pPr>
        <w:pStyle w:val="BodyText"/>
        <w:spacing w:before="9" w:after="1"/>
        <w:rPr>
          <w:rFonts w:ascii="黑体"/>
          <w:sz w:val="13"/>
        </w:rPr>
      </w:pPr>
    </w:p>
    <w:tbl>
      <w:tblPr>
        <w:tblStyle w:val="TableNormal5"/>
        <w:tblW w:w="0" w:type="auto"/>
        <w:jc w:val="left"/>
        <w:tblInd w:w="5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831"/>
        <w:gridCol w:w="1133"/>
        <w:gridCol w:w="1702"/>
        <w:gridCol w:w="1642"/>
      </w:tblGrid>
      <w:tr>
        <w:tblPrEx>
          <w:tblW w:w="0" w:type="auto"/>
          <w:jc w:val="left"/>
          <w:tblInd w:w="5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13"/>
          <w:jc w:val="left"/>
        </w:trPr>
        <w:tc>
          <w:tcPr>
            <w:tcW w:w="4831" w:type="dxa"/>
            <w:tcBorders>
              <w:bottom w:val="single" w:sz="6" w:space="0" w:color="000000"/>
              <w:right w:val="single" w:sz="6" w:space="0" w:color="000000"/>
            </w:tcBorders>
          </w:tcPr>
          <w:p>
            <w:pPr>
              <w:pStyle w:val="TableParagraph"/>
              <w:tabs>
                <w:tab w:val="left" w:pos="833"/>
              </w:tabs>
              <w:ind w:left="19"/>
              <w:rPr>
                <w:sz w:val="18"/>
              </w:rPr>
            </w:pPr>
            <w:r>
              <w:rPr>
                <w:sz w:val="18"/>
              </w:rPr>
              <w:t>项</w:t>
              <w:tab/>
              <w:t>目</w:t>
            </w:r>
          </w:p>
        </w:tc>
        <w:tc>
          <w:tcPr>
            <w:tcW w:w="1133" w:type="dxa"/>
            <w:tcBorders>
              <w:left w:val="single" w:sz="6" w:space="0" w:color="000000"/>
              <w:bottom w:val="single" w:sz="6" w:space="0" w:color="000000"/>
              <w:right w:val="single" w:sz="6" w:space="0" w:color="000000"/>
            </w:tcBorders>
          </w:tcPr>
          <w:p>
            <w:pPr>
              <w:pStyle w:val="TableParagraph"/>
              <w:ind w:left="328" w:right="299"/>
              <w:rPr>
                <w:sz w:val="18"/>
              </w:rPr>
            </w:pPr>
            <w:r>
              <w:rPr>
                <w:sz w:val="18"/>
              </w:rPr>
              <w:t>单 位</w:t>
            </w:r>
          </w:p>
        </w:tc>
        <w:tc>
          <w:tcPr>
            <w:tcW w:w="1702" w:type="dxa"/>
            <w:tcBorders>
              <w:left w:val="single" w:sz="6" w:space="0" w:color="000000"/>
              <w:bottom w:val="single" w:sz="6" w:space="0" w:color="000000"/>
              <w:right w:val="single" w:sz="4" w:space="0" w:color="000000"/>
            </w:tcBorders>
          </w:tcPr>
          <w:p>
            <w:pPr>
              <w:pStyle w:val="TableParagraph"/>
              <w:ind w:left="296" w:right="273"/>
              <w:rPr>
                <w:sz w:val="18"/>
              </w:rPr>
            </w:pPr>
            <w:r>
              <w:rPr>
                <w:sz w:val="18"/>
              </w:rPr>
              <w:t>质量技术要求</w:t>
            </w:r>
          </w:p>
        </w:tc>
        <w:tc>
          <w:tcPr>
            <w:tcW w:w="1642" w:type="dxa"/>
            <w:tcBorders>
              <w:left w:val="single" w:sz="4" w:space="0" w:color="000000"/>
              <w:bottom w:val="single" w:sz="6" w:space="0" w:color="000000"/>
            </w:tcBorders>
          </w:tcPr>
          <w:p>
            <w:pPr>
              <w:pStyle w:val="TableParagraph"/>
              <w:ind w:left="449" w:right="412"/>
              <w:rPr>
                <w:sz w:val="18"/>
              </w:rPr>
            </w:pPr>
            <w:r>
              <w:rPr>
                <w:sz w:val="18"/>
              </w:rPr>
              <w:t>试验方法</w:t>
            </w:r>
          </w:p>
        </w:tc>
      </w:tr>
      <w:tr>
        <w:tblPrEx>
          <w:tblW w:w="0" w:type="auto"/>
          <w:jc w:val="left"/>
          <w:tblInd w:w="555" w:type="dxa"/>
          <w:tblLayout w:type="fixed"/>
          <w:tblCellMar>
            <w:top w:w="0" w:type="dxa"/>
            <w:left w:w="0" w:type="dxa"/>
            <w:bottom w:w="0" w:type="dxa"/>
            <w:right w:w="0" w:type="dxa"/>
          </w:tblCellMar>
          <w:tblLook w:val="01E0"/>
        </w:tblPrEx>
        <w:trPr>
          <w:trHeight w:val="311"/>
          <w:jc w:val="left"/>
        </w:trPr>
        <w:tc>
          <w:tcPr>
            <w:tcW w:w="4831" w:type="dxa"/>
            <w:tcBorders>
              <w:top w:val="single" w:sz="6" w:space="0" w:color="000000"/>
              <w:bottom w:val="single" w:sz="6" w:space="0" w:color="000000"/>
              <w:right w:val="single" w:sz="6" w:space="0" w:color="000000"/>
            </w:tcBorders>
          </w:tcPr>
          <w:p>
            <w:pPr>
              <w:pStyle w:val="TableParagraph"/>
              <w:ind w:left="19"/>
              <w:rPr>
                <w:sz w:val="18"/>
              </w:rPr>
            </w:pPr>
            <w:r>
              <w:rPr>
                <w:sz w:val="18"/>
              </w:rPr>
              <w:t>表观相对密度，不小于</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ind w:left="26"/>
              <w:rPr>
                <w:sz w:val="18"/>
              </w:rPr>
            </w:pPr>
            <w:r>
              <w:rPr>
                <w:sz w:val="18"/>
              </w:rPr>
              <w:t>－</w:t>
            </w:r>
          </w:p>
        </w:tc>
        <w:tc>
          <w:tcPr>
            <w:tcW w:w="1702" w:type="dxa"/>
            <w:tcBorders>
              <w:top w:val="single" w:sz="6" w:space="0" w:color="000000"/>
              <w:left w:val="single" w:sz="6" w:space="0" w:color="000000"/>
              <w:bottom w:val="single" w:sz="6" w:space="0" w:color="000000"/>
              <w:right w:val="single" w:sz="4" w:space="0" w:color="000000"/>
            </w:tcBorders>
          </w:tcPr>
          <w:p>
            <w:pPr>
              <w:pStyle w:val="TableParagraph"/>
              <w:ind w:left="296" w:right="272"/>
              <w:rPr>
                <w:sz w:val="18"/>
              </w:rPr>
            </w:pPr>
            <w:r>
              <w:rPr>
                <w:sz w:val="18"/>
              </w:rPr>
              <w:t>2.60</w:t>
            </w:r>
          </w:p>
        </w:tc>
        <w:tc>
          <w:tcPr>
            <w:tcW w:w="1642" w:type="dxa"/>
            <w:tcBorders>
              <w:top w:val="single" w:sz="6" w:space="0" w:color="000000"/>
              <w:left w:val="single" w:sz="4" w:space="0" w:color="000000"/>
              <w:bottom w:val="single" w:sz="6" w:space="0" w:color="000000"/>
            </w:tcBorders>
          </w:tcPr>
          <w:p>
            <w:pPr>
              <w:pStyle w:val="TableParagraph"/>
              <w:ind w:left="447" w:right="412"/>
              <w:rPr>
                <w:sz w:val="18"/>
              </w:rPr>
            </w:pPr>
            <w:r>
              <w:rPr>
                <w:sz w:val="18"/>
              </w:rPr>
              <w:t>T 0328</w:t>
            </w:r>
          </w:p>
        </w:tc>
      </w:tr>
      <w:tr>
        <w:tblPrEx>
          <w:tblW w:w="0" w:type="auto"/>
          <w:jc w:val="left"/>
          <w:tblInd w:w="555" w:type="dxa"/>
          <w:tblLayout w:type="fixed"/>
          <w:tblCellMar>
            <w:top w:w="0" w:type="dxa"/>
            <w:left w:w="0" w:type="dxa"/>
            <w:bottom w:w="0" w:type="dxa"/>
            <w:right w:w="0" w:type="dxa"/>
          </w:tblCellMar>
          <w:tblLook w:val="01E0"/>
        </w:tblPrEx>
        <w:trPr>
          <w:trHeight w:val="311"/>
          <w:jc w:val="left"/>
        </w:trPr>
        <w:tc>
          <w:tcPr>
            <w:tcW w:w="4831" w:type="dxa"/>
            <w:tcBorders>
              <w:top w:val="single" w:sz="6" w:space="0" w:color="000000"/>
              <w:bottom w:val="single" w:sz="6" w:space="0" w:color="000000"/>
              <w:right w:val="single" w:sz="6" w:space="0" w:color="000000"/>
            </w:tcBorders>
          </w:tcPr>
          <w:p>
            <w:pPr>
              <w:pStyle w:val="TableParagraph"/>
              <w:ind w:left="16"/>
              <w:rPr>
                <w:sz w:val="18"/>
              </w:rPr>
            </w:pPr>
            <w:r>
              <w:rPr>
                <w:sz w:val="18"/>
              </w:rPr>
              <w:t>坚固性（＞</w:t>
            </w:r>
            <w:r>
              <w:rPr>
                <w:spacing w:val="1"/>
                <w:sz w:val="18"/>
              </w:rPr>
              <w:t>0.</w:t>
            </w:r>
            <w:r>
              <w:rPr>
                <w:spacing w:val="-2"/>
                <w:sz w:val="18"/>
              </w:rPr>
              <w:t>3m</w:t>
            </w:r>
            <w:r>
              <w:rPr>
                <w:sz w:val="18"/>
              </w:rPr>
              <w:t>m</w:t>
            </w:r>
            <w:r>
              <w:rPr>
                <w:spacing w:val="-15"/>
                <w:sz w:val="18"/>
              </w:rPr>
              <w:t xml:space="preserve"> 部分</w:t>
            </w:r>
            <w:r>
              <w:rPr>
                <w:spacing w:val="-92"/>
                <w:sz w:val="18"/>
              </w:rPr>
              <w:t>）</w:t>
            </w:r>
            <w:r>
              <w:rPr>
                <w:sz w:val="18"/>
              </w:rPr>
              <w:t>，不大于</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ind w:left="27"/>
              <w:rPr>
                <w:sz w:val="18"/>
              </w:rPr>
            </w:pPr>
            <w:r>
              <w:rPr>
                <w:sz w:val="18"/>
              </w:rPr>
              <w:t>%</w:t>
            </w:r>
          </w:p>
        </w:tc>
        <w:tc>
          <w:tcPr>
            <w:tcW w:w="1702" w:type="dxa"/>
            <w:tcBorders>
              <w:top w:val="single" w:sz="6" w:space="0" w:color="000000"/>
              <w:left w:val="single" w:sz="6" w:space="0" w:color="000000"/>
              <w:bottom w:val="single" w:sz="6" w:space="0" w:color="000000"/>
              <w:right w:val="single" w:sz="4" w:space="0" w:color="000000"/>
            </w:tcBorders>
          </w:tcPr>
          <w:p>
            <w:pPr>
              <w:pStyle w:val="TableParagraph"/>
              <w:ind w:left="296" w:right="268"/>
              <w:rPr>
                <w:sz w:val="18"/>
              </w:rPr>
            </w:pPr>
            <w:r>
              <w:rPr>
                <w:sz w:val="18"/>
              </w:rPr>
              <w:t>12</w:t>
            </w:r>
          </w:p>
        </w:tc>
        <w:tc>
          <w:tcPr>
            <w:tcW w:w="1642" w:type="dxa"/>
            <w:tcBorders>
              <w:top w:val="single" w:sz="6" w:space="0" w:color="000000"/>
              <w:left w:val="single" w:sz="4" w:space="0" w:color="000000"/>
              <w:bottom w:val="single" w:sz="6" w:space="0" w:color="000000"/>
            </w:tcBorders>
          </w:tcPr>
          <w:p>
            <w:pPr>
              <w:pStyle w:val="TableParagraph"/>
              <w:ind w:left="447" w:right="412"/>
              <w:rPr>
                <w:sz w:val="18"/>
              </w:rPr>
            </w:pPr>
            <w:r>
              <w:rPr>
                <w:sz w:val="18"/>
              </w:rPr>
              <w:t>T 0340</w:t>
            </w:r>
          </w:p>
        </w:tc>
      </w:tr>
      <w:tr>
        <w:tblPrEx>
          <w:tblW w:w="0" w:type="auto"/>
          <w:jc w:val="left"/>
          <w:tblInd w:w="555" w:type="dxa"/>
          <w:tblLayout w:type="fixed"/>
          <w:tblCellMar>
            <w:top w:w="0" w:type="dxa"/>
            <w:left w:w="0" w:type="dxa"/>
            <w:bottom w:w="0" w:type="dxa"/>
            <w:right w:w="0" w:type="dxa"/>
          </w:tblCellMar>
          <w:tblLook w:val="01E0"/>
        </w:tblPrEx>
        <w:trPr>
          <w:trHeight w:val="311"/>
          <w:jc w:val="left"/>
        </w:trPr>
        <w:tc>
          <w:tcPr>
            <w:tcW w:w="4831" w:type="dxa"/>
            <w:tcBorders>
              <w:top w:val="single" w:sz="6" w:space="0" w:color="000000"/>
              <w:bottom w:val="single" w:sz="6" w:space="0" w:color="000000"/>
              <w:right w:val="single" w:sz="6" w:space="0" w:color="000000"/>
            </w:tcBorders>
          </w:tcPr>
          <w:p>
            <w:pPr>
              <w:pStyle w:val="TableParagraph"/>
              <w:ind w:left="19"/>
              <w:rPr>
                <w:sz w:val="18"/>
              </w:rPr>
            </w:pPr>
            <w:r>
              <w:rPr>
                <w:sz w:val="18"/>
              </w:rPr>
              <w:t>亚甲蓝值，不大于</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ind w:left="328" w:right="298"/>
              <w:rPr>
                <w:sz w:val="18"/>
              </w:rPr>
            </w:pPr>
            <w:r>
              <w:rPr>
                <w:sz w:val="18"/>
              </w:rPr>
              <w:t>g/kg</w:t>
            </w:r>
          </w:p>
        </w:tc>
        <w:tc>
          <w:tcPr>
            <w:tcW w:w="1702" w:type="dxa"/>
            <w:tcBorders>
              <w:top w:val="single" w:sz="6" w:space="0" w:color="000000"/>
              <w:left w:val="single" w:sz="6" w:space="0" w:color="000000"/>
              <w:bottom w:val="single" w:sz="6" w:space="0" w:color="000000"/>
              <w:right w:val="single" w:sz="4" w:space="0" w:color="000000"/>
            </w:tcBorders>
          </w:tcPr>
          <w:p>
            <w:pPr>
              <w:pStyle w:val="TableParagraph"/>
              <w:ind w:left="22"/>
              <w:rPr>
                <w:sz w:val="18"/>
              </w:rPr>
            </w:pPr>
            <w:r>
              <w:rPr>
                <w:sz w:val="18"/>
              </w:rPr>
              <w:t>6</w:t>
            </w:r>
          </w:p>
        </w:tc>
        <w:tc>
          <w:tcPr>
            <w:tcW w:w="1642" w:type="dxa"/>
            <w:tcBorders>
              <w:top w:val="single" w:sz="6" w:space="0" w:color="000000"/>
              <w:left w:val="single" w:sz="4" w:space="0" w:color="000000"/>
              <w:bottom w:val="single" w:sz="6" w:space="0" w:color="000000"/>
            </w:tcBorders>
          </w:tcPr>
          <w:p>
            <w:pPr>
              <w:pStyle w:val="TableParagraph"/>
              <w:ind w:left="446" w:right="412"/>
              <w:rPr>
                <w:sz w:val="18"/>
              </w:rPr>
            </w:pPr>
            <w:r>
              <w:rPr>
                <w:sz w:val="18"/>
              </w:rPr>
              <w:t>T 0349</w:t>
            </w:r>
          </w:p>
        </w:tc>
      </w:tr>
      <w:tr>
        <w:tblPrEx>
          <w:tblW w:w="0" w:type="auto"/>
          <w:jc w:val="left"/>
          <w:tblInd w:w="555" w:type="dxa"/>
          <w:tblLayout w:type="fixed"/>
          <w:tblCellMar>
            <w:top w:w="0" w:type="dxa"/>
            <w:left w:w="0" w:type="dxa"/>
            <w:bottom w:w="0" w:type="dxa"/>
            <w:right w:w="0" w:type="dxa"/>
          </w:tblCellMar>
          <w:tblLook w:val="01E0"/>
        </w:tblPrEx>
        <w:trPr>
          <w:trHeight w:val="313"/>
          <w:jc w:val="left"/>
        </w:trPr>
        <w:tc>
          <w:tcPr>
            <w:tcW w:w="4831" w:type="dxa"/>
            <w:tcBorders>
              <w:top w:val="single" w:sz="6" w:space="0" w:color="000000"/>
              <w:right w:val="single" w:sz="6" w:space="0" w:color="000000"/>
            </w:tcBorders>
          </w:tcPr>
          <w:p>
            <w:pPr>
              <w:pStyle w:val="TableParagraph"/>
              <w:spacing w:before="40"/>
              <w:ind w:left="16"/>
              <w:rPr>
                <w:sz w:val="18"/>
              </w:rPr>
            </w:pPr>
            <w:r>
              <w:rPr>
                <w:sz w:val="18"/>
              </w:rPr>
              <w:t>棱角性（流动时间</w:t>
            </w:r>
            <w:r>
              <w:rPr>
                <w:spacing w:val="-92"/>
                <w:sz w:val="18"/>
              </w:rPr>
              <w:t>）</w:t>
            </w:r>
            <w:r>
              <w:rPr>
                <w:sz w:val="18"/>
              </w:rPr>
              <w:t>，不小于</w:t>
            </w:r>
          </w:p>
        </w:tc>
        <w:tc>
          <w:tcPr>
            <w:tcW w:w="1133" w:type="dxa"/>
            <w:tcBorders>
              <w:top w:val="single" w:sz="6" w:space="0" w:color="000000"/>
              <w:left w:val="single" w:sz="6" w:space="0" w:color="000000"/>
              <w:right w:val="single" w:sz="6" w:space="0" w:color="000000"/>
            </w:tcBorders>
          </w:tcPr>
          <w:p>
            <w:pPr>
              <w:pStyle w:val="TableParagraph"/>
              <w:spacing w:before="40"/>
              <w:ind w:left="28"/>
              <w:rPr>
                <w:sz w:val="18"/>
              </w:rPr>
            </w:pPr>
            <w:r>
              <w:rPr>
                <w:sz w:val="18"/>
              </w:rPr>
              <w:t>s</w:t>
            </w:r>
          </w:p>
        </w:tc>
        <w:tc>
          <w:tcPr>
            <w:tcW w:w="1702" w:type="dxa"/>
            <w:tcBorders>
              <w:top w:val="single" w:sz="6" w:space="0" w:color="000000"/>
              <w:left w:val="single" w:sz="6" w:space="0" w:color="000000"/>
              <w:right w:val="single" w:sz="4" w:space="0" w:color="000000"/>
            </w:tcBorders>
          </w:tcPr>
          <w:p>
            <w:pPr>
              <w:pStyle w:val="TableParagraph"/>
              <w:spacing w:before="40"/>
              <w:ind w:left="296" w:right="268"/>
              <w:rPr>
                <w:sz w:val="18"/>
              </w:rPr>
            </w:pPr>
            <w:r>
              <w:rPr>
                <w:sz w:val="18"/>
              </w:rPr>
              <w:t>30</w:t>
            </w:r>
          </w:p>
        </w:tc>
        <w:tc>
          <w:tcPr>
            <w:tcW w:w="1642" w:type="dxa"/>
            <w:tcBorders>
              <w:top w:val="single" w:sz="6" w:space="0" w:color="000000"/>
              <w:left w:val="single" w:sz="4" w:space="0" w:color="000000"/>
            </w:tcBorders>
          </w:tcPr>
          <w:p>
            <w:pPr>
              <w:pStyle w:val="TableParagraph"/>
              <w:spacing w:before="40"/>
              <w:ind w:left="447" w:right="412"/>
              <w:rPr>
                <w:sz w:val="18"/>
              </w:rPr>
            </w:pPr>
            <w:r>
              <w:rPr>
                <w:sz w:val="18"/>
              </w:rPr>
              <w:t>T 0345</w:t>
            </w:r>
          </w:p>
        </w:tc>
      </w:tr>
    </w:tbl>
    <w:p>
      <w:pPr>
        <w:pStyle w:val="ListParagraph"/>
        <w:numPr>
          <w:ilvl w:val="3"/>
          <w:numId w:val="32"/>
        </w:numPr>
        <w:tabs>
          <w:tab w:val="left" w:pos="1461"/>
          <w:tab w:val="left" w:pos="1462"/>
          <w:tab w:val="left" w:pos="2512"/>
        </w:tabs>
        <w:spacing w:before="178" w:after="0" w:line="240" w:lineRule="auto"/>
        <w:ind w:left="1461" w:right="0" w:hanging="947"/>
        <w:jc w:val="left"/>
        <w:rPr>
          <w:sz w:val="21"/>
        </w:rPr>
      </w:pPr>
      <w:bookmarkStart w:id="97" w:name="5.2.3.4  集料分档  面层集料可参考表9进行分档。"/>
      <w:bookmarkEnd w:id="97"/>
      <w:r>
        <w:rPr>
          <w:sz w:val="21"/>
        </w:rPr>
        <w:t>集</w:t>
      </w:r>
      <w:r>
        <w:rPr>
          <w:spacing w:val="-3"/>
          <w:sz w:val="21"/>
        </w:rPr>
        <w:t>料</w:t>
      </w:r>
      <w:r>
        <w:rPr>
          <w:sz w:val="21"/>
        </w:rPr>
        <w:t>分档</w:t>
        <w:tab/>
      </w:r>
      <w:r>
        <w:rPr>
          <w:spacing w:val="-3"/>
          <w:sz w:val="21"/>
        </w:rPr>
        <w:t>面层</w:t>
      </w:r>
      <w:r>
        <w:rPr>
          <w:sz w:val="21"/>
        </w:rPr>
        <w:t>集料</w:t>
      </w:r>
      <w:r>
        <w:rPr>
          <w:spacing w:val="-3"/>
          <w:sz w:val="21"/>
        </w:rPr>
        <w:t>可</w:t>
      </w:r>
      <w:r>
        <w:rPr>
          <w:sz w:val="21"/>
        </w:rPr>
        <w:t>参</w:t>
      </w:r>
      <w:r>
        <w:rPr>
          <w:spacing w:val="-3"/>
          <w:sz w:val="21"/>
        </w:rPr>
        <w:t>考</w:t>
      </w:r>
      <w:r>
        <w:rPr>
          <w:sz w:val="21"/>
        </w:rPr>
        <w:t>表</w:t>
      </w:r>
      <w:r>
        <w:rPr>
          <w:spacing w:val="-53"/>
          <w:sz w:val="21"/>
        </w:rPr>
        <w:t xml:space="preserve"> </w:t>
      </w:r>
      <w:r>
        <w:rPr>
          <w:sz w:val="21"/>
        </w:rPr>
        <w:t>9</w:t>
      </w:r>
      <w:r>
        <w:rPr>
          <w:spacing w:val="-55"/>
          <w:sz w:val="21"/>
        </w:rPr>
        <w:t xml:space="preserve"> </w:t>
      </w:r>
      <w:r>
        <w:rPr>
          <w:sz w:val="21"/>
        </w:rPr>
        <w:t>进</w:t>
      </w:r>
      <w:r>
        <w:rPr>
          <w:spacing w:val="-3"/>
          <w:sz w:val="21"/>
        </w:rPr>
        <w:t>行</w:t>
      </w:r>
      <w:r>
        <w:rPr>
          <w:sz w:val="21"/>
        </w:rPr>
        <w:t>分</w:t>
      </w:r>
      <w:r>
        <w:rPr>
          <w:spacing w:val="-3"/>
          <w:sz w:val="21"/>
        </w:rPr>
        <w:t>档。</w:t>
      </w:r>
    </w:p>
    <w:p>
      <w:pPr>
        <w:pStyle w:val="BodyText"/>
        <w:spacing w:before="7"/>
        <w:rPr>
          <w:sz w:val="15"/>
        </w:rPr>
      </w:pPr>
    </w:p>
    <w:p>
      <w:pPr>
        <w:pStyle w:val="BodyText"/>
        <w:tabs>
          <w:tab w:val="left" w:pos="774"/>
        </w:tabs>
        <w:ind w:left="196"/>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9</w:t>
        <w:tab/>
        <w:t>面</w:t>
      </w:r>
      <w:r>
        <w:rPr>
          <w:rFonts w:ascii="黑体" w:eastAsia="黑体" w:hint="eastAsia"/>
          <w:spacing w:val="-3"/>
        </w:rPr>
        <w:t>层</w:t>
      </w:r>
      <w:r>
        <w:rPr>
          <w:rFonts w:ascii="黑体" w:eastAsia="黑体" w:hint="eastAsia"/>
        </w:rPr>
        <w:t>集</w:t>
      </w:r>
      <w:r>
        <w:rPr>
          <w:rFonts w:ascii="黑体" w:eastAsia="黑体" w:hint="eastAsia"/>
          <w:spacing w:val="-3"/>
        </w:rPr>
        <w:t>料</w:t>
      </w:r>
      <w:r>
        <w:rPr>
          <w:rFonts w:ascii="黑体" w:eastAsia="黑体" w:hint="eastAsia"/>
        </w:rPr>
        <w:t>分</w:t>
      </w:r>
      <w:r>
        <w:rPr>
          <w:rFonts w:ascii="黑体" w:eastAsia="黑体" w:hint="eastAsia"/>
          <w:spacing w:val="-3"/>
        </w:rPr>
        <w:t>档</w:t>
      </w:r>
      <w:r>
        <w:rPr>
          <w:rFonts w:ascii="黑体" w:eastAsia="黑体" w:hint="eastAsia"/>
        </w:rPr>
        <w:t>参</w:t>
      </w:r>
      <w:r>
        <w:rPr>
          <w:rFonts w:ascii="黑体" w:eastAsia="黑体" w:hint="eastAsia"/>
          <w:spacing w:val="-3"/>
        </w:rPr>
        <w:t>考表</w:t>
      </w:r>
    </w:p>
    <w:p>
      <w:pPr>
        <w:pStyle w:val="BodyText"/>
        <w:spacing w:before="10"/>
        <w:rPr>
          <w:rFonts w:ascii="黑体"/>
          <w:sz w:val="13"/>
        </w:rPr>
      </w:pPr>
    </w:p>
    <w:tbl>
      <w:tblPr>
        <w:tblStyle w:val="TableNormal5"/>
        <w:tblW w:w="0" w:type="auto"/>
        <w:jc w:val="left"/>
        <w:tblInd w:w="5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66"/>
        <w:gridCol w:w="1380"/>
        <w:gridCol w:w="1560"/>
        <w:gridCol w:w="1558"/>
        <w:gridCol w:w="1560"/>
        <w:gridCol w:w="1560"/>
      </w:tblGrid>
      <w:tr>
        <w:tblPrEx>
          <w:tblW w:w="0" w:type="auto"/>
          <w:jc w:val="left"/>
          <w:tblInd w:w="5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13"/>
          <w:jc w:val="left"/>
        </w:trPr>
        <w:tc>
          <w:tcPr>
            <w:tcW w:w="1666" w:type="dxa"/>
            <w:tcBorders>
              <w:bottom w:val="single" w:sz="4" w:space="0" w:color="000000"/>
              <w:right w:val="single" w:sz="4" w:space="0" w:color="000000"/>
            </w:tcBorders>
          </w:tcPr>
          <w:p>
            <w:pPr>
              <w:pStyle w:val="TableParagraph"/>
              <w:spacing w:before="40"/>
              <w:ind w:left="181" w:right="165"/>
              <w:rPr>
                <w:sz w:val="18"/>
              </w:rPr>
            </w:pPr>
            <w:r>
              <w:rPr>
                <w:sz w:val="18"/>
              </w:rPr>
              <w:t>结构层</w:t>
            </w:r>
          </w:p>
        </w:tc>
        <w:tc>
          <w:tcPr>
            <w:tcW w:w="7618" w:type="dxa"/>
            <w:gridSpan w:val="5"/>
            <w:tcBorders>
              <w:left w:val="single" w:sz="4" w:space="0" w:color="000000"/>
              <w:bottom w:val="single" w:sz="4" w:space="0" w:color="000000"/>
            </w:tcBorders>
          </w:tcPr>
          <w:p>
            <w:pPr>
              <w:pStyle w:val="TableParagraph"/>
              <w:spacing w:before="40"/>
              <w:ind w:left="3617" w:right="3580"/>
              <w:rPr>
                <w:sz w:val="18"/>
              </w:rPr>
            </w:pPr>
            <w:r>
              <w:rPr>
                <w:sz w:val="18"/>
              </w:rPr>
              <w:t>分档</w:t>
            </w:r>
          </w:p>
        </w:tc>
      </w:tr>
      <w:tr>
        <w:tblPrEx>
          <w:tblW w:w="0" w:type="auto"/>
          <w:jc w:val="left"/>
          <w:tblInd w:w="567" w:type="dxa"/>
          <w:tblLayout w:type="fixed"/>
          <w:tblCellMar>
            <w:top w:w="0" w:type="dxa"/>
            <w:left w:w="0" w:type="dxa"/>
            <w:bottom w:w="0" w:type="dxa"/>
            <w:right w:w="0" w:type="dxa"/>
          </w:tblCellMar>
          <w:tblLook w:val="01E0"/>
        </w:tblPrEx>
        <w:trPr>
          <w:trHeight w:val="311"/>
          <w:jc w:val="left"/>
        </w:trPr>
        <w:tc>
          <w:tcPr>
            <w:tcW w:w="1666" w:type="dxa"/>
            <w:tcBorders>
              <w:top w:val="single" w:sz="4" w:space="0" w:color="000000"/>
              <w:bottom w:val="single" w:sz="4" w:space="0" w:color="000000"/>
              <w:right w:val="single" w:sz="4" w:space="0" w:color="000000"/>
            </w:tcBorders>
          </w:tcPr>
          <w:p>
            <w:pPr>
              <w:pStyle w:val="TableParagraph"/>
              <w:ind w:left="181" w:right="165"/>
              <w:rPr>
                <w:sz w:val="18"/>
              </w:rPr>
            </w:pPr>
            <w:r>
              <w:rPr>
                <w:sz w:val="18"/>
              </w:rPr>
              <w:t>下面层（五档）</w:t>
            </w:r>
          </w:p>
        </w:tc>
        <w:tc>
          <w:tcPr>
            <w:tcW w:w="1380" w:type="dxa"/>
            <w:tcBorders>
              <w:top w:val="single" w:sz="4" w:space="0" w:color="000000"/>
              <w:left w:val="single" w:sz="4" w:space="0" w:color="000000"/>
              <w:bottom w:val="single" w:sz="4" w:space="0" w:color="000000"/>
              <w:right w:val="single" w:sz="4" w:space="0" w:color="000000"/>
            </w:tcBorders>
          </w:tcPr>
          <w:p>
            <w:pPr>
              <w:pStyle w:val="TableParagraph"/>
              <w:ind w:right="261"/>
              <w:jc w:val="right"/>
              <w:rPr>
                <w:sz w:val="18"/>
              </w:rPr>
            </w:pPr>
            <w:r>
              <w:rPr>
                <w:sz w:val="18"/>
              </w:rPr>
              <w:t>0～2.36mm</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ind w:left="139" w:right="109"/>
              <w:rPr>
                <w:sz w:val="18"/>
              </w:rPr>
            </w:pPr>
            <w:r>
              <w:rPr>
                <w:sz w:val="18"/>
              </w:rPr>
              <w:t>2.36mm～4.75mm</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ind w:left="137" w:right="110"/>
              <w:rPr>
                <w:sz w:val="18"/>
              </w:rPr>
            </w:pPr>
            <w:r>
              <w:rPr>
                <w:sz w:val="18"/>
              </w:rPr>
              <w:t>4.75mm～13.2mm</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ind w:left="139" w:right="110"/>
              <w:rPr>
                <w:sz w:val="18"/>
              </w:rPr>
            </w:pPr>
            <w:r>
              <w:rPr>
                <w:sz w:val="18"/>
              </w:rPr>
              <w:t>13.2mm～26.5mm</w:t>
            </w:r>
          </w:p>
        </w:tc>
        <w:tc>
          <w:tcPr>
            <w:tcW w:w="1560" w:type="dxa"/>
            <w:tcBorders>
              <w:top w:val="single" w:sz="4" w:space="0" w:color="000000"/>
              <w:left w:val="single" w:sz="4" w:space="0" w:color="000000"/>
              <w:bottom w:val="single" w:sz="4" w:space="0" w:color="000000"/>
            </w:tcBorders>
          </w:tcPr>
          <w:p>
            <w:pPr>
              <w:pStyle w:val="TableParagraph"/>
              <w:ind w:left="160"/>
              <w:jc w:val="left"/>
              <w:rPr>
                <w:sz w:val="18"/>
              </w:rPr>
            </w:pPr>
            <w:r>
              <w:rPr>
                <w:sz w:val="18"/>
              </w:rPr>
              <w:t>26.5mm～31.5mm</w:t>
            </w:r>
          </w:p>
        </w:tc>
      </w:tr>
      <w:tr>
        <w:tblPrEx>
          <w:tblW w:w="0" w:type="auto"/>
          <w:jc w:val="left"/>
          <w:tblInd w:w="567" w:type="dxa"/>
          <w:tblLayout w:type="fixed"/>
          <w:tblCellMar>
            <w:top w:w="0" w:type="dxa"/>
            <w:left w:w="0" w:type="dxa"/>
            <w:bottom w:w="0" w:type="dxa"/>
            <w:right w:w="0" w:type="dxa"/>
          </w:tblCellMar>
          <w:tblLook w:val="01E0"/>
        </w:tblPrEx>
        <w:trPr>
          <w:trHeight w:val="311"/>
          <w:jc w:val="left"/>
        </w:trPr>
        <w:tc>
          <w:tcPr>
            <w:tcW w:w="1666" w:type="dxa"/>
            <w:tcBorders>
              <w:top w:val="single" w:sz="4" w:space="0" w:color="000000"/>
              <w:bottom w:val="single" w:sz="4" w:space="0" w:color="000000"/>
              <w:right w:val="single" w:sz="4" w:space="0" w:color="000000"/>
            </w:tcBorders>
          </w:tcPr>
          <w:p>
            <w:pPr>
              <w:pStyle w:val="TableParagraph"/>
              <w:ind w:left="181" w:right="165"/>
              <w:rPr>
                <w:sz w:val="18"/>
              </w:rPr>
            </w:pPr>
            <w:r>
              <w:rPr>
                <w:sz w:val="18"/>
              </w:rPr>
              <w:t>中面层（四档）</w:t>
            </w:r>
          </w:p>
        </w:tc>
        <w:tc>
          <w:tcPr>
            <w:tcW w:w="1380" w:type="dxa"/>
            <w:tcBorders>
              <w:top w:val="single" w:sz="4" w:space="0" w:color="000000"/>
              <w:left w:val="single" w:sz="4" w:space="0" w:color="000000"/>
              <w:bottom w:val="single" w:sz="4" w:space="0" w:color="000000"/>
              <w:right w:val="single" w:sz="4" w:space="0" w:color="000000"/>
            </w:tcBorders>
          </w:tcPr>
          <w:p>
            <w:pPr>
              <w:pStyle w:val="TableParagraph"/>
              <w:ind w:right="261"/>
              <w:jc w:val="right"/>
              <w:rPr>
                <w:sz w:val="18"/>
              </w:rPr>
            </w:pPr>
            <w:r>
              <w:rPr>
                <w:sz w:val="18"/>
              </w:rPr>
              <w:t>0～2.36mm</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ind w:left="139" w:right="109"/>
              <w:rPr>
                <w:sz w:val="18"/>
              </w:rPr>
            </w:pPr>
            <w:r>
              <w:rPr>
                <w:sz w:val="18"/>
              </w:rPr>
              <w:t>2.36mm～4.75mm</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ind w:left="137" w:right="110"/>
              <w:rPr>
                <w:sz w:val="18"/>
              </w:rPr>
            </w:pPr>
            <w:r>
              <w:rPr>
                <w:sz w:val="18"/>
              </w:rPr>
              <w:t>4.75mm～13.2mm</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ind w:left="139" w:right="110"/>
              <w:rPr>
                <w:sz w:val="18"/>
              </w:rPr>
            </w:pPr>
            <w:r>
              <w:rPr>
                <w:sz w:val="18"/>
              </w:rPr>
              <w:t>13.2mm～26.5mm</w:t>
            </w:r>
          </w:p>
        </w:tc>
        <w:tc>
          <w:tcPr>
            <w:tcW w:w="1560" w:type="dxa"/>
            <w:tcBorders>
              <w:top w:val="single" w:sz="4" w:space="0" w:color="000000"/>
              <w:left w:val="single" w:sz="4" w:space="0" w:color="000000"/>
              <w:bottom w:val="single" w:sz="4" w:space="0" w:color="000000"/>
            </w:tcBorders>
          </w:tcPr>
          <w:p>
            <w:pPr>
              <w:pStyle w:val="TableParagraph"/>
              <w:spacing w:before="0"/>
              <w:jc w:val="left"/>
              <w:rPr>
                <w:rFonts w:ascii="Times New Roman"/>
                <w:sz w:val="18"/>
              </w:rPr>
            </w:pPr>
          </w:p>
        </w:tc>
      </w:tr>
      <w:tr>
        <w:tblPrEx>
          <w:tblW w:w="0" w:type="auto"/>
          <w:jc w:val="left"/>
          <w:tblInd w:w="567" w:type="dxa"/>
          <w:tblLayout w:type="fixed"/>
          <w:tblCellMar>
            <w:top w:w="0" w:type="dxa"/>
            <w:left w:w="0" w:type="dxa"/>
            <w:bottom w:w="0" w:type="dxa"/>
            <w:right w:w="0" w:type="dxa"/>
          </w:tblCellMar>
          <w:tblLook w:val="01E0"/>
        </w:tblPrEx>
        <w:trPr>
          <w:trHeight w:val="308"/>
          <w:jc w:val="left"/>
        </w:trPr>
        <w:tc>
          <w:tcPr>
            <w:tcW w:w="1666" w:type="dxa"/>
            <w:tcBorders>
              <w:top w:val="single" w:sz="4" w:space="0" w:color="000000"/>
              <w:right w:val="single" w:sz="4" w:space="0" w:color="000000"/>
            </w:tcBorders>
          </w:tcPr>
          <w:p>
            <w:pPr>
              <w:pStyle w:val="TableParagraph"/>
              <w:ind w:left="181" w:right="165"/>
              <w:rPr>
                <w:sz w:val="18"/>
              </w:rPr>
            </w:pPr>
            <w:r>
              <w:rPr>
                <w:sz w:val="18"/>
              </w:rPr>
              <w:t>表面层（四档）</w:t>
            </w:r>
          </w:p>
        </w:tc>
        <w:tc>
          <w:tcPr>
            <w:tcW w:w="1380" w:type="dxa"/>
            <w:tcBorders>
              <w:top w:val="single" w:sz="4" w:space="0" w:color="000000"/>
              <w:left w:val="single" w:sz="4" w:space="0" w:color="000000"/>
              <w:right w:val="single" w:sz="4" w:space="0" w:color="000000"/>
            </w:tcBorders>
          </w:tcPr>
          <w:p>
            <w:pPr>
              <w:pStyle w:val="TableParagraph"/>
              <w:ind w:right="261"/>
              <w:jc w:val="right"/>
              <w:rPr>
                <w:sz w:val="18"/>
              </w:rPr>
            </w:pPr>
            <w:r>
              <w:rPr>
                <w:sz w:val="18"/>
              </w:rPr>
              <w:t>0～2.36mm</w:t>
            </w:r>
          </w:p>
        </w:tc>
        <w:tc>
          <w:tcPr>
            <w:tcW w:w="1560" w:type="dxa"/>
            <w:tcBorders>
              <w:top w:val="single" w:sz="4" w:space="0" w:color="000000"/>
              <w:left w:val="single" w:sz="4" w:space="0" w:color="000000"/>
              <w:right w:val="single" w:sz="4" w:space="0" w:color="000000"/>
            </w:tcBorders>
          </w:tcPr>
          <w:p>
            <w:pPr>
              <w:pStyle w:val="TableParagraph"/>
              <w:ind w:left="139" w:right="109"/>
              <w:rPr>
                <w:sz w:val="18"/>
              </w:rPr>
            </w:pPr>
            <w:r>
              <w:rPr>
                <w:sz w:val="18"/>
              </w:rPr>
              <w:t>2.36mm～4.75mm</w:t>
            </w:r>
          </w:p>
        </w:tc>
        <w:tc>
          <w:tcPr>
            <w:tcW w:w="1558" w:type="dxa"/>
            <w:tcBorders>
              <w:top w:val="single" w:sz="4" w:space="0" w:color="000000"/>
              <w:left w:val="single" w:sz="4" w:space="0" w:color="000000"/>
              <w:right w:val="single" w:sz="4" w:space="0" w:color="000000"/>
            </w:tcBorders>
          </w:tcPr>
          <w:p>
            <w:pPr>
              <w:pStyle w:val="TableParagraph"/>
              <w:ind w:left="137" w:right="106"/>
              <w:rPr>
                <w:sz w:val="18"/>
              </w:rPr>
            </w:pPr>
            <w:r>
              <w:rPr>
                <w:sz w:val="18"/>
              </w:rPr>
              <w:t>4.75mm～9.5mm</w:t>
            </w:r>
          </w:p>
        </w:tc>
        <w:tc>
          <w:tcPr>
            <w:tcW w:w="1560" w:type="dxa"/>
            <w:tcBorders>
              <w:top w:val="single" w:sz="4" w:space="0" w:color="000000"/>
              <w:left w:val="single" w:sz="4" w:space="0" w:color="000000"/>
              <w:right w:val="single" w:sz="4" w:space="0" w:color="000000"/>
            </w:tcBorders>
          </w:tcPr>
          <w:p>
            <w:pPr>
              <w:pStyle w:val="TableParagraph"/>
              <w:ind w:left="139" w:right="107"/>
              <w:rPr>
                <w:sz w:val="18"/>
              </w:rPr>
            </w:pPr>
            <w:r>
              <w:rPr>
                <w:sz w:val="18"/>
              </w:rPr>
              <w:t>9.5mm～16mm</w:t>
            </w:r>
          </w:p>
        </w:tc>
        <w:tc>
          <w:tcPr>
            <w:tcW w:w="1560" w:type="dxa"/>
            <w:tcBorders>
              <w:top w:val="single" w:sz="4" w:space="0" w:color="000000"/>
              <w:left w:val="single" w:sz="4" w:space="0" w:color="000000"/>
            </w:tcBorders>
          </w:tcPr>
          <w:p>
            <w:pPr>
              <w:pStyle w:val="TableParagraph"/>
              <w:spacing w:before="0"/>
              <w:jc w:val="left"/>
              <w:rPr>
                <w:rFonts w:ascii="Times New Roman"/>
                <w:sz w:val="18"/>
              </w:rPr>
            </w:pPr>
          </w:p>
        </w:tc>
      </w:tr>
    </w:tbl>
    <w:p>
      <w:pPr>
        <w:pStyle w:val="BodyText"/>
        <w:spacing w:before="1"/>
        <w:rPr>
          <w:rFonts w:ascii="黑体"/>
          <w:sz w:val="14"/>
        </w:rPr>
      </w:pPr>
    </w:p>
    <w:p>
      <w:pPr>
        <w:pStyle w:val="ListParagraph"/>
        <w:numPr>
          <w:ilvl w:val="3"/>
          <w:numId w:val="32"/>
        </w:numPr>
        <w:tabs>
          <w:tab w:val="left" w:pos="1462"/>
        </w:tabs>
        <w:spacing w:before="1" w:after="0" w:line="278" w:lineRule="auto"/>
        <w:ind w:left="515" w:right="313" w:firstLine="0"/>
        <w:jc w:val="both"/>
        <w:rPr>
          <w:sz w:val="21"/>
        </w:rPr>
      </w:pPr>
      <w:bookmarkStart w:id="98" w:name="5.2.3.5  填料  宜采用石灰岩等碱性石料经磨细得到的矿粉。矿粉应干燥、清"/>
      <w:bookmarkEnd w:id="98"/>
      <w:r>
        <w:rPr>
          <w:spacing w:val="-3"/>
          <w:sz w:val="21"/>
        </w:rPr>
        <w:t>填料 宜采用石灰岩等碱性石料经磨细得到的矿粉。矿粉应干燥、清洁，矿粉质量技术要求</w:t>
      </w:r>
      <w:r>
        <w:rPr>
          <w:spacing w:val="-9"/>
          <w:sz w:val="21"/>
        </w:rPr>
        <w:t>应满足规范及设计要求，进场填料按要求进行检验。拌和楼回收的粉料不得用于拌制沥青混合料。沥青</w:t>
      </w:r>
      <w:r>
        <w:rPr>
          <w:spacing w:val="-6"/>
          <w:sz w:val="21"/>
        </w:rPr>
        <w:t xml:space="preserve">混合料用填料质量技术要求应符合表 </w:t>
      </w:r>
      <w:r>
        <w:rPr>
          <w:sz w:val="21"/>
        </w:rPr>
        <w:t>10</w:t>
      </w:r>
      <w:r>
        <w:rPr>
          <w:spacing w:val="-12"/>
          <w:sz w:val="21"/>
        </w:rPr>
        <w:t xml:space="preserve"> 的规定。</w:t>
      </w:r>
    </w:p>
    <w:p>
      <w:pPr>
        <w:pStyle w:val="BodyText"/>
        <w:tabs>
          <w:tab w:val="left" w:pos="883"/>
        </w:tabs>
        <w:spacing w:before="155"/>
        <w:ind w:left="199"/>
        <w:jc w:val="center"/>
        <w:rPr>
          <w:rFonts w:ascii="黑体" w:eastAsia="黑体" w:hint="eastAsia"/>
        </w:rPr>
      </w:pPr>
      <w:r>
        <w:rPr>
          <w:rFonts w:ascii="黑体" w:eastAsia="黑体" w:hint="eastAsia"/>
        </w:rPr>
        <w:t>表</w:t>
      </w:r>
      <w:r>
        <w:rPr>
          <w:rFonts w:ascii="黑体" w:eastAsia="黑体" w:hint="eastAsia"/>
          <w:spacing w:val="-53"/>
        </w:rPr>
        <w:t xml:space="preserve"> </w:t>
      </w:r>
      <w:r>
        <w:rPr>
          <w:rFonts w:ascii="黑体" w:eastAsia="黑体" w:hint="eastAsia"/>
        </w:rPr>
        <w:t>10</w:t>
        <w:tab/>
      </w:r>
      <w:r>
        <w:rPr>
          <w:rFonts w:ascii="黑体" w:eastAsia="黑体" w:hint="eastAsia"/>
          <w:spacing w:val="-3"/>
        </w:rPr>
        <w:t>沥</w:t>
      </w:r>
      <w:r>
        <w:rPr>
          <w:rFonts w:ascii="黑体" w:eastAsia="黑体" w:hint="eastAsia"/>
        </w:rPr>
        <w:t>青</w:t>
      </w:r>
      <w:r>
        <w:rPr>
          <w:rFonts w:ascii="黑体" w:eastAsia="黑体" w:hint="eastAsia"/>
          <w:spacing w:val="-3"/>
        </w:rPr>
        <w:t>混</w:t>
      </w:r>
      <w:r>
        <w:rPr>
          <w:rFonts w:ascii="黑体" w:eastAsia="黑体" w:hint="eastAsia"/>
        </w:rPr>
        <w:t>合</w:t>
      </w:r>
      <w:r>
        <w:rPr>
          <w:rFonts w:ascii="黑体" w:eastAsia="黑体" w:hint="eastAsia"/>
          <w:spacing w:val="-3"/>
        </w:rPr>
        <w:t>料</w:t>
      </w:r>
      <w:r>
        <w:rPr>
          <w:rFonts w:ascii="黑体" w:eastAsia="黑体" w:hint="eastAsia"/>
        </w:rPr>
        <w:t>用</w:t>
      </w:r>
      <w:r>
        <w:rPr>
          <w:rFonts w:ascii="黑体" w:eastAsia="黑体" w:hint="eastAsia"/>
          <w:spacing w:val="-3"/>
        </w:rPr>
        <w:t>矿粉</w:t>
      </w:r>
      <w:r>
        <w:rPr>
          <w:rFonts w:ascii="黑体" w:eastAsia="黑体" w:hint="eastAsia"/>
        </w:rPr>
        <w:t>质量</w:t>
      </w:r>
      <w:r>
        <w:rPr>
          <w:rFonts w:ascii="黑体" w:eastAsia="黑体" w:hint="eastAsia"/>
          <w:spacing w:val="-3"/>
        </w:rPr>
        <w:t>技</w:t>
      </w:r>
      <w:r>
        <w:rPr>
          <w:rFonts w:ascii="黑体" w:eastAsia="黑体" w:hint="eastAsia"/>
        </w:rPr>
        <w:t>术</w:t>
      </w:r>
      <w:r>
        <w:rPr>
          <w:rFonts w:ascii="黑体" w:eastAsia="黑体" w:hint="eastAsia"/>
          <w:spacing w:val="-3"/>
        </w:rPr>
        <w:t>要求</w:t>
      </w:r>
    </w:p>
    <w:p>
      <w:pPr>
        <w:pStyle w:val="BodyText"/>
        <w:spacing w:before="10"/>
        <w:rPr>
          <w:rFonts w:ascii="黑体"/>
          <w:sz w:val="13"/>
        </w:rPr>
      </w:pPr>
    </w:p>
    <w:tbl>
      <w:tblPr>
        <w:tblStyle w:val="TableNormal5"/>
        <w:tblW w:w="0" w:type="auto"/>
        <w:jc w:val="left"/>
        <w:tblInd w:w="5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597"/>
        <w:gridCol w:w="1985"/>
        <w:gridCol w:w="1325"/>
        <w:gridCol w:w="1608"/>
        <w:gridCol w:w="1750"/>
      </w:tblGrid>
      <w:tr>
        <w:tblPrEx>
          <w:tblW w:w="0" w:type="auto"/>
          <w:jc w:val="left"/>
          <w:tblInd w:w="5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13"/>
          <w:jc w:val="left"/>
        </w:trPr>
        <w:tc>
          <w:tcPr>
            <w:tcW w:w="4582" w:type="dxa"/>
            <w:gridSpan w:val="2"/>
            <w:tcBorders>
              <w:bottom w:val="single" w:sz="6" w:space="0" w:color="000000"/>
              <w:right w:val="single" w:sz="6" w:space="0" w:color="000000"/>
            </w:tcBorders>
          </w:tcPr>
          <w:p>
            <w:pPr>
              <w:pStyle w:val="TableParagraph"/>
              <w:tabs>
                <w:tab w:val="left" w:pos="842"/>
              </w:tabs>
              <w:spacing w:before="40"/>
              <w:ind w:left="28"/>
              <w:rPr>
                <w:sz w:val="18"/>
              </w:rPr>
            </w:pPr>
            <w:r>
              <w:rPr>
                <w:sz w:val="18"/>
              </w:rPr>
              <w:t>项</w:t>
              <w:tab/>
              <w:t>目</w:t>
            </w:r>
          </w:p>
        </w:tc>
        <w:tc>
          <w:tcPr>
            <w:tcW w:w="1325" w:type="dxa"/>
            <w:tcBorders>
              <w:left w:val="single" w:sz="6" w:space="0" w:color="000000"/>
              <w:bottom w:val="single" w:sz="6" w:space="0" w:color="000000"/>
              <w:right w:val="single" w:sz="6" w:space="0" w:color="000000"/>
            </w:tcBorders>
          </w:tcPr>
          <w:p>
            <w:pPr>
              <w:pStyle w:val="TableParagraph"/>
              <w:spacing w:before="40"/>
              <w:ind w:left="424" w:right="396"/>
              <w:rPr>
                <w:sz w:val="18"/>
              </w:rPr>
            </w:pPr>
            <w:r>
              <w:rPr>
                <w:sz w:val="18"/>
              </w:rPr>
              <w:t>单 位</w:t>
            </w:r>
          </w:p>
        </w:tc>
        <w:tc>
          <w:tcPr>
            <w:tcW w:w="1608" w:type="dxa"/>
            <w:tcBorders>
              <w:left w:val="single" w:sz="6" w:space="0" w:color="000000"/>
              <w:bottom w:val="single" w:sz="6" w:space="0" w:color="000000"/>
              <w:right w:val="single" w:sz="4" w:space="0" w:color="000000"/>
            </w:tcBorders>
          </w:tcPr>
          <w:p>
            <w:pPr>
              <w:pStyle w:val="TableParagraph"/>
              <w:spacing w:before="40"/>
              <w:ind w:left="252" w:right="222"/>
              <w:rPr>
                <w:sz w:val="18"/>
              </w:rPr>
            </w:pPr>
            <w:r>
              <w:rPr>
                <w:sz w:val="18"/>
              </w:rPr>
              <w:t>质量技术要求</w:t>
            </w:r>
          </w:p>
        </w:tc>
        <w:tc>
          <w:tcPr>
            <w:tcW w:w="1750" w:type="dxa"/>
            <w:tcBorders>
              <w:left w:val="single" w:sz="4" w:space="0" w:color="000000"/>
              <w:bottom w:val="single" w:sz="6" w:space="0" w:color="000000"/>
            </w:tcBorders>
          </w:tcPr>
          <w:p>
            <w:pPr>
              <w:pStyle w:val="TableParagraph"/>
              <w:spacing w:before="40"/>
              <w:ind w:left="502" w:right="467"/>
              <w:rPr>
                <w:sz w:val="18"/>
              </w:rPr>
            </w:pPr>
            <w:r>
              <w:rPr>
                <w:sz w:val="18"/>
              </w:rPr>
              <w:t>试验方法</w:t>
            </w:r>
          </w:p>
        </w:tc>
      </w:tr>
      <w:tr>
        <w:tblPrEx>
          <w:tblW w:w="0" w:type="auto"/>
          <w:jc w:val="left"/>
          <w:tblInd w:w="577" w:type="dxa"/>
          <w:tblLayout w:type="fixed"/>
          <w:tblCellMar>
            <w:top w:w="0" w:type="dxa"/>
            <w:left w:w="0" w:type="dxa"/>
            <w:bottom w:w="0" w:type="dxa"/>
            <w:right w:w="0" w:type="dxa"/>
          </w:tblCellMar>
          <w:tblLook w:val="01E0"/>
        </w:tblPrEx>
        <w:trPr>
          <w:trHeight w:val="311"/>
          <w:jc w:val="left"/>
        </w:trPr>
        <w:tc>
          <w:tcPr>
            <w:tcW w:w="4582" w:type="dxa"/>
            <w:gridSpan w:val="2"/>
            <w:tcBorders>
              <w:top w:val="single" w:sz="6" w:space="0" w:color="000000"/>
              <w:bottom w:val="single" w:sz="6" w:space="0" w:color="000000"/>
              <w:right w:val="single" w:sz="6" w:space="0" w:color="000000"/>
            </w:tcBorders>
          </w:tcPr>
          <w:p>
            <w:pPr>
              <w:pStyle w:val="TableParagraph"/>
              <w:ind w:left="23"/>
              <w:rPr>
                <w:sz w:val="18"/>
              </w:rPr>
            </w:pPr>
            <w:r>
              <w:rPr>
                <w:sz w:val="18"/>
              </w:rPr>
              <w:t>表观密度，不小于</w:t>
            </w:r>
          </w:p>
        </w:tc>
        <w:tc>
          <w:tcPr>
            <w:tcW w:w="1325" w:type="dxa"/>
            <w:tcBorders>
              <w:top w:val="single" w:sz="6" w:space="0" w:color="000000"/>
              <w:left w:val="single" w:sz="6" w:space="0" w:color="000000"/>
              <w:bottom w:val="single" w:sz="6" w:space="0" w:color="000000"/>
              <w:right w:val="single" w:sz="6" w:space="0" w:color="000000"/>
            </w:tcBorders>
          </w:tcPr>
          <w:p>
            <w:pPr>
              <w:pStyle w:val="TableParagraph"/>
              <w:ind w:left="424" w:right="392"/>
              <w:rPr>
                <w:sz w:val="9"/>
              </w:rPr>
            </w:pPr>
            <w:r>
              <w:rPr>
                <w:sz w:val="18"/>
              </w:rPr>
              <w:t>t/m</w:t>
            </w:r>
            <w:r>
              <w:rPr>
                <w:position w:val="9"/>
                <w:sz w:val="9"/>
              </w:rPr>
              <w:t>3</w:t>
            </w:r>
          </w:p>
        </w:tc>
        <w:tc>
          <w:tcPr>
            <w:tcW w:w="1608" w:type="dxa"/>
            <w:tcBorders>
              <w:top w:val="single" w:sz="6" w:space="0" w:color="000000"/>
              <w:left w:val="single" w:sz="6" w:space="0" w:color="000000"/>
              <w:bottom w:val="single" w:sz="6" w:space="0" w:color="000000"/>
              <w:right w:val="single" w:sz="4" w:space="0" w:color="000000"/>
            </w:tcBorders>
          </w:tcPr>
          <w:p>
            <w:pPr>
              <w:pStyle w:val="TableParagraph"/>
              <w:ind w:left="252" w:right="221"/>
              <w:rPr>
                <w:sz w:val="18"/>
              </w:rPr>
            </w:pPr>
            <w:r>
              <w:rPr>
                <w:sz w:val="18"/>
              </w:rPr>
              <w:t>2.60</w:t>
            </w:r>
          </w:p>
        </w:tc>
        <w:tc>
          <w:tcPr>
            <w:tcW w:w="1750" w:type="dxa"/>
            <w:tcBorders>
              <w:top w:val="single" w:sz="6" w:space="0" w:color="000000"/>
              <w:left w:val="single" w:sz="4" w:space="0" w:color="000000"/>
              <w:bottom w:val="single" w:sz="6" w:space="0" w:color="000000"/>
            </w:tcBorders>
          </w:tcPr>
          <w:p>
            <w:pPr>
              <w:pStyle w:val="TableParagraph"/>
              <w:ind w:left="502" w:right="466"/>
              <w:rPr>
                <w:sz w:val="18"/>
              </w:rPr>
            </w:pPr>
            <w:r>
              <w:rPr>
                <w:sz w:val="18"/>
              </w:rPr>
              <w:t>T 0352</w:t>
            </w:r>
          </w:p>
        </w:tc>
      </w:tr>
      <w:tr>
        <w:tblPrEx>
          <w:tblW w:w="0" w:type="auto"/>
          <w:jc w:val="left"/>
          <w:tblInd w:w="577" w:type="dxa"/>
          <w:tblLayout w:type="fixed"/>
          <w:tblCellMar>
            <w:top w:w="0" w:type="dxa"/>
            <w:left w:w="0" w:type="dxa"/>
            <w:bottom w:w="0" w:type="dxa"/>
            <w:right w:w="0" w:type="dxa"/>
          </w:tblCellMar>
          <w:tblLook w:val="01E0"/>
        </w:tblPrEx>
        <w:trPr>
          <w:trHeight w:val="311"/>
          <w:jc w:val="left"/>
        </w:trPr>
        <w:tc>
          <w:tcPr>
            <w:tcW w:w="4582" w:type="dxa"/>
            <w:gridSpan w:val="2"/>
            <w:tcBorders>
              <w:top w:val="single" w:sz="6" w:space="0" w:color="000000"/>
              <w:bottom w:val="single" w:sz="6" w:space="0" w:color="000000"/>
              <w:right w:val="single" w:sz="6" w:space="0" w:color="000000"/>
            </w:tcBorders>
          </w:tcPr>
          <w:p>
            <w:pPr>
              <w:pStyle w:val="TableParagraph"/>
              <w:ind w:left="23"/>
              <w:rPr>
                <w:sz w:val="18"/>
              </w:rPr>
            </w:pPr>
            <w:r>
              <w:rPr>
                <w:sz w:val="18"/>
              </w:rPr>
              <w:t>含水量,不大于</w:t>
            </w:r>
          </w:p>
        </w:tc>
        <w:tc>
          <w:tcPr>
            <w:tcW w:w="1325" w:type="dxa"/>
            <w:tcBorders>
              <w:top w:val="single" w:sz="6" w:space="0" w:color="000000"/>
              <w:left w:val="single" w:sz="6" w:space="0" w:color="000000"/>
              <w:bottom w:val="single" w:sz="6" w:space="0" w:color="000000"/>
              <w:right w:val="single" w:sz="6" w:space="0" w:color="000000"/>
            </w:tcBorders>
          </w:tcPr>
          <w:p>
            <w:pPr>
              <w:pStyle w:val="TableParagraph"/>
              <w:ind w:left="26"/>
              <w:rPr>
                <w:sz w:val="18"/>
              </w:rPr>
            </w:pPr>
            <w:r>
              <w:rPr>
                <w:sz w:val="18"/>
              </w:rPr>
              <w:t>%</w:t>
            </w:r>
          </w:p>
        </w:tc>
        <w:tc>
          <w:tcPr>
            <w:tcW w:w="1608" w:type="dxa"/>
            <w:tcBorders>
              <w:top w:val="single" w:sz="6" w:space="0" w:color="000000"/>
              <w:left w:val="single" w:sz="6" w:space="0" w:color="000000"/>
              <w:bottom w:val="single" w:sz="6" w:space="0" w:color="000000"/>
              <w:right w:val="single" w:sz="4" w:space="0" w:color="000000"/>
            </w:tcBorders>
          </w:tcPr>
          <w:p>
            <w:pPr>
              <w:pStyle w:val="TableParagraph"/>
              <w:ind w:left="28"/>
              <w:rPr>
                <w:sz w:val="18"/>
              </w:rPr>
            </w:pPr>
            <w:r>
              <w:rPr>
                <w:sz w:val="18"/>
              </w:rPr>
              <w:t>1</w:t>
            </w:r>
          </w:p>
        </w:tc>
        <w:tc>
          <w:tcPr>
            <w:tcW w:w="1750" w:type="dxa"/>
            <w:tcBorders>
              <w:top w:val="single" w:sz="6" w:space="0" w:color="000000"/>
              <w:left w:val="single" w:sz="4" w:space="0" w:color="000000"/>
              <w:bottom w:val="single" w:sz="6" w:space="0" w:color="000000"/>
            </w:tcBorders>
          </w:tcPr>
          <w:p>
            <w:pPr>
              <w:pStyle w:val="TableParagraph"/>
              <w:ind w:left="502" w:right="465"/>
              <w:rPr>
                <w:sz w:val="18"/>
              </w:rPr>
            </w:pPr>
            <w:r>
              <w:rPr>
                <w:sz w:val="18"/>
              </w:rPr>
              <w:t>T 0103</w:t>
            </w:r>
          </w:p>
        </w:tc>
      </w:tr>
      <w:tr>
        <w:tblPrEx>
          <w:tblW w:w="0" w:type="auto"/>
          <w:jc w:val="left"/>
          <w:tblInd w:w="577" w:type="dxa"/>
          <w:tblLayout w:type="fixed"/>
          <w:tblCellMar>
            <w:top w:w="0" w:type="dxa"/>
            <w:left w:w="0" w:type="dxa"/>
            <w:bottom w:w="0" w:type="dxa"/>
            <w:right w:w="0" w:type="dxa"/>
          </w:tblCellMar>
          <w:tblLook w:val="01E0"/>
        </w:tblPrEx>
        <w:trPr>
          <w:trHeight w:val="313"/>
          <w:jc w:val="left"/>
        </w:trPr>
        <w:tc>
          <w:tcPr>
            <w:tcW w:w="4582" w:type="dxa"/>
            <w:gridSpan w:val="2"/>
            <w:tcBorders>
              <w:top w:val="single" w:sz="6" w:space="0" w:color="000000"/>
              <w:bottom w:val="single" w:sz="6" w:space="0" w:color="000000"/>
              <w:right w:val="single" w:sz="6" w:space="0" w:color="000000"/>
            </w:tcBorders>
          </w:tcPr>
          <w:p>
            <w:pPr>
              <w:pStyle w:val="TableParagraph"/>
              <w:spacing w:before="40"/>
              <w:ind w:left="23"/>
              <w:rPr>
                <w:sz w:val="18"/>
              </w:rPr>
            </w:pPr>
            <w:r>
              <w:rPr>
                <w:sz w:val="18"/>
              </w:rPr>
              <w:t>亲水系数,小于</w:t>
            </w:r>
          </w:p>
        </w:tc>
        <w:tc>
          <w:tcPr>
            <w:tcW w:w="1325" w:type="dxa"/>
            <w:tcBorders>
              <w:top w:val="single" w:sz="6" w:space="0" w:color="000000"/>
              <w:left w:val="single" w:sz="6" w:space="0" w:color="000000"/>
              <w:bottom w:val="single" w:sz="6" w:space="0" w:color="000000"/>
              <w:right w:val="single" w:sz="6" w:space="0" w:color="000000"/>
            </w:tcBorders>
          </w:tcPr>
          <w:p>
            <w:pPr>
              <w:pStyle w:val="TableParagraph"/>
              <w:spacing w:before="40"/>
              <w:ind w:left="26"/>
              <w:rPr>
                <w:sz w:val="18"/>
              </w:rPr>
            </w:pPr>
            <w:r>
              <w:rPr>
                <w:sz w:val="18"/>
              </w:rPr>
              <w:t>/</w:t>
            </w:r>
          </w:p>
        </w:tc>
        <w:tc>
          <w:tcPr>
            <w:tcW w:w="1608" w:type="dxa"/>
            <w:tcBorders>
              <w:top w:val="single" w:sz="6" w:space="0" w:color="000000"/>
              <w:left w:val="single" w:sz="6" w:space="0" w:color="000000"/>
              <w:bottom w:val="single" w:sz="6" w:space="0" w:color="000000"/>
              <w:right w:val="single" w:sz="4" w:space="0" w:color="000000"/>
            </w:tcBorders>
          </w:tcPr>
          <w:p>
            <w:pPr>
              <w:pStyle w:val="TableParagraph"/>
              <w:spacing w:before="40"/>
              <w:ind w:left="28"/>
              <w:rPr>
                <w:sz w:val="18"/>
              </w:rPr>
            </w:pPr>
            <w:r>
              <w:rPr>
                <w:sz w:val="18"/>
              </w:rPr>
              <w:t>1</w:t>
            </w:r>
          </w:p>
        </w:tc>
        <w:tc>
          <w:tcPr>
            <w:tcW w:w="1750" w:type="dxa"/>
            <w:tcBorders>
              <w:top w:val="single" w:sz="6" w:space="0" w:color="000000"/>
              <w:left w:val="single" w:sz="4" w:space="0" w:color="000000"/>
              <w:bottom w:val="single" w:sz="6" w:space="0" w:color="000000"/>
            </w:tcBorders>
          </w:tcPr>
          <w:p>
            <w:pPr>
              <w:pStyle w:val="TableParagraph"/>
              <w:spacing w:before="40"/>
              <w:ind w:left="502" w:right="465"/>
              <w:rPr>
                <w:sz w:val="18"/>
              </w:rPr>
            </w:pPr>
            <w:r>
              <w:rPr>
                <w:sz w:val="18"/>
              </w:rPr>
              <w:t>T 0353</w:t>
            </w:r>
          </w:p>
        </w:tc>
      </w:tr>
      <w:tr>
        <w:tblPrEx>
          <w:tblW w:w="0" w:type="auto"/>
          <w:jc w:val="left"/>
          <w:tblInd w:w="577" w:type="dxa"/>
          <w:tblLayout w:type="fixed"/>
          <w:tblCellMar>
            <w:top w:w="0" w:type="dxa"/>
            <w:left w:w="0" w:type="dxa"/>
            <w:bottom w:w="0" w:type="dxa"/>
            <w:right w:w="0" w:type="dxa"/>
          </w:tblCellMar>
          <w:tblLook w:val="01E0"/>
        </w:tblPrEx>
        <w:trPr>
          <w:trHeight w:val="311"/>
          <w:jc w:val="left"/>
        </w:trPr>
        <w:tc>
          <w:tcPr>
            <w:tcW w:w="4582" w:type="dxa"/>
            <w:gridSpan w:val="2"/>
            <w:tcBorders>
              <w:top w:val="single" w:sz="6" w:space="0" w:color="000000"/>
              <w:bottom w:val="single" w:sz="6" w:space="0" w:color="000000"/>
              <w:right w:val="single" w:sz="6" w:space="0" w:color="000000"/>
            </w:tcBorders>
          </w:tcPr>
          <w:p>
            <w:pPr>
              <w:pStyle w:val="TableParagraph"/>
              <w:ind w:left="25"/>
              <w:rPr>
                <w:sz w:val="18"/>
              </w:rPr>
            </w:pPr>
            <w:r>
              <w:rPr>
                <w:sz w:val="18"/>
              </w:rPr>
              <w:t>塑性指数，小于</w:t>
            </w:r>
          </w:p>
        </w:tc>
        <w:tc>
          <w:tcPr>
            <w:tcW w:w="1325" w:type="dxa"/>
            <w:tcBorders>
              <w:top w:val="single" w:sz="6" w:space="0" w:color="000000"/>
              <w:left w:val="single" w:sz="6" w:space="0" w:color="000000"/>
              <w:bottom w:val="single" w:sz="6" w:space="0" w:color="000000"/>
              <w:right w:val="single" w:sz="6" w:space="0" w:color="000000"/>
            </w:tcBorders>
          </w:tcPr>
          <w:p>
            <w:pPr>
              <w:pStyle w:val="TableParagraph"/>
              <w:ind w:left="26"/>
              <w:rPr>
                <w:sz w:val="18"/>
              </w:rPr>
            </w:pPr>
            <w:r>
              <w:rPr>
                <w:sz w:val="18"/>
              </w:rPr>
              <w:t>%</w:t>
            </w:r>
          </w:p>
        </w:tc>
        <w:tc>
          <w:tcPr>
            <w:tcW w:w="1608" w:type="dxa"/>
            <w:tcBorders>
              <w:top w:val="single" w:sz="6" w:space="0" w:color="000000"/>
              <w:left w:val="single" w:sz="6" w:space="0" w:color="000000"/>
              <w:bottom w:val="single" w:sz="6" w:space="0" w:color="000000"/>
              <w:right w:val="single" w:sz="4" w:space="0" w:color="000000"/>
            </w:tcBorders>
          </w:tcPr>
          <w:p>
            <w:pPr>
              <w:pStyle w:val="TableParagraph"/>
              <w:ind w:left="28"/>
              <w:rPr>
                <w:sz w:val="18"/>
              </w:rPr>
            </w:pPr>
            <w:r>
              <w:rPr>
                <w:sz w:val="18"/>
              </w:rPr>
              <w:t>4</w:t>
            </w:r>
          </w:p>
        </w:tc>
        <w:tc>
          <w:tcPr>
            <w:tcW w:w="1750" w:type="dxa"/>
            <w:tcBorders>
              <w:top w:val="single" w:sz="6" w:space="0" w:color="000000"/>
              <w:left w:val="single" w:sz="4" w:space="0" w:color="000000"/>
              <w:bottom w:val="single" w:sz="6" w:space="0" w:color="000000"/>
            </w:tcBorders>
          </w:tcPr>
          <w:p>
            <w:pPr>
              <w:pStyle w:val="TableParagraph"/>
              <w:ind w:left="502" w:right="465"/>
              <w:rPr>
                <w:sz w:val="18"/>
              </w:rPr>
            </w:pPr>
            <w:r>
              <w:rPr>
                <w:sz w:val="18"/>
              </w:rPr>
              <w:t>T 0354</w:t>
            </w:r>
          </w:p>
        </w:tc>
      </w:tr>
      <w:tr>
        <w:tblPrEx>
          <w:tblW w:w="0" w:type="auto"/>
          <w:jc w:val="left"/>
          <w:tblInd w:w="577" w:type="dxa"/>
          <w:tblLayout w:type="fixed"/>
          <w:tblCellMar>
            <w:top w:w="0" w:type="dxa"/>
            <w:left w:w="0" w:type="dxa"/>
            <w:bottom w:w="0" w:type="dxa"/>
            <w:right w:w="0" w:type="dxa"/>
          </w:tblCellMar>
          <w:tblLook w:val="01E0"/>
        </w:tblPrEx>
        <w:trPr>
          <w:trHeight w:val="311"/>
          <w:jc w:val="left"/>
        </w:trPr>
        <w:tc>
          <w:tcPr>
            <w:tcW w:w="2597" w:type="dxa"/>
            <w:vMerge w:val="restart"/>
            <w:tcBorders>
              <w:top w:val="single" w:sz="6" w:space="0" w:color="000000"/>
              <w:bottom w:val="single" w:sz="4" w:space="0" w:color="000000"/>
              <w:right w:val="single" w:sz="4" w:space="0" w:color="000000"/>
            </w:tcBorders>
          </w:tcPr>
          <w:p>
            <w:pPr>
              <w:pStyle w:val="TableParagraph"/>
              <w:spacing w:before="0"/>
              <w:jc w:val="left"/>
              <w:rPr>
                <w:rFonts w:ascii="黑体"/>
                <w:sz w:val="18"/>
              </w:rPr>
            </w:pPr>
          </w:p>
          <w:p>
            <w:pPr>
              <w:pStyle w:val="TableParagraph"/>
              <w:spacing w:before="134"/>
              <w:ind w:left="920" w:right="897"/>
              <w:rPr>
                <w:sz w:val="18"/>
              </w:rPr>
            </w:pPr>
            <w:r>
              <w:rPr>
                <w:sz w:val="18"/>
              </w:rPr>
              <w:t>粒度范围</w:t>
            </w:r>
          </w:p>
        </w:tc>
        <w:tc>
          <w:tcPr>
            <w:tcW w:w="1985" w:type="dxa"/>
            <w:tcBorders>
              <w:top w:val="single" w:sz="6" w:space="0" w:color="000000"/>
              <w:left w:val="single" w:sz="4" w:space="0" w:color="000000"/>
              <w:bottom w:val="single" w:sz="4" w:space="0" w:color="000000"/>
              <w:right w:val="single" w:sz="4" w:space="0" w:color="000000"/>
            </w:tcBorders>
          </w:tcPr>
          <w:p>
            <w:pPr>
              <w:pStyle w:val="TableParagraph"/>
              <w:ind w:left="686"/>
              <w:jc w:val="left"/>
              <w:rPr>
                <w:sz w:val="18"/>
              </w:rPr>
            </w:pPr>
            <w:r>
              <w:rPr>
                <w:sz w:val="18"/>
              </w:rPr>
              <w:t>＜0.6mm</w:t>
            </w:r>
          </w:p>
        </w:tc>
        <w:tc>
          <w:tcPr>
            <w:tcW w:w="1325" w:type="dxa"/>
            <w:tcBorders>
              <w:top w:val="single" w:sz="6" w:space="0" w:color="000000"/>
              <w:left w:val="single" w:sz="4" w:space="0" w:color="000000"/>
              <w:bottom w:val="single" w:sz="4" w:space="0" w:color="000000"/>
              <w:right w:val="single" w:sz="4" w:space="0" w:color="000000"/>
            </w:tcBorders>
          </w:tcPr>
          <w:p>
            <w:pPr>
              <w:pStyle w:val="TableParagraph"/>
              <w:ind w:left="26"/>
              <w:rPr>
                <w:sz w:val="18"/>
              </w:rPr>
            </w:pPr>
            <w:r>
              <w:rPr>
                <w:sz w:val="18"/>
              </w:rPr>
              <w:t>%</w:t>
            </w:r>
          </w:p>
        </w:tc>
        <w:tc>
          <w:tcPr>
            <w:tcW w:w="1608" w:type="dxa"/>
            <w:tcBorders>
              <w:top w:val="single" w:sz="6" w:space="0" w:color="000000"/>
              <w:left w:val="single" w:sz="4" w:space="0" w:color="000000"/>
              <w:bottom w:val="single" w:sz="4" w:space="0" w:color="000000"/>
              <w:right w:val="single" w:sz="4" w:space="0" w:color="000000"/>
            </w:tcBorders>
          </w:tcPr>
          <w:p>
            <w:pPr>
              <w:pStyle w:val="TableParagraph"/>
              <w:ind w:left="344" w:right="311"/>
              <w:rPr>
                <w:sz w:val="18"/>
              </w:rPr>
            </w:pPr>
            <w:r>
              <w:rPr>
                <w:sz w:val="18"/>
              </w:rPr>
              <w:t>100</w:t>
            </w:r>
          </w:p>
        </w:tc>
        <w:tc>
          <w:tcPr>
            <w:tcW w:w="1750" w:type="dxa"/>
            <w:vMerge w:val="restart"/>
            <w:tcBorders>
              <w:top w:val="single" w:sz="6" w:space="0" w:color="000000"/>
              <w:left w:val="single" w:sz="4" w:space="0" w:color="000000"/>
              <w:bottom w:val="single" w:sz="4" w:space="0" w:color="000000"/>
            </w:tcBorders>
          </w:tcPr>
          <w:p>
            <w:pPr>
              <w:pStyle w:val="TableParagraph"/>
              <w:spacing w:before="0"/>
              <w:jc w:val="left"/>
              <w:rPr>
                <w:rFonts w:ascii="黑体"/>
                <w:sz w:val="18"/>
              </w:rPr>
            </w:pPr>
          </w:p>
          <w:p>
            <w:pPr>
              <w:pStyle w:val="TableParagraph"/>
              <w:spacing w:before="134"/>
              <w:ind w:left="613"/>
              <w:jc w:val="left"/>
              <w:rPr>
                <w:sz w:val="18"/>
              </w:rPr>
            </w:pPr>
            <w:r>
              <w:rPr>
                <w:sz w:val="18"/>
              </w:rPr>
              <w:t>T 0351</w:t>
            </w:r>
          </w:p>
        </w:tc>
      </w:tr>
      <w:tr>
        <w:tblPrEx>
          <w:tblW w:w="0" w:type="auto"/>
          <w:jc w:val="left"/>
          <w:tblInd w:w="577" w:type="dxa"/>
          <w:tblLayout w:type="fixed"/>
          <w:tblCellMar>
            <w:top w:w="0" w:type="dxa"/>
            <w:left w:w="0" w:type="dxa"/>
            <w:bottom w:w="0" w:type="dxa"/>
            <w:right w:w="0" w:type="dxa"/>
          </w:tblCellMar>
          <w:tblLook w:val="01E0"/>
        </w:tblPrEx>
        <w:trPr>
          <w:trHeight w:val="316"/>
          <w:jc w:val="left"/>
        </w:trPr>
        <w:tc>
          <w:tcPr>
            <w:tcW w:w="2597" w:type="dxa"/>
            <w:vMerge/>
            <w:tcBorders>
              <w:top w:val="nil"/>
              <w:bottom w:val="single" w:sz="4" w:space="0" w:color="000000"/>
              <w:right w:val="single" w:sz="4" w:space="0" w:color="000000"/>
            </w:tcBorders>
          </w:tcPr>
          <w:p>
            <w:pPr>
              <w:rPr>
                <w:sz w:val="2"/>
                <w:szCs w:val="2"/>
              </w:rPr>
            </w:pPr>
          </w:p>
        </w:tc>
        <w:tc>
          <w:tcPr>
            <w:tcW w:w="1985" w:type="dxa"/>
            <w:tcBorders>
              <w:top w:val="single" w:sz="4" w:space="0" w:color="000000"/>
              <w:left w:val="single" w:sz="4" w:space="0" w:color="000000"/>
              <w:bottom w:val="single" w:sz="4" w:space="0" w:color="000000"/>
              <w:right w:val="single" w:sz="4" w:space="0" w:color="000000"/>
            </w:tcBorders>
          </w:tcPr>
          <w:p>
            <w:pPr>
              <w:pStyle w:val="TableParagraph"/>
              <w:spacing w:before="43"/>
              <w:ind w:right="611"/>
              <w:jc w:val="right"/>
              <w:rPr>
                <w:sz w:val="18"/>
              </w:rPr>
            </w:pPr>
            <w:r>
              <w:rPr>
                <w:sz w:val="18"/>
              </w:rPr>
              <w:t>＜0.15mm</w:t>
            </w:r>
          </w:p>
        </w:tc>
        <w:tc>
          <w:tcPr>
            <w:tcW w:w="1325" w:type="dxa"/>
            <w:tcBorders>
              <w:top w:val="single" w:sz="4" w:space="0" w:color="000000"/>
              <w:left w:val="single" w:sz="4" w:space="0" w:color="000000"/>
              <w:bottom w:val="single" w:sz="4" w:space="0" w:color="000000"/>
              <w:right w:val="single" w:sz="4" w:space="0" w:color="000000"/>
            </w:tcBorders>
          </w:tcPr>
          <w:p>
            <w:pPr>
              <w:pStyle w:val="TableParagraph"/>
              <w:spacing w:before="43"/>
              <w:ind w:left="26"/>
              <w:rPr>
                <w:sz w:val="18"/>
              </w:rPr>
            </w:pPr>
            <w:r>
              <w:rPr>
                <w:sz w:val="18"/>
              </w:rPr>
              <w:t>%</w:t>
            </w:r>
          </w:p>
        </w:tc>
        <w:tc>
          <w:tcPr>
            <w:tcW w:w="1608" w:type="dxa"/>
            <w:tcBorders>
              <w:top w:val="single" w:sz="4" w:space="0" w:color="000000"/>
              <w:left w:val="single" w:sz="4" w:space="0" w:color="000000"/>
              <w:bottom w:val="single" w:sz="4" w:space="0" w:color="000000"/>
              <w:right w:val="single" w:sz="4" w:space="0" w:color="000000"/>
            </w:tcBorders>
          </w:tcPr>
          <w:p>
            <w:pPr>
              <w:pStyle w:val="TableParagraph"/>
              <w:spacing w:before="43"/>
              <w:ind w:left="344" w:right="313"/>
              <w:rPr>
                <w:sz w:val="18"/>
              </w:rPr>
            </w:pPr>
            <w:r>
              <w:rPr>
                <w:sz w:val="18"/>
              </w:rPr>
              <w:t>90～100</w:t>
            </w:r>
          </w:p>
        </w:tc>
        <w:tc>
          <w:tcPr>
            <w:tcW w:w="1750" w:type="dxa"/>
            <w:vMerge/>
            <w:tcBorders>
              <w:top w:val="nil"/>
              <w:left w:val="single" w:sz="4" w:space="0" w:color="000000"/>
              <w:bottom w:val="single" w:sz="4" w:space="0" w:color="000000"/>
            </w:tcBorders>
          </w:tcPr>
          <w:p>
            <w:pPr>
              <w:rPr>
                <w:sz w:val="2"/>
                <w:szCs w:val="2"/>
              </w:rPr>
            </w:pPr>
          </w:p>
        </w:tc>
      </w:tr>
      <w:tr>
        <w:tblPrEx>
          <w:tblW w:w="0" w:type="auto"/>
          <w:jc w:val="left"/>
          <w:tblInd w:w="577" w:type="dxa"/>
          <w:tblLayout w:type="fixed"/>
          <w:tblCellMar>
            <w:top w:w="0" w:type="dxa"/>
            <w:left w:w="0" w:type="dxa"/>
            <w:bottom w:w="0" w:type="dxa"/>
            <w:right w:w="0" w:type="dxa"/>
          </w:tblCellMar>
          <w:tblLook w:val="01E0"/>
        </w:tblPrEx>
        <w:trPr>
          <w:trHeight w:val="318"/>
          <w:jc w:val="left"/>
        </w:trPr>
        <w:tc>
          <w:tcPr>
            <w:tcW w:w="2597" w:type="dxa"/>
            <w:vMerge/>
            <w:tcBorders>
              <w:top w:val="nil"/>
              <w:bottom w:val="single" w:sz="4" w:space="0" w:color="000000"/>
              <w:right w:val="single" w:sz="4" w:space="0" w:color="000000"/>
            </w:tcBorders>
          </w:tcPr>
          <w:p>
            <w:pPr>
              <w:rPr>
                <w:sz w:val="2"/>
                <w:szCs w:val="2"/>
              </w:rPr>
            </w:pPr>
          </w:p>
        </w:tc>
        <w:tc>
          <w:tcPr>
            <w:tcW w:w="1985" w:type="dxa"/>
            <w:tcBorders>
              <w:top w:val="single" w:sz="4" w:space="0" w:color="000000"/>
              <w:left w:val="single" w:sz="4" w:space="0" w:color="000000"/>
              <w:bottom w:val="single" w:sz="4" w:space="0" w:color="000000"/>
              <w:right w:val="single" w:sz="4" w:space="0" w:color="000000"/>
            </w:tcBorders>
          </w:tcPr>
          <w:p>
            <w:pPr>
              <w:pStyle w:val="TableParagraph"/>
              <w:spacing w:before="45"/>
              <w:ind w:right="564"/>
              <w:jc w:val="right"/>
              <w:rPr>
                <w:sz w:val="18"/>
              </w:rPr>
            </w:pPr>
            <w:r>
              <w:rPr>
                <w:sz w:val="18"/>
              </w:rPr>
              <w:t>＜0.075mm</w:t>
            </w:r>
          </w:p>
        </w:tc>
        <w:tc>
          <w:tcPr>
            <w:tcW w:w="1325" w:type="dxa"/>
            <w:tcBorders>
              <w:top w:val="single" w:sz="4" w:space="0" w:color="000000"/>
              <w:left w:val="single" w:sz="4" w:space="0" w:color="000000"/>
              <w:bottom w:val="single" w:sz="4" w:space="0" w:color="000000"/>
              <w:right w:val="single" w:sz="4" w:space="0" w:color="000000"/>
            </w:tcBorders>
          </w:tcPr>
          <w:p>
            <w:pPr>
              <w:pStyle w:val="TableParagraph"/>
              <w:spacing w:before="45"/>
              <w:ind w:left="26"/>
              <w:rPr>
                <w:sz w:val="18"/>
              </w:rPr>
            </w:pPr>
            <w:r>
              <w:rPr>
                <w:sz w:val="18"/>
              </w:rPr>
              <w:t>%</w:t>
            </w:r>
          </w:p>
        </w:tc>
        <w:tc>
          <w:tcPr>
            <w:tcW w:w="1608" w:type="dxa"/>
            <w:tcBorders>
              <w:top w:val="single" w:sz="4" w:space="0" w:color="000000"/>
              <w:left w:val="single" w:sz="4" w:space="0" w:color="000000"/>
              <w:bottom w:val="single" w:sz="4" w:space="0" w:color="000000"/>
              <w:right w:val="single" w:sz="4" w:space="0" w:color="000000"/>
            </w:tcBorders>
          </w:tcPr>
          <w:p>
            <w:pPr>
              <w:pStyle w:val="TableParagraph"/>
              <w:spacing w:before="45"/>
              <w:ind w:left="344" w:right="313"/>
              <w:rPr>
                <w:sz w:val="18"/>
              </w:rPr>
            </w:pPr>
            <w:r>
              <w:rPr>
                <w:sz w:val="18"/>
              </w:rPr>
              <w:t>75～100</w:t>
            </w:r>
          </w:p>
        </w:tc>
        <w:tc>
          <w:tcPr>
            <w:tcW w:w="1750" w:type="dxa"/>
            <w:vMerge/>
            <w:tcBorders>
              <w:top w:val="nil"/>
              <w:left w:val="single" w:sz="4" w:space="0" w:color="000000"/>
              <w:bottom w:val="single" w:sz="4" w:space="0" w:color="000000"/>
            </w:tcBorders>
          </w:tcPr>
          <w:p>
            <w:pPr>
              <w:rPr>
                <w:sz w:val="2"/>
                <w:szCs w:val="2"/>
              </w:rPr>
            </w:pPr>
          </w:p>
        </w:tc>
      </w:tr>
      <w:tr>
        <w:tblPrEx>
          <w:tblW w:w="0" w:type="auto"/>
          <w:jc w:val="left"/>
          <w:tblInd w:w="577" w:type="dxa"/>
          <w:tblLayout w:type="fixed"/>
          <w:tblCellMar>
            <w:top w:w="0" w:type="dxa"/>
            <w:left w:w="0" w:type="dxa"/>
            <w:bottom w:w="0" w:type="dxa"/>
            <w:right w:w="0" w:type="dxa"/>
          </w:tblCellMar>
          <w:tblLook w:val="01E0"/>
        </w:tblPrEx>
        <w:trPr>
          <w:trHeight w:val="311"/>
          <w:jc w:val="left"/>
        </w:trPr>
        <w:tc>
          <w:tcPr>
            <w:tcW w:w="4582" w:type="dxa"/>
            <w:gridSpan w:val="2"/>
            <w:tcBorders>
              <w:top w:val="single" w:sz="4" w:space="0" w:color="000000"/>
              <w:right w:val="single" w:sz="4" w:space="0" w:color="000000"/>
            </w:tcBorders>
          </w:tcPr>
          <w:p>
            <w:pPr>
              <w:pStyle w:val="TableParagraph"/>
              <w:ind w:left="2091" w:right="2071"/>
              <w:rPr>
                <w:sz w:val="18"/>
              </w:rPr>
            </w:pPr>
            <w:r>
              <w:rPr>
                <w:sz w:val="18"/>
              </w:rPr>
              <w:t>外观</w:t>
            </w:r>
          </w:p>
        </w:tc>
        <w:tc>
          <w:tcPr>
            <w:tcW w:w="1325" w:type="dxa"/>
            <w:tcBorders>
              <w:top w:val="single" w:sz="4" w:space="0" w:color="000000"/>
              <w:left w:val="single" w:sz="4" w:space="0" w:color="000000"/>
              <w:right w:val="single" w:sz="4" w:space="0" w:color="000000"/>
            </w:tcBorders>
          </w:tcPr>
          <w:p>
            <w:pPr>
              <w:pStyle w:val="TableParagraph"/>
              <w:ind w:left="30"/>
              <w:rPr>
                <w:sz w:val="18"/>
              </w:rPr>
            </w:pPr>
            <w:r>
              <w:rPr>
                <w:sz w:val="18"/>
              </w:rPr>
              <w:t>－</w:t>
            </w:r>
          </w:p>
        </w:tc>
        <w:tc>
          <w:tcPr>
            <w:tcW w:w="1608" w:type="dxa"/>
            <w:tcBorders>
              <w:top w:val="single" w:sz="4" w:space="0" w:color="000000"/>
              <w:left w:val="single" w:sz="4" w:space="0" w:color="000000"/>
              <w:right w:val="single" w:sz="4" w:space="0" w:color="000000"/>
            </w:tcBorders>
          </w:tcPr>
          <w:p>
            <w:pPr>
              <w:pStyle w:val="TableParagraph"/>
              <w:ind w:left="344" w:right="314"/>
              <w:rPr>
                <w:sz w:val="18"/>
              </w:rPr>
            </w:pPr>
            <w:r>
              <w:rPr>
                <w:sz w:val="18"/>
              </w:rPr>
              <w:t>无团粒结块</w:t>
            </w:r>
          </w:p>
        </w:tc>
        <w:tc>
          <w:tcPr>
            <w:tcW w:w="1750" w:type="dxa"/>
            <w:tcBorders>
              <w:top w:val="single" w:sz="4" w:space="0" w:color="000000"/>
              <w:left w:val="single" w:sz="4" w:space="0" w:color="000000"/>
            </w:tcBorders>
          </w:tcPr>
          <w:p>
            <w:pPr>
              <w:pStyle w:val="TableParagraph"/>
              <w:ind w:left="33"/>
              <w:rPr>
                <w:sz w:val="18"/>
              </w:rPr>
            </w:pPr>
            <w:r>
              <w:rPr>
                <w:sz w:val="18"/>
              </w:rPr>
              <w:t>-</w:t>
            </w:r>
          </w:p>
        </w:tc>
      </w:tr>
    </w:tbl>
    <w:p>
      <w:pPr>
        <w:pStyle w:val="ListParagraph"/>
        <w:numPr>
          <w:ilvl w:val="3"/>
          <w:numId w:val="32"/>
        </w:numPr>
        <w:tabs>
          <w:tab w:val="left" w:pos="1461"/>
          <w:tab w:val="left" w:pos="1462"/>
        </w:tabs>
        <w:spacing w:before="179" w:after="0" w:line="240" w:lineRule="auto"/>
        <w:ind w:left="1461" w:right="0" w:hanging="947"/>
        <w:jc w:val="left"/>
        <w:rPr>
          <w:sz w:val="21"/>
        </w:rPr>
      </w:pPr>
      <w:bookmarkStart w:id="99" w:name="5.2.3.6  其他材料应满足以下规定："/>
      <w:bookmarkEnd w:id="99"/>
      <w:r>
        <w:rPr>
          <w:spacing w:val="-3"/>
          <w:sz w:val="21"/>
        </w:rPr>
        <w:t>其他材料应满足以下规定：</w:t>
      </w:r>
    </w:p>
    <w:p>
      <w:pPr>
        <w:pStyle w:val="BodyText"/>
        <w:spacing w:before="6"/>
        <w:rPr>
          <w:sz w:val="15"/>
        </w:rPr>
      </w:pPr>
    </w:p>
    <w:p>
      <w:pPr>
        <w:pStyle w:val="ListParagraph"/>
        <w:numPr>
          <w:ilvl w:val="4"/>
          <w:numId w:val="32"/>
        </w:numPr>
        <w:tabs>
          <w:tab w:val="left" w:pos="1358"/>
          <w:tab w:val="left" w:pos="1359"/>
          <w:tab w:val="left" w:pos="2407"/>
        </w:tabs>
        <w:spacing w:before="0" w:after="0" w:line="278" w:lineRule="auto"/>
        <w:ind w:left="1356" w:right="205" w:hanging="421"/>
        <w:jc w:val="left"/>
        <w:rPr>
          <w:sz w:val="21"/>
        </w:rPr>
      </w:pPr>
      <w:r>
        <w:rPr>
          <w:spacing w:val="-3"/>
          <w:sz w:val="21"/>
        </w:rPr>
        <w:t>抗</w:t>
      </w:r>
      <w:r>
        <w:rPr>
          <w:sz w:val="21"/>
        </w:rPr>
        <w:t>剥</w:t>
      </w:r>
      <w:r>
        <w:rPr>
          <w:spacing w:val="-3"/>
          <w:sz w:val="21"/>
        </w:rPr>
        <w:t>落</w:t>
      </w:r>
      <w:r>
        <w:rPr>
          <w:sz w:val="21"/>
        </w:rPr>
        <w:t>剂</w:t>
        <w:tab/>
        <w:t>沥</w:t>
      </w:r>
      <w:r>
        <w:rPr>
          <w:spacing w:val="-3"/>
          <w:sz w:val="21"/>
        </w:rPr>
        <w:t>青</w:t>
      </w:r>
      <w:r>
        <w:rPr>
          <w:sz w:val="21"/>
        </w:rPr>
        <w:t>面</w:t>
      </w:r>
      <w:r>
        <w:rPr>
          <w:spacing w:val="-3"/>
          <w:sz w:val="21"/>
        </w:rPr>
        <w:t>层</w:t>
      </w:r>
      <w:r>
        <w:rPr>
          <w:sz w:val="21"/>
        </w:rPr>
        <w:t>用抗</w:t>
      </w:r>
      <w:r>
        <w:rPr>
          <w:spacing w:val="-3"/>
          <w:sz w:val="21"/>
        </w:rPr>
        <w:t>剥</w:t>
      </w:r>
      <w:r>
        <w:rPr>
          <w:sz w:val="21"/>
        </w:rPr>
        <w:t>落</w:t>
      </w:r>
      <w:r>
        <w:rPr>
          <w:spacing w:val="-3"/>
          <w:sz w:val="21"/>
        </w:rPr>
        <w:t>剂</w:t>
      </w:r>
      <w:r>
        <w:rPr>
          <w:sz w:val="21"/>
        </w:rPr>
        <w:t>应</w:t>
      </w:r>
      <w:r>
        <w:rPr>
          <w:spacing w:val="-3"/>
          <w:sz w:val="21"/>
        </w:rPr>
        <w:t>耐</w:t>
      </w:r>
      <w:r>
        <w:rPr>
          <w:sz w:val="21"/>
        </w:rPr>
        <w:t>热</w:t>
      </w:r>
      <w:r>
        <w:rPr>
          <w:spacing w:val="-3"/>
          <w:sz w:val="21"/>
        </w:rPr>
        <w:t>并</w:t>
      </w:r>
      <w:r>
        <w:rPr>
          <w:sz w:val="21"/>
        </w:rPr>
        <w:t>具</w:t>
      </w:r>
      <w:r>
        <w:rPr>
          <w:spacing w:val="-3"/>
          <w:sz w:val="21"/>
        </w:rPr>
        <w:t>有</w:t>
      </w:r>
      <w:r>
        <w:rPr>
          <w:sz w:val="21"/>
        </w:rPr>
        <w:t>良好</w:t>
      </w:r>
      <w:r>
        <w:rPr>
          <w:spacing w:val="-3"/>
          <w:sz w:val="21"/>
        </w:rPr>
        <w:t>的</w:t>
      </w:r>
      <w:r>
        <w:rPr>
          <w:sz w:val="21"/>
        </w:rPr>
        <w:t>长</w:t>
      </w:r>
      <w:r>
        <w:rPr>
          <w:spacing w:val="-3"/>
          <w:sz w:val="21"/>
        </w:rPr>
        <w:t>期</w:t>
      </w:r>
      <w:r>
        <w:rPr>
          <w:sz w:val="21"/>
        </w:rPr>
        <w:t>性</w:t>
      </w:r>
      <w:r>
        <w:rPr>
          <w:spacing w:val="-3"/>
          <w:sz w:val="21"/>
        </w:rPr>
        <w:t>能</w:t>
      </w:r>
      <w:r>
        <w:rPr>
          <w:spacing w:val="-48"/>
          <w:sz w:val="21"/>
        </w:rPr>
        <w:t>，</w:t>
      </w:r>
      <w:r>
        <w:rPr>
          <w:spacing w:val="-3"/>
          <w:sz w:val="21"/>
        </w:rPr>
        <w:t>在</w:t>
      </w:r>
      <w:r>
        <w:rPr>
          <w:sz w:val="21"/>
        </w:rPr>
        <w:t>薄</w:t>
      </w:r>
      <w:r>
        <w:rPr>
          <w:spacing w:val="-3"/>
          <w:sz w:val="21"/>
        </w:rPr>
        <w:t>膜</w:t>
      </w:r>
      <w:r>
        <w:rPr>
          <w:sz w:val="21"/>
        </w:rPr>
        <w:t>老化</w:t>
      </w:r>
      <w:r>
        <w:rPr>
          <w:spacing w:val="-3"/>
          <w:sz w:val="21"/>
        </w:rPr>
        <w:t>后</w:t>
      </w:r>
      <w:r>
        <w:rPr>
          <w:spacing w:val="-48"/>
          <w:sz w:val="21"/>
        </w:rPr>
        <w:t>，</w:t>
      </w:r>
      <w:r>
        <w:rPr>
          <w:spacing w:val="-3"/>
          <w:sz w:val="21"/>
        </w:rPr>
        <w:t>仍</w:t>
      </w:r>
      <w:r>
        <w:rPr>
          <w:sz w:val="21"/>
        </w:rPr>
        <w:t>应</w:t>
      </w:r>
      <w:r>
        <w:rPr>
          <w:spacing w:val="-3"/>
          <w:sz w:val="21"/>
        </w:rPr>
        <w:t>满</w:t>
      </w:r>
      <w:r>
        <w:rPr>
          <w:sz w:val="21"/>
        </w:rPr>
        <w:t>足</w:t>
      </w:r>
      <w:r>
        <w:rPr>
          <w:spacing w:val="-3"/>
          <w:sz w:val="21"/>
        </w:rPr>
        <w:t>相</w:t>
      </w:r>
      <w:r>
        <w:rPr>
          <w:sz w:val="21"/>
        </w:rPr>
        <w:t>应技术</w:t>
      </w:r>
      <w:r>
        <w:rPr>
          <w:spacing w:val="-3"/>
          <w:sz w:val="21"/>
        </w:rPr>
        <w:t>要</w:t>
      </w:r>
      <w:r>
        <w:rPr>
          <w:sz w:val="21"/>
        </w:rPr>
        <w:t>求</w:t>
      </w:r>
      <w:r>
        <w:rPr>
          <w:spacing w:val="-104"/>
          <w:sz w:val="21"/>
        </w:rPr>
        <w:t>。</w:t>
      </w:r>
      <w:r>
        <w:rPr>
          <w:sz w:val="21"/>
        </w:rPr>
        <w:t>抗</w:t>
      </w:r>
      <w:r>
        <w:rPr>
          <w:spacing w:val="-3"/>
          <w:sz w:val="21"/>
        </w:rPr>
        <w:t>剥</w:t>
      </w:r>
      <w:r>
        <w:rPr>
          <w:sz w:val="21"/>
        </w:rPr>
        <w:t>落</w:t>
      </w:r>
      <w:r>
        <w:rPr>
          <w:spacing w:val="-3"/>
          <w:sz w:val="21"/>
        </w:rPr>
        <w:t>剂</w:t>
      </w:r>
      <w:r>
        <w:rPr>
          <w:sz w:val="21"/>
        </w:rPr>
        <w:t>掺</w:t>
      </w:r>
      <w:r>
        <w:rPr>
          <w:spacing w:val="-3"/>
          <w:sz w:val="21"/>
        </w:rPr>
        <w:t>加量</w:t>
      </w:r>
      <w:r>
        <w:rPr>
          <w:sz w:val="21"/>
        </w:rPr>
        <w:t>应通</w:t>
      </w:r>
      <w:r>
        <w:rPr>
          <w:spacing w:val="-3"/>
          <w:sz w:val="21"/>
        </w:rPr>
        <w:t>过</w:t>
      </w:r>
      <w:r>
        <w:rPr>
          <w:sz w:val="21"/>
        </w:rPr>
        <w:t>试</w:t>
      </w:r>
      <w:r>
        <w:rPr>
          <w:spacing w:val="-3"/>
          <w:sz w:val="21"/>
        </w:rPr>
        <w:t>验</w:t>
      </w:r>
      <w:r>
        <w:rPr>
          <w:sz w:val="21"/>
        </w:rPr>
        <w:t>确</w:t>
      </w:r>
      <w:r>
        <w:rPr>
          <w:spacing w:val="-3"/>
          <w:sz w:val="21"/>
        </w:rPr>
        <w:t>定</w:t>
      </w:r>
      <w:r>
        <w:rPr>
          <w:spacing w:val="-101"/>
          <w:sz w:val="21"/>
        </w:rPr>
        <w:t>。</w:t>
      </w:r>
      <w:r>
        <w:rPr>
          <w:spacing w:val="-3"/>
          <w:sz w:val="21"/>
        </w:rPr>
        <w:t>沥</w:t>
      </w:r>
      <w:r>
        <w:rPr>
          <w:sz w:val="21"/>
        </w:rPr>
        <w:t>青</w:t>
      </w:r>
      <w:r>
        <w:rPr>
          <w:spacing w:val="-3"/>
          <w:sz w:val="21"/>
        </w:rPr>
        <w:t>面层</w:t>
      </w:r>
      <w:r>
        <w:rPr>
          <w:sz w:val="21"/>
        </w:rPr>
        <w:t>应以</w:t>
      </w:r>
      <w:r>
        <w:rPr>
          <w:spacing w:val="-3"/>
          <w:sz w:val="21"/>
        </w:rPr>
        <w:t>消</w:t>
      </w:r>
      <w:r>
        <w:rPr>
          <w:sz w:val="21"/>
        </w:rPr>
        <w:t>石</w:t>
      </w:r>
      <w:r>
        <w:rPr>
          <w:spacing w:val="-3"/>
          <w:sz w:val="21"/>
        </w:rPr>
        <w:t>灰</w:t>
      </w:r>
      <w:r>
        <w:rPr>
          <w:sz w:val="21"/>
        </w:rPr>
        <w:t>或</w:t>
      </w:r>
      <w:r>
        <w:rPr>
          <w:spacing w:val="-3"/>
          <w:sz w:val="21"/>
        </w:rPr>
        <w:t>水</w:t>
      </w:r>
      <w:r>
        <w:rPr>
          <w:sz w:val="21"/>
        </w:rPr>
        <w:t>泥</w:t>
      </w:r>
      <w:r>
        <w:rPr>
          <w:spacing w:val="-3"/>
          <w:sz w:val="21"/>
        </w:rPr>
        <w:t>作</w:t>
      </w:r>
      <w:r>
        <w:rPr>
          <w:sz w:val="21"/>
        </w:rPr>
        <w:t>为</w:t>
      </w:r>
      <w:r>
        <w:rPr>
          <w:spacing w:val="-3"/>
          <w:sz w:val="21"/>
        </w:rPr>
        <w:t>主</w:t>
      </w:r>
      <w:r>
        <w:rPr>
          <w:sz w:val="21"/>
        </w:rPr>
        <w:t>要的</w:t>
      </w:r>
      <w:r>
        <w:rPr>
          <w:spacing w:val="-3"/>
          <w:sz w:val="21"/>
        </w:rPr>
        <w:t>抗</w:t>
      </w:r>
      <w:r>
        <w:rPr>
          <w:sz w:val="21"/>
        </w:rPr>
        <w:t>剥</w:t>
      </w:r>
      <w:r>
        <w:rPr>
          <w:spacing w:val="-3"/>
          <w:sz w:val="21"/>
        </w:rPr>
        <w:t>落</w:t>
      </w:r>
      <w:r>
        <w:rPr>
          <w:sz w:val="21"/>
        </w:rPr>
        <w:t>剂。</w:t>
      </w:r>
    </w:p>
    <w:p>
      <w:pPr>
        <w:pStyle w:val="ListParagraph"/>
        <w:numPr>
          <w:ilvl w:val="4"/>
          <w:numId w:val="32"/>
        </w:numPr>
        <w:tabs>
          <w:tab w:val="left" w:pos="1372"/>
          <w:tab w:val="left" w:pos="1373"/>
          <w:tab w:val="left" w:pos="2212"/>
        </w:tabs>
        <w:spacing w:before="0" w:after="0" w:line="278" w:lineRule="auto"/>
        <w:ind w:left="1370" w:right="310" w:hanging="421"/>
        <w:jc w:val="left"/>
        <w:rPr>
          <w:sz w:val="21"/>
        </w:rPr>
      </w:pPr>
      <w:r>
        <w:rPr>
          <w:spacing w:val="-3"/>
          <w:sz w:val="21"/>
        </w:rPr>
        <w:t>稳</w:t>
      </w:r>
      <w:r>
        <w:rPr>
          <w:sz w:val="21"/>
        </w:rPr>
        <w:t>定剂</w:t>
        <w:tab/>
        <w:t>SMA</w:t>
      </w:r>
      <w:r>
        <w:rPr>
          <w:spacing w:val="-24"/>
          <w:sz w:val="21"/>
        </w:rPr>
        <w:t xml:space="preserve"> </w:t>
      </w:r>
      <w:r>
        <w:rPr>
          <w:spacing w:val="-3"/>
          <w:sz w:val="21"/>
        </w:rPr>
        <w:t>路</w:t>
      </w:r>
      <w:r>
        <w:rPr>
          <w:sz w:val="21"/>
        </w:rPr>
        <w:t>面</w:t>
      </w:r>
      <w:r>
        <w:rPr>
          <w:spacing w:val="-3"/>
          <w:sz w:val="21"/>
        </w:rPr>
        <w:t>宜</w:t>
      </w:r>
      <w:r>
        <w:rPr>
          <w:sz w:val="21"/>
        </w:rPr>
        <w:t>采用</w:t>
      </w:r>
      <w:r>
        <w:rPr>
          <w:spacing w:val="-3"/>
          <w:sz w:val="21"/>
        </w:rPr>
        <w:t>优</w:t>
      </w:r>
      <w:r>
        <w:rPr>
          <w:sz w:val="21"/>
        </w:rPr>
        <w:t>良</w:t>
      </w:r>
      <w:r>
        <w:rPr>
          <w:spacing w:val="-3"/>
          <w:sz w:val="21"/>
        </w:rPr>
        <w:t>的</w:t>
      </w:r>
      <w:r>
        <w:rPr>
          <w:sz w:val="21"/>
        </w:rPr>
        <w:t>木</w:t>
      </w:r>
      <w:r>
        <w:rPr>
          <w:spacing w:val="-3"/>
          <w:sz w:val="21"/>
        </w:rPr>
        <w:t>质</w:t>
      </w:r>
      <w:r>
        <w:rPr>
          <w:sz w:val="21"/>
        </w:rPr>
        <w:t>素</w:t>
      </w:r>
      <w:r>
        <w:rPr>
          <w:spacing w:val="-3"/>
          <w:sz w:val="21"/>
        </w:rPr>
        <w:t>纤</w:t>
      </w:r>
      <w:r>
        <w:rPr>
          <w:sz w:val="21"/>
        </w:rPr>
        <w:t>维</w:t>
      </w:r>
      <w:r>
        <w:rPr>
          <w:spacing w:val="-32"/>
          <w:sz w:val="21"/>
        </w:rPr>
        <w:t>。</w:t>
      </w:r>
      <w:r>
        <w:rPr>
          <w:sz w:val="21"/>
        </w:rPr>
        <w:t>木质</w:t>
      </w:r>
      <w:r>
        <w:rPr>
          <w:spacing w:val="-3"/>
          <w:sz w:val="21"/>
        </w:rPr>
        <w:t>素</w:t>
      </w:r>
      <w:r>
        <w:rPr>
          <w:sz w:val="21"/>
        </w:rPr>
        <w:t>纤</w:t>
      </w:r>
      <w:r>
        <w:rPr>
          <w:spacing w:val="-3"/>
          <w:sz w:val="21"/>
        </w:rPr>
        <w:t>维</w:t>
      </w:r>
      <w:r>
        <w:rPr>
          <w:sz w:val="21"/>
        </w:rPr>
        <w:t>技</w:t>
      </w:r>
      <w:r>
        <w:rPr>
          <w:spacing w:val="-3"/>
          <w:sz w:val="21"/>
        </w:rPr>
        <w:t>术</w:t>
      </w:r>
      <w:r>
        <w:rPr>
          <w:sz w:val="21"/>
        </w:rPr>
        <w:t>指</w:t>
      </w:r>
      <w:r>
        <w:rPr>
          <w:spacing w:val="-3"/>
          <w:sz w:val="21"/>
        </w:rPr>
        <w:t>标</w:t>
      </w:r>
      <w:r>
        <w:rPr>
          <w:sz w:val="21"/>
        </w:rPr>
        <w:t>应</w:t>
      </w:r>
      <w:r>
        <w:rPr>
          <w:spacing w:val="-3"/>
          <w:sz w:val="21"/>
        </w:rPr>
        <w:t>满</w:t>
      </w:r>
      <w:r>
        <w:rPr>
          <w:spacing w:val="-29"/>
          <w:sz w:val="21"/>
        </w:rPr>
        <w:t>足</w:t>
      </w:r>
      <w:r>
        <w:rPr>
          <w:sz w:val="21"/>
        </w:rPr>
        <w:t>《</w:t>
      </w:r>
      <w:r>
        <w:rPr>
          <w:spacing w:val="-3"/>
          <w:sz w:val="21"/>
        </w:rPr>
        <w:t>公</w:t>
      </w:r>
      <w:r>
        <w:rPr>
          <w:sz w:val="21"/>
        </w:rPr>
        <w:t>路</w:t>
      </w:r>
      <w:r>
        <w:rPr>
          <w:spacing w:val="-3"/>
          <w:sz w:val="21"/>
        </w:rPr>
        <w:t>沥</w:t>
      </w:r>
      <w:r>
        <w:rPr>
          <w:sz w:val="21"/>
        </w:rPr>
        <w:t>青</w:t>
      </w:r>
      <w:r>
        <w:rPr>
          <w:spacing w:val="-3"/>
          <w:sz w:val="21"/>
        </w:rPr>
        <w:t>路</w:t>
      </w:r>
      <w:r>
        <w:rPr>
          <w:sz w:val="21"/>
        </w:rPr>
        <w:t>面</w:t>
      </w:r>
      <w:r>
        <w:rPr>
          <w:spacing w:val="-3"/>
          <w:sz w:val="21"/>
        </w:rPr>
        <w:t>施工</w:t>
      </w:r>
      <w:r>
        <w:rPr>
          <w:sz w:val="21"/>
        </w:rPr>
        <w:t>技术</w:t>
      </w:r>
      <w:r>
        <w:rPr>
          <w:spacing w:val="-3"/>
          <w:sz w:val="21"/>
        </w:rPr>
        <w:t>规</w:t>
      </w:r>
      <w:r>
        <w:rPr>
          <w:sz w:val="21"/>
        </w:rPr>
        <w:t>范</w:t>
      </w:r>
      <w:r>
        <w:rPr>
          <w:spacing w:val="-3"/>
          <w:sz w:val="21"/>
        </w:rPr>
        <w:t>》</w:t>
      </w:r>
      <w:r>
        <w:rPr>
          <w:sz w:val="21"/>
        </w:rPr>
        <w:t>（JTG F40-2004）</w:t>
      </w:r>
      <w:r>
        <w:rPr>
          <w:spacing w:val="-3"/>
          <w:sz w:val="21"/>
        </w:rPr>
        <w:t>要</w:t>
      </w:r>
      <w:r>
        <w:rPr>
          <w:sz w:val="21"/>
        </w:rPr>
        <w:t>求。</w:t>
      </w:r>
    </w:p>
    <w:p>
      <w:pPr>
        <w:pStyle w:val="ListParagraph"/>
        <w:numPr>
          <w:ilvl w:val="4"/>
          <w:numId w:val="32"/>
        </w:numPr>
        <w:tabs>
          <w:tab w:val="left" w:pos="1358"/>
          <w:tab w:val="left" w:pos="1359"/>
        </w:tabs>
        <w:spacing w:before="0" w:after="0" w:line="269" w:lineRule="exact"/>
        <w:ind w:left="1358" w:right="0" w:hanging="423"/>
        <w:jc w:val="left"/>
        <w:rPr>
          <w:sz w:val="21"/>
        </w:rPr>
      </w:pPr>
      <w:r>
        <w:rPr>
          <w:spacing w:val="-3"/>
          <w:sz w:val="21"/>
        </w:rPr>
        <w:t>面层添加剂应符合《高等级公路沥青路面设计规范》</w:t>
      </w:r>
      <w:r>
        <w:rPr>
          <w:sz w:val="21"/>
        </w:rPr>
        <w:t>（DB</w:t>
      </w:r>
      <w:r>
        <w:rPr>
          <w:spacing w:val="-1"/>
          <w:sz w:val="21"/>
        </w:rPr>
        <w:t xml:space="preserve"> </w:t>
      </w:r>
      <w:r>
        <w:rPr>
          <w:sz w:val="21"/>
        </w:rPr>
        <w:t>33/T</w:t>
      </w:r>
      <w:r>
        <w:rPr>
          <w:spacing w:val="2"/>
          <w:sz w:val="21"/>
        </w:rPr>
        <w:t xml:space="preserve"> </w:t>
      </w:r>
      <w:r>
        <w:rPr>
          <w:sz w:val="21"/>
        </w:rPr>
        <w:t>896）</w:t>
      </w:r>
      <w:r>
        <w:rPr>
          <w:spacing w:val="-2"/>
          <w:sz w:val="21"/>
        </w:rPr>
        <w:t>的规定。</w:t>
      </w:r>
    </w:p>
    <w:p>
      <w:pPr>
        <w:pStyle w:val="BodyText"/>
        <w:spacing w:before="7"/>
        <w:rPr>
          <w:sz w:val="15"/>
        </w:rPr>
      </w:pPr>
    </w:p>
    <w:p>
      <w:pPr>
        <w:pStyle w:val="ListParagraph"/>
        <w:numPr>
          <w:ilvl w:val="3"/>
          <w:numId w:val="32"/>
        </w:numPr>
        <w:tabs>
          <w:tab w:val="left" w:pos="1462"/>
          <w:tab w:val="left" w:pos="1463"/>
        </w:tabs>
        <w:spacing w:before="0" w:after="0" w:line="240" w:lineRule="auto"/>
        <w:ind w:left="1462" w:right="0" w:hanging="947"/>
        <w:jc w:val="left"/>
        <w:rPr>
          <w:sz w:val="21"/>
        </w:rPr>
      </w:pPr>
      <w:bookmarkStart w:id="100" w:name="5.2.3.7  设计文件或招标文件可对原材料的质量技术指标有相应提高，应按照提"/>
      <w:bookmarkEnd w:id="100"/>
      <w:r>
        <w:rPr>
          <w:spacing w:val="-3"/>
          <w:sz w:val="21"/>
        </w:rPr>
        <w:t>设计文件或招标文件可对原材料的质量技术指标有相应提高，应按照提高的要求执行。</w:t>
      </w:r>
    </w:p>
    <w:p>
      <w:pPr>
        <w:pStyle w:val="BodyText"/>
        <w:spacing w:before="6"/>
        <w:rPr>
          <w:sz w:val="15"/>
        </w:rPr>
      </w:pPr>
    </w:p>
    <w:p>
      <w:pPr>
        <w:pStyle w:val="ListParagraph"/>
        <w:numPr>
          <w:ilvl w:val="2"/>
          <w:numId w:val="32"/>
        </w:numPr>
        <w:tabs>
          <w:tab w:val="left" w:pos="1254"/>
        </w:tabs>
        <w:spacing w:before="0" w:after="0" w:line="240" w:lineRule="auto"/>
        <w:ind w:left="1253" w:right="0" w:hanging="738"/>
        <w:jc w:val="both"/>
        <w:rPr>
          <w:rFonts w:ascii="黑体" w:eastAsia="黑体" w:hint="eastAsia"/>
          <w:sz w:val="21"/>
        </w:rPr>
      </w:pPr>
      <w:bookmarkStart w:id="101" w:name="5.2.4  伸缩缝原材料质量技术要求"/>
      <w:bookmarkEnd w:id="101"/>
      <w:r>
        <w:rPr>
          <w:rFonts w:ascii="黑体" w:eastAsia="黑体" w:hint="eastAsia"/>
          <w:spacing w:val="-3"/>
          <w:sz w:val="21"/>
        </w:rPr>
        <w:t>伸缩缝原材料质量技术要求</w:t>
      </w:r>
    </w:p>
    <w:p>
      <w:pPr>
        <w:pStyle w:val="BodyText"/>
        <w:spacing w:before="7"/>
        <w:rPr>
          <w:rFonts w:ascii="黑体"/>
          <w:sz w:val="15"/>
        </w:rPr>
      </w:pPr>
    </w:p>
    <w:p>
      <w:pPr>
        <w:pStyle w:val="BodyText"/>
        <w:ind w:left="936"/>
      </w:pPr>
      <w:r>
        <w:t>伸缩装置的材料、钢材、橡胶封条及橡胶伸缩装置质量技术应符合《公路工程标准施工招标文件》</w:t>
      </w:r>
    </w:p>
    <w:p>
      <w:pPr>
        <w:pStyle w:val="BodyText"/>
        <w:spacing w:before="43"/>
        <w:ind w:left="516"/>
      </w:pPr>
      <w:r>
        <w:t>（2018年版·第二册）技术规范第417节规定。</w:t>
      </w:r>
    </w:p>
    <w:p>
      <w:pPr>
        <w:pStyle w:val="BodyText"/>
        <w:spacing w:before="7"/>
        <w:rPr>
          <w:sz w:val="15"/>
        </w:rPr>
      </w:pPr>
    </w:p>
    <w:p>
      <w:pPr>
        <w:pStyle w:val="ListParagraph"/>
        <w:numPr>
          <w:ilvl w:val="1"/>
          <w:numId w:val="32"/>
        </w:numPr>
        <w:tabs>
          <w:tab w:val="left" w:pos="1043"/>
        </w:tabs>
        <w:spacing w:before="0" w:after="0" w:line="240" w:lineRule="auto"/>
        <w:ind w:left="1042" w:right="0" w:hanging="527"/>
        <w:jc w:val="both"/>
        <w:rPr>
          <w:rFonts w:ascii="黑体" w:eastAsia="黑体" w:hint="eastAsia"/>
          <w:sz w:val="21"/>
        </w:rPr>
      </w:pPr>
      <w:bookmarkStart w:id="102" w:name="5.3  设备"/>
      <w:bookmarkEnd w:id="102"/>
      <w:bookmarkStart w:id="103" w:name="_bookmark12"/>
      <w:bookmarkEnd w:id="103"/>
      <w:r>
        <w:rPr>
          <w:rFonts w:ascii="黑体" w:eastAsia="黑体" w:hint="eastAsia"/>
          <w:sz w:val="21"/>
        </w:rPr>
        <w:t>设备</w:t>
      </w:r>
    </w:p>
    <w:p>
      <w:pPr>
        <w:spacing w:after="0" w:line="240" w:lineRule="auto"/>
        <w:jc w:val="both"/>
        <w:rPr>
          <w:rFonts w:ascii="黑体" w:eastAsia="黑体" w:hint="eastAsia"/>
          <w:sz w:val="21"/>
        </w:rPr>
        <w:sectPr>
          <w:footerReference w:type="even" r:id="rId30"/>
          <w:footerReference w:type="default" r:id="rId31"/>
          <w:pgSz w:w="11910" w:h="16840"/>
          <w:pgMar w:top="1400" w:right="820" w:bottom="1540" w:left="900" w:header="0" w:footer="1354"/>
          <w:pgNumType w:start="11"/>
          <w:cols w:space="708"/>
        </w:sectPr>
      </w:pPr>
    </w:p>
    <w:p>
      <w:pPr>
        <w:pStyle w:val="ListParagraph"/>
        <w:numPr>
          <w:ilvl w:val="2"/>
          <w:numId w:val="24"/>
        </w:numPr>
        <w:tabs>
          <w:tab w:val="left" w:pos="953"/>
        </w:tabs>
        <w:spacing w:before="44" w:after="0" w:line="240" w:lineRule="auto"/>
        <w:ind w:left="952" w:right="0" w:hanging="721"/>
        <w:jc w:val="left"/>
        <w:rPr>
          <w:rFonts w:ascii="黑体" w:eastAsia="黑体" w:hint="eastAsia"/>
          <w:sz w:val="21"/>
        </w:rPr>
      </w:pPr>
      <w:bookmarkStart w:id="104" w:name="集料加工设备应符合以下要求："/>
      <w:bookmarkEnd w:id="104"/>
      <w:r>
        <w:rPr>
          <w:rFonts w:ascii="黑体" w:eastAsia="黑体" w:hint="eastAsia"/>
          <w:spacing w:val="-3"/>
          <w:sz w:val="21"/>
        </w:rPr>
        <w:t>集料加工设备应符合以下要求：</w:t>
      </w:r>
    </w:p>
    <w:p>
      <w:pPr>
        <w:pStyle w:val="BodyText"/>
        <w:spacing w:before="7"/>
        <w:rPr>
          <w:rFonts w:ascii="黑体"/>
          <w:sz w:val="15"/>
        </w:rPr>
      </w:pPr>
    </w:p>
    <w:p>
      <w:pPr>
        <w:pStyle w:val="ListParagraph"/>
        <w:numPr>
          <w:ilvl w:val="3"/>
          <w:numId w:val="24"/>
        </w:numPr>
        <w:tabs>
          <w:tab w:val="left" w:pos="1075"/>
          <w:tab w:val="left" w:pos="1076"/>
        </w:tabs>
        <w:spacing w:before="0" w:after="0" w:line="240" w:lineRule="auto"/>
        <w:ind w:left="1075" w:right="0" w:hanging="424"/>
        <w:jc w:val="left"/>
        <w:rPr>
          <w:sz w:val="21"/>
        </w:rPr>
      </w:pPr>
      <w:r>
        <w:rPr>
          <w:spacing w:val="-3"/>
          <w:sz w:val="21"/>
        </w:rPr>
        <w:t>面层集料应通过多级破碎、整形、筛分、除尘等工艺进行制备。</w:t>
      </w:r>
    </w:p>
    <w:p>
      <w:pPr>
        <w:pStyle w:val="ListParagraph"/>
        <w:numPr>
          <w:ilvl w:val="3"/>
          <w:numId w:val="24"/>
        </w:numPr>
        <w:tabs>
          <w:tab w:val="left" w:pos="1075"/>
          <w:tab w:val="left" w:pos="1076"/>
        </w:tabs>
        <w:spacing w:before="43" w:after="0" w:line="278" w:lineRule="auto"/>
        <w:ind w:left="1073" w:right="386" w:hanging="421"/>
        <w:jc w:val="left"/>
        <w:rPr>
          <w:sz w:val="21"/>
        </w:rPr>
      </w:pPr>
      <w:r>
        <w:rPr>
          <w:spacing w:val="-8"/>
          <w:sz w:val="21"/>
        </w:rPr>
        <w:t xml:space="preserve">粗细集料生产线应不低于三级破碎，一般配置喂料机、颚式破碎机、渣土分离输送带、圆锥破 </w:t>
      </w:r>
      <w:r>
        <w:rPr>
          <w:spacing w:val="-9"/>
          <w:sz w:val="21"/>
        </w:rPr>
        <w:t>碎机、反击破碎机、立轴冲击破碎机</w:t>
      </w:r>
      <w:r>
        <w:rPr>
          <w:sz w:val="21"/>
        </w:rPr>
        <w:t>（</w:t>
      </w:r>
      <w:r>
        <w:rPr>
          <w:spacing w:val="-3"/>
          <w:sz w:val="21"/>
        </w:rPr>
        <w:t>整形机</w:t>
      </w:r>
      <w:r>
        <w:rPr>
          <w:spacing w:val="-12"/>
          <w:sz w:val="21"/>
        </w:rPr>
        <w:t>）</w:t>
      </w:r>
      <w:r>
        <w:rPr>
          <w:spacing w:val="-9"/>
          <w:sz w:val="21"/>
        </w:rPr>
        <w:t xml:space="preserve">、振动筛、除尘设备等。振动筛、除尘设备的 </w:t>
      </w:r>
      <w:r>
        <w:rPr>
          <w:spacing w:val="-12"/>
          <w:sz w:val="21"/>
        </w:rPr>
        <w:t>配置应与生产线加工能力相匹配。施工单位可根据料源的岩性及集料级配需要自行组合生产线。</w:t>
      </w:r>
    </w:p>
    <w:p>
      <w:pPr>
        <w:pStyle w:val="ListParagraph"/>
        <w:numPr>
          <w:ilvl w:val="2"/>
          <w:numId w:val="24"/>
        </w:numPr>
        <w:tabs>
          <w:tab w:val="left" w:pos="954"/>
        </w:tabs>
        <w:spacing w:before="155" w:after="0" w:line="240" w:lineRule="auto"/>
        <w:ind w:left="953" w:right="0" w:hanging="721"/>
        <w:jc w:val="left"/>
        <w:rPr>
          <w:rFonts w:ascii="黑体" w:eastAsia="黑体" w:hint="eastAsia"/>
          <w:sz w:val="21"/>
        </w:rPr>
      </w:pPr>
      <w:bookmarkStart w:id="105" w:name="水泥稳定碎石基层、底基层施工设备"/>
      <w:bookmarkEnd w:id="105"/>
      <w:r>
        <w:rPr>
          <w:rFonts w:ascii="黑体" w:eastAsia="黑体" w:hint="eastAsia"/>
          <w:spacing w:val="-3"/>
          <w:sz w:val="21"/>
        </w:rPr>
        <w:t>水泥稳定碎石基层、底基层施工设备</w:t>
      </w:r>
    </w:p>
    <w:p>
      <w:pPr>
        <w:pStyle w:val="BodyText"/>
        <w:spacing w:before="7"/>
        <w:rPr>
          <w:rFonts w:ascii="黑体"/>
          <w:sz w:val="15"/>
        </w:rPr>
      </w:pPr>
    </w:p>
    <w:p>
      <w:pPr>
        <w:pStyle w:val="ListParagraph"/>
        <w:numPr>
          <w:ilvl w:val="3"/>
          <w:numId w:val="23"/>
        </w:numPr>
        <w:tabs>
          <w:tab w:val="left" w:pos="1178"/>
          <w:tab w:val="left" w:pos="1179"/>
        </w:tabs>
        <w:spacing w:before="0" w:after="0" w:line="240" w:lineRule="auto"/>
        <w:ind w:left="1178" w:right="0" w:hanging="946"/>
        <w:jc w:val="left"/>
        <w:rPr>
          <w:sz w:val="21"/>
        </w:rPr>
      </w:pPr>
      <w:bookmarkStart w:id="106" w:name="5.3.2.1  水泥稳定碎石基层、底基层施工设备配备可参考附录B配置。"/>
      <w:bookmarkEnd w:id="106"/>
      <w:r>
        <w:rPr>
          <w:spacing w:val="-6"/>
          <w:sz w:val="21"/>
        </w:rPr>
        <w:t xml:space="preserve">水泥稳定碎石基层、底基层施工设备配备可参考附录 </w:t>
      </w:r>
      <w:r>
        <w:rPr>
          <w:sz w:val="21"/>
        </w:rPr>
        <w:t>B</w:t>
      </w:r>
      <w:r>
        <w:rPr>
          <w:spacing w:val="-15"/>
          <w:sz w:val="21"/>
        </w:rPr>
        <w:t xml:space="preserve"> 配置。</w:t>
      </w:r>
    </w:p>
    <w:p>
      <w:pPr>
        <w:pStyle w:val="BodyText"/>
        <w:spacing w:before="7"/>
        <w:rPr>
          <w:sz w:val="15"/>
        </w:rPr>
      </w:pPr>
    </w:p>
    <w:p>
      <w:pPr>
        <w:pStyle w:val="ListParagraph"/>
        <w:numPr>
          <w:ilvl w:val="3"/>
          <w:numId w:val="23"/>
        </w:numPr>
        <w:tabs>
          <w:tab w:val="left" w:pos="1178"/>
          <w:tab w:val="left" w:pos="1179"/>
        </w:tabs>
        <w:spacing w:before="0" w:after="0" w:line="240" w:lineRule="auto"/>
        <w:ind w:left="1178" w:right="0" w:hanging="946"/>
        <w:jc w:val="left"/>
        <w:rPr>
          <w:sz w:val="21"/>
        </w:rPr>
      </w:pPr>
      <w:bookmarkStart w:id="107" w:name="5.3.2.2  拌和设备尚应符合以下要求："/>
      <w:bookmarkEnd w:id="107"/>
      <w:r>
        <w:rPr>
          <w:spacing w:val="-3"/>
          <w:sz w:val="21"/>
        </w:rPr>
        <w:t>拌和设备尚应符合以下要求：</w:t>
      </w:r>
    </w:p>
    <w:p>
      <w:pPr>
        <w:pStyle w:val="BodyText"/>
        <w:spacing w:before="6"/>
        <w:rPr>
          <w:sz w:val="15"/>
        </w:rPr>
      </w:pPr>
    </w:p>
    <w:p>
      <w:pPr>
        <w:pStyle w:val="ListParagraph"/>
        <w:numPr>
          <w:ilvl w:val="4"/>
          <w:numId w:val="23"/>
        </w:numPr>
        <w:tabs>
          <w:tab w:val="left" w:pos="1075"/>
          <w:tab w:val="left" w:pos="1076"/>
        </w:tabs>
        <w:spacing w:before="1" w:after="0" w:line="278" w:lineRule="auto"/>
        <w:ind w:left="1072" w:right="385" w:hanging="421"/>
        <w:jc w:val="left"/>
        <w:rPr>
          <w:sz w:val="21"/>
        </w:rPr>
      </w:pPr>
      <w:r>
        <w:rPr>
          <w:spacing w:val="-1"/>
          <w:sz w:val="21"/>
        </w:rPr>
        <w:t xml:space="preserve">拌和设备宜采用两次拌和或振动拌和，产量大于 </w:t>
      </w:r>
      <w:r>
        <w:rPr>
          <w:sz w:val="21"/>
        </w:rPr>
        <w:t>400t/h</w:t>
      </w:r>
      <w:r>
        <w:rPr>
          <w:spacing w:val="-3"/>
          <w:sz w:val="21"/>
        </w:rPr>
        <w:t>，并应满足施工和工期要求，其主要</w:t>
      </w:r>
      <w:r>
        <w:rPr>
          <w:spacing w:val="-9"/>
          <w:sz w:val="21"/>
        </w:rPr>
        <w:t xml:space="preserve">设备应与摊铺能力相匹配，拌和设备搅拌轴长度宜大于 </w:t>
      </w:r>
      <w:r>
        <w:rPr>
          <w:sz w:val="21"/>
        </w:rPr>
        <w:t>2.5</w:t>
      </w:r>
      <w:r>
        <w:rPr>
          <w:spacing w:val="-46"/>
          <w:sz w:val="21"/>
        </w:rPr>
        <w:t xml:space="preserve"> </w:t>
      </w:r>
      <w:r>
        <w:rPr>
          <w:sz w:val="21"/>
        </w:rPr>
        <w:t>m</w:t>
      </w:r>
      <w:r>
        <w:rPr>
          <w:spacing w:val="-11"/>
          <w:sz w:val="21"/>
        </w:rPr>
        <w:t xml:space="preserve">。冷料仓宜采用钢结构包封处理， </w:t>
      </w:r>
      <w:r>
        <w:rPr>
          <w:spacing w:val="-5"/>
          <w:sz w:val="21"/>
        </w:rPr>
        <w:t xml:space="preserve">料仓之间隔板高度应不小于 </w:t>
      </w:r>
      <w:r>
        <w:rPr>
          <w:sz w:val="21"/>
        </w:rPr>
        <w:t>1m</w:t>
      </w:r>
      <w:r>
        <w:rPr>
          <w:spacing w:val="-7"/>
          <w:sz w:val="21"/>
        </w:rPr>
        <w:t>,料仓正面应设置材料标识牌。细集料仓宜配备仓振器等破拱装</w:t>
      </w:r>
      <w:r>
        <w:rPr>
          <w:spacing w:val="-11"/>
          <w:sz w:val="21"/>
        </w:rPr>
        <w:t xml:space="preserve">置，增设缺料报警装置。原材料料仓顶部应安装钢制筛网，成品仓配备防离析卸料装置。拌和 </w:t>
      </w:r>
      <w:r>
        <w:rPr>
          <w:spacing w:val="-7"/>
          <w:sz w:val="21"/>
        </w:rPr>
        <w:t xml:space="preserve">设备应配备带活门漏斗的成品料料仓。拌和用水量的计量宜采用流量计量水量。料斗、罐仓应 </w:t>
      </w:r>
      <w:r>
        <w:rPr>
          <w:spacing w:val="-13"/>
          <w:sz w:val="21"/>
        </w:rPr>
        <w:t>装配高精度电子动态计量器，电子动态计量器应经有资质的计量部门进行计量标定后方可使用。</w:t>
      </w:r>
    </w:p>
    <w:p>
      <w:pPr>
        <w:pStyle w:val="ListParagraph"/>
        <w:numPr>
          <w:ilvl w:val="4"/>
          <w:numId w:val="23"/>
        </w:numPr>
        <w:tabs>
          <w:tab w:val="left" w:pos="1075"/>
          <w:tab w:val="left" w:pos="1076"/>
        </w:tabs>
        <w:spacing w:before="0" w:after="0" w:line="278" w:lineRule="auto"/>
        <w:ind w:left="1073" w:right="591" w:hanging="421"/>
        <w:jc w:val="left"/>
        <w:rPr>
          <w:sz w:val="21"/>
        </w:rPr>
      </w:pPr>
      <w:r>
        <w:rPr>
          <w:spacing w:val="-8"/>
          <w:sz w:val="21"/>
        </w:rPr>
        <w:t>钢制罐仓容量应与拌和楼生产能力相匹配，罐仓内应配有水泥破拱器，水泥罐应安装防风防雷装置。</w:t>
      </w:r>
    </w:p>
    <w:p>
      <w:pPr>
        <w:pStyle w:val="ListParagraph"/>
        <w:numPr>
          <w:ilvl w:val="3"/>
          <w:numId w:val="23"/>
        </w:numPr>
        <w:tabs>
          <w:tab w:val="left" w:pos="1178"/>
          <w:tab w:val="left" w:pos="1179"/>
        </w:tabs>
        <w:spacing w:before="154" w:after="0" w:line="240" w:lineRule="auto"/>
        <w:ind w:left="1178" w:right="0" w:hanging="946"/>
        <w:jc w:val="left"/>
        <w:rPr>
          <w:sz w:val="21"/>
        </w:rPr>
      </w:pPr>
      <w:bookmarkStart w:id="108" w:name="5.3.2.3  摊铺机尚应符合以下要求："/>
      <w:bookmarkEnd w:id="108"/>
      <w:r>
        <w:rPr>
          <w:spacing w:val="-3"/>
          <w:sz w:val="21"/>
        </w:rPr>
        <w:t>摊铺机尚应符合以下要求：</w:t>
      </w:r>
    </w:p>
    <w:p>
      <w:pPr>
        <w:pStyle w:val="BodyText"/>
        <w:spacing w:before="7"/>
        <w:rPr>
          <w:sz w:val="15"/>
        </w:rPr>
      </w:pPr>
    </w:p>
    <w:p>
      <w:pPr>
        <w:pStyle w:val="ListParagraph"/>
        <w:numPr>
          <w:ilvl w:val="4"/>
          <w:numId w:val="23"/>
        </w:numPr>
        <w:tabs>
          <w:tab w:val="left" w:pos="1075"/>
          <w:tab w:val="left" w:pos="1076"/>
        </w:tabs>
        <w:spacing w:before="0" w:after="0" w:line="240" w:lineRule="auto"/>
        <w:ind w:left="1075" w:right="0" w:hanging="423"/>
        <w:jc w:val="left"/>
        <w:rPr>
          <w:sz w:val="21"/>
        </w:rPr>
      </w:pPr>
      <w:r>
        <w:rPr>
          <w:spacing w:val="-3"/>
          <w:sz w:val="21"/>
        </w:rPr>
        <w:t>宜根据路面结构层等情况选用全幅一台或两台摊铺机进行摊铺。</w:t>
      </w:r>
    </w:p>
    <w:p>
      <w:pPr>
        <w:pStyle w:val="ListParagraph"/>
        <w:numPr>
          <w:ilvl w:val="4"/>
          <w:numId w:val="23"/>
        </w:numPr>
        <w:tabs>
          <w:tab w:val="left" w:pos="1075"/>
          <w:tab w:val="left" w:pos="1076"/>
        </w:tabs>
        <w:spacing w:before="43" w:after="0" w:line="240" w:lineRule="auto"/>
        <w:ind w:left="1075" w:right="0" w:hanging="423"/>
        <w:jc w:val="left"/>
        <w:rPr>
          <w:sz w:val="21"/>
        </w:rPr>
      </w:pPr>
      <w:r>
        <w:rPr>
          <w:spacing w:val="-3"/>
          <w:sz w:val="21"/>
        </w:rPr>
        <w:t>采用两台摊铺机梯队作业时，两台摊铺机宜为同一机型，功能一致。</w:t>
      </w:r>
    </w:p>
    <w:p>
      <w:pPr>
        <w:pStyle w:val="ListParagraph"/>
        <w:numPr>
          <w:ilvl w:val="4"/>
          <w:numId w:val="23"/>
        </w:numPr>
        <w:tabs>
          <w:tab w:val="left" w:pos="1075"/>
          <w:tab w:val="left" w:pos="1076"/>
        </w:tabs>
        <w:spacing w:before="43" w:after="0" w:line="240" w:lineRule="auto"/>
        <w:ind w:left="1075" w:right="0" w:hanging="423"/>
        <w:jc w:val="left"/>
        <w:rPr>
          <w:sz w:val="21"/>
        </w:rPr>
      </w:pPr>
      <w:r>
        <w:rPr>
          <w:spacing w:val="-5"/>
          <w:sz w:val="21"/>
        </w:rPr>
        <w:t xml:space="preserve">摊铺机前宜增设橡胶挡板，橡胶挡板底部距下承层距离不宜大于 </w:t>
      </w:r>
      <w:r>
        <w:rPr>
          <w:sz w:val="21"/>
        </w:rPr>
        <w:t>10cm。</w:t>
      </w:r>
    </w:p>
    <w:p>
      <w:pPr>
        <w:pStyle w:val="ListParagraph"/>
        <w:numPr>
          <w:ilvl w:val="4"/>
          <w:numId w:val="23"/>
        </w:numPr>
        <w:tabs>
          <w:tab w:val="left" w:pos="1076"/>
          <w:tab w:val="left" w:pos="1077"/>
        </w:tabs>
        <w:spacing w:before="43" w:after="0" w:line="240" w:lineRule="auto"/>
        <w:ind w:left="1076" w:right="0" w:hanging="424"/>
        <w:jc w:val="left"/>
        <w:rPr>
          <w:sz w:val="21"/>
        </w:rPr>
      </w:pPr>
      <w:r>
        <w:rPr>
          <w:spacing w:val="-3"/>
          <w:sz w:val="21"/>
        </w:rPr>
        <w:t>摊铺机熨平板应拼装平整，当熨平板的地板及夯锤头磨损超限，应及时更换。</w:t>
      </w:r>
    </w:p>
    <w:p>
      <w:pPr>
        <w:pStyle w:val="ListParagraph"/>
        <w:numPr>
          <w:ilvl w:val="4"/>
          <w:numId w:val="23"/>
        </w:numPr>
        <w:tabs>
          <w:tab w:val="left" w:pos="1076"/>
          <w:tab w:val="left" w:pos="1077"/>
        </w:tabs>
        <w:spacing w:before="43" w:after="0" w:line="240" w:lineRule="auto"/>
        <w:ind w:left="1076" w:right="0" w:hanging="424"/>
        <w:jc w:val="left"/>
        <w:rPr>
          <w:sz w:val="21"/>
        </w:rPr>
      </w:pPr>
      <w:r>
        <w:rPr>
          <w:spacing w:val="-11"/>
          <w:sz w:val="21"/>
        </w:rPr>
        <w:t xml:space="preserve">摊铺机宜加装 </w:t>
      </w:r>
      <w:r>
        <w:rPr>
          <w:sz w:val="21"/>
        </w:rPr>
        <w:t>LED</w:t>
      </w:r>
      <w:r>
        <w:rPr>
          <w:spacing w:val="-9"/>
          <w:sz w:val="21"/>
        </w:rPr>
        <w:t xml:space="preserve"> 显示屏、蜂鸣报警器。</w:t>
      </w:r>
    </w:p>
    <w:p>
      <w:pPr>
        <w:pStyle w:val="BodyText"/>
        <w:spacing w:before="6"/>
        <w:rPr>
          <w:sz w:val="15"/>
        </w:rPr>
      </w:pPr>
    </w:p>
    <w:p>
      <w:pPr>
        <w:pStyle w:val="ListParagraph"/>
        <w:numPr>
          <w:ilvl w:val="3"/>
          <w:numId w:val="23"/>
        </w:numPr>
        <w:tabs>
          <w:tab w:val="left" w:pos="1179"/>
          <w:tab w:val="left" w:pos="1180"/>
        </w:tabs>
        <w:spacing w:before="0" w:after="0" w:line="240" w:lineRule="auto"/>
        <w:ind w:left="1179" w:right="0" w:hanging="947"/>
        <w:jc w:val="left"/>
        <w:rPr>
          <w:sz w:val="21"/>
        </w:rPr>
      </w:pPr>
      <w:bookmarkStart w:id="109" w:name="5.3.2.4  压路机尚应符合以下要求："/>
      <w:bookmarkEnd w:id="109"/>
      <w:r>
        <w:rPr>
          <w:spacing w:val="-3"/>
          <w:sz w:val="21"/>
        </w:rPr>
        <w:t>压路机尚应符合以下要求：</w:t>
      </w:r>
    </w:p>
    <w:p>
      <w:pPr>
        <w:pStyle w:val="BodyText"/>
        <w:spacing w:before="7"/>
        <w:rPr>
          <w:sz w:val="15"/>
        </w:rPr>
      </w:pPr>
    </w:p>
    <w:p>
      <w:pPr>
        <w:pStyle w:val="ListParagraph"/>
        <w:numPr>
          <w:ilvl w:val="4"/>
          <w:numId w:val="23"/>
        </w:numPr>
        <w:tabs>
          <w:tab w:val="left" w:pos="1076"/>
          <w:tab w:val="left" w:pos="1077"/>
        </w:tabs>
        <w:spacing w:before="0" w:after="0" w:line="240" w:lineRule="auto"/>
        <w:ind w:left="1076" w:right="0" w:hanging="424"/>
        <w:jc w:val="left"/>
        <w:rPr>
          <w:sz w:val="21"/>
        </w:rPr>
      </w:pPr>
      <w:r>
        <w:rPr>
          <w:spacing w:val="-7"/>
          <w:sz w:val="21"/>
        </w:rPr>
        <w:t xml:space="preserve">压路机的规格和数量应符合附录 </w:t>
      </w:r>
      <w:r>
        <w:rPr>
          <w:sz w:val="21"/>
        </w:rPr>
        <w:t>B</w:t>
      </w:r>
      <w:r>
        <w:rPr>
          <w:spacing w:val="-9"/>
          <w:sz w:val="21"/>
        </w:rPr>
        <w:t xml:space="preserve"> 的要求并与拌和楼及摊铺机生产能力相匹配。</w:t>
      </w:r>
    </w:p>
    <w:p>
      <w:pPr>
        <w:pStyle w:val="ListParagraph"/>
        <w:numPr>
          <w:ilvl w:val="4"/>
          <w:numId w:val="23"/>
        </w:numPr>
        <w:tabs>
          <w:tab w:val="left" w:pos="1076"/>
          <w:tab w:val="left" w:pos="1077"/>
        </w:tabs>
        <w:spacing w:before="43" w:after="0" w:line="240" w:lineRule="auto"/>
        <w:ind w:left="1076" w:right="0" w:hanging="424"/>
        <w:jc w:val="left"/>
        <w:rPr>
          <w:sz w:val="21"/>
        </w:rPr>
      </w:pPr>
      <w:r>
        <w:rPr>
          <w:spacing w:val="-3"/>
          <w:sz w:val="21"/>
        </w:rPr>
        <w:t>压路机宜增设限速装置、倒车雷达及倒车影像装置。</w:t>
      </w:r>
    </w:p>
    <w:p>
      <w:pPr>
        <w:pStyle w:val="ListParagraph"/>
        <w:numPr>
          <w:ilvl w:val="4"/>
          <w:numId w:val="23"/>
        </w:numPr>
        <w:tabs>
          <w:tab w:val="left" w:pos="1076"/>
          <w:tab w:val="left" w:pos="1077"/>
        </w:tabs>
        <w:spacing w:before="43" w:after="0" w:line="240" w:lineRule="auto"/>
        <w:ind w:left="1076" w:right="0" w:hanging="424"/>
        <w:jc w:val="left"/>
        <w:rPr>
          <w:sz w:val="21"/>
        </w:rPr>
      </w:pPr>
      <w:r>
        <w:rPr>
          <w:spacing w:val="-3"/>
          <w:sz w:val="21"/>
        </w:rPr>
        <w:t>压路机宜增设测速设备、</w:t>
      </w:r>
      <w:r>
        <w:rPr>
          <w:sz w:val="21"/>
        </w:rPr>
        <w:t>LED</w:t>
      </w:r>
      <w:r>
        <w:rPr>
          <w:spacing w:val="-9"/>
          <w:sz w:val="21"/>
        </w:rPr>
        <w:t xml:space="preserve"> 显示屏、蜂鸣报警器等装置。</w:t>
      </w:r>
    </w:p>
    <w:p>
      <w:pPr>
        <w:pStyle w:val="BodyText"/>
        <w:spacing w:before="7"/>
        <w:rPr>
          <w:sz w:val="15"/>
        </w:rPr>
      </w:pPr>
    </w:p>
    <w:p>
      <w:pPr>
        <w:pStyle w:val="ListParagraph"/>
        <w:numPr>
          <w:ilvl w:val="3"/>
          <w:numId w:val="23"/>
        </w:numPr>
        <w:tabs>
          <w:tab w:val="left" w:pos="1179"/>
          <w:tab w:val="left" w:pos="1180"/>
        </w:tabs>
        <w:spacing w:before="0" w:after="0" w:line="240" w:lineRule="auto"/>
        <w:ind w:left="1179" w:right="0" w:hanging="947"/>
        <w:jc w:val="left"/>
        <w:rPr>
          <w:sz w:val="21"/>
        </w:rPr>
      </w:pPr>
      <w:bookmarkStart w:id="110" w:name="5.3.2.5  运输设备尚应符合以下要求："/>
      <w:bookmarkEnd w:id="110"/>
      <w:r>
        <w:rPr>
          <w:spacing w:val="-3"/>
          <w:sz w:val="21"/>
        </w:rPr>
        <w:t>运输设备尚应符合以下要求：</w:t>
      </w:r>
    </w:p>
    <w:p>
      <w:pPr>
        <w:pStyle w:val="BodyText"/>
        <w:spacing w:before="6"/>
        <w:rPr>
          <w:sz w:val="15"/>
        </w:rPr>
      </w:pPr>
    </w:p>
    <w:p>
      <w:pPr>
        <w:pStyle w:val="ListParagraph"/>
        <w:numPr>
          <w:ilvl w:val="4"/>
          <w:numId w:val="23"/>
        </w:numPr>
        <w:tabs>
          <w:tab w:val="left" w:pos="1076"/>
          <w:tab w:val="left" w:pos="1077"/>
        </w:tabs>
        <w:spacing w:before="0" w:after="0" w:line="240" w:lineRule="auto"/>
        <w:ind w:left="1076" w:right="0" w:hanging="424"/>
        <w:jc w:val="left"/>
        <w:rPr>
          <w:sz w:val="21"/>
        </w:rPr>
      </w:pPr>
      <w:r>
        <w:rPr>
          <w:spacing w:val="-3"/>
          <w:sz w:val="21"/>
        </w:rPr>
        <w:t>运输设备载重及数量应与拌和设备、摊铺设备、压路机产能相匹配。</w:t>
      </w:r>
    </w:p>
    <w:p>
      <w:pPr>
        <w:pStyle w:val="ListParagraph"/>
        <w:numPr>
          <w:ilvl w:val="4"/>
          <w:numId w:val="23"/>
        </w:numPr>
        <w:tabs>
          <w:tab w:val="left" w:pos="1076"/>
          <w:tab w:val="left" w:pos="1077"/>
        </w:tabs>
        <w:spacing w:before="43" w:after="0" w:line="240" w:lineRule="auto"/>
        <w:ind w:left="1076" w:right="0" w:hanging="424"/>
        <w:jc w:val="left"/>
        <w:rPr>
          <w:sz w:val="21"/>
        </w:rPr>
      </w:pPr>
      <w:r>
        <w:rPr>
          <w:spacing w:val="-3"/>
          <w:sz w:val="21"/>
        </w:rPr>
        <w:t>运输设备应具备多级顶升卸料能力。</w:t>
      </w:r>
    </w:p>
    <w:p>
      <w:pPr>
        <w:pStyle w:val="ListParagraph"/>
        <w:numPr>
          <w:ilvl w:val="4"/>
          <w:numId w:val="23"/>
        </w:numPr>
        <w:tabs>
          <w:tab w:val="left" w:pos="1076"/>
          <w:tab w:val="left" w:pos="1077"/>
        </w:tabs>
        <w:spacing w:before="43" w:after="0" w:line="278" w:lineRule="auto"/>
        <w:ind w:left="1074" w:right="590" w:hanging="421"/>
        <w:jc w:val="left"/>
        <w:rPr>
          <w:sz w:val="21"/>
        </w:rPr>
      </w:pPr>
      <w:r>
        <w:rPr>
          <w:spacing w:val="-8"/>
          <w:sz w:val="21"/>
        </w:rPr>
        <w:t>运输设备尾部应增设防离析侧挡板，侧挡板的设置应结合摊铺机受料斗的受料情况，不应影响卸料。</w:t>
      </w:r>
    </w:p>
    <w:p>
      <w:pPr>
        <w:pStyle w:val="ListParagraph"/>
        <w:numPr>
          <w:ilvl w:val="4"/>
          <w:numId w:val="23"/>
        </w:numPr>
        <w:tabs>
          <w:tab w:val="left" w:pos="1076"/>
          <w:tab w:val="left" w:pos="1077"/>
        </w:tabs>
        <w:spacing w:before="0" w:after="0" w:line="269" w:lineRule="exact"/>
        <w:ind w:left="1076" w:right="0" w:hanging="423"/>
        <w:jc w:val="left"/>
        <w:rPr>
          <w:sz w:val="21"/>
        </w:rPr>
      </w:pPr>
      <w:r>
        <w:rPr>
          <w:spacing w:val="-3"/>
          <w:sz w:val="21"/>
        </w:rPr>
        <w:t>运输设备应配备符合要求的粗篷布覆盖设施。</w:t>
      </w:r>
    </w:p>
    <w:p>
      <w:pPr>
        <w:pStyle w:val="BodyText"/>
        <w:spacing w:before="7"/>
        <w:rPr>
          <w:sz w:val="15"/>
        </w:rPr>
      </w:pPr>
    </w:p>
    <w:p>
      <w:pPr>
        <w:pStyle w:val="ListParagraph"/>
        <w:numPr>
          <w:ilvl w:val="3"/>
          <w:numId w:val="23"/>
        </w:numPr>
        <w:tabs>
          <w:tab w:val="left" w:pos="1179"/>
          <w:tab w:val="left" w:pos="1180"/>
        </w:tabs>
        <w:spacing w:before="0" w:after="0" w:line="240" w:lineRule="auto"/>
        <w:ind w:left="1179" w:right="0" w:hanging="946"/>
        <w:jc w:val="left"/>
        <w:rPr>
          <w:sz w:val="21"/>
        </w:rPr>
      </w:pPr>
      <w:bookmarkStart w:id="111" w:name="5.3.2.6  洒水车尚应符合以下要求："/>
      <w:bookmarkEnd w:id="111"/>
      <w:r>
        <w:rPr>
          <w:spacing w:val="-3"/>
          <w:sz w:val="21"/>
        </w:rPr>
        <w:t>洒水车尚应符合以下要求：</w:t>
      </w:r>
    </w:p>
    <w:p>
      <w:pPr>
        <w:pStyle w:val="BodyText"/>
        <w:spacing w:before="7"/>
        <w:rPr>
          <w:sz w:val="15"/>
        </w:rPr>
      </w:pPr>
    </w:p>
    <w:p>
      <w:pPr>
        <w:pStyle w:val="BodyText"/>
        <w:ind w:left="654"/>
      </w:pPr>
      <w:r>
        <w:t>洒水车应采用喷雾式喷头，不得使用高压式喷头。</w:t>
      </w:r>
    </w:p>
    <w:p>
      <w:pPr>
        <w:pStyle w:val="BodyText"/>
        <w:spacing w:before="6"/>
        <w:rPr>
          <w:sz w:val="15"/>
        </w:rPr>
      </w:pPr>
    </w:p>
    <w:p>
      <w:pPr>
        <w:pStyle w:val="ListParagraph"/>
        <w:numPr>
          <w:ilvl w:val="2"/>
          <w:numId w:val="24"/>
        </w:numPr>
        <w:tabs>
          <w:tab w:val="left" w:pos="971"/>
          <w:tab w:val="left" w:pos="972"/>
        </w:tabs>
        <w:spacing w:before="1" w:after="0" w:line="240" w:lineRule="auto"/>
        <w:ind w:left="971" w:right="0" w:hanging="738"/>
        <w:jc w:val="left"/>
        <w:rPr>
          <w:rFonts w:ascii="黑体" w:eastAsia="黑体" w:hint="eastAsia"/>
          <w:sz w:val="21"/>
        </w:rPr>
      </w:pPr>
      <w:bookmarkStart w:id="112" w:name="5.3.3  下封层、粘层、桥面（隧道）防水粘结层设备"/>
      <w:bookmarkEnd w:id="112"/>
      <w:r>
        <w:rPr>
          <w:rFonts w:ascii="黑体" w:eastAsia="黑体" w:hint="eastAsia"/>
          <w:spacing w:val="-3"/>
          <w:sz w:val="21"/>
        </w:rPr>
        <w:t>下封层、粘层、桥面</w:t>
      </w:r>
      <w:r>
        <w:rPr>
          <w:rFonts w:ascii="黑体" w:eastAsia="黑体" w:hint="eastAsia"/>
          <w:sz w:val="21"/>
        </w:rPr>
        <w:t>（</w:t>
      </w:r>
      <w:r>
        <w:rPr>
          <w:rFonts w:ascii="黑体" w:eastAsia="黑体" w:hint="eastAsia"/>
          <w:spacing w:val="-2"/>
          <w:sz w:val="21"/>
        </w:rPr>
        <w:t>隧道</w:t>
      </w:r>
      <w:r>
        <w:rPr>
          <w:rFonts w:ascii="黑体" w:eastAsia="黑体" w:hint="eastAsia"/>
          <w:spacing w:val="-3"/>
          <w:sz w:val="21"/>
        </w:rPr>
        <w:t>）防水粘结层设备</w:t>
      </w:r>
    </w:p>
    <w:p>
      <w:pPr>
        <w:pStyle w:val="BodyText"/>
        <w:spacing w:before="6"/>
        <w:rPr>
          <w:rFonts w:ascii="黑体"/>
          <w:sz w:val="15"/>
        </w:rPr>
      </w:pPr>
    </w:p>
    <w:p>
      <w:pPr>
        <w:pStyle w:val="BodyText"/>
        <w:ind w:left="654"/>
      </w:pPr>
      <w:r>
        <w:t>下封层、粘层、桥面（隧道）防水粘结层施工设备配备可参考附录B配置。</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2" w:history="1">
        <w:r>
          <w:rPr>
            <w:rFonts w:ascii="SimSun" w:eastAsia="SimSun" w:hAnsi="SimSun" w:cs="SimSun"/>
            <w:b/>
            <w:bCs/>
            <w:color w:val="0000EE"/>
            <w:sz w:val="30"/>
            <w:szCs w:val="30"/>
            <w:u w:val="single" w:color="0000EE"/>
          </w:rPr>
          <w:t>https://d.book118.com/557055026034006045</w:t>
        </w:r>
      </w:hyperlink>
    </w:p>
    <w:p>
      <w:pPr>
        <w:spacing w:after="0"/>
      </w:pPr>
    </w:p>
    <w:sectPr>
      <w:footerReference w:type="even" r:id="rId33"/>
      <w:footerReference w:type="default" r:id="rId34"/>
      <w:pgSz w:w="11910" w:h="16840"/>
      <w:pgMar w:top="1400" w:right="820" w:bottom="1200" w:left="900" w:header="0" w:footer="1001"/>
      <w:pgNumType w:start="1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方正小标宋简体">
    <w:altName w:val="方正小标宋简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PMingLiU-ExtB">
    <w:altName w:val="PMingLiU-ExtB"/>
    <w:charset w:val="00"/>
    <w:family w:val="roman"/>
    <w:pitch w:val="variable"/>
    <w:sig w:usb0="00000000" w:usb1="00000000" w:usb2="00000000" w:usb3="00000000" w:csb0="00000001" w:csb1="00000000"/>
  </w:font>
  <w:font w:name="Cambria Math">
    <w:altName w:val="Cambria Math"/>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6.5pt;height:11pt;margin-top:756.15pt;margin-left:523.04pt;mso-position-horizontal-relative:page;mso-position-vertical-relative:page;position:absolute;z-index:-251658240" filled="f" stroked="f">
          <v:textbox inset="0,0,0,0">
            <w:txbxContent>
              <w:p>
                <w:pPr>
                  <w:spacing w:before="0" w:line="220" w:lineRule="exact"/>
                  <w:ind w:left="20" w:right="0" w:firstLine="0"/>
                  <w:jc w:val="left"/>
                  <w:rPr>
                    <w:sz w:val="18"/>
                  </w:rPr>
                </w:pPr>
                <w:r>
                  <w:rPr>
                    <w:sz w:val="18"/>
                  </w:rPr>
                  <w:t>I</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15.15pt;height:11pt;margin-top:763.23pt;margin-left:516.6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65</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5.15pt;height:11pt;margin-top:780.87pt;margin-left:64.68pt;mso-position-horizontal-relative:page;mso-position-vertical-relative:page;position:absolute;z-index:-25164697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66</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5.15pt;height:11pt;margin-top:763.23pt;margin-left:516.6pt;mso-position-horizontal-relative:page;mso-position-vertical-relative:page;position:absolute;z-index:-25164800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5.15pt;height:11pt;margin-top:780.87pt;margin-left:64.68pt;mso-position-horizontal-relative:page;mso-position-vertical-relative:page;position:absolute;z-index:-25164492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5.15pt;height:11pt;margin-top:763.23pt;margin-left:516.6pt;mso-position-horizontal-relative:page;mso-position-vertical-relative:page;position:absolute;z-index:-25164595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65</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5.15pt;height:11pt;margin-top:780.87pt;margin-left:64.68pt;mso-position-horizontal-relative:page;mso-position-vertical-relative:page;position:absolute;z-index:-25164288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66</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5.15pt;height:11pt;margin-top:763.23pt;margin-left:516.6pt;mso-position-horizontal-relative:page;mso-position-vertical-relative:page;position:absolute;z-index:-25164390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5</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5.15pt;height:11pt;margin-top:780.87pt;margin-left:64.68pt;mso-position-horizontal-relative:page;mso-position-vertical-relative:page;position:absolute;z-index:-25164083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15.15pt;height:11pt;margin-top:763.23pt;margin-left:516.6pt;mso-position-horizontal-relative:page;mso-position-vertical-relative:page;position:absolute;z-index:-25164185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65</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5.15pt;height:11pt;margin-top:780.87pt;margin-left:64.68pt;mso-position-horizontal-relative:page;mso-position-vertical-relative:page;position:absolute;z-index:-25163878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66</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1.15pt;height:11pt;margin-top:773.79pt;margin-left:66.68pt;mso-position-horizontal-relative:page;mso-position-vertical-relative:page;position:absolute;z-index:-251657216" filled="f" stroked="f">
          <v:textbox inset="0,0,0,0">
            <w:txbxContent>
              <w:p>
                <w:pPr>
                  <w:spacing w:before="0" w:line="220" w:lineRule="exact"/>
                  <w:ind w:left="20" w:right="0" w:firstLine="0"/>
                  <w:jc w:val="left"/>
                  <w:rPr>
                    <w:sz w:val="18"/>
                  </w:rPr>
                </w:pPr>
                <w:r>
                  <w:rPr>
                    <w:sz w:val="18"/>
                  </w:rPr>
                  <w:t>II</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5.15pt;height:11pt;margin-top:763.23pt;margin-left:516.6pt;mso-position-horizontal-relative:page;mso-position-vertical-relative:page;position:absolute;z-index:-25163980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7</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5.15pt;height:11pt;margin-top:780.87pt;margin-left:64.68pt;mso-position-horizontal-relative:page;mso-position-vertical-relative:page;position:absolute;z-index:-25163673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8</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15.15pt;height:11pt;margin-top:763.23pt;margin-left:516.6pt;mso-position-horizontal-relative:page;mso-position-vertical-relative:page;position:absolute;z-index:-25163776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65</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5.15pt;height:11pt;margin-top:780.87pt;margin-left:64.68pt;mso-position-horizontal-relative:page;mso-position-vertical-relative:page;position:absolute;z-index:-25163468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66</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5.15pt;height:11pt;margin-top:763.23pt;margin-left:516.6pt;mso-position-horizontal-relative:page;mso-position-vertical-relative:page;position:absolute;z-index:-25163571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9</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15.15pt;height:11pt;margin-top:780.87pt;margin-left:64.68pt;mso-position-horizontal-relative:page;mso-position-vertical-relative:page;position:absolute;z-index:-25163264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10</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15.15pt;height:11pt;margin-top:763.23pt;margin-left:516.6pt;mso-position-horizontal-relative:page;mso-position-vertical-relative:page;position:absolute;z-index:-25163366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65</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15.15pt;height:11pt;margin-top:780.87pt;margin-left:64.68pt;mso-position-horizontal-relative:page;mso-position-vertical-relative:page;position:absolute;z-index:-25163059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66</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15.15pt;height:11pt;margin-top:763.23pt;margin-left:516.6pt;mso-position-horizontal-relative:page;mso-position-vertical-relative:page;position:absolute;z-index:-25163161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11</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15.15pt;height:11pt;margin-top:780.87pt;margin-left:64.68pt;mso-position-horizontal-relative:page;mso-position-vertical-relative:page;position:absolute;z-index:-2516285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12</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6.5pt;height:11pt;margin-top:756.15pt;margin-left:523.04pt;mso-position-horizontal-relative:page;mso-position-vertical-relative:page;position:absolute;z-index:-251656192" filled="f" stroked="f">
          <v:textbox inset="0,0,0,0">
            <w:txbxContent>
              <w:p>
                <w:pPr>
                  <w:spacing w:before="0" w:line="220" w:lineRule="exact"/>
                  <w:ind w:left="20" w:right="0" w:firstLine="0"/>
                  <w:jc w:val="left"/>
                  <w:rPr>
                    <w:sz w:val="18"/>
                  </w:rPr>
                </w:pPr>
                <w:r>
                  <w:rPr>
                    <w:sz w:val="18"/>
                  </w:rPr>
                  <w:t>I</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15.15pt;height:11pt;margin-top:763.23pt;margin-left:516.6pt;mso-position-horizontal-relative:page;mso-position-vertical-relative:page;position:absolute;z-index:-25162956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65</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1.15pt;height:11pt;margin-top:773.79pt;margin-left:66.68pt;mso-position-horizontal-relative:page;mso-position-vertical-relative:page;position:absolute;z-index:-251655168" filled="f" stroked="f">
          <v:textbox inset="0,0,0,0">
            <w:txbxContent>
              <w:p>
                <w:pPr>
                  <w:spacing w:before="0" w:line="220" w:lineRule="exact"/>
                  <w:ind w:left="20" w:right="0" w:firstLine="0"/>
                  <w:jc w:val="left"/>
                  <w:rPr>
                    <w:sz w:val="18"/>
                  </w:rPr>
                </w:pPr>
                <w:r>
                  <w:rPr>
                    <w:sz w:val="18"/>
                  </w:rPr>
                  <w:t>II</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6.5pt;height:11pt;margin-top:756.15pt;margin-left:523.04pt;mso-position-horizontal-relative:page;mso-position-vertical-relative:page;position:absolute;z-index:-251654144" filled="f" stroked="f">
          <v:textbox inset="0,0,0,0">
            <w:txbxContent>
              <w:p>
                <w:pPr>
                  <w:spacing w:before="0" w:line="220" w:lineRule="exact"/>
                  <w:ind w:left="20" w:right="0" w:firstLine="0"/>
                  <w:jc w:val="left"/>
                  <w:rPr>
                    <w:sz w:val="18"/>
                  </w:rPr>
                </w:pPr>
                <w:r>
                  <w:rPr>
                    <w:sz w:val="18"/>
                  </w:rPr>
                  <w:t>I</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1.15pt;height:11pt;margin-top:773.79pt;margin-left:66.68pt;mso-position-horizontal-relative:page;mso-position-vertical-relative:page;position:absolute;z-index:-251653120" filled="f" stroked="f">
          <v:textbox inset="0,0,0,0">
            <w:txbxContent>
              <w:p>
                <w:pPr>
                  <w:spacing w:before="0" w:line="220" w:lineRule="exact"/>
                  <w:ind w:left="20" w:right="0" w:firstLine="0"/>
                  <w:jc w:val="left"/>
                  <w:rPr>
                    <w:sz w:val="18"/>
                  </w:rPr>
                </w:pPr>
                <w:r>
                  <w:rPr>
                    <w:sz w:val="18"/>
                  </w:rPr>
                  <w:t>II</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5.15pt;height:11pt;margin-top:780.87pt;margin-left:64.68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66</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5.15pt;height:11pt;margin-top:763.23pt;margin-left:516.6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5.15pt;height:11pt;margin-top:780.87pt;margin-left:64.68pt;mso-position-horizontal-relative:page;mso-position-vertical-relative:page;position:absolute;z-index:-25164902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AF6D"/>
    <w:multiLevelType w:val="hybridMultilevel"/>
    <w:tmpl w:val="00000000"/>
    <w:lvl w:ilvl="0">
      <w:start w:val="4"/>
      <w:numFmt w:val="decimal"/>
      <w:lvlText w:val="%1"/>
      <w:lvlJc w:val="left"/>
      <w:pPr>
        <w:ind w:left="876" w:hanging="361"/>
        <w:jc w:val="right"/>
      </w:pPr>
      <w:rPr>
        <w:rFonts w:ascii="黑体" w:eastAsia="黑体" w:hAnsi="黑体" w:cs="黑体" w:hint="default"/>
        <w:w w:val="100"/>
        <w:sz w:val="21"/>
        <w:szCs w:val="21"/>
        <w:lang w:val="zh-CN" w:eastAsia="zh-CN" w:bidi="zh-CN"/>
      </w:rPr>
    </w:lvl>
    <w:lvl w:ilvl="1">
      <w:start w:val="1"/>
      <w:numFmt w:val="decimal"/>
      <w:lvlText w:val="%1.%2"/>
      <w:lvlJc w:val="left"/>
      <w:pPr>
        <w:ind w:left="1146" w:hanging="632"/>
        <w:jc w:val="right"/>
      </w:pPr>
      <w:rPr>
        <w:rFonts w:hint="default"/>
        <w:w w:val="100"/>
        <w:lang w:val="zh-CN" w:eastAsia="zh-CN" w:bidi="zh-CN"/>
      </w:rPr>
    </w:lvl>
    <w:lvl w:ilvl="2">
      <w:start w:val="1"/>
      <w:numFmt w:val="decimal"/>
      <w:lvlText w:val="%1.%2.%3"/>
      <w:lvlJc w:val="left"/>
      <w:pPr>
        <w:ind w:left="969" w:hanging="632"/>
        <w:jc w:val="left"/>
      </w:pPr>
      <w:rPr>
        <w:rFonts w:ascii="黑体" w:eastAsia="黑体" w:hAnsi="黑体" w:cs="黑体" w:hint="default"/>
        <w:w w:val="100"/>
        <w:sz w:val="21"/>
        <w:szCs w:val="21"/>
        <w:lang w:val="zh-CN" w:eastAsia="zh-CN" w:bidi="zh-CN"/>
      </w:rPr>
    </w:lvl>
    <w:lvl w:ilvl="3">
      <w:start w:val="1"/>
      <w:numFmt w:val="decimal"/>
      <w:lvlText w:val="%1.%2.%3.%4"/>
      <w:lvlJc w:val="left"/>
      <w:pPr>
        <w:ind w:left="1178" w:hanging="632"/>
        <w:jc w:val="left"/>
      </w:pPr>
      <w:rPr>
        <w:rFonts w:ascii="黑体" w:eastAsia="黑体" w:hAnsi="黑体" w:cs="黑体" w:hint="default"/>
        <w:spacing w:val="-3"/>
        <w:w w:val="100"/>
        <w:sz w:val="21"/>
        <w:szCs w:val="21"/>
        <w:lang w:val="zh-CN" w:eastAsia="zh-CN" w:bidi="zh-CN"/>
      </w:rPr>
    </w:lvl>
    <w:lvl w:ilvl="4">
      <w:start w:val="1"/>
      <w:numFmt w:val="lowerLetter"/>
      <w:lvlText w:val="%5)"/>
      <w:lvlJc w:val="left"/>
      <w:pPr>
        <w:ind w:left="1074" w:hanging="632"/>
        <w:jc w:val="left"/>
      </w:pPr>
      <w:rPr>
        <w:rFonts w:ascii="宋体" w:eastAsia="宋体" w:hAnsi="宋体" w:cs="宋体" w:hint="default"/>
        <w:w w:val="100"/>
        <w:sz w:val="21"/>
        <w:szCs w:val="21"/>
        <w:lang w:val="zh-CN" w:eastAsia="zh-CN" w:bidi="zh-CN"/>
      </w:rPr>
    </w:lvl>
    <w:lvl w:ilvl="5">
      <w:start w:val="1"/>
      <w:numFmt w:val="decimal"/>
      <w:lvlText w:val="%6)"/>
      <w:lvlJc w:val="left"/>
      <w:pPr>
        <w:ind w:left="1716" w:hanging="632"/>
        <w:jc w:val="right"/>
      </w:pPr>
      <w:rPr>
        <w:rFonts w:ascii="宋体" w:eastAsia="宋体" w:hAnsi="宋体" w:cs="宋体" w:hint="default"/>
        <w:w w:val="100"/>
        <w:sz w:val="21"/>
        <w:szCs w:val="21"/>
        <w:lang w:val="zh-CN" w:eastAsia="zh-CN" w:bidi="zh-CN"/>
      </w:rPr>
    </w:lvl>
    <w:lvl w:ilvl="6">
      <w:start w:val="0"/>
      <w:numFmt w:val="bullet"/>
      <w:lvlText w:val="•"/>
      <w:lvlJc w:val="left"/>
      <w:pPr>
        <w:ind w:left="1040" w:hanging="632"/>
      </w:pPr>
      <w:rPr>
        <w:rFonts w:hint="default"/>
        <w:lang w:val="zh-CN" w:eastAsia="zh-CN" w:bidi="zh-CN"/>
      </w:rPr>
    </w:lvl>
    <w:lvl w:ilvl="7">
      <w:start w:val="0"/>
      <w:numFmt w:val="bullet"/>
      <w:lvlText w:val="•"/>
      <w:lvlJc w:val="left"/>
      <w:pPr>
        <w:ind w:left="1080" w:hanging="632"/>
      </w:pPr>
      <w:rPr>
        <w:rFonts w:hint="default"/>
        <w:lang w:val="zh-CN" w:eastAsia="zh-CN" w:bidi="zh-CN"/>
      </w:rPr>
    </w:lvl>
    <w:lvl w:ilvl="8">
      <w:start w:val="0"/>
      <w:numFmt w:val="bullet"/>
      <w:lvlText w:val="•"/>
      <w:lvlJc w:val="left"/>
      <w:pPr>
        <w:ind w:left="1140" w:hanging="632"/>
      </w:pPr>
      <w:rPr>
        <w:rFonts w:hint="default"/>
        <w:lang w:val="zh-CN" w:eastAsia="zh-CN" w:bidi="zh-CN"/>
      </w:rPr>
    </w:lvl>
  </w:abstractNum>
  <w:abstractNum w:abstractNumId="1">
    <w:nsid w:val="0350EE58"/>
    <w:multiLevelType w:val="hybridMultilevel"/>
    <w:tmpl w:val="00000000"/>
    <w:lvl w:ilvl="0">
      <w:start w:val="1"/>
      <w:numFmt w:val="decimal"/>
      <w:lvlText w:val="%1）"/>
      <w:lvlJc w:val="left"/>
      <w:pPr>
        <w:ind w:left="1492" w:hanging="406"/>
        <w:jc w:val="left"/>
      </w:pPr>
      <w:rPr>
        <w:rFonts w:ascii="宋体" w:eastAsia="宋体" w:hAnsi="宋体" w:cs="宋体" w:hint="default"/>
        <w:w w:val="100"/>
        <w:sz w:val="21"/>
        <w:szCs w:val="21"/>
        <w:lang w:val="zh-CN" w:eastAsia="zh-CN" w:bidi="zh-CN"/>
      </w:rPr>
    </w:lvl>
    <w:lvl w:ilvl="1">
      <w:start w:val="0"/>
      <w:numFmt w:val="bullet"/>
      <w:lvlText w:val="•"/>
      <w:lvlJc w:val="left"/>
      <w:pPr>
        <w:ind w:left="2368" w:hanging="406"/>
      </w:pPr>
      <w:rPr>
        <w:rFonts w:hint="default"/>
        <w:lang w:val="zh-CN" w:eastAsia="zh-CN" w:bidi="zh-CN"/>
      </w:rPr>
    </w:lvl>
    <w:lvl w:ilvl="2">
      <w:start w:val="0"/>
      <w:numFmt w:val="bullet"/>
      <w:lvlText w:val="•"/>
      <w:lvlJc w:val="left"/>
      <w:pPr>
        <w:ind w:left="3237" w:hanging="406"/>
      </w:pPr>
      <w:rPr>
        <w:rFonts w:hint="default"/>
        <w:lang w:val="zh-CN" w:eastAsia="zh-CN" w:bidi="zh-CN"/>
      </w:rPr>
    </w:lvl>
    <w:lvl w:ilvl="3">
      <w:start w:val="0"/>
      <w:numFmt w:val="bullet"/>
      <w:lvlText w:val="•"/>
      <w:lvlJc w:val="left"/>
      <w:pPr>
        <w:ind w:left="4105" w:hanging="406"/>
      </w:pPr>
      <w:rPr>
        <w:rFonts w:hint="default"/>
        <w:lang w:val="zh-CN" w:eastAsia="zh-CN" w:bidi="zh-CN"/>
      </w:rPr>
    </w:lvl>
    <w:lvl w:ilvl="4">
      <w:start w:val="0"/>
      <w:numFmt w:val="bullet"/>
      <w:lvlText w:val="•"/>
      <w:lvlJc w:val="left"/>
      <w:pPr>
        <w:ind w:left="4974" w:hanging="406"/>
      </w:pPr>
      <w:rPr>
        <w:rFonts w:hint="default"/>
        <w:lang w:val="zh-CN" w:eastAsia="zh-CN" w:bidi="zh-CN"/>
      </w:rPr>
    </w:lvl>
    <w:lvl w:ilvl="5">
      <w:start w:val="0"/>
      <w:numFmt w:val="bullet"/>
      <w:lvlText w:val="•"/>
      <w:lvlJc w:val="left"/>
      <w:pPr>
        <w:ind w:left="5843" w:hanging="406"/>
      </w:pPr>
      <w:rPr>
        <w:rFonts w:hint="default"/>
        <w:lang w:val="zh-CN" w:eastAsia="zh-CN" w:bidi="zh-CN"/>
      </w:rPr>
    </w:lvl>
    <w:lvl w:ilvl="6">
      <w:start w:val="0"/>
      <w:numFmt w:val="bullet"/>
      <w:lvlText w:val="•"/>
      <w:lvlJc w:val="left"/>
      <w:pPr>
        <w:ind w:left="6711" w:hanging="406"/>
      </w:pPr>
      <w:rPr>
        <w:rFonts w:hint="default"/>
        <w:lang w:val="zh-CN" w:eastAsia="zh-CN" w:bidi="zh-CN"/>
      </w:rPr>
    </w:lvl>
    <w:lvl w:ilvl="7">
      <w:start w:val="0"/>
      <w:numFmt w:val="bullet"/>
      <w:lvlText w:val="•"/>
      <w:lvlJc w:val="left"/>
      <w:pPr>
        <w:ind w:left="7580" w:hanging="406"/>
      </w:pPr>
      <w:rPr>
        <w:rFonts w:hint="default"/>
        <w:lang w:val="zh-CN" w:eastAsia="zh-CN" w:bidi="zh-CN"/>
      </w:rPr>
    </w:lvl>
    <w:lvl w:ilvl="8">
      <w:start w:val="0"/>
      <w:numFmt w:val="bullet"/>
      <w:lvlText w:val="•"/>
      <w:lvlJc w:val="left"/>
      <w:pPr>
        <w:ind w:left="8449" w:hanging="406"/>
      </w:pPr>
      <w:rPr>
        <w:rFonts w:hint="default"/>
        <w:lang w:val="zh-CN" w:eastAsia="zh-CN" w:bidi="zh-CN"/>
      </w:rPr>
    </w:lvl>
  </w:abstractNum>
  <w:abstractNum w:abstractNumId="2">
    <w:nsid w:val="079ABCA6"/>
    <w:multiLevelType w:val="hybridMultilevel"/>
    <w:tmpl w:val="00000000"/>
    <w:lvl w:ilvl="0">
      <w:start w:val="1"/>
      <w:numFmt w:val="decimal"/>
      <w:lvlText w:val="%1."/>
      <w:lvlJc w:val="left"/>
      <w:pPr>
        <w:ind w:left="390" w:hanging="273"/>
        <w:jc w:val="left"/>
      </w:pPr>
      <w:rPr>
        <w:rFonts w:ascii="Times New Roman" w:eastAsia="Times New Roman" w:hAnsi="Times New Roman" w:cs="Times New Roman" w:hint="default"/>
        <w:spacing w:val="-92"/>
        <w:w w:val="100"/>
        <w:sz w:val="16"/>
        <w:szCs w:val="16"/>
        <w:lang w:val="zh-CN" w:eastAsia="zh-CN" w:bidi="zh-CN"/>
      </w:rPr>
    </w:lvl>
    <w:lvl w:ilvl="1">
      <w:start w:val="0"/>
      <w:numFmt w:val="bullet"/>
      <w:lvlText w:val="•"/>
      <w:lvlJc w:val="left"/>
      <w:pPr>
        <w:ind w:left="967" w:hanging="273"/>
      </w:pPr>
      <w:rPr>
        <w:rFonts w:hint="default"/>
        <w:lang w:val="zh-CN" w:eastAsia="zh-CN" w:bidi="zh-CN"/>
      </w:rPr>
    </w:lvl>
    <w:lvl w:ilvl="2">
      <w:start w:val="0"/>
      <w:numFmt w:val="bullet"/>
      <w:lvlText w:val="•"/>
      <w:lvlJc w:val="left"/>
      <w:pPr>
        <w:ind w:left="1534" w:hanging="273"/>
      </w:pPr>
      <w:rPr>
        <w:rFonts w:hint="default"/>
        <w:lang w:val="zh-CN" w:eastAsia="zh-CN" w:bidi="zh-CN"/>
      </w:rPr>
    </w:lvl>
    <w:lvl w:ilvl="3">
      <w:start w:val="0"/>
      <w:numFmt w:val="bullet"/>
      <w:lvlText w:val="•"/>
      <w:lvlJc w:val="left"/>
      <w:pPr>
        <w:ind w:left="2101" w:hanging="273"/>
      </w:pPr>
      <w:rPr>
        <w:rFonts w:hint="default"/>
        <w:lang w:val="zh-CN" w:eastAsia="zh-CN" w:bidi="zh-CN"/>
      </w:rPr>
    </w:lvl>
    <w:lvl w:ilvl="4">
      <w:start w:val="0"/>
      <w:numFmt w:val="bullet"/>
      <w:lvlText w:val="•"/>
      <w:lvlJc w:val="left"/>
      <w:pPr>
        <w:ind w:left="2669" w:hanging="273"/>
      </w:pPr>
      <w:rPr>
        <w:rFonts w:hint="default"/>
        <w:lang w:val="zh-CN" w:eastAsia="zh-CN" w:bidi="zh-CN"/>
      </w:rPr>
    </w:lvl>
    <w:lvl w:ilvl="5">
      <w:start w:val="0"/>
      <w:numFmt w:val="bullet"/>
      <w:lvlText w:val="•"/>
      <w:lvlJc w:val="left"/>
      <w:pPr>
        <w:ind w:left="3236" w:hanging="273"/>
      </w:pPr>
      <w:rPr>
        <w:rFonts w:hint="default"/>
        <w:lang w:val="zh-CN" w:eastAsia="zh-CN" w:bidi="zh-CN"/>
      </w:rPr>
    </w:lvl>
    <w:lvl w:ilvl="6">
      <w:start w:val="0"/>
      <w:numFmt w:val="bullet"/>
      <w:lvlText w:val="•"/>
      <w:lvlJc w:val="left"/>
      <w:pPr>
        <w:ind w:left="3803" w:hanging="273"/>
      </w:pPr>
      <w:rPr>
        <w:rFonts w:hint="default"/>
        <w:lang w:val="zh-CN" w:eastAsia="zh-CN" w:bidi="zh-CN"/>
      </w:rPr>
    </w:lvl>
    <w:lvl w:ilvl="7">
      <w:start w:val="0"/>
      <w:numFmt w:val="bullet"/>
      <w:lvlText w:val="•"/>
      <w:lvlJc w:val="left"/>
      <w:pPr>
        <w:ind w:left="4371" w:hanging="273"/>
      </w:pPr>
      <w:rPr>
        <w:rFonts w:hint="default"/>
        <w:lang w:val="zh-CN" w:eastAsia="zh-CN" w:bidi="zh-CN"/>
      </w:rPr>
    </w:lvl>
    <w:lvl w:ilvl="8">
      <w:start w:val="0"/>
      <w:numFmt w:val="bullet"/>
      <w:lvlText w:val="•"/>
      <w:lvlJc w:val="left"/>
      <w:pPr>
        <w:ind w:left="4938" w:hanging="273"/>
      </w:pPr>
      <w:rPr>
        <w:rFonts w:hint="default"/>
        <w:lang w:val="zh-CN" w:eastAsia="zh-CN" w:bidi="zh-CN"/>
      </w:rPr>
    </w:lvl>
  </w:abstractNum>
  <w:abstractNum w:abstractNumId="3">
    <w:nsid w:val="0C1EF138"/>
    <w:multiLevelType w:val="hybridMultilevel"/>
    <w:tmpl w:val="00000000"/>
    <w:lvl w:ilvl="0">
      <w:start w:val="9"/>
      <w:numFmt w:val="decimal"/>
      <w:lvlText w:val="%1"/>
      <w:lvlJc w:val="left"/>
      <w:pPr>
        <w:ind w:left="1042" w:hanging="526"/>
        <w:jc w:val="left"/>
      </w:pPr>
      <w:rPr>
        <w:rFonts w:hint="default"/>
        <w:lang w:val="zh-CN" w:eastAsia="zh-CN" w:bidi="zh-CN"/>
      </w:rPr>
    </w:lvl>
    <w:lvl w:ilvl="1">
      <w:start w:val="5"/>
      <w:numFmt w:val="decimal"/>
      <w:lvlText w:val="%1.%2"/>
      <w:lvlJc w:val="left"/>
      <w:pPr>
        <w:ind w:left="1042" w:hanging="526"/>
        <w:jc w:val="right"/>
      </w:pPr>
      <w:rPr>
        <w:rFonts w:ascii="黑体" w:eastAsia="黑体" w:hAnsi="黑体" w:cs="黑体" w:hint="default"/>
        <w:w w:val="100"/>
        <w:sz w:val="21"/>
        <w:szCs w:val="21"/>
        <w:lang w:val="zh-CN" w:eastAsia="zh-CN" w:bidi="zh-CN"/>
      </w:rPr>
    </w:lvl>
    <w:lvl w:ilvl="2">
      <w:start w:val="1"/>
      <w:numFmt w:val="decimal"/>
      <w:lvlText w:val="%1.%2.%3"/>
      <w:lvlJc w:val="left"/>
      <w:pPr>
        <w:ind w:left="517" w:hanging="737"/>
        <w:jc w:val="right"/>
      </w:pPr>
      <w:rPr>
        <w:rFonts w:ascii="黑体" w:eastAsia="黑体" w:hAnsi="黑体" w:cs="黑体" w:hint="default"/>
        <w:w w:val="100"/>
        <w:sz w:val="21"/>
        <w:szCs w:val="21"/>
        <w:lang w:val="zh-CN" w:eastAsia="zh-CN" w:bidi="zh-CN"/>
      </w:rPr>
    </w:lvl>
    <w:lvl w:ilvl="3">
      <w:start w:val="1"/>
      <w:numFmt w:val="decimal"/>
      <w:lvlText w:val="%1.%2.%3.%4"/>
      <w:lvlJc w:val="left"/>
      <w:pPr>
        <w:ind w:left="1462" w:hanging="946"/>
        <w:jc w:val="left"/>
      </w:pPr>
      <w:rPr>
        <w:rFonts w:ascii="黑体" w:eastAsia="黑体" w:hAnsi="黑体" w:cs="黑体" w:hint="default"/>
        <w:spacing w:val="-3"/>
        <w:w w:val="100"/>
        <w:sz w:val="21"/>
        <w:szCs w:val="21"/>
        <w:lang w:val="zh-CN" w:eastAsia="zh-CN" w:bidi="zh-CN"/>
      </w:rPr>
    </w:lvl>
    <w:lvl w:ilvl="4">
      <w:start w:val="1"/>
      <w:numFmt w:val="lowerLetter"/>
      <w:lvlText w:val="%5)"/>
      <w:lvlJc w:val="left"/>
      <w:pPr>
        <w:ind w:left="1357" w:hanging="423"/>
        <w:jc w:val="right"/>
      </w:pPr>
      <w:rPr>
        <w:rFonts w:ascii="宋体" w:eastAsia="宋体" w:hAnsi="宋体" w:cs="宋体" w:hint="default"/>
        <w:w w:val="100"/>
        <w:sz w:val="21"/>
        <w:szCs w:val="21"/>
        <w:lang w:val="zh-CN" w:eastAsia="zh-CN" w:bidi="zh-CN"/>
      </w:rPr>
    </w:lvl>
    <w:lvl w:ilvl="5">
      <w:start w:val="0"/>
      <w:numFmt w:val="bullet"/>
      <w:lvlText w:val="•"/>
      <w:lvlJc w:val="left"/>
      <w:pPr>
        <w:ind w:left="1260" w:hanging="423"/>
      </w:pPr>
      <w:rPr>
        <w:rFonts w:hint="default"/>
        <w:lang w:val="zh-CN" w:eastAsia="zh-CN" w:bidi="zh-CN"/>
      </w:rPr>
    </w:lvl>
    <w:lvl w:ilvl="6">
      <w:start w:val="0"/>
      <w:numFmt w:val="bullet"/>
      <w:lvlText w:val="•"/>
      <w:lvlJc w:val="left"/>
      <w:pPr>
        <w:ind w:left="1360" w:hanging="423"/>
      </w:pPr>
      <w:rPr>
        <w:rFonts w:hint="default"/>
        <w:lang w:val="zh-CN" w:eastAsia="zh-CN" w:bidi="zh-CN"/>
      </w:rPr>
    </w:lvl>
    <w:lvl w:ilvl="7">
      <w:start w:val="0"/>
      <w:numFmt w:val="bullet"/>
      <w:lvlText w:val="•"/>
      <w:lvlJc w:val="left"/>
      <w:pPr>
        <w:ind w:left="1460" w:hanging="423"/>
      </w:pPr>
      <w:rPr>
        <w:rFonts w:hint="default"/>
        <w:lang w:val="zh-CN" w:eastAsia="zh-CN" w:bidi="zh-CN"/>
      </w:rPr>
    </w:lvl>
    <w:lvl w:ilvl="8">
      <w:start w:val="0"/>
      <w:numFmt w:val="bullet"/>
      <w:lvlText w:val="•"/>
      <w:lvlJc w:val="left"/>
      <w:pPr>
        <w:ind w:left="4368" w:hanging="423"/>
      </w:pPr>
      <w:rPr>
        <w:rFonts w:hint="default"/>
        <w:lang w:val="zh-CN" w:eastAsia="zh-CN" w:bidi="zh-CN"/>
      </w:rPr>
    </w:lvl>
  </w:abstractNum>
  <w:abstractNum w:abstractNumId="4">
    <w:nsid w:val="0C555EE3"/>
    <w:multiLevelType w:val="hybridMultilevel"/>
    <w:tmpl w:val="00000000"/>
    <w:lvl w:ilvl="0">
      <w:start w:val="4"/>
      <w:numFmt w:val="decimal"/>
      <w:lvlText w:val="%1"/>
      <w:lvlJc w:val="left"/>
      <w:pPr>
        <w:ind w:left="876" w:hanging="361"/>
        <w:jc w:val="right"/>
      </w:pPr>
      <w:rPr>
        <w:rFonts w:ascii="黑体" w:eastAsia="黑体" w:hAnsi="黑体" w:cs="黑体" w:hint="default"/>
        <w:w w:val="100"/>
        <w:sz w:val="21"/>
        <w:szCs w:val="21"/>
        <w:lang w:val="zh-CN" w:eastAsia="zh-CN" w:bidi="zh-CN"/>
      </w:rPr>
    </w:lvl>
    <w:lvl w:ilvl="1">
      <w:start w:val="1"/>
      <w:numFmt w:val="decimal"/>
      <w:lvlText w:val="%1.%2"/>
      <w:lvlJc w:val="left"/>
      <w:pPr>
        <w:ind w:left="1146" w:hanging="632"/>
        <w:jc w:val="right"/>
      </w:pPr>
      <w:rPr>
        <w:rFonts w:hint="default"/>
        <w:w w:val="100"/>
        <w:lang w:val="zh-CN" w:eastAsia="zh-CN" w:bidi="zh-CN"/>
      </w:rPr>
    </w:lvl>
    <w:lvl w:ilvl="2">
      <w:start w:val="1"/>
      <w:numFmt w:val="decimal"/>
      <w:lvlText w:val="%1.%2.%3"/>
      <w:lvlJc w:val="left"/>
      <w:pPr>
        <w:ind w:left="969" w:hanging="632"/>
        <w:jc w:val="left"/>
      </w:pPr>
      <w:rPr>
        <w:rFonts w:ascii="黑体" w:eastAsia="黑体" w:hAnsi="黑体" w:cs="黑体" w:hint="default"/>
        <w:w w:val="100"/>
        <w:sz w:val="21"/>
        <w:szCs w:val="21"/>
        <w:lang w:val="zh-CN" w:eastAsia="zh-CN" w:bidi="zh-CN"/>
      </w:rPr>
    </w:lvl>
    <w:lvl w:ilvl="3">
      <w:start w:val="1"/>
      <w:numFmt w:val="decimal"/>
      <w:lvlText w:val="%1.%2.%3.%4"/>
      <w:lvlJc w:val="left"/>
      <w:pPr>
        <w:ind w:left="1178" w:hanging="632"/>
        <w:jc w:val="left"/>
      </w:pPr>
      <w:rPr>
        <w:rFonts w:ascii="黑体" w:eastAsia="黑体" w:hAnsi="黑体" w:cs="黑体" w:hint="default"/>
        <w:spacing w:val="-3"/>
        <w:w w:val="100"/>
        <w:sz w:val="21"/>
        <w:szCs w:val="21"/>
        <w:lang w:val="zh-CN" w:eastAsia="zh-CN" w:bidi="zh-CN"/>
      </w:rPr>
    </w:lvl>
    <w:lvl w:ilvl="4">
      <w:start w:val="1"/>
      <w:numFmt w:val="lowerLetter"/>
      <w:lvlText w:val="%5)"/>
      <w:lvlJc w:val="left"/>
      <w:pPr>
        <w:ind w:left="1074" w:hanging="632"/>
        <w:jc w:val="left"/>
      </w:pPr>
      <w:rPr>
        <w:rFonts w:ascii="宋体" w:eastAsia="宋体" w:hAnsi="宋体" w:cs="宋体" w:hint="default"/>
        <w:w w:val="100"/>
        <w:sz w:val="21"/>
        <w:szCs w:val="21"/>
        <w:lang w:val="zh-CN" w:eastAsia="zh-CN" w:bidi="zh-CN"/>
      </w:rPr>
    </w:lvl>
    <w:lvl w:ilvl="5">
      <w:start w:val="1"/>
      <w:numFmt w:val="decimal"/>
      <w:lvlText w:val="%6)"/>
      <w:lvlJc w:val="left"/>
      <w:pPr>
        <w:ind w:left="1716" w:hanging="632"/>
        <w:jc w:val="right"/>
      </w:pPr>
      <w:rPr>
        <w:rFonts w:ascii="宋体" w:eastAsia="宋体" w:hAnsi="宋体" w:cs="宋体" w:hint="default"/>
        <w:w w:val="100"/>
        <w:sz w:val="21"/>
        <w:szCs w:val="21"/>
        <w:lang w:val="zh-CN" w:eastAsia="zh-CN" w:bidi="zh-CN"/>
      </w:rPr>
    </w:lvl>
    <w:lvl w:ilvl="6">
      <w:start w:val="0"/>
      <w:numFmt w:val="bullet"/>
      <w:lvlText w:val="•"/>
      <w:lvlJc w:val="left"/>
      <w:pPr>
        <w:ind w:left="1040" w:hanging="632"/>
      </w:pPr>
      <w:rPr>
        <w:rFonts w:hint="default"/>
        <w:lang w:val="zh-CN" w:eastAsia="zh-CN" w:bidi="zh-CN"/>
      </w:rPr>
    </w:lvl>
    <w:lvl w:ilvl="7">
      <w:start w:val="0"/>
      <w:numFmt w:val="bullet"/>
      <w:lvlText w:val="•"/>
      <w:lvlJc w:val="left"/>
      <w:pPr>
        <w:ind w:left="1080" w:hanging="632"/>
      </w:pPr>
      <w:rPr>
        <w:rFonts w:hint="default"/>
        <w:lang w:val="zh-CN" w:eastAsia="zh-CN" w:bidi="zh-CN"/>
      </w:rPr>
    </w:lvl>
    <w:lvl w:ilvl="8">
      <w:start w:val="0"/>
      <w:numFmt w:val="bullet"/>
      <w:lvlText w:val="•"/>
      <w:lvlJc w:val="left"/>
      <w:pPr>
        <w:ind w:left="1140" w:hanging="632"/>
      </w:pPr>
      <w:rPr>
        <w:rFonts w:hint="default"/>
        <w:lang w:val="zh-CN" w:eastAsia="zh-CN" w:bidi="zh-CN"/>
      </w:rPr>
    </w:lvl>
  </w:abstractNum>
  <w:abstractNum w:abstractNumId="5">
    <w:nsid w:val="0CFDFD97"/>
    <w:multiLevelType w:val="hybridMultilevel"/>
    <w:tmpl w:val="00000000"/>
    <w:lvl w:ilvl="0">
      <w:start w:val="1"/>
      <w:numFmt w:val="decimal"/>
      <w:lvlText w:val="%1."/>
      <w:lvlJc w:val="left"/>
      <w:pPr>
        <w:ind w:left="390" w:hanging="273"/>
        <w:jc w:val="left"/>
      </w:pPr>
      <w:rPr>
        <w:rFonts w:ascii="Times New Roman" w:eastAsia="Times New Roman" w:hAnsi="Times New Roman" w:cs="Times New Roman" w:hint="default"/>
        <w:spacing w:val="0"/>
        <w:w w:val="100"/>
        <w:sz w:val="16"/>
        <w:szCs w:val="16"/>
        <w:lang w:val="zh-CN" w:eastAsia="zh-CN" w:bidi="zh-CN"/>
      </w:rPr>
    </w:lvl>
    <w:lvl w:ilvl="1">
      <w:start w:val="0"/>
      <w:numFmt w:val="bullet"/>
      <w:lvlText w:val="•"/>
      <w:lvlJc w:val="left"/>
      <w:pPr>
        <w:ind w:left="967" w:hanging="273"/>
      </w:pPr>
      <w:rPr>
        <w:rFonts w:hint="default"/>
        <w:lang w:val="zh-CN" w:eastAsia="zh-CN" w:bidi="zh-CN"/>
      </w:rPr>
    </w:lvl>
    <w:lvl w:ilvl="2">
      <w:start w:val="0"/>
      <w:numFmt w:val="bullet"/>
      <w:lvlText w:val="•"/>
      <w:lvlJc w:val="left"/>
      <w:pPr>
        <w:ind w:left="1534" w:hanging="273"/>
      </w:pPr>
      <w:rPr>
        <w:rFonts w:hint="default"/>
        <w:lang w:val="zh-CN" w:eastAsia="zh-CN" w:bidi="zh-CN"/>
      </w:rPr>
    </w:lvl>
    <w:lvl w:ilvl="3">
      <w:start w:val="0"/>
      <w:numFmt w:val="bullet"/>
      <w:lvlText w:val="•"/>
      <w:lvlJc w:val="left"/>
      <w:pPr>
        <w:ind w:left="2101" w:hanging="273"/>
      </w:pPr>
      <w:rPr>
        <w:rFonts w:hint="default"/>
        <w:lang w:val="zh-CN" w:eastAsia="zh-CN" w:bidi="zh-CN"/>
      </w:rPr>
    </w:lvl>
    <w:lvl w:ilvl="4">
      <w:start w:val="0"/>
      <w:numFmt w:val="bullet"/>
      <w:lvlText w:val="•"/>
      <w:lvlJc w:val="left"/>
      <w:pPr>
        <w:ind w:left="2669" w:hanging="273"/>
      </w:pPr>
      <w:rPr>
        <w:rFonts w:hint="default"/>
        <w:lang w:val="zh-CN" w:eastAsia="zh-CN" w:bidi="zh-CN"/>
      </w:rPr>
    </w:lvl>
    <w:lvl w:ilvl="5">
      <w:start w:val="0"/>
      <w:numFmt w:val="bullet"/>
      <w:lvlText w:val="•"/>
      <w:lvlJc w:val="left"/>
      <w:pPr>
        <w:ind w:left="3236" w:hanging="273"/>
      </w:pPr>
      <w:rPr>
        <w:rFonts w:hint="default"/>
        <w:lang w:val="zh-CN" w:eastAsia="zh-CN" w:bidi="zh-CN"/>
      </w:rPr>
    </w:lvl>
    <w:lvl w:ilvl="6">
      <w:start w:val="0"/>
      <w:numFmt w:val="bullet"/>
      <w:lvlText w:val="•"/>
      <w:lvlJc w:val="left"/>
      <w:pPr>
        <w:ind w:left="3803" w:hanging="273"/>
      </w:pPr>
      <w:rPr>
        <w:rFonts w:hint="default"/>
        <w:lang w:val="zh-CN" w:eastAsia="zh-CN" w:bidi="zh-CN"/>
      </w:rPr>
    </w:lvl>
    <w:lvl w:ilvl="7">
      <w:start w:val="0"/>
      <w:numFmt w:val="bullet"/>
      <w:lvlText w:val="•"/>
      <w:lvlJc w:val="left"/>
      <w:pPr>
        <w:ind w:left="4371" w:hanging="273"/>
      </w:pPr>
      <w:rPr>
        <w:rFonts w:hint="default"/>
        <w:lang w:val="zh-CN" w:eastAsia="zh-CN" w:bidi="zh-CN"/>
      </w:rPr>
    </w:lvl>
    <w:lvl w:ilvl="8">
      <w:start w:val="0"/>
      <w:numFmt w:val="bullet"/>
      <w:lvlText w:val="•"/>
      <w:lvlJc w:val="left"/>
      <w:pPr>
        <w:ind w:left="4938" w:hanging="273"/>
      </w:pPr>
      <w:rPr>
        <w:rFonts w:hint="default"/>
        <w:lang w:val="zh-CN" w:eastAsia="zh-CN" w:bidi="zh-CN"/>
      </w:rPr>
    </w:lvl>
  </w:abstractNum>
  <w:abstractNum w:abstractNumId="6">
    <w:nsid w:val="0D6006DD"/>
    <w:multiLevelType w:val="hybridMultilevel"/>
    <w:tmpl w:val="00000000"/>
    <w:lvl w:ilvl="0">
      <w:start w:val="1"/>
      <w:numFmt w:val="decimal"/>
      <w:lvlText w:val="%1."/>
      <w:lvlJc w:val="left"/>
      <w:pPr>
        <w:ind w:left="391" w:hanging="273"/>
        <w:jc w:val="left"/>
      </w:pPr>
      <w:rPr>
        <w:rFonts w:ascii="宋体" w:eastAsia="宋体" w:hAnsi="宋体" w:cs="宋体" w:hint="default"/>
        <w:spacing w:val="0"/>
        <w:w w:val="100"/>
        <w:sz w:val="16"/>
        <w:szCs w:val="16"/>
        <w:lang w:val="zh-CN" w:eastAsia="zh-CN" w:bidi="zh-CN"/>
      </w:rPr>
    </w:lvl>
    <w:lvl w:ilvl="1">
      <w:start w:val="0"/>
      <w:numFmt w:val="bullet"/>
      <w:lvlText w:val="•"/>
      <w:lvlJc w:val="left"/>
      <w:pPr>
        <w:ind w:left="1164" w:hanging="273"/>
      </w:pPr>
      <w:rPr>
        <w:rFonts w:hint="default"/>
        <w:lang w:val="zh-CN" w:eastAsia="zh-CN" w:bidi="zh-CN"/>
      </w:rPr>
    </w:lvl>
    <w:lvl w:ilvl="2">
      <w:start w:val="0"/>
      <w:numFmt w:val="bullet"/>
      <w:lvlText w:val="•"/>
      <w:lvlJc w:val="left"/>
      <w:pPr>
        <w:ind w:left="1928" w:hanging="273"/>
      </w:pPr>
      <w:rPr>
        <w:rFonts w:hint="default"/>
        <w:lang w:val="zh-CN" w:eastAsia="zh-CN" w:bidi="zh-CN"/>
      </w:rPr>
    </w:lvl>
    <w:lvl w:ilvl="3">
      <w:start w:val="0"/>
      <w:numFmt w:val="bullet"/>
      <w:lvlText w:val="•"/>
      <w:lvlJc w:val="left"/>
      <w:pPr>
        <w:ind w:left="2692" w:hanging="273"/>
      </w:pPr>
      <w:rPr>
        <w:rFonts w:hint="default"/>
        <w:lang w:val="zh-CN" w:eastAsia="zh-CN" w:bidi="zh-CN"/>
      </w:rPr>
    </w:lvl>
    <w:lvl w:ilvl="4">
      <w:start w:val="0"/>
      <w:numFmt w:val="bullet"/>
      <w:lvlText w:val="•"/>
      <w:lvlJc w:val="left"/>
      <w:pPr>
        <w:ind w:left="3457" w:hanging="273"/>
      </w:pPr>
      <w:rPr>
        <w:rFonts w:hint="default"/>
        <w:lang w:val="zh-CN" w:eastAsia="zh-CN" w:bidi="zh-CN"/>
      </w:rPr>
    </w:lvl>
    <w:lvl w:ilvl="5">
      <w:start w:val="0"/>
      <w:numFmt w:val="bullet"/>
      <w:lvlText w:val="•"/>
      <w:lvlJc w:val="left"/>
      <w:pPr>
        <w:ind w:left="4221" w:hanging="273"/>
      </w:pPr>
      <w:rPr>
        <w:rFonts w:hint="default"/>
        <w:lang w:val="zh-CN" w:eastAsia="zh-CN" w:bidi="zh-CN"/>
      </w:rPr>
    </w:lvl>
    <w:lvl w:ilvl="6">
      <w:start w:val="0"/>
      <w:numFmt w:val="bullet"/>
      <w:lvlText w:val="•"/>
      <w:lvlJc w:val="left"/>
      <w:pPr>
        <w:ind w:left="4985" w:hanging="273"/>
      </w:pPr>
      <w:rPr>
        <w:rFonts w:hint="default"/>
        <w:lang w:val="zh-CN" w:eastAsia="zh-CN" w:bidi="zh-CN"/>
      </w:rPr>
    </w:lvl>
    <w:lvl w:ilvl="7">
      <w:start w:val="0"/>
      <w:numFmt w:val="bullet"/>
      <w:lvlText w:val="•"/>
      <w:lvlJc w:val="left"/>
      <w:pPr>
        <w:ind w:left="5750" w:hanging="273"/>
      </w:pPr>
      <w:rPr>
        <w:rFonts w:hint="default"/>
        <w:lang w:val="zh-CN" w:eastAsia="zh-CN" w:bidi="zh-CN"/>
      </w:rPr>
    </w:lvl>
    <w:lvl w:ilvl="8">
      <w:start w:val="0"/>
      <w:numFmt w:val="bullet"/>
      <w:lvlText w:val="•"/>
      <w:lvlJc w:val="left"/>
      <w:pPr>
        <w:ind w:left="6514" w:hanging="273"/>
      </w:pPr>
      <w:rPr>
        <w:rFonts w:hint="default"/>
        <w:lang w:val="zh-CN" w:eastAsia="zh-CN" w:bidi="zh-CN"/>
      </w:rPr>
    </w:lvl>
  </w:abstractNum>
  <w:abstractNum w:abstractNumId="7">
    <w:nsid w:val="1519AA79"/>
    <w:multiLevelType w:val="hybridMultilevel"/>
    <w:tmpl w:val="00000000"/>
    <w:lvl w:ilvl="0">
      <w:start w:val="1"/>
      <w:numFmt w:val="decimal"/>
      <w:lvlText w:val="%1"/>
      <w:lvlJc w:val="left"/>
      <w:pPr>
        <w:ind w:left="832" w:hanging="317"/>
        <w:jc w:val="right"/>
      </w:pPr>
      <w:rPr>
        <w:rFonts w:ascii="宋体" w:eastAsia="宋体" w:hAnsi="宋体" w:cs="宋体" w:hint="default"/>
        <w:b/>
        <w:bCs/>
        <w:w w:val="99"/>
        <w:sz w:val="21"/>
        <w:szCs w:val="21"/>
        <w:lang w:val="zh-CN" w:eastAsia="zh-CN" w:bidi="zh-CN"/>
      </w:rPr>
    </w:lvl>
    <w:lvl w:ilvl="1">
      <w:start w:val="1"/>
      <w:numFmt w:val="decimal"/>
      <w:lvlText w:val="%1.%2"/>
      <w:lvlJc w:val="left"/>
      <w:pPr>
        <w:ind w:left="1252" w:hanging="526"/>
        <w:jc w:val="left"/>
      </w:pPr>
      <w:rPr>
        <w:rFonts w:ascii="宋体" w:eastAsia="宋体" w:hAnsi="宋体" w:cs="宋体" w:hint="default"/>
        <w:w w:val="100"/>
        <w:sz w:val="21"/>
        <w:szCs w:val="21"/>
        <w:lang w:val="zh-CN" w:eastAsia="zh-CN" w:bidi="zh-CN"/>
      </w:rPr>
    </w:lvl>
    <w:lvl w:ilvl="2">
      <w:start w:val="0"/>
      <w:numFmt w:val="bullet"/>
      <w:lvlText w:val="•"/>
      <w:lvlJc w:val="left"/>
      <w:pPr>
        <w:ind w:left="1260" w:hanging="526"/>
      </w:pPr>
      <w:rPr>
        <w:rFonts w:hint="default"/>
        <w:lang w:val="zh-CN" w:eastAsia="zh-CN" w:bidi="zh-CN"/>
      </w:rPr>
    </w:lvl>
    <w:lvl w:ilvl="3">
      <w:start w:val="0"/>
      <w:numFmt w:val="bullet"/>
      <w:lvlText w:val="•"/>
      <w:lvlJc w:val="left"/>
      <w:pPr>
        <w:ind w:left="2375" w:hanging="526"/>
      </w:pPr>
      <w:rPr>
        <w:rFonts w:hint="default"/>
        <w:lang w:val="zh-CN" w:eastAsia="zh-CN" w:bidi="zh-CN"/>
      </w:rPr>
    </w:lvl>
    <w:lvl w:ilvl="4">
      <w:start w:val="0"/>
      <w:numFmt w:val="bullet"/>
      <w:lvlText w:val="•"/>
      <w:lvlJc w:val="left"/>
      <w:pPr>
        <w:ind w:left="3491" w:hanging="526"/>
      </w:pPr>
      <w:rPr>
        <w:rFonts w:hint="default"/>
        <w:lang w:val="zh-CN" w:eastAsia="zh-CN" w:bidi="zh-CN"/>
      </w:rPr>
    </w:lvl>
    <w:lvl w:ilvl="5">
      <w:start w:val="0"/>
      <w:numFmt w:val="bullet"/>
      <w:lvlText w:val="•"/>
      <w:lvlJc w:val="left"/>
      <w:pPr>
        <w:ind w:left="4607" w:hanging="526"/>
      </w:pPr>
      <w:rPr>
        <w:rFonts w:hint="default"/>
        <w:lang w:val="zh-CN" w:eastAsia="zh-CN" w:bidi="zh-CN"/>
      </w:rPr>
    </w:lvl>
    <w:lvl w:ilvl="6">
      <w:start w:val="0"/>
      <w:numFmt w:val="bullet"/>
      <w:lvlText w:val="•"/>
      <w:lvlJc w:val="left"/>
      <w:pPr>
        <w:ind w:left="5723" w:hanging="526"/>
      </w:pPr>
      <w:rPr>
        <w:rFonts w:hint="default"/>
        <w:lang w:val="zh-CN" w:eastAsia="zh-CN" w:bidi="zh-CN"/>
      </w:rPr>
    </w:lvl>
    <w:lvl w:ilvl="7">
      <w:start w:val="0"/>
      <w:numFmt w:val="bullet"/>
      <w:lvlText w:val="•"/>
      <w:lvlJc w:val="left"/>
      <w:pPr>
        <w:ind w:left="6839" w:hanging="526"/>
      </w:pPr>
      <w:rPr>
        <w:rFonts w:hint="default"/>
        <w:lang w:val="zh-CN" w:eastAsia="zh-CN" w:bidi="zh-CN"/>
      </w:rPr>
    </w:lvl>
    <w:lvl w:ilvl="8">
      <w:start w:val="0"/>
      <w:numFmt w:val="bullet"/>
      <w:lvlText w:val="•"/>
      <w:lvlJc w:val="left"/>
      <w:pPr>
        <w:ind w:left="7954" w:hanging="526"/>
      </w:pPr>
      <w:rPr>
        <w:rFonts w:hint="default"/>
        <w:lang w:val="zh-CN" w:eastAsia="zh-CN" w:bidi="zh-CN"/>
      </w:rPr>
    </w:lvl>
  </w:abstractNum>
  <w:abstractNum w:abstractNumId="8">
    <w:nsid w:val="158BF820"/>
    <w:multiLevelType w:val="hybridMultilevel"/>
    <w:tmpl w:val="00000000"/>
    <w:lvl w:ilvl="0">
      <w:start w:val="5"/>
      <w:numFmt w:val="decimal"/>
      <w:lvlText w:val="%1"/>
      <w:lvlJc w:val="left"/>
      <w:pPr>
        <w:ind w:left="1461" w:hanging="946"/>
        <w:jc w:val="left"/>
      </w:pPr>
      <w:rPr>
        <w:rFonts w:hint="default"/>
        <w:lang w:val="zh-CN" w:eastAsia="zh-CN" w:bidi="zh-CN"/>
      </w:rPr>
    </w:lvl>
    <w:lvl w:ilvl="1">
      <w:start w:val="3"/>
      <w:numFmt w:val="decimal"/>
      <w:lvlText w:val="%1.%2"/>
      <w:lvlJc w:val="left"/>
      <w:pPr>
        <w:ind w:left="1461" w:hanging="946"/>
        <w:jc w:val="left"/>
      </w:pPr>
      <w:rPr>
        <w:rFonts w:hint="default"/>
        <w:lang w:val="zh-CN" w:eastAsia="zh-CN" w:bidi="zh-CN"/>
      </w:rPr>
    </w:lvl>
    <w:lvl w:ilvl="2">
      <w:start w:val="4"/>
      <w:numFmt w:val="decimal"/>
      <w:lvlText w:val="%1.%2.%3"/>
      <w:lvlJc w:val="left"/>
      <w:pPr>
        <w:ind w:left="1461" w:hanging="946"/>
        <w:jc w:val="left"/>
      </w:pPr>
      <w:rPr>
        <w:rFonts w:hint="default"/>
        <w:lang w:val="zh-CN" w:eastAsia="zh-CN" w:bidi="zh-CN"/>
      </w:rPr>
    </w:lvl>
    <w:lvl w:ilvl="3">
      <w:start w:val="1"/>
      <w:numFmt w:val="decimal"/>
      <w:lvlText w:val="%1.%2.%3.%4"/>
      <w:lvlJc w:val="left"/>
      <w:pPr>
        <w:ind w:left="1461" w:hanging="946"/>
        <w:jc w:val="right"/>
      </w:pPr>
      <w:rPr>
        <w:rFonts w:ascii="黑体" w:eastAsia="黑体" w:hAnsi="黑体" w:cs="黑体" w:hint="default"/>
        <w:spacing w:val="-3"/>
        <w:w w:val="100"/>
        <w:sz w:val="21"/>
        <w:szCs w:val="21"/>
        <w:lang w:val="zh-CN" w:eastAsia="zh-CN" w:bidi="zh-CN"/>
      </w:rPr>
    </w:lvl>
    <w:lvl w:ilvl="4">
      <w:start w:val="1"/>
      <w:numFmt w:val="lowerLetter"/>
      <w:lvlText w:val="%5)"/>
      <w:lvlJc w:val="left"/>
      <w:pPr>
        <w:ind w:left="1355" w:hanging="423"/>
        <w:jc w:val="left"/>
      </w:pPr>
      <w:rPr>
        <w:rFonts w:ascii="宋体" w:eastAsia="宋体" w:hAnsi="宋体" w:cs="宋体" w:hint="default"/>
        <w:w w:val="100"/>
        <w:sz w:val="21"/>
        <w:szCs w:val="21"/>
        <w:lang w:val="zh-CN" w:eastAsia="zh-CN" w:bidi="zh-CN"/>
      </w:rPr>
    </w:lvl>
    <w:lvl w:ilvl="5">
      <w:start w:val="0"/>
      <w:numFmt w:val="bullet"/>
      <w:lvlText w:val="•"/>
      <w:lvlJc w:val="left"/>
      <w:pPr>
        <w:ind w:left="4732" w:hanging="423"/>
      </w:pPr>
      <w:rPr>
        <w:rFonts w:hint="default"/>
        <w:lang w:val="zh-CN" w:eastAsia="zh-CN" w:bidi="zh-CN"/>
      </w:rPr>
    </w:lvl>
    <w:lvl w:ilvl="6">
      <w:start w:val="0"/>
      <w:numFmt w:val="bullet"/>
      <w:lvlText w:val="•"/>
      <w:lvlJc w:val="left"/>
      <w:pPr>
        <w:ind w:left="5823" w:hanging="423"/>
      </w:pPr>
      <w:rPr>
        <w:rFonts w:hint="default"/>
        <w:lang w:val="zh-CN" w:eastAsia="zh-CN" w:bidi="zh-CN"/>
      </w:rPr>
    </w:lvl>
    <w:lvl w:ilvl="7">
      <w:start w:val="0"/>
      <w:numFmt w:val="bullet"/>
      <w:lvlText w:val="•"/>
      <w:lvlJc w:val="left"/>
      <w:pPr>
        <w:ind w:left="6914" w:hanging="423"/>
      </w:pPr>
      <w:rPr>
        <w:rFonts w:hint="default"/>
        <w:lang w:val="zh-CN" w:eastAsia="zh-CN" w:bidi="zh-CN"/>
      </w:rPr>
    </w:lvl>
    <w:lvl w:ilvl="8">
      <w:start w:val="0"/>
      <w:numFmt w:val="bullet"/>
      <w:lvlText w:val="•"/>
      <w:lvlJc w:val="left"/>
      <w:pPr>
        <w:ind w:left="8004" w:hanging="423"/>
      </w:pPr>
      <w:rPr>
        <w:rFonts w:hint="default"/>
        <w:lang w:val="zh-CN" w:eastAsia="zh-CN" w:bidi="zh-CN"/>
      </w:rPr>
    </w:lvl>
  </w:abstractNum>
  <w:abstractNum w:abstractNumId="9">
    <w:nsid w:val="21E1DB40"/>
    <w:multiLevelType w:val="hybridMultilevel"/>
    <w:tmpl w:val="00000000"/>
    <w:lvl w:ilvl="0">
      <w:start w:val="8"/>
      <w:numFmt w:val="upperLetter"/>
      <w:lvlText w:val="%1"/>
      <w:lvlJc w:val="left"/>
      <w:pPr>
        <w:ind w:left="758" w:hanging="526"/>
        <w:jc w:val="left"/>
      </w:pPr>
      <w:rPr>
        <w:rFonts w:hint="default"/>
        <w:lang w:val="zh-CN" w:eastAsia="zh-CN" w:bidi="zh-CN"/>
      </w:rPr>
    </w:lvl>
    <w:lvl w:ilvl="1">
      <w:start w:val="1"/>
      <w:numFmt w:val="decimal"/>
      <w:lvlText w:val="%1.%2"/>
      <w:lvlJc w:val="left"/>
      <w:pPr>
        <w:ind w:left="758" w:hanging="526"/>
        <w:jc w:val="right"/>
      </w:pPr>
      <w:rPr>
        <w:rFonts w:ascii="黑体" w:eastAsia="黑体" w:hAnsi="黑体" w:cs="黑体" w:hint="default"/>
        <w:w w:val="100"/>
        <w:sz w:val="21"/>
        <w:szCs w:val="21"/>
        <w:lang w:val="zh-CN" w:eastAsia="zh-CN" w:bidi="zh-CN"/>
      </w:rPr>
    </w:lvl>
    <w:lvl w:ilvl="2">
      <w:start w:val="1"/>
      <w:numFmt w:val="decimal"/>
      <w:lvlText w:val="%1.%2.%3"/>
      <w:lvlJc w:val="left"/>
      <w:pPr>
        <w:ind w:left="233" w:hanging="737"/>
        <w:jc w:val="left"/>
      </w:pPr>
      <w:rPr>
        <w:rFonts w:ascii="黑体" w:eastAsia="黑体" w:hAnsi="黑体" w:cs="黑体" w:hint="default"/>
        <w:w w:val="100"/>
        <w:sz w:val="21"/>
        <w:szCs w:val="21"/>
        <w:lang w:val="zh-CN" w:eastAsia="zh-CN" w:bidi="zh-CN"/>
      </w:rPr>
    </w:lvl>
    <w:lvl w:ilvl="3">
      <w:start w:val="0"/>
      <w:numFmt w:val="bullet"/>
      <w:lvlText w:val="•"/>
      <w:lvlJc w:val="left"/>
      <w:pPr>
        <w:ind w:left="1360" w:hanging="737"/>
      </w:pPr>
      <w:rPr>
        <w:rFonts w:hint="default"/>
        <w:lang w:val="zh-CN" w:eastAsia="zh-CN" w:bidi="zh-CN"/>
      </w:rPr>
    </w:lvl>
    <w:lvl w:ilvl="4">
      <w:start w:val="0"/>
      <w:numFmt w:val="bullet"/>
      <w:lvlText w:val="•"/>
      <w:lvlJc w:val="left"/>
      <w:pPr>
        <w:ind w:left="2620" w:hanging="737"/>
      </w:pPr>
      <w:rPr>
        <w:rFonts w:hint="default"/>
        <w:lang w:val="zh-CN" w:eastAsia="zh-CN" w:bidi="zh-CN"/>
      </w:rPr>
    </w:lvl>
    <w:lvl w:ilvl="5">
      <w:start w:val="0"/>
      <w:numFmt w:val="bullet"/>
      <w:lvlText w:val="•"/>
      <w:lvlJc w:val="left"/>
      <w:pPr>
        <w:ind w:left="3881" w:hanging="737"/>
      </w:pPr>
      <w:rPr>
        <w:rFonts w:hint="default"/>
        <w:lang w:val="zh-CN" w:eastAsia="zh-CN" w:bidi="zh-CN"/>
      </w:rPr>
    </w:lvl>
    <w:lvl w:ilvl="6">
      <w:start w:val="0"/>
      <w:numFmt w:val="bullet"/>
      <w:lvlText w:val="•"/>
      <w:lvlJc w:val="left"/>
      <w:pPr>
        <w:ind w:left="5142" w:hanging="737"/>
      </w:pPr>
      <w:rPr>
        <w:rFonts w:hint="default"/>
        <w:lang w:val="zh-CN" w:eastAsia="zh-CN" w:bidi="zh-CN"/>
      </w:rPr>
    </w:lvl>
    <w:lvl w:ilvl="7">
      <w:start w:val="0"/>
      <w:numFmt w:val="bullet"/>
      <w:lvlText w:val="•"/>
      <w:lvlJc w:val="left"/>
      <w:pPr>
        <w:ind w:left="6403" w:hanging="737"/>
      </w:pPr>
      <w:rPr>
        <w:rFonts w:hint="default"/>
        <w:lang w:val="zh-CN" w:eastAsia="zh-CN" w:bidi="zh-CN"/>
      </w:rPr>
    </w:lvl>
    <w:lvl w:ilvl="8">
      <w:start w:val="0"/>
      <w:numFmt w:val="bullet"/>
      <w:lvlText w:val="•"/>
      <w:lvlJc w:val="left"/>
      <w:pPr>
        <w:ind w:left="7664" w:hanging="737"/>
      </w:pPr>
      <w:rPr>
        <w:rFonts w:hint="default"/>
        <w:lang w:val="zh-CN" w:eastAsia="zh-CN" w:bidi="zh-CN"/>
      </w:rPr>
    </w:lvl>
  </w:abstractNum>
  <w:abstractNum w:abstractNumId="10">
    <w:nsid w:val="2407C5A6"/>
    <w:multiLevelType w:val="hybridMultilevel"/>
    <w:tmpl w:val="00000000"/>
    <w:lvl w:ilvl="0">
      <w:start w:val="4"/>
      <w:numFmt w:val="decimal"/>
      <w:lvlText w:val="%1"/>
      <w:lvlJc w:val="left"/>
      <w:pPr>
        <w:ind w:left="876" w:hanging="361"/>
        <w:jc w:val="right"/>
      </w:pPr>
      <w:rPr>
        <w:rFonts w:ascii="黑体" w:eastAsia="黑体" w:hAnsi="黑体" w:cs="黑体" w:hint="default"/>
        <w:w w:val="100"/>
        <w:sz w:val="21"/>
        <w:szCs w:val="21"/>
        <w:lang w:val="zh-CN" w:eastAsia="zh-CN" w:bidi="zh-CN"/>
      </w:rPr>
    </w:lvl>
    <w:lvl w:ilvl="1">
      <w:start w:val="1"/>
      <w:numFmt w:val="decimal"/>
      <w:lvlText w:val="%1.%2"/>
      <w:lvlJc w:val="left"/>
      <w:pPr>
        <w:ind w:left="1146" w:hanging="632"/>
        <w:jc w:val="right"/>
      </w:pPr>
      <w:rPr>
        <w:rFonts w:hint="default"/>
        <w:w w:val="100"/>
        <w:lang w:val="zh-CN" w:eastAsia="zh-CN" w:bidi="zh-CN"/>
      </w:rPr>
    </w:lvl>
    <w:lvl w:ilvl="2">
      <w:start w:val="1"/>
      <w:numFmt w:val="decimal"/>
      <w:lvlText w:val="%1.%2.%3"/>
      <w:lvlJc w:val="left"/>
      <w:pPr>
        <w:ind w:left="969" w:hanging="632"/>
        <w:jc w:val="left"/>
      </w:pPr>
      <w:rPr>
        <w:rFonts w:ascii="黑体" w:eastAsia="黑体" w:hAnsi="黑体" w:cs="黑体" w:hint="default"/>
        <w:w w:val="100"/>
        <w:sz w:val="21"/>
        <w:szCs w:val="21"/>
        <w:lang w:val="zh-CN" w:eastAsia="zh-CN" w:bidi="zh-CN"/>
      </w:rPr>
    </w:lvl>
    <w:lvl w:ilvl="3">
      <w:start w:val="1"/>
      <w:numFmt w:val="decimal"/>
      <w:lvlText w:val="%1.%2.%3.%4"/>
      <w:lvlJc w:val="left"/>
      <w:pPr>
        <w:ind w:left="1178" w:hanging="632"/>
        <w:jc w:val="left"/>
      </w:pPr>
      <w:rPr>
        <w:rFonts w:ascii="黑体" w:eastAsia="黑体" w:hAnsi="黑体" w:cs="黑体" w:hint="default"/>
        <w:spacing w:val="-3"/>
        <w:w w:val="100"/>
        <w:sz w:val="21"/>
        <w:szCs w:val="21"/>
        <w:lang w:val="zh-CN" w:eastAsia="zh-CN" w:bidi="zh-CN"/>
      </w:rPr>
    </w:lvl>
    <w:lvl w:ilvl="4">
      <w:start w:val="1"/>
      <w:numFmt w:val="lowerLetter"/>
      <w:lvlText w:val="%5)"/>
      <w:lvlJc w:val="left"/>
      <w:pPr>
        <w:ind w:left="1074" w:hanging="632"/>
        <w:jc w:val="left"/>
      </w:pPr>
      <w:rPr>
        <w:rFonts w:ascii="宋体" w:eastAsia="宋体" w:hAnsi="宋体" w:cs="宋体" w:hint="default"/>
        <w:w w:val="100"/>
        <w:sz w:val="21"/>
        <w:szCs w:val="21"/>
        <w:lang w:val="zh-CN" w:eastAsia="zh-CN" w:bidi="zh-CN"/>
      </w:rPr>
    </w:lvl>
    <w:lvl w:ilvl="5">
      <w:start w:val="1"/>
      <w:numFmt w:val="decimal"/>
      <w:lvlText w:val="%6)"/>
      <w:lvlJc w:val="left"/>
      <w:pPr>
        <w:ind w:left="1716" w:hanging="632"/>
        <w:jc w:val="right"/>
      </w:pPr>
      <w:rPr>
        <w:rFonts w:ascii="宋体" w:eastAsia="宋体" w:hAnsi="宋体" w:cs="宋体" w:hint="default"/>
        <w:w w:val="100"/>
        <w:sz w:val="21"/>
        <w:szCs w:val="21"/>
        <w:lang w:val="zh-CN" w:eastAsia="zh-CN" w:bidi="zh-CN"/>
      </w:rPr>
    </w:lvl>
    <w:lvl w:ilvl="6">
      <w:start w:val="0"/>
      <w:numFmt w:val="bullet"/>
      <w:lvlText w:val="•"/>
      <w:lvlJc w:val="left"/>
      <w:pPr>
        <w:ind w:left="1040" w:hanging="632"/>
      </w:pPr>
      <w:rPr>
        <w:rFonts w:hint="default"/>
        <w:lang w:val="zh-CN" w:eastAsia="zh-CN" w:bidi="zh-CN"/>
      </w:rPr>
    </w:lvl>
    <w:lvl w:ilvl="7">
      <w:start w:val="0"/>
      <w:numFmt w:val="bullet"/>
      <w:lvlText w:val="•"/>
      <w:lvlJc w:val="left"/>
      <w:pPr>
        <w:ind w:left="1080" w:hanging="632"/>
      </w:pPr>
      <w:rPr>
        <w:rFonts w:hint="default"/>
        <w:lang w:val="zh-CN" w:eastAsia="zh-CN" w:bidi="zh-CN"/>
      </w:rPr>
    </w:lvl>
    <w:lvl w:ilvl="8">
      <w:start w:val="0"/>
      <w:numFmt w:val="bullet"/>
      <w:lvlText w:val="•"/>
      <w:lvlJc w:val="left"/>
      <w:pPr>
        <w:ind w:left="1140" w:hanging="632"/>
      </w:pPr>
      <w:rPr>
        <w:rFonts w:hint="default"/>
        <w:lang w:val="zh-CN" w:eastAsia="zh-CN" w:bidi="zh-CN"/>
      </w:rPr>
    </w:lvl>
  </w:abstractNum>
  <w:abstractNum w:abstractNumId="11">
    <w:nsid w:val="26CB20F4"/>
    <w:multiLevelType w:val="hybridMultilevel"/>
    <w:tmpl w:val="00000000"/>
    <w:lvl w:ilvl="0">
      <w:start w:val="3"/>
      <w:numFmt w:val="lowerLetter"/>
      <w:lvlText w:val="%1)"/>
      <w:lvlJc w:val="left"/>
      <w:pPr>
        <w:ind w:left="1075" w:hanging="423"/>
        <w:jc w:val="left"/>
      </w:pPr>
      <w:rPr>
        <w:rFonts w:ascii="宋体" w:eastAsia="宋体" w:hAnsi="宋体" w:cs="宋体" w:hint="default"/>
        <w:w w:val="100"/>
        <w:sz w:val="21"/>
        <w:szCs w:val="21"/>
        <w:lang w:val="zh-CN" w:eastAsia="zh-CN" w:bidi="zh-CN"/>
      </w:rPr>
    </w:lvl>
    <w:lvl w:ilvl="1">
      <w:start w:val="1"/>
      <w:numFmt w:val="decimal"/>
      <w:lvlText w:val="%2)"/>
      <w:lvlJc w:val="left"/>
      <w:pPr>
        <w:ind w:left="1495" w:hanging="423"/>
        <w:jc w:val="left"/>
      </w:pPr>
      <w:rPr>
        <w:rFonts w:ascii="宋体" w:eastAsia="宋体" w:hAnsi="宋体" w:cs="宋体" w:hint="default"/>
        <w:w w:val="100"/>
        <w:sz w:val="21"/>
        <w:szCs w:val="21"/>
        <w:lang w:val="zh-CN" w:eastAsia="zh-CN" w:bidi="zh-CN"/>
      </w:rPr>
    </w:lvl>
    <w:lvl w:ilvl="2">
      <w:start w:val="0"/>
      <w:numFmt w:val="bullet"/>
      <w:lvlText w:val="•"/>
      <w:lvlJc w:val="left"/>
      <w:pPr>
        <w:ind w:left="2465" w:hanging="423"/>
      </w:pPr>
      <w:rPr>
        <w:rFonts w:hint="default"/>
        <w:lang w:val="zh-CN" w:eastAsia="zh-CN" w:bidi="zh-CN"/>
      </w:rPr>
    </w:lvl>
    <w:lvl w:ilvl="3">
      <w:start w:val="0"/>
      <w:numFmt w:val="bullet"/>
      <w:lvlText w:val="•"/>
      <w:lvlJc w:val="left"/>
      <w:pPr>
        <w:ind w:left="3430" w:hanging="423"/>
      </w:pPr>
      <w:rPr>
        <w:rFonts w:hint="default"/>
        <w:lang w:val="zh-CN" w:eastAsia="zh-CN" w:bidi="zh-CN"/>
      </w:rPr>
    </w:lvl>
    <w:lvl w:ilvl="4">
      <w:start w:val="0"/>
      <w:numFmt w:val="bullet"/>
      <w:lvlText w:val="•"/>
      <w:lvlJc w:val="left"/>
      <w:pPr>
        <w:ind w:left="4395" w:hanging="423"/>
      </w:pPr>
      <w:rPr>
        <w:rFonts w:hint="default"/>
        <w:lang w:val="zh-CN" w:eastAsia="zh-CN" w:bidi="zh-CN"/>
      </w:rPr>
    </w:lvl>
    <w:lvl w:ilvl="5">
      <w:start w:val="0"/>
      <w:numFmt w:val="bullet"/>
      <w:lvlText w:val="•"/>
      <w:lvlJc w:val="left"/>
      <w:pPr>
        <w:ind w:left="5360" w:hanging="423"/>
      </w:pPr>
      <w:rPr>
        <w:rFonts w:hint="default"/>
        <w:lang w:val="zh-CN" w:eastAsia="zh-CN" w:bidi="zh-CN"/>
      </w:rPr>
    </w:lvl>
    <w:lvl w:ilvl="6">
      <w:start w:val="0"/>
      <w:numFmt w:val="bullet"/>
      <w:lvlText w:val="•"/>
      <w:lvlJc w:val="left"/>
      <w:pPr>
        <w:ind w:left="6325" w:hanging="423"/>
      </w:pPr>
      <w:rPr>
        <w:rFonts w:hint="default"/>
        <w:lang w:val="zh-CN" w:eastAsia="zh-CN" w:bidi="zh-CN"/>
      </w:rPr>
    </w:lvl>
    <w:lvl w:ilvl="7">
      <w:start w:val="0"/>
      <w:numFmt w:val="bullet"/>
      <w:lvlText w:val="•"/>
      <w:lvlJc w:val="left"/>
      <w:pPr>
        <w:ind w:left="7290" w:hanging="423"/>
      </w:pPr>
      <w:rPr>
        <w:rFonts w:hint="default"/>
        <w:lang w:val="zh-CN" w:eastAsia="zh-CN" w:bidi="zh-CN"/>
      </w:rPr>
    </w:lvl>
    <w:lvl w:ilvl="8">
      <w:start w:val="0"/>
      <w:numFmt w:val="bullet"/>
      <w:lvlText w:val="•"/>
      <w:lvlJc w:val="left"/>
      <w:pPr>
        <w:ind w:left="8256" w:hanging="423"/>
      </w:pPr>
      <w:rPr>
        <w:rFonts w:hint="default"/>
        <w:lang w:val="zh-CN" w:eastAsia="zh-CN" w:bidi="zh-CN"/>
      </w:rPr>
    </w:lvl>
  </w:abstractNum>
  <w:abstractNum w:abstractNumId="12">
    <w:nsid w:val="28C9DE00"/>
    <w:multiLevelType w:val="hybridMultilevel"/>
    <w:tmpl w:val="00000000"/>
    <w:lvl w:ilvl="0">
      <w:start w:val="5"/>
      <w:numFmt w:val="decimal"/>
      <w:lvlText w:val="%1"/>
      <w:lvlJc w:val="left"/>
      <w:pPr>
        <w:ind w:left="952" w:hanging="720"/>
        <w:jc w:val="left"/>
      </w:pPr>
      <w:rPr>
        <w:rFonts w:hint="default"/>
        <w:lang w:val="zh-CN" w:eastAsia="zh-CN" w:bidi="zh-CN"/>
      </w:rPr>
    </w:lvl>
    <w:lvl w:ilvl="1">
      <w:start w:val="3"/>
      <w:numFmt w:val="decimal"/>
      <w:lvlText w:val="%1.%2"/>
      <w:lvlJc w:val="left"/>
      <w:pPr>
        <w:ind w:left="952" w:hanging="720"/>
        <w:jc w:val="left"/>
      </w:pPr>
      <w:rPr>
        <w:rFonts w:hint="default"/>
        <w:lang w:val="zh-CN" w:eastAsia="zh-CN" w:bidi="zh-CN"/>
      </w:rPr>
    </w:lvl>
    <w:lvl w:ilvl="2">
      <w:start w:val="1"/>
      <w:numFmt w:val="decimal"/>
      <w:lvlText w:val="%1.%2.%3"/>
      <w:lvlJc w:val="left"/>
      <w:pPr>
        <w:ind w:left="952" w:hanging="720"/>
        <w:jc w:val="right"/>
      </w:pPr>
      <w:rPr>
        <w:rFonts w:ascii="黑体" w:eastAsia="黑体" w:hAnsi="黑体" w:cs="黑体" w:hint="default"/>
        <w:w w:val="100"/>
        <w:sz w:val="21"/>
        <w:szCs w:val="21"/>
        <w:lang w:val="zh-CN" w:eastAsia="zh-CN" w:bidi="zh-CN"/>
      </w:rPr>
    </w:lvl>
    <w:lvl w:ilvl="3">
      <w:start w:val="1"/>
      <w:numFmt w:val="lowerLetter"/>
      <w:lvlText w:val="%4)"/>
      <w:lvlJc w:val="left"/>
      <w:pPr>
        <w:ind w:left="1075" w:hanging="423"/>
        <w:jc w:val="left"/>
      </w:pPr>
      <w:rPr>
        <w:rFonts w:ascii="宋体" w:eastAsia="宋体" w:hAnsi="宋体" w:cs="宋体" w:hint="default"/>
        <w:w w:val="100"/>
        <w:sz w:val="21"/>
        <w:szCs w:val="21"/>
        <w:lang w:val="zh-CN" w:eastAsia="zh-CN" w:bidi="zh-CN"/>
      </w:rPr>
    </w:lvl>
    <w:lvl w:ilvl="4">
      <w:start w:val="0"/>
      <w:numFmt w:val="bullet"/>
      <w:lvlText w:val="•"/>
      <w:lvlJc w:val="left"/>
      <w:pPr>
        <w:ind w:left="4115" w:hanging="423"/>
      </w:pPr>
      <w:rPr>
        <w:rFonts w:hint="default"/>
        <w:lang w:val="zh-CN" w:eastAsia="zh-CN" w:bidi="zh-CN"/>
      </w:rPr>
    </w:lvl>
    <w:lvl w:ilvl="5">
      <w:start w:val="0"/>
      <w:numFmt w:val="bullet"/>
      <w:lvlText w:val="•"/>
      <w:lvlJc w:val="left"/>
      <w:pPr>
        <w:ind w:left="5127" w:hanging="423"/>
      </w:pPr>
      <w:rPr>
        <w:rFonts w:hint="default"/>
        <w:lang w:val="zh-CN" w:eastAsia="zh-CN" w:bidi="zh-CN"/>
      </w:rPr>
    </w:lvl>
    <w:lvl w:ilvl="6">
      <w:start w:val="0"/>
      <w:numFmt w:val="bullet"/>
      <w:lvlText w:val="•"/>
      <w:lvlJc w:val="left"/>
      <w:pPr>
        <w:ind w:left="6139" w:hanging="423"/>
      </w:pPr>
      <w:rPr>
        <w:rFonts w:hint="default"/>
        <w:lang w:val="zh-CN" w:eastAsia="zh-CN" w:bidi="zh-CN"/>
      </w:rPr>
    </w:lvl>
    <w:lvl w:ilvl="7">
      <w:start w:val="0"/>
      <w:numFmt w:val="bullet"/>
      <w:lvlText w:val="•"/>
      <w:lvlJc w:val="left"/>
      <w:pPr>
        <w:ind w:left="7150" w:hanging="423"/>
      </w:pPr>
      <w:rPr>
        <w:rFonts w:hint="default"/>
        <w:lang w:val="zh-CN" w:eastAsia="zh-CN" w:bidi="zh-CN"/>
      </w:rPr>
    </w:lvl>
    <w:lvl w:ilvl="8">
      <w:start w:val="0"/>
      <w:numFmt w:val="bullet"/>
      <w:lvlText w:val="•"/>
      <w:lvlJc w:val="left"/>
      <w:pPr>
        <w:ind w:left="8162" w:hanging="423"/>
      </w:pPr>
      <w:rPr>
        <w:rFonts w:hint="default"/>
        <w:lang w:val="zh-CN" w:eastAsia="zh-CN" w:bidi="zh-CN"/>
      </w:rPr>
    </w:lvl>
  </w:abstractNum>
  <w:abstractNum w:abstractNumId="13">
    <w:nsid w:val="298DD306"/>
    <w:multiLevelType w:val="hybridMultilevel"/>
    <w:tmpl w:val="00000000"/>
    <w:lvl w:ilvl="0">
      <w:start w:val="1"/>
      <w:numFmt w:val="lowerLetter"/>
      <w:lvlText w:val="%1)"/>
      <w:lvlJc w:val="left"/>
      <w:pPr>
        <w:ind w:left="1075" w:hanging="423"/>
        <w:jc w:val="left"/>
      </w:pPr>
      <w:rPr>
        <w:rFonts w:ascii="宋体" w:eastAsia="宋体" w:hAnsi="宋体" w:cs="宋体" w:hint="default"/>
        <w:w w:val="100"/>
        <w:sz w:val="21"/>
        <w:szCs w:val="21"/>
        <w:lang w:val="zh-CN" w:eastAsia="zh-CN" w:bidi="zh-CN"/>
      </w:rPr>
    </w:lvl>
    <w:lvl w:ilvl="1">
      <w:start w:val="0"/>
      <w:numFmt w:val="bullet"/>
      <w:lvlText w:val="•"/>
      <w:lvlJc w:val="left"/>
      <w:pPr>
        <w:ind w:left="1990" w:hanging="423"/>
      </w:pPr>
      <w:rPr>
        <w:rFonts w:hint="default"/>
        <w:lang w:val="zh-CN" w:eastAsia="zh-CN" w:bidi="zh-CN"/>
      </w:rPr>
    </w:lvl>
    <w:lvl w:ilvl="2">
      <w:start w:val="0"/>
      <w:numFmt w:val="bullet"/>
      <w:lvlText w:val="•"/>
      <w:lvlJc w:val="left"/>
      <w:pPr>
        <w:ind w:left="2901" w:hanging="423"/>
      </w:pPr>
      <w:rPr>
        <w:rFonts w:hint="default"/>
        <w:lang w:val="zh-CN" w:eastAsia="zh-CN" w:bidi="zh-CN"/>
      </w:rPr>
    </w:lvl>
    <w:lvl w:ilvl="3">
      <w:start w:val="0"/>
      <w:numFmt w:val="bullet"/>
      <w:lvlText w:val="•"/>
      <w:lvlJc w:val="left"/>
      <w:pPr>
        <w:ind w:left="3811" w:hanging="423"/>
      </w:pPr>
      <w:rPr>
        <w:rFonts w:hint="default"/>
        <w:lang w:val="zh-CN" w:eastAsia="zh-CN" w:bidi="zh-CN"/>
      </w:rPr>
    </w:lvl>
    <w:lvl w:ilvl="4">
      <w:start w:val="0"/>
      <w:numFmt w:val="bullet"/>
      <w:lvlText w:val="•"/>
      <w:lvlJc w:val="left"/>
      <w:pPr>
        <w:ind w:left="4722" w:hanging="423"/>
      </w:pPr>
      <w:rPr>
        <w:rFonts w:hint="default"/>
        <w:lang w:val="zh-CN" w:eastAsia="zh-CN" w:bidi="zh-CN"/>
      </w:rPr>
    </w:lvl>
    <w:lvl w:ilvl="5">
      <w:start w:val="0"/>
      <w:numFmt w:val="bullet"/>
      <w:lvlText w:val="•"/>
      <w:lvlJc w:val="left"/>
      <w:pPr>
        <w:ind w:left="5633" w:hanging="423"/>
      </w:pPr>
      <w:rPr>
        <w:rFonts w:hint="default"/>
        <w:lang w:val="zh-CN" w:eastAsia="zh-CN" w:bidi="zh-CN"/>
      </w:rPr>
    </w:lvl>
    <w:lvl w:ilvl="6">
      <w:start w:val="0"/>
      <w:numFmt w:val="bullet"/>
      <w:lvlText w:val="•"/>
      <w:lvlJc w:val="left"/>
      <w:pPr>
        <w:ind w:left="6543" w:hanging="423"/>
      </w:pPr>
      <w:rPr>
        <w:rFonts w:hint="default"/>
        <w:lang w:val="zh-CN" w:eastAsia="zh-CN" w:bidi="zh-CN"/>
      </w:rPr>
    </w:lvl>
    <w:lvl w:ilvl="7">
      <w:start w:val="0"/>
      <w:numFmt w:val="bullet"/>
      <w:lvlText w:val="•"/>
      <w:lvlJc w:val="left"/>
      <w:pPr>
        <w:ind w:left="7454" w:hanging="423"/>
      </w:pPr>
      <w:rPr>
        <w:rFonts w:hint="default"/>
        <w:lang w:val="zh-CN" w:eastAsia="zh-CN" w:bidi="zh-CN"/>
      </w:rPr>
    </w:lvl>
    <w:lvl w:ilvl="8">
      <w:start w:val="0"/>
      <w:numFmt w:val="bullet"/>
      <w:lvlText w:val="•"/>
      <w:lvlJc w:val="left"/>
      <w:pPr>
        <w:ind w:left="8365" w:hanging="423"/>
      </w:pPr>
      <w:rPr>
        <w:rFonts w:hint="default"/>
        <w:lang w:val="zh-CN" w:eastAsia="zh-CN" w:bidi="zh-CN"/>
      </w:rPr>
    </w:lvl>
  </w:abstractNum>
  <w:abstractNum w:abstractNumId="14">
    <w:nsid w:val="2E88117D"/>
    <w:multiLevelType w:val="hybridMultilevel"/>
    <w:tmpl w:val="00000000"/>
    <w:lvl w:ilvl="0">
      <w:start w:val="1"/>
      <w:numFmt w:val="lowerLetter"/>
      <w:lvlText w:val="%1)"/>
      <w:lvlJc w:val="left"/>
      <w:pPr>
        <w:ind w:left="1075" w:hanging="423"/>
        <w:jc w:val="left"/>
      </w:pPr>
      <w:rPr>
        <w:rFonts w:ascii="宋体" w:eastAsia="宋体" w:hAnsi="宋体" w:cs="宋体" w:hint="default"/>
        <w:w w:val="100"/>
        <w:sz w:val="21"/>
        <w:szCs w:val="21"/>
        <w:lang w:val="zh-CN" w:eastAsia="zh-CN" w:bidi="zh-CN"/>
      </w:rPr>
    </w:lvl>
    <w:lvl w:ilvl="1">
      <w:start w:val="0"/>
      <w:numFmt w:val="bullet"/>
      <w:lvlText w:val="•"/>
      <w:lvlJc w:val="left"/>
      <w:pPr>
        <w:ind w:left="1990" w:hanging="423"/>
      </w:pPr>
      <w:rPr>
        <w:rFonts w:hint="default"/>
        <w:lang w:val="zh-CN" w:eastAsia="zh-CN" w:bidi="zh-CN"/>
      </w:rPr>
    </w:lvl>
    <w:lvl w:ilvl="2">
      <w:start w:val="0"/>
      <w:numFmt w:val="bullet"/>
      <w:lvlText w:val="•"/>
      <w:lvlJc w:val="left"/>
      <w:pPr>
        <w:ind w:left="2901" w:hanging="423"/>
      </w:pPr>
      <w:rPr>
        <w:rFonts w:hint="default"/>
        <w:lang w:val="zh-CN" w:eastAsia="zh-CN" w:bidi="zh-CN"/>
      </w:rPr>
    </w:lvl>
    <w:lvl w:ilvl="3">
      <w:start w:val="0"/>
      <w:numFmt w:val="bullet"/>
      <w:lvlText w:val="•"/>
      <w:lvlJc w:val="left"/>
      <w:pPr>
        <w:ind w:left="3811" w:hanging="423"/>
      </w:pPr>
      <w:rPr>
        <w:rFonts w:hint="default"/>
        <w:lang w:val="zh-CN" w:eastAsia="zh-CN" w:bidi="zh-CN"/>
      </w:rPr>
    </w:lvl>
    <w:lvl w:ilvl="4">
      <w:start w:val="0"/>
      <w:numFmt w:val="bullet"/>
      <w:lvlText w:val="•"/>
      <w:lvlJc w:val="left"/>
      <w:pPr>
        <w:ind w:left="4722" w:hanging="423"/>
      </w:pPr>
      <w:rPr>
        <w:rFonts w:hint="default"/>
        <w:lang w:val="zh-CN" w:eastAsia="zh-CN" w:bidi="zh-CN"/>
      </w:rPr>
    </w:lvl>
    <w:lvl w:ilvl="5">
      <w:start w:val="0"/>
      <w:numFmt w:val="bullet"/>
      <w:lvlText w:val="•"/>
      <w:lvlJc w:val="left"/>
      <w:pPr>
        <w:ind w:left="5633" w:hanging="423"/>
      </w:pPr>
      <w:rPr>
        <w:rFonts w:hint="default"/>
        <w:lang w:val="zh-CN" w:eastAsia="zh-CN" w:bidi="zh-CN"/>
      </w:rPr>
    </w:lvl>
    <w:lvl w:ilvl="6">
      <w:start w:val="0"/>
      <w:numFmt w:val="bullet"/>
      <w:lvlText w:val="•"/>
      <w:lvlJc w:val="left"/>
      <w:pPr>
        <w:ind w:left="6543" w:hanging="423"/>
      </w:pPr>
      <w:rPr>
        <w:rFonts w:hint="default"/>
        <w:lang w:val="zh-CN" w:eastAsia="zh-CN" w:bidi="zh-CN"/>
      </w:rPr>
    </w:lvl>
    <w:lvl w:ilvl="7">
      <w:start w:val="0"/>
      <w:numFmt w:val="bullet"/>
      <w:lvlText w:val="•"/>
      <w:lvlJc w:val="left"/>
      <w:pPr>
        <w:ind w:left="7454" w:hanging="423"/>
      </w:pPr>
      <w:rPr>
        <w:rFonts w:hint="default"/>
        <w:lang w:val="zh-CN" w:eastAsia="zh-CN" w:bidi="zh-CN"/>
      </w:rPr>
    </w:lvl>
    <w:lvl w:ilvl="8">
      <w:start w:val="0"/>
      <w:numFmt w:val="bullet"/>
      <w:lvlText w:val="•"/>
      <w:lvlJc w:val="left"/>
      <w:pPr>
        <w:ind w:left="8365" w:hanging="423"/>
      </w:pPr>
      <w:rPr>
        <w:rFonts w:hint="default"/>
        <w:lang w:val="zh-CN" w:eastAsia="zh-CN" w:bidi="zh-CN"/>
      </w:rPr>
    </w:lvl>
  </w:abstractNum>
  <w:abstractNum w:abstractNumId="15">
    <w:nsid w:val="3F5BFC21"/>
    <w:multiLevelType w:val="hybridMultilevel"/>
    <w:tmpl w:val="00000000"/>
    <w:lvl w:ilvl="0">
      <w:start w:val="11"/>
      <w:numFmt w:val="upperLetter"/>
      <w:lvlText w:val="%1"/>
      <w:lvlJc w:val="left"/>
      <w:pPr>
        <w:ind w:left="758" w:hanging="526"/>
        <w:jc w:val="left"/>
      </w:pPr>
      <w:rPr>
        <w:rFonts w:hint="default"/>
        <w:lang w:val="zh-CN" w:eastAsia="zh-CN" w:bidi="zh-CN"/>
      </w:rPr>
    </w:lvl>
    <w:lvl w:ilvl="1">
      <w:start w:val="2"/>
      <w:numFmt w:val="decimal"/>
      <w:lvlText w:val="%1.%2"/>
      <w:lvlJc w:val="left"/>
      <w:pPr>
        <w:ind w:left="758" w:hanging="526"/>
        <w:jc w:val="left"/>
      </w:pPr>
      <w:rPr>
        <w:rFonts w:ascii="黑体" w:eastAsia="黑体" w:hAnsi="黑体" w:cs="黑体" w:hint="default"/>
        <w:w w:val="100"/>
        <w:sz w:val="21"/>
        <w:szCs w:val="21"/>
        <w:lang w:val="zh-CN" w:eastAsia="zh-CN" w:bidi="zh-CN"/>
      </w:rPr>
    </w:lvl>
    <w:lvl w:ilvl="2">
      <w:start w:val="1"/>
      <w:numFmt w:val="decimal"/>
      <w:lvlText w:val="%1.%2.%3"/>
      <w:lvlJc w:val="left"/>
      <w:pPr>
        <w:ind w:left="232" w:hanging="737"/>
        <w:jc w:val="right"/>
      </w:pPr>
      <w:rPr>
        <w:rFonts w:ascii="黑体" w:eastAsia="黑体" w:hAnsi="黑体" w:cs="黑体" w:hint="default"/>
        <w:w w:val="100"/>
        <w:sz w:val="21"/>
        <w:szCs w:val="21"/>
        <w:lang w:val="zh-CN" w:eastAsia="zh-CN" w:bidi="zh-CN"/>
      </w:rPr>
    </w:lvl>
    <w:lvl w:ilvl="3">
      <w:start w:val="1"/>
      <w:numFmt w:val="decimal"/>
      <w:lvlText w:val="%1.%2.%3.%4"/>
      <w:lvlJc w:val="left"/>
      <w:pPr>
        <w:ind w:left="516" w:hanging="948"/>
        <w:jc w:val="right"/>
      </w:pPr>
      <w:rPr>
        <w:rFonts w:ascii="黑体" w:eastAsia="黑体" w:hAnsi="黑体" w:cs="黑体" w:hint="default"/>
        <w:spacing w:val="-3"/>
        <w:w w:val="100"/>
        <w:sz w:val="21"/>
        <w:szCs w:val="21"/>
        <w:lang w:val="zh-CN" w:eastAsia="zh-CN" w:bidi="zh-CN"/>
      </w:rPr>
    </w:lvl>
    <w:lvl w:ilvl="4">
      <w:start w:val="0"/>
      <w:numFmt w:val="bullet"/>
      <w:lvlText w:val="•"/>
      <w:lvlJc w:val="left"/>
      <w:pPr>
        <w:ind w:left="3116" w:hanging="948"/>
      </w:pPr>
      <w:rPr>
        <w:rFonts w:hint="default"/>
        <w:lang w:val="zh-CN" w:eastAsia="zh-CN" w:bidi="zh-CN"/>
      </w:rPr>
    </w:lvl>
    <w:lvl w:ilvl="5">
      <w:start w:val="0"/>
      <w:numFmt w:val="bullet"/>
      <w:lvlText w:val="•"/>
      <w:lvlJc w:val="left"/>
      <w:pPr>
        <w:ind w:left="4294" w:hanging="948"/>
      </w:pPr>
      <w:rPr>
        <w:rFonts w:hint="default"/>
        <w:lang w:val="zh-CN" w:eastAsia="zh-CN" w:bidi="zh-CN"/>
      </w:rPr>
    </w:lvl>
    <w:lvl w:ilvl="6">
      <w:start w:val="0"/>
      <w:numFmt w:val="bullet"/>
      <w:lvlText w:val="•"/>
      <w:lvlJc w:val="left"/>
      <w:pPr>
        <w:ind w:left="5473" w:hanging="948"/>
      </w:pPr>
      <w:rPr>
        <w:rFonts w:hint="default"/>
        <w:lang w:val="zh-CN" w:eastAsia="zh-CN" w:bidi="zh-CN"/>
      </w:rPr>
    </w:lvl>
    <w:lvl w:ilvl="7">
      <w:start w:val="0"/>
      <w:numFmt w:val="bullet"/>
      <w:lvlText w:val="•"/>
      <w:lvlJc w:val="left"/>
      <w:pPr>
        <w:ind w:left="6651" w:hanging="948"/>
      </w:pPr>
      <w:rPr>
        <w:rFonts w:hint="default"/>
        <w:lang w:val="zh-CN" w:eastAsia="zh-CN" w:bidi="zh-CN"/>
      </w:rPr>
    </w:lvl>
    <w:lvl w:ilvl="8">
      <w:start w:val="0"/>
      <w:numFmt w:val="bullet"/>
      <w:lvlText w:val="•"/>
      <w:lvlJc w:val="left"/>
      <w:pPr>
        <w:ind w:left="7829" w:hanging="948"/>
      </w:pPr>
      <w:rPr>
        <w:rFonts w:hint="default"/>
        <w:lang w:val="zh-CN" w:eastAsia="zh-CN" w:bidi="zh-CN"/>
      </w:rPr>
    </w:lvl>
  </w:abstractNum>
  <w:abstractNum w:abstractNumId="16">
    <w:nsid w:val="442C876D"/>
    <w:multiLevelType w:val="hybridMultilevel"/>
    <w:tmpl w:val="00000000"/>
    <w:lvl w:ilvl="0">
      <w:start w:val="1"/>
      <w:numFmt w:val="upperLetter"/>
      <w:lvlText w:val="%1"/>
      <w:lvlJc w:val="left"/>
      <w:pPr>
        <w:ind w:left="1041" w:hanging="526"/>
        <w:jc w:val="left"/>
      </w:pPr>
      <w:rPr>
        <w:rFonts w:hint="default"/>
        <w:lang w:val="zh-CN" w:eastAsia="zh-CN" w:bidi="zh-CN"/>
      </w:rPr>
    </w:lvl>
    <w:lvl w:ilvl="1">
      <w:start w:val="1"/>
      <w:numFmt w:val="decimal"/>
      <w:lvlText w:val="%1.%2"/>
      <w:lvlJc w:val="left"/>
      <w:pPr>
        <w:ind w:left="1041" w:hanging="526"/>
        <w:jc w:val="right"/>
      </w:pPr>
      <w:rPr>
        <w:rFonts w:ascii="黑体" w:eastAsia="黑体" w:hAnsi="黑体" w:cs="黑体" w:hint="default"/>
        <w:w w:val="100"/>
        <w:sz w:val="21"/>
        <w:szCs w:val="21"/>
        <w:lang w:val="zh-CN" w:eastAsia="zh-CN" w:bidi="zh-CN"/>
      </w:rPr>
    </w:lvl>
    <w:lvl w:ilvl="2">
      <w:start w:val="0"/>
      <w:numFmt w:val="bullet"/>
      <w:lvlText w:val="•"/>
      <w:lvlJc w:val="left"/>
      <w:pPr>
        <w:ind w:left="2869" w:hanging="526"/>
      </w:pPr>
      <w:rPr>
        <w:rFonts w:hint="default"/>
        <w:lang w:val="zh-CN" w:eastAsia="zh-CN" w:bidi="zh-CN"/>
      </w:rPr>
    </w:lvl>
    <w:lvl w:ilvl="3">
      <w:start w:val="0"/>
      <w:numFmt w:val="bullet"/>
      <w:lvlText w:val="•"/>
      <w:lvlJc w:val="left"/>
      <w:pPr>
        <w:ind w:left="3783" w:hanging="526"/>
      </w:pPr>
      <w:rPr>
        <w:rFonts w:hint="default"/>
        <w:lang w:val="zh-CN" w:eastAsia="zh-CN" w:bidi="zh-CN"/>
      </w:rPr>
    </w:lvl>
    <w:lvl w:ilvl="4">
      <w:start w:val="0"/>
      <w:numFmt w:val="bullet"/>
      <w:lvlText w:val="•"/>
      <w:lvlJc w:val="left"/>
      <w:pPr>
        <w:ind w:left="4698" w:hanging="526"/>
      </w:pPr>
      <w:rPr>
        <w:rFonts w:hint="default"/>
        <w:lang w:val="zh-CN" w:eastAsia="zh-CN" w:bidi="zh-CN"/>
      </w:rPr>
    </w:lvl>
    <w:lvl w:ilvl="5">
      <w:start w:val="0"/>
      <w:numFmt w:val="bullet"/>
      <w:lvlText w:val="•"/>
      <w:lvlJc w:val="left"/>
      <w:pPr>
        <w:ind w:left="5613" w:hanging="526"/>
      </w:pPr>
      <w:rPr>
        <w:rFonts w:hint="default"/>
        <w:lang w:val="zh-CN" w:eastAsia="zh-CN" w:bidi="zh-CN"/>
      </w:rPr>
    </w:lvl>
    <w:lvl w:ilvl="6">
      <w:start w:val="0"/>
      <w:numFmt w:val="bullet"/>
      <w:lvlText w:val="•"/>
      <w:lvlJc w:val="left"/>
      <w:pPr>
        <w:ind w:left="6527" w:hanging="526"/>
      </w:pPr>
      <w:rPr>
        <w:rFonts w:hint="default"/>
        <w:lang w:val="zh-CN" w:eastAsia="zh-CN" w:bidi="zh-CN"/>
      </w:rPr>
    </w:lvl>
    <w:lvl w:ilvl="7">
      <w:start w:val="0"/>
      <w:numFmt w:val="bullet"/>
      <w:lvlText w:val="•"/>
      <w:lvlJc w:val="left"/>
      <w:pPr>
        <w:ind w:left="7442" w:hanging="526"/>
      </w:pPr>
      <w:rPr>
        <w:rFonts w:hint="default"/>
        <w:lang w:val="zh-CN" w:eastAsia="zh-CN" w:bidi="zh-CN"/>
      </w:rPr>
    </w:lvl>
    <w:lvl w:ilvl="8">
      <w:start w:val="0"/>
      <w:numFmt w:val="bullet"/>
      <w:lvlText w:val="•"/>
      <w:lvlJc w:val="left"/>
      <w:pPr>
        <w:ind w:left="8357" w:hanging="526"/>
      </w:pPr>
      <w:rPr>
        <w:rFonts w:hint="default"/>
        <w:lang w:val="zh-CN" w:eastAsia="zh-CN" w:bidi="zh-CN"/>
      </w:rPr>
    </w:lvl>
  </w:abstractNum>
  <w:abstractNum w:abstractNumId="17">
    <w:nsid w:val="4C8543EC"/>
    <w:multiLevelType w:val="hybridMultilevel"/>
    <w:tmpl w:val="00000000"/>
    <w:lvl w:ilvl="0">
      <w:start w:val="11"/>
      <w:numFmt w:val="upperLetter"/>
      <w:lvlText w:val="%1"/>
      <w:lvlJc w:val="left"/>
      <w:pPr>
        <w:ind w:left="758" w:hanging="526"/>
        <w:jc w:val="left"/>
      </w:pPr>
      <w:rPr>
        <w:rFonts w:hint="default"/>
        <w:lang w:val="zh-CN" w:eastAsia="zh-CN" w:bidi="zh-CN"/>
      </w:rPr>
    </w:lvl>
    <w:lvl w:ilvl="1">
      <w:start w:val="1"/>
      <w:numFmt w:val="decimal"/>
      <w:lvlText w:val="%1.%2"/>
      <w:lvlJc w:val="left"/>
      <w:pPr>
        <w:ind w:left="758" w:hanging="526"/>
        <w:jc w:val="left"/>
      </w:pPr>
      <w:rPr>
        <w:rFonts w:ascii="黑体" w:eastAsia="黑体" w:hAnsi="黑体" w:cs="黑体" w:hint="default"/>
        <w:w w:val="100"/>
        <w:sz w:val="21"/>
        <w:szCs w:val="21"/>
        <w:lang w:val="zh-CN" w:eastAsia="zh-CN" w:bidi="zh-CN"/>
      </w:rPr>
    </w:lvl>
    <w:lvl w:ilvl="2">
      <w:start w:val="1"/>
      <w:numFmt w:val="decimal"/>
      <w:lvlText w:val="%1.%2.%3"/>
      <w:lvlJc w:val="left"/>
      <w:pPr>
        <w:ind w:left="863" w:hanging="632"/>
        <w:jc w:val="left"/>
      </w:pPr>
      <w:rPr>
        <w:rFonts w:ascii="黑体" w:eastAsia="黑体" w:hAnsi="黑体" w:cs="黑体" w:hint="default"/>
        <w:w w:val="100"/>
        <w:sz w:val="21"/>
        <w:szCs w:val="21"/>
        <w:lang w:val="zh-CN" w:eastAsia="zh-CN" w:bidi="zh-CN"/>
      </w:rPr>
    </w:lvl>
    <w:lvl w:ilvl="3">
      <w:start w:val="1"/>
      <w:numFmt w:val="decimal"/>
      <w:lvlText w:val="%1.%2.%3.%4"/>
      <w:lvlJc w:val="left"/>
      <w:pPr>
        <w:ind w:left="232" w:hanging="949"/>
        <w:jc w:val="left"/>
      </w:pPr>
      <w:rPr>
        <w:rFonts w:ascii="黑体" w:eastAsia="黑体" w:hAnsi="黑体" w:cs="黑体" w:hint="default"/>
        <w:spacing w:val="-3"/>
        <w:w w:val="100"/>
        <w:sz w:val="21"/>
        <w:szCs w:val="21"/>
        <w:lang w:val="zh-CN" w:eastAsia="zh-CN" w:bidi="zh-CN"/>
      </w:rPr>
    </w:lvl>
    <w:lvl w:ilvl="4">
      <w:start w:val="0"/>
      <w:numFmt w:val="bullet"/>
      <w:lvlText w:val="•"/>
      <w:lvlJc w:val="left"/>
      <w:pPr>
        <w:ind w:left="3191" w:hanging="949"/>
      </w:pPr>
      <w:rPr>
        <w:rFonts w:hint="default"/>
        <w:lang w:val="zh-CN" w:eastAsia="zh-CN" w:bidi="zh-CN"/>
      </w:rPr>
    </w:lvl>
    <w:lvl w:ilvl="5">
      <w:start w:val="0"/>
      <w:numFmt w:val="bullet"/>
      <w:lvlText w:val="•"/>
      <w:lvlJc w:val="left"/>
      <w:pPr>
        <w:ind w:left="4357" w:hanging="949"/>
      </w:pPr>
      <w:rPr>
        <w:rFonts w:hint="default"/>
        <w:lang w:val="zh-CN" w:eastAsia="zh-CN" w:bidi="zh-CN"/>
      </w:rPr>
    </w:lvl>
    <w:lvl w:ilvl="6">
      <w:start w:val="0"/>
      <w:numFmt w:val="bullet"/>
      <w:lvlText w:val="•"/>
      <w:lvlJc w:val="left"/>
      <w:pPr>
        <w:ind w:left="5523" w:hanging="949"/>
      </w:pPr>
      <w:rPr>
        <w:rFonts w:hint="default"/>
        <w:lang w:val="zh-CN" w:eastAsia="zh-CN" w:bidi="zh-CN"/>
      </w:rPr>
    </w:lvl>
    <w:lvl w:ilvl="7">
      <w:start w:val="0"/>
      <w:numFmt w:val="bullet"/>
      <w:lvlText w:val="•"/>
      <w:lvlJc w:val="left"/>
      <w:pPr>
        <w:ind w:left="6689" w:hanging="949"/>
      </w:pPr>
      <w:rPr>
        <w:rFonts w:hint="default"/>
        <w:lang w:val="zh-CN" w:eastAsia="zh-CN" w:bidi="zh-CN"/>
      </w:rPr>
    </w:lvl>
    <w:lvl w:ilvl="8">
      <w:start w:val="0"/>
      <w:numFmt w:val="bullet"/>
      <w:lvlText w:val="•"/>
      <w:lvlJc w:val="left"/>
      <w:pPr>
        <w:ind w:left="7854" w:hanging="949"/>
      </w:pPr>
      <w:rPr>
        <w:rFonts w:hint="default"/>
        <w:lang w:val="zh-CN" w:eastAsia="zh-CN" w:bidi="zh-CN"/>
      </w:rPr>
    </w:lvl>
  </w:abstractNum>
  <w:abstractNum w:abstractNumId="18">
    <w:nsid w:val="50F04C5A"/>
    <w:multiLevelType w:val="hybridMultilevel"/>
    <w:tmpl w:val="00000000"/>
    <w:lvl w:ilvl="0">
      <w:start w:val="1"/>
      <w:numFmt w:val="decimal"/>
      <w:lvlText w:val="%1."/>
      <w:lvlJc w:val="left"/>
      <w:pPr>
        <w:ind w:left="390" w:hanging="273"/>
        <w:jc w:val="left"/>
      </w:pPr>
      <w:rPr>
        <w:rFonts w:ascii="Times New Roman" w:eastAsia="Times New Roman" w:hAnsi="Times New Roman" w:cs="Times New Roman" w:hint="default"/>
        <w:spacing w:val="0"/>
        <w:w w:val="100"/>
        <w:sz w:val="16"/>
        <w:szCs w:val="16"/>
        <w:lang w:val="zh-CN" w:eastAsia="zh-CN" w:bidi="zh-CN"/>
      </w:rPr>
    </w:lvl>
    <w:lvl w:ilvl="1">
      <w:start w:val="0"/>
      <w:numFmt w:val="bullet"/>
      <w:lvlText w:val="•"/>
      <w:lvlJc w:val="left"/>
      <w:pPr>
        <w:ind w:left="967" w:hanging="273"/>
      </w:pPr>
      <w:rPr>
        <w:rFonts w:hint="default"/>
        <w:lang w:val="zh-CN" w:eastAsia="zh-CN" w:bidi="zh-CN"/>
      </w:rPr>
    </w:lvl>
    <w:lvl w:ilvl="2">
      <w:start w:val="0"/>
      <w:numFmt w:val="bullet"/>
      <w:lvlText w:val="•"/>
      <w:lvlJc w:val="left"/>
      <w:pPr>
        <w:ind w:left="1534" w:hanging="273"/>
      </w:pPr>
      <w:rPr>
        <w:rFonts w:hint="default"/>
        <w:lang w:val="zh-CN" w:eastAsia="zh-CN" w:bidi="zh-CN"/>
      </w:rPr>
    </w:lvl>
    <w:lvl w:ilvl="3">
      <w:start w:val="0"/>
      <w:numFmt w:val="bullet"/>
      <w:lvlText w:val="•"/>
      <w:lvlJc w:val="left"/>
      <w:pPr>
        <w:ind w:left="2101" w:hanging="273"/>
      </w:pPr>
      <w:rPr>
        <w:rFonts w:hint="default"/>
        <w:lang w:val="zh-CN" w:eastAsia="zh-CN" w:bidi="zh-CN"/>
      </w:rPr>
    </w:lvl>
    <w:lvl w:ilvl="4">
      <w:start w:val="0"/>
      <w:numFmt w:val="bullet"/>
      <w:lvlText w:val="•"/>
      <w:lvlJc w:val="left"/>
      <w:pPr>
        <w:ind w:left="2669" w:hanging="273"/>
      </w:pPr>
      <w:rPr>
        <w:rFonts w:hint="default"/>
        <w:lang w:val="zh-CN" w:eastAsia="zh-CN" w:bidi="zh-CN"/>
      </w:rPr>
    </w:lvl>
    <w:lvl w:ilvl="5">
      <w:start w:val="0"/>
      <w:numFmt w:val="bullet"/>
      <w:lvlText w:val="•"/>
      <w:lvlJc w:val="left"/>
      <w:pPr>
        <w:ind w:left="3236" w:hanging="273"/>
      </w:pPr>
      <w:rPr>
        <w:rFonts w:hint="default"/>
        <w:lang w:val="zh-CN" w:eastAsia="zh-CN" w:bidi="zh-CN"/>
      </w:rPr>
    </w:lvl>
    <w:lvl w:ilvl="6">
      <w:start w:val="0"/>
      <w:numFmt w:val="bullet"/>
      <w:lvlText w:val="•"/>
      <w:lvlJc w:val="left"/>
      <w:pPr>
        <w:ind w:left="3803" w:hanging="273"/>
      </w:pPr>
      <w:rPr>
        <w:rFonts w:hint="default"/>
        <w:lang w:val="zh-CN" w:eastAsia="zh-CN" w:bidi="zh-CN"/>
      </w:rPr>
    </w:lvl>
    <w:lvl w:ilvl="7">
      <w:start w:val="0"/>
      <w:numFmt w:val="bullet"/>
      <w:lvlText w:val="•"/>
      <w:lvlJc w:val="left"/>
      <w:pPr>
        <w:ind w:left="4371" w:hanging="273"/>
      </w:pPr>
      <w:rPr>
        <w:rFonts w:hint="default"/>
        <w:lang w:val="zh-CN" w:eastAsia="zh-CN" w:bidi="zh-CN"/>
      </w:rPr>
    </w:lvl>
    <w:lvl w:ilvl="8">
      <w:start w:val="0"/>
      <w:numFmt w:val="bullet"/>
      <w:lvlText w:val="•"/>
      <w:lvlJc w:val="left"/>
      <w:pPr>
        <w:ind w:left="4938" w:hanging="273"/>
      </w:pPr>
      <w:rPr>
        <w:rFonts w:hint="default"/>
        <w:lang w:val="zh-CN" w:eastAsia="zh-CN" w:bidi="zh-CN"/>
      </w:rPr>
    </w:lvl>
  </w:abstractNum>
  <w:abstractNum w:abstractNumId="19">
    <w:nsid w:val="56324ECD"/>
    <w:multiLevelType w:val="hybridMultilevel"/>
    <w:tmpl w:val="00000000"/>
    <w:lvl w:ilvl="0">
      <w:start w:val="8"/>
      <w:numFmt w:val="decimal"/>
      <w:lvlText w:val="%1"/>
      <w:lvlJc w:val="left"/>
      <w:pPr>
        <w:ind w:left="758" w:hanging="526"/>
        <w:jc w:val="left"/>
      </w:pPr>
      <w:rPr>
        <w:rFonts w:hint="default"/>
        <w:lang w:val="zh-CN" w:eastAsia="zh-CN" w:bidi="zh-CN"/>
      </w:rPr>
    </w:lvl>
    <w:lvl w:ilvl="1">
      <w:start w:val="3"/>
      <w:numFmt w:val="decimal"/>
      <w:lvlText w:val="%1.%2"/>
      <w:lvlJc w:val="left"/>
      <w:pPr>
        <w:ind w:left="758" w:hanging="526"/>
        <w:jc w:val="left"/>
      </w:pPr>
      <w:rPr>
        <w:rFonts w:ascii="黑体" w:eastAsia="黑体" w:hAnsi="黑体" w:cs="黑体" w:hint="default"/>
        <w:w w:val="100"/>
        <w:sz w:val="21"/>
        <w:szCs w:val="21"/>
        <w:lang w:val="zh-CN" w:eastAsia="zh-CN" w:bidi="zh-CN"/>
      </w:rPr>
    </w:lvl>
    <w:lvl w:ilvl="2">
      <w:start w:val="1"/>
      <w:numFmt w:val="decimal"/>
      <w:lvlText w:val="%1.%2.%3"/>
      <w:lvlJc w:val="left"/>
      <w:pPr>
        <w:ind w:left="1058" w:hanging="826"/>
        <w:jc w:val="left"/>
      </w:pPr>
      <w:rPr>
        <w:rFonts w:ascii="黑体" w:eastAsia="黑体" w:hAnsi="黑体" w:cs="黑体" w:hint="default"/>
        <w:w w:val="100"/>
        <w:sz w:val="21"/>
        <w:szCs w:val="21"/>
        <w:lang w:val="zh-CN" w:eastAsia="zh-CN" w:bidi="zh-CN"/>
      </w:rPr>
    </w:lvl>
    <w:lvl w:ilvl="3">
      <w:start w:val="1"/>
      <w:numFmt w:val="decimal"/>
      <w:lvlText w:val="%1.%2.%3.%4"/>
      <w:lvlJc w:val="left"/>
      <w:pPr>
        <w:ind w:left="1178" w:hanging="946"/>
        <w:jc w:val="left"/>
      </w:pPr>
      <w:rPr>
        <w:rFonts w:ascii="黑体" w:eastAsia="黑体" w:hAnsi="黑体" w:cs="黑体" w:hint="default"/>
        <w:spacing w:val="-3"/>
        <w:w w:val="100"/>
        <w:sz w:val="21"/>
        <w:szCs w:val="21"/>
        <w:lang w:val="zh-CN" w:eastAsia="zh-CN" w:bidi="zh-CN"/>
      </w:rPr>
    </w:lvl>
    <w:lvl w:ilvl="4">
      <w:start w:val="0"/>
      <w:numFmt w:val="bullet"/>
      <w:lvlText w:val="•"/>
      <w:lvlJc w:val="left"/>
      <w:pPr>
        <w:ind w:left="1260" w:hanging="946"/>
      </w:pPr>
      <w:rPr>
        <w:rFonts w:hint="default"/>
        <w:lang w:val="zh-CN" w:eastAsia="zh-CN" w:bidi="zh-CN"/>
      </w:rPr>
    </w:lvl>
    <w:lvl w:ilvl="5">
      <w:start w:val="0"/>
      <w:numFmt w:val="bullet"/>
      <w:lvlText w:val="•"/>
      <w:lvlJc w:val="left"/>
      <w:pPr>
        <w:ind w:left="2747" w:hanging="946"/>
      </w:pPr>
      <w:rPr>
        <w:rFonts w:hint="default"/>
        <w:lang w:val="zh-CN" w:eastAsia="zh-CN" w:bidi="zh-CN"/>
      </w:rPr>
    </w:lvl>
    <w:lvl w:ilvl="6">
      <w:start w:val="0"/>
      <w:numFmt w:val="bullet"/>
      <w:lvlText w:val="•"/>
      <w:lvlJc w:val="left"/>
      <w:pPr>
        <w:ind w:left="4235" w:hanging="946"/>
      </w:pPr>
      <w:rPr>
        <w:rFonts w:hint="default"/>
        <w:lang w:val="zh-CN" w:eastAsia="zh-CN" w:bidi="zh-CN"/>
      </w:rPr>
    </w:lvl>
    <w:lvl w:ilvl="7">
      <w:start w:val="0"/>
      <w:numFmt w:val="bullet"/>
      <w:lvlText w:val="•"/>
      <w:lvlJc w:val="left"/>
      <w:pPr>
        <w:ind w:left="5723" w:hanging="946"/>
      </w:pPr>
      <w:rPr>
        <w:rFonts w:hint="default"/>
        <w:lang w:val="zh-CN" w:eastAsia="zh-CN" w:bidi="zh-CN"/>
      </w:rPr>
    </w:lvl>
    <w:lvl w:ilvl="8">
      <w:start w:val="0"/>
      <w:numFmt w:val="bullet"/>
      <w:lvlText w:val="•"/>
      <w:lvlJc w:val="left"/>
      <w:pPr>
        <w:ind w:left="7210" w:hanging="946"/>
      </w:pPr>
      <w:rPr>
        <w:rFonts w:hint="default"/>
        <w:lang w:val="zh-CN" w:eastAsia="zh-CN" w:bidi="zh-CN"/>
      </w:rPr>
    </w:lvl>
  </w:abstractNum>
  <w:abstractNum w:abstractNumId="20">
    <w:nsid w:val="5C45E5B8"/>
    <w:multiLevelType w:val="hybridMultilevel"/>
    <w:tmpl w:val="00000000"/>
    <w:lvl w:ilvl="0">
      <w:start w:val="1"/>
      <w:numFmt w:val="lowerLetter"/>
      <w:lvlText w:val="%1)"/>
      <w:lvlJc w:val="left"/>
      <w:pPr>
        <w:ind w:left="1076" w:hanging="423"/>
        <w:jc w:val="left"/>
      </w:pPr>
      <w:rPr>
        <w:rFonts w:ascii="宋体" w:eastAsia="宋体" w:hAnsi="宋体" w:cs="宋体" w:hint="default"/>
        <w:w w:val="100"/>
        <w:sz w:val="21"/>
        <w:szCs w:val="21"/>
        <w:lang w:val="zh-CN" w:eastAsia="zh-CN" w:bidi="zh-CN"/>
      </w:rPr>
    </w:lvl>
    <w:lvl w:ilvl="1">
      <w:start w:val="0"/>
      <w:numFmt w:val="bullet"/>
      <w:lvlText w:val="•"/>
      <w:lvlJc w:val="left"/>
      <w:pPr>
        <w:ind w:left="1990" w:hanging="423"/>
      </w:pPr>
      <w:rPr>
        <w:rFonts w:hint="default"/>
        <w:lang w:val="zh-CN" w:eastAsia="zh-CN" w:bidi="zh-CN"/>
      </w:rPr>
    </w:lvl>
    <w:lvl w:ilvl="2">
      <w:start w:val="0"/>
      <w:numFmt w:val="bullet"/>
      <w:lvlText w:val="•"/>
      <w:lvlJc w:val="left"/>
      <w:pPr>
        <w:ind w:left="2901" w:hanging="423"/>
      </w:pPr>
      <w:rPr>
        <w:rFonts w:hint="default"/>
        <w:lang w:val="zh-CN" w:eastAsia="zh-CN" w:bidi="zh-CN"/>
      </w:rPr>
    </w:lvl>
    <w:lvl w:ilvl="3">
      <w:start w:val="0"/>
      <w:numFmt w:val="bullet"/>
      <w:lvlText w:val="•"/>
      <w:lvlJc w:val="left"/>
      <w:pPr>
        <w:ind w:left="3811" w:hanging="423"/>
      </w:pPr>
      <w:rPr>
        <w:rFonts w:hint="default"/>
        <w:lang w:val="zh-CN" w:eastAsia="zh-CN" w:bidi="zh-CN"/>
      </w:rPr>
    </w:lvl>
    <w:lvl w:ilvl="4">
      <w:start w:val="0"/>
      <w:numFmt w:val="bullet"/>
      <w:lvlText w:val="•"/>
      <w:lvlJc w:val="left"/>
      <w:pPr>
        <w:ind w:left="4722" w:hanging="423"/>
      </w:pPr>
      <w:rPr>
        <w:rFonts w:hint="default"/>
        <w:lang w:val="zh-CN" w:eastAsia="zh-CN" w:bidi="zh-CN"/>
      </w:rPr>
    </w:lvl>
    <w:lvl w:ilvl="5">
      <w:start w:val="0"/>
      <w:numFmt w:val="bullet"/>
      <w:lvlText w:val="•"/>
      <w:lvlJc w:val="left"/>
      <w:pPr>
        <w:ind w:left="5633" w:hanging="423"/>
      </w:pPr>
      <w:rPr>
        <w:rFonts w:hint="default"/>
        <w:lang w:val="zh-CN" w:eastAsia="zh-CN" w:bidi="zh-CN"/>
      </w:rPr>
    </w:lvl>
    <w:lvl w:ilvl="6">
      <w:start w:val="0"/>
      <w:numFmt w:val="bullet"/>
      <w:lvlText w:val="•"/>
      <w:lvlJc w:val="left"/>
      <w:pPr>
        <w:ind w:left="6543" w:hanging="423"/>
      </w:pPr>
      <w:rPr>
        <w:rFonts w:hint="default"/>
        <w:lang w:val="zh-CN" w:eastAsia="zh-CN" w:bidi="zh-CN"/>
      </w:rPr>
    </w:lvl>
    <w:lvl w:ilvl="7">
      <w:start w:val="0"/>
      <w:numFmt w:val="bullet"/>
      <w:lvlText w:val="•"/>
      <w:lvlJc w:val="left"/>
      <w:pPr>
        <w:ind w:left="7454" w:hanging="423"/>
      </w:pPr>
      <w:rPr>
        <w:rFonts w:hint="default"/>
        <w:lang w:val="zh-CN" w:eastAsia="zh-CN" w:bidi="zh-CN"/>
      </w:rPr>
    </w:lvl>
    <w:lvl w:ilvl="8">
      <w:start w:val="0"/>
      <w:numFmt w:val="bullet"/>
      <w:lvlText w:val="•"/>
      <w:lvlJc w:val="left"/>
      <w:pPr>
        <w:ind w:left="8365" w:hanging="423"/>
      </w:pPr>
      <w:rPr>
        <w:rFonts w:hint="default"/>
        <w:lang w:val="zh-CN" w:eastAsia="zh-CN" w:bidi="zh-CN"/>
      </w:rPr>
    </w:lvl>
  </w:abstractNum>
  <w:abstractNum w:abstractNumId="21">
    <w:nsid w:val="5F09FB76"/>
    <w:multiLevelType w:val="hybridMultilevel"/>
    <w:tmpl w:val="00000000"/>
    <w:lvl w:ilvl="0">
      <w:start w:val="4"/>
      <w:numFmt w:val="decimal"/>
      <w:lvlText w:val="%1"/>
      <w:lvlJc w:val="left"/>
      <w:pPr>
        <w:ind w:left="876" w:hanging="361"/>
        <w:jc w:val="right"/>
      </w:pPr>
      <w:rPr>
        <w:rFonts w:ascii="黑体" w:eastAsia="黑体" w:hAnsi="黑体" w:cs="黑体" w:hint="default"/>
        <w:w w:val="100"/>
        <w:sz w:val="21"/>
        <w:szCs w:val="21"/>
        <w:lang w:val="zh-CN" w:eastAsia="zh-CN" w:bidi="zh-CN"/>
      </w:rPr>
    </w:lvl>
    <w:lvl w:ilvl="1">
      <w:start w:val="1"/>
      <w:numFmt w:val="decimal"/>
      <w:lvlText w:val="%1.%2"/>
      <w:lvlJc w:val="left"/>
      <w:pPr>
        <w:ind w:left="1146" w:hanging="632"/>
        <w:jc w:val="right"/>
      </w:pPr>
      <w:rPr>
        <w:rFonts w:hint="default"/>
        <w:w w:val="100"/>
        <w:lang w:val="zh-CN" w:eastAsia="zh-CN" w:bidi="zh-CN"/>
      </w:rPr>
    </w:lvl>
    <w:lvl w:ilvl="2">
      <w:start w:val="1"/>
      <w:numFmt w:val="decimal"/>
      <w:lvlText w:val="%1.%2.%3"/>
      <w:lvlJc w:val="left"/>
      <w:pPr>
        <w:ind w:left="969" w:hanging="632"/>
        <w:jc w:val="left"/>
      </w:pPr>
      <w:rPr>
        <w:rFonts w:ascii="黑体" w:eastAsia="黑体" w:hAnsi="黑体" w:cs="黑体" w:hint="default"/>
        <w:w w:val="100"/>
        <w:sz w:val="21"/>
        <w:szCs w:val="21"/>
        <w:lang w:val="zh-CN" w:eastAsia="zh-CN" w:bidi="zh-CN"/>
      </w:rPr>
    </w:lvl>
    <w:lvl w:ilvl="3">
      <w:start w:val="1"/>
      <w:numFmt w:val="decimal"/>
      <w:lvlText w:val="%1.%2.%3.%4"/>
      <w:lvlJc w:val="left"/>
      <w:pPr>
        <w:ind w:left="1178" w:hanging="632"/>
        <w:jc w:val="left"/>
      </w:pPr>
      <w:rPr>
        <w:rFonts w:ascii="黑体" w:eastAsia="黑体" w:hAnsi="黑体" w:cs="黑体" w:hint="default"/>
        <w:spacing w:val="-3"/>
        <w:w w:val="100"/>
        <w:sz w:val="21"/>
        <w:szCs w:val="21"/>
        <w:lang w:val="zh-CN" w:eastAsia="zh-CN" w:bidi="zh-CN"/>
      </w:rPr>
    </w:lvl>
    <w:lvl w:ilvl="4">
      <w:start w:val="1"/>
      <w:numFmt w:val="lowerLetter"/>
      <w:lvlText w:val="%5)"/>
      <w:lvlJc w:val="left"/>
      <w:pPr>
        <w:ind w:left="1074" w:hanging="632"/>
        <w:jc w:val="left"/>
      </w:pPr>
      <w:rPr>
        <w:rFonts w:ascii="宋体" w:eastAsia="宋体" w:hAnsi="宋体" w:cs="宋体" w:hint="default"/>
        <w:w w:val="100"/>
        <w:sz w:val="21"/>
        <w:szCs w:val="21"/>
        <w:lang w:val="zh-CN" w:eastAsia="zh-CN" w:bidi="zh-CN"/>
      </w:rPr>
    </w:lvl>
    <w:lvl w:ilvl="5">
      <w:start w:val="1"/>
      <w:numFmt w:val="decimal"/>
      <w:lvlText w:val="%6)"/>
      <w:lvlJc w:val="left"/>
      <w:pPr>
        <w:ind w:left="1716" w:hanging="632"/>
        <w:jc w:val="right"/>
      </w:pPr>
      <w:rPr>
        <w:rFonts w:ascii="宋体" w:eastAsia="宋体" w:hAnsi="宋体" w:cs="宋体" w:hint="default"/>
        <w:w w:val="100"/>
        <w:sz w:val="21"/>
        <w:szCs w:val="21"/>
        <w:lang w:val="zh-CN" w:eastAsia="zh-CN" w:bidi="zh-CN"/>
      </w:rPr>
    </w:lvl>
    <w:lvl w:ilvl="6">
      <w:start w:val="0"/>
      <w:numFmt w:val="bullet"/>
      <w:lvlText w:val="•"/>
      <w:lvlJc w:val="left"/>
      <w:pPr>
        <w:ind w:left="1040" w:hanging="632"/>
      </w:pPr>
      <w:rPr>
        <w:rFonts w:hint="default"/>
        <w:lang w:val="zh-CN" w:eastAsia="zh-CN" w:bidi="zh-CN"/>
      </w:rPr>
    </w:lvl>
    <w:lvl w:ilvl="7">
      <w:start w:val="0"/>
      <w:numFmt w:val="bullet"/>
      <w:lvlText w:val="•"/>
      <w:lvlJc w:val="left"/>
      <w:pPr>
        <w:ind w:left="1080" w:hanging="632"/>
      </w:pPr>
      <w:rPr>
        <w:rFonts w:hint="default"/>
        <w:lang w:val="zh-CN" w:eastAsia="zh-CN" w:bidi="zh-CN"/>
      </w:rPr>
    </w:lvl>
    <w:lvl w:ilvl="8">
      <w:start w:val="0"/>
      <w:numFmt w:val="bullet"/>
      <w:lvlText w:val="•"/>
      <w:lvlJc w:val="left"/>
      <w:pPr>
        <w:ind w:left="1140" w:hanging="632"/>
      </w:pPr>
      <w:rPr>
        <w:rFonts w:hint="default"/>
        <w:lang w:val="zh-CN" w:eastAsia="zh-CN" w:bidi="zh-CN"/>
      </w:rPr>
    </w:lvl>
  </w:abstractNum>
  <w:abstractNum w:abstractNumId="22">
    <w:nsid w:val="5FB36A5A"/>
    <w:multiLevelType w:val="hybridMultilevel"/>
    <w:tmpl w:val="00000000"/>
    <w:lvl w:ilvl="0">
      <w:start w:val="1"/>
      <w:numFmt w:val="decimal"/>
      <w:lvlText w:val="%1）"/>
      <w:lvlJc w:val="left"/>
      <w:pPr>
        <w:ind w:left="1495" w:hanging="423"/>
        <w:jc w:val="left"/>
      </w:pPr>
      <w:rPr>
        <w:rFonts w:ascii="宋体" w:eastAsia="宋体" w:hAnsi="宋体" w:cs="宋体" w:hint="default"/>
        <w:w w:val="100"/>
        <w:sz w:val="21"/>
        <w:szCs w:val="21"/>
        <w:lang w:val="zh-CN" w:eastAsia="zh-CN" w:bidi="zh-CN"/>
      </w:rPr>
    </w:lvl>
    <w:lvl w:ilvl="1">
      <w:start w:val="0"/>
      <w:numFmt w:val="bullet"/>
      <w:lvlText w:val="•"/>
      <w:lvlJc w:val="left"/>
      <w:pPr>
        <w:ind w:left="2368" w:hanging="423"/>
      </w:pPr>
      <w:rPr>
        <w:rFonts w:hint="default"/>
        <w:lang w:val="zh-CN" w:eastAsia="zh-CN" w:bidi="zh-CN"/>
      </w:rPr>
    </w:lvl>
    <w:lvl w:ilvl="2">
      <w:start w:val="0"/>
      <w:numFmt w:val="bullet"/>
      <w:lvlText w:val="•"/>
      <w:lvlJc w:val="left"/>
      <w:pPr>
        <w:ind w:left="3237" w:hanging="423"/>
      </w:pPr>
      <w:rPr>
        <w:rFonts w:hint="default"/>
        <w:lang w:val="zh-CN" w:eastAsia="zh-CN" w:bidi="zh-CN"/>
      </w:rPr>
    </w:lvl>
    <w:lvl w:ilvl="3">
      <w:start w:val="0"/>
      <w:numFmt w:val="bullet"/>
      <w:lvlText w:val="•"/>
      <w:lvlJc w:val="left"/>
      <w:pPr>
        <w:ind w:left="4105" w:hanging="423"/>
      </w:pPr>
      <w:rPr>
        <w:rFonts w:hint="default"/>
        <w:lang w:val="zh-CN" w:eastAsia="zh-CN" w:bidi="zh-CN"/>
      </w:rPr>
    </w:lvl>
    <w:lvl w:ilvl="4">
      <w:start w:val="0"/>
      <w:numFmt w:val="bullet"/>
      <w:lvlText w:val="•"/>
      <w:lvlJc w:val="left"/>
      <w:pPr>
        <w:ind w:left="4974" w:hanging="423"/>
      </w:pPr>
      <w:rPr>
        <w:rFonts w:hint="default"/>
        <w:lang w:val="zh-CN" w:eastAsia="zh-CN" w:bidi="zh-CN"/>
      </w:rPr>
    </w:lvl>
    <w:lvl w:ilvl="5">
      <w:start w:val="0"/>
      <w:numFmt w:val="bullet"/>
      <w:lvlText w:val="•"/>
      <w:lvlJc w:val="left"/>
      <w:pPr>
        <w:ind w:left="5843" w:hanging="423"/>
      </w:pPr>
      <w:rPr>
        <w:rFonts w:hint="default"/>
        <w:lang w:val="zh-CN" w:eastAsia="zh-CN" w:bidi="zh-CN"/>
      </w:rPr>
    </w:lvl>
    <w:lvl w:ilvl="6">
      <w:start w:val="0"/>
      <w:numFmt w:val="bullet"/>
      <w:lvlText w:val="•"/>
      <w:lvlJc w:val="left"/>
      <w:pPr>
        <w:ind w:left="6711" w:hanging="423"/>
      </w:pPr>
      <w:rPr>
        <w:rFonts w:hint="default"/>
        <w:lang w:val="zh-CN" w:eastAsia="zh-CN" w:bidi="zh-CN"/>
      </w:rPr>
    </w:lvl>
    <w:lvl w:ilvl="7">
      <w:start w:val="0"/>
      <w:numFmt w:val="bullet"/>
      <w:lvlText w:val="•"/>
      <w:lvlJc w:val="left"/>
      <w:pPr>
        <w:ind w:left="7580" w:hanging="423"/>
      </w:pPr>
      <w:rPr>
        <w:rFonts w:hint="default"/>
        <w:lang w:val="zh-CN" w:eastAsia="zh-CN" w:bidi="zh-CN"/>
      </w:rPr>
    </w:lvl>
    <w:lvl w:ilvl="8">
      <w:start w:val="0"/>
      <w:numFmt w:val="bullet"/>
      <w:lvlText w:val="•"/>
      <w:lvlJc w:val="left"/>
      <w:pPr>
        <w:ind w:left="8449" w:hanging="423"/>
      </w:pPr>
      <w:rPr>
        <w:rFonts w:hint="default"/>
        <w:lang w:val="zh-CN" w:eastAsia="zh-CN" w:bidi="zh-CN"/>
      </w:rPr>
    </w:lvl>
  </w:abstractNum>
  <w:abstractNum w:abstractNumId="23">
    <w:nsid w:val="610F5AAD"/>
    <w:multiLevelType w:val="hybridMultilevel"/>
    <w:tmpl w:val="00000000"/>
    <w:lvl w:ilvl="0">
      <w:start w:val="1"/>
      <w:numFmt w:val="decimal"/>
      <w:lvlText w:val="%1."/>
      <w:lvlJc w:val="left"/>
      <w:pPr>
        <w:ind w:left="390" w:hanging="273"/>
        <w:jc w:val="left"/>
      </w:pPr>
      <w:rPr>
        <w:rFonts w:ascii="Times New Roman" w:eastAsia="Times New Roman" w:hAnsi="Times New Roman" w:cs="Times New Roman" w:hint="default"/>
        <w:spacing w:val="0"/>
        <w:w w:val="100"/>
        <w:sz w:val="16"/>
        <w:szCs w:val="16"/>
        <w:lang w:val="zh-CN" w:eastAsia="zh-CN" w:bidi="zh-CN"/>
      </w:rPr>
    </w:lvl>
    <w:lvl w:ilvl="1">
      <w:start w:val="0"/>
      <w:numFmt w:val="bullet"/>
      <w:lvlText w:val="•"/>
      <w:lvlJc w:val="left"/>
      <w:pPr>
        <w:ind w:left="967" w:hanging="273"/>
      </w:pPr>
      <w:rPr>
        <w:rFonts w:hint="default"/>
        <w:lang w:val="zh-CN" w:eastAsia="zh-CN" w:bidi="zh-CN"/>
      </w:rPr>
    </w:lvl>
    <w:lvl w:ilvl="2">
      <w:start w:val="0"/>
      <w:numFmt w:val="bullet"/>
      <w:lvlText w:val="•"/>
      <w:lvlJc w:val="left"/>
      <w:pPr>
        <w:ind w:left="1534" w:hanging="273"/>
      </w:pPr>
      <w:rPr>
        <w:rFonts w:hint="default"/>
        <w:lang w:val="zh-CN" w:eastAsia="zh-CN" w:bidi="zh-CN"/>
      </w:rPr>
    </w:lvl>
    <w:lvl w:ilvl="3">
      <w:start w:val="0"/>
      <w:numFmt w:val="bullet"/>
      <w:lvlText w:val="•"/>
      <w:lvlJc w:val="left"/>
      <w:pPr>
        <w:ind w:left="2101" w:hanging="273"/>
      </w:pPr>
      <w:rPr>
        <w:rFonts w:hint="default"/>
        <w:lang w:val="zh-CN" w:eastAsia="zh-CN" w:bidi="zh-CN"/>
      </w:rPr>
    </w:lvl>
    <w:lvl w:ilvl="4">
      <w:start w:val="0"/>
      <w:numFmt w:val="bullet"/>
      <w:lvlText w:val="•"/>
      <w:lvlJc w:val="left"/>
      <w:pPr>
        <w:ind w:left="2669" w:hanging="273"/>
      </w:pPr>
      <w:rPr>
        <w:rFonts w:hint="default"/>
        <w:lang w:val="zh-CN" w:eastAsia="zh-CN" w:bidi="zh-CN"/>
      </w:rPr>
    </w:lvl>
    <w:lvl w:ilvl="5">
      <w:start w:val="0"/>
      <w:numFmt w:val="bullet"/>
      <w:lvlText w:val="•"/>
      <w:lvlJc w:val="left"/>
      <w:pPr>
        <w:ind w:left="3236" w:hanging="273"/>
      </w:pPr>
      <w:rPr>
        <w:rFonts w:hint="default"/>
        <w:lang w:val="zh-CN" w:eastAsia="zh-CN" w:bidi="zh-CN"/>
      </w:rPr>
    </w:lvl>
    <w:lvl w:ilvl="6">
      <w:start w:val="0"/>
      <w:numFmt w:val="bullet"/>
      <w:lvlText w:val="•"/>
      <w:lvlJc w:val="left"/>
      <w:pPr>
        <w:ind w:left="3803" w:hanging="273"/>
      </w:pPr>
      <w:rPr>
        <w:rFonts w:hint="default"/>
        <w:lang w:val="zh-CN" w:eastAsia="zh-CN" w:bidi="zh-CN"/>
      </w:rPr>
    </w:lvl>
    <w:lvl w:ilvl="7">
      <w:start w:val="0"/>
      <w:numFmt w:val="bullet"/>
      <w:lvlText w:val="•"/>
      <w:lvlJc w:val="left"/>
      <w:pPr>
        <w:ind w:left="4371" w:hanging="273"/>
      </w:pPr>
      <w:rPr>
        <w:rFonts w:hint="default"/>
        <w:lang w:val="zh-CN" w:eastAsia="zh-CN" w:bidi="zh-CN"/>
      </w:rPr>
    </w:lvl>
    <w:lvl w:ilvl="8">
      <w:start w:val="0"/>
      <w:numFmt w:val="bullet"/>
      <w:lvlText w:val="•"/>
      <w:lvlJc w:val="left"/>
      <w:pPr>
        <w:ind w:left="4938" w:hanging="273"/>
      </w:pPr>
      <w:rPr>
        <w:rFonts w:hint="default"/>
        <w:lang w:val="zh-CN" w:eastAsia="zh-CN" w:bidi="zh-CN"/>
      </w:rPr>
    </w:lvl>
  </w:abstractNum>
  <w:abstractNum w:abstractNumId="24">
    <w:nsid w:val="6663AAF7"/>
    <w:multiLevelType w:val="hybridMultilevel"/>
    <w:tmpl w:val="00000000"/>
    <w:lvl w:ilvl="0">
      <w:start w:val="1"/>
      <w:numFmt w:val="decimal"/>
      <w:lvlText w:val="%1."/>
      <w:lvlJc w:val="left"/>
      <w:pPr>
        <w:ind w:left="391" w:hanging="273"/>
        <w:jc w:val="left"/>
      </w:pPr>
      <w:rPr>
        <w:rFonts w:ascii="宋体" w:eastAsia="宋体" w:hAnsi="宋体" w:cs="宋体" w:hint="default"/>
        <w:spacing w:val="0"/>
        <w:w w:val="100"/>
        <w:sz w:val="16"/>
        <w:szCs w:val="16"/>
        <w:lang w:val="zh-CN" w:eastAsia="zh-CN" w:bidi="zh-CN"/>
      </w:rPr>
    </w:lvl>
    <w:lvl w:ilvl="1">
      <w:start w:val="0"/>
      <w:numFmt w:val="bullet"/>
      <w:lvlText w:val="•"/>
      <w:lvlJc w:val="left"/>
      <w:pPr>
        <w:ind w:left="1164" w:hanging="273"/>
      </w:pPr>
      <w:rPr>
        <w:rFonts w:hint="default"/>
        <w:lang w:val="zh-CN" w:eastAsia="zh-CN" w:bidi="zh-CN"/>
      </w:rPr>
    </w:lvl>
    <w:lvl w:ilvl="2">
      <w:start w:val="0"/>
      <w:numFmt w:val="bullet"/>
      <w:lvlText w:val="•"/>
      <w:lvlJc w:val="left"/>
      <w:pPr>
        <w:ind w:left="1928" w:hanging="273"/>
      </w:pPr>
      <w:rPr>
        <w:rFonts w:hint="default"/>
        <w:lang w:val="zh-CN" w:eastAsia="zh-CN" w:bidi="zh-CN"/>
      </w:rPr>
    </w:lvl>
    <w:lvl w:ilvl="3">
      <w:start w:val="0"/>
      <w:numFmt w:val="bullet"/>
      <w:lvlText w:val="•"/>
      <w:lvlJc w:val="left"/>
      <w:pPr>
        <w:ind w:left="2692" w:hanging="273"/>
      </w:pPr>
      <w:rPr>
        <w:rFonts w:hint="default"/>
        <w:lang w:val="zh-CN" w:eastAsia="zh-CN" w:bidi="zh-CN"/>
      </w:rPr>
    </w:lvl>
    <w:lvl w:ilvl="4">
      <w:start w:val="0"/>
      <w:numFmt w:val="bullet"/>
      <w:lvlText w:val="•"/>
      <w:lvlJc w:val="left"/>
      <w:pPr>
        <w:ind w:left="3457" w:hanging="273"/>
      </w:pPr>
      <w:rPr>
        <w:rFonts w:hint="default"/>
        <w:lang w:val="zh-CN" w:eastAsia="zh-CN" w:bidi="zh-CN"/>
      </w:rPr>
    </w:lvl>
    <w:lvl w:ilvl="5">
      <w:start w:val="0"/>
      <w:numFmt w:val="bullet"/>
      <w:lvlText w:val="•"/>
      <w:lvlJc w:val="left"/>
      <w:pPr>
        <w:ind w:left="4221" w:hanging="273"/>
      </w:pPr>
      <w:rPr>
        <w:rFonts w:hint="default"/>
        <w:lang w:val="zh-CN" w:eastAsia="zh-CN" w:bidi="zh-CN"/>
      </w:rPr>
    </w:lvl>
    <w:lvl w:ilvl="6">
      <w:start w:val="0"/>
      <w:numFmt w:val="bullet"/>
      <w:lvlText w:val="•"/>
      <w:lvlJc w:val="left"/>
      <w:pPr>
        <w:ind w:left="4985" w:hanging="273"/>
      </w:pPr>
      <w:rPr>
        <w:rFonts w:hint="default"/>
        <w:lang w:val="zh-CN" w:eastAsia="zh-CN" w:bidi="zh-CN"/>
      </w:rPr>
    </w:lvl>
    <w:lvl w:ilvl="7">
      <w:start w:val="0"/>
      <w:numFmt w:val="bullet"/>
      <w:lvlText w:val="•"/>
      <w:lvlJc w:val="left"/>
      <w:pPr>
        <w:ind w:left="5750" w:hanging="273"/>
      </w:pPr>
      <w:rPr>
        <w:rFonts w:hint="default"/>
        <w:lang w:val="zh-CN" w:eastAsia="zh-CN" w:bidi="zh-CN"/>
      </w:rPr>
    </w:lvl>
    <w:lvl w:ilvl="8">
      <w:start w:val="0"/>
      <w:numFmt w:val="bullet"/>
      <w:lvlText w:val="•"/>
      <w:lvlJc w:val="left"/>
      <w:pPr>
        <w:ind w:left="6514" w:hanging="273"/>
      </w:pPr>
      <w:rPr>
        <w:rFonts w:hint="default"/>
        <w:lang w:val="zh-CN" w:eastAsia="zh-CN" w:bidi="zh-CN"/>
      </w:rPr>
    </w:lvl>
  </w:abstractNum>
  <w:abstractNum w:abstractNumId="25">
    <w:nsid w:val="67F54BBA"/>
    <w:multiLevelType w:val="hybridMultilevel"/>
    <w:tmpl w:val="00000000"/>
    <w:lvl w:ilvl="0">
      <w:start w:val="6"/>
      <w:numFmt w:val="upperLetter"/>
      <w:lvlText w:val="%1"/>
      <w:lvlJc w:val="left"/>
      <w:pPr>
        <w:ind w:left="758" w:hanging="526"/>
        <w:jc w:val="left"/>
      </w:pPr>
      <w:rPr>
        <w:rFonts w:hint="default"/>
        <w:lang w:val="zh-CN" w:eastAsia="zh-CN" w:bidi="zh-CN"/>
      </w:rPr>
    </w:lvl>
    <w:lvl w:ilvl="1">
      <w:start w:val="1"/>
      <w:numFmt w:val="decimal"/>
      <w:lvlText w:val="%1.%2"/>
      <w:lvlJc w:val="left"/>
      <w:pPr>
        <w:ind w:left="758" w:hanging="526"/>
        <w:jc w:val="left"/>
      </w:pPr>
      <w:rPr>
        <w:rFonts w:ascii="黑体" w:eastAsia="黑体" w:hAnsi="黑体" w:cs="黑体" w:hint="default"/>
        <w:w w:val="100"/>
        <w:sz w:val="21"/>
        <w:szCs w:val="21"/>
        <w:lang w:val="zh-CN" w:eastAsia="zh-CN" w:bidi="zh-CN"/>
      </w:rPr>
    </w:lvl>
    <w:lvl w:ilvl="2">
      <w:start w:val="1"/>
      <w:numFmt w:val="decimal"/>
      <w:lvlText w:val="%1.%2.%3"/>
      <w:lvlJc w:val="left"/>
      <w:pPr>
        <w:ind w:left="864" w:hanging="632"/>
        <w:jc w:val="left"/>
      </w:pPr>
      <w:rPr>
        <w:rFonts w:ascii="黑体" w:eastAsia="黑体" w:hAnsi="黑体" w:cs="黑体" w:hint="default"/>
        <w:w w:val="100"/>
        <w:sz w:val="21"/>
        <w:szCs w:val="21"/>
        <w:lang w:val="zh-CN" w:eastAsia="zh-CN" w:bidi="zh-CN"/>
      </w:rPr>
    </w:lvl>
    <w:lvl w:ilvl="3">
      <w:start w:val="0"/>
      <w:numFmt w:val="bullet"/>
      <w:lvlText w:val="•"/>
      <w:lvlJc w:val="left"/>
      <w:pPr>
        <w:ind w:left="2932" w:hanging="632"/>
      </w:pPr>
      <w:rPr>
        <w:rFonts w:hint="default"/>
        <w:lang w:val="zh-CN" w:eastAsia="zh-CN" w:bidi="zh-CN"/>
      </w:rPr>
    </w:lvl>
    <w:lvl w:ilvl="4">
      <w:start w:val="0"/>
      <w:numFmt w:val="bullet"/>
      <w:lvlText w:val="•"/>
      <w:lvlJc w:val="left"/>
      <w:pPr>
        <w:ind w:left="3968" w:hanging="632"/>
      </w:pPr>
      <w:rPr>
        <w:rFonts w:hint="default"/>
        <w:lang w:val="zh-CN" w:eastAsia="zh-CN" w:bidi="zh-CN"/>
      </w:rPr>
    </w:lvl>
    <w:lvl w:ilvl="5">
      <w:start w:val="0"/>
      <w:numFmt w:val="bullet"/>
      <w:lvlText w:val="•"/>
      <w:lvlJc w:val="left"/>
      <w:pPr>
        <w:ind w:left="5005" w:hanging="632"/>
      </w:pPr>
      <w:rPr>
        <w:rFonts w:hint="default"/>
        <w:lang w:val="zh-CN" w:eastAsia="zh-CN" w:bidi="zh-CN"/>
      </w:rPr>
    </w:lvl>
    <w:lvl w:ilvl="6">
      <w:start w:val="0"/>
      <w:numFmt w:val="bullet"/>
      <w:lvlText w:val="•"/>
      <w:lvlJc w:val="left"/>
      <w:pPr>
        <w:ind w:left="6041" w:hanging="632"/>
      </w:pPr>
      <w:rPr>
        <w:rFonts w:hint="default"/>
        <w:lang w:val="zh-CN" w:eastAsia="zh-CN" w:bidi="zh-CN"/>
      </w:rPr>
    </w:lvl>
    <w:lvl w:ilvl="7">
      <w:start w:val="0"/>
      <w:numFmt w:val="bullet"/>
      <w:lvlText w:val="•"/>
      <w:lvlJc w:val="left"/>
      <w:pPr>
        <w:ind w:left="7077" w:hanging="632"/>
      </w:pPr>
      <w:rPr>
        <w:rFonts w:hint="default"/>
        <w:lang w:val="zh-CN" w:eastAsia="zh-CN" w:bidi="zh-CN"/>
      </w:rPr>
    </w:lvl>
    <w:lvl w:ilvl="8">
      <w:start w:val="0"/>
      <w:numFmt w:val="bullet"/>
      <w:lvlText w:val="•"/>
      <w:lvlJc w:val="left"/>
      <w:pPr>
        <w:ind w:left="8113" w:hanging="632"/>
      </w:pPr>
      <w:rPr>
        <w:rFonts w:hint="default"/>
        <w:lang w:val="zh-CN" w:eastAsia="zh-CN" w:bidi="zh-CN"/>
      </w:rPr>
    </w:lvl>
  </w:abstractNum>
  <w:abstractNum w:abstractNumId="26">
    <w:nsid w:val="6BD0784B"/>
    <w:multiLevelType w:val="hybridMultilevel"/>
    <w:tmpl w:val="00000000"/>
    <w:lvl w:ilvl="0">
      <w:start w:val="7"/>
      <w:numFmt w:val="upperLetter"/>
      <w:lvlText w:val="%1"/>
      <w:lvlJc w:val="left"/>
      <w:pPr>
        <w:ind w:left="758" w:hanging="526"/>
        <w:jc w:val="left"/>
      </w:pPr>
      <w:rPr>
        <w:rFonts w:hint="default"/>
        <w:lang w:val="zh-CN" w:eastAsia="zh-CN" w:bidi="zh-CN"/>
      </w:rPr>
    </w:lvl>
    <w:lvl w:ilvl="1">
      <w:start w:val="1"/>
      <w:numFmt w:val="decimal"/>
      <w:lvlText w:val="%1.%2"/>
      <w:lvlJc w:val="left"/>
      <w:pPr>
        <w:ind w:left="758" w:hanging="526"/>
        <w:jc w:val="right"/>
      </w:pPr>
      <w:rPr>
        <w:rFonts w:ascii="黑体" w:eastAsia="黑体" w:hAnsi="黑体" w:cs="黑体" w:hint="default"/>
        <w:w w:val="100"/>
        <w:sz w:val="21"/>
        <w:szCs w:val="21"/>
        <w:lang w:val="zh-CN" w:eastAsia="zh-CN" w:bidi="zh-CN"/>
      </w:rPr>
    </w:lvl>
    <w:lvl w:ilvl="2">
      <w:start w:val="1"/>
      <w:numFmt w:val="decimal"/>
      <w:lvlText w:val="%1.%2.%3"/>
      <w:lvlJc w:val="left"/>
      <w:pPr>
        <w:ind w:left="232" w:hanging="737"/>
        <w:jc w:val="left"/>
      </w:pPr>
      <w:rPr>
        <w:rFonts w:ascii="黑体" w:eastAsia="黑体" w:hAnsi="黑体" w:cs="黑体" w:hint="default"/>
        <w:w w:val="100"/>
        <w:sz w:val="21"/>
        <w:szCs w:val="21"/>
        <w:lang w:val="zh-CN" w:eastAsia="zh-CN" w:bidi="zh-CN"/>
      </w:rPr>
    </w:lvl>
    <w:lvl w:ilvl="3">
      <w:start w:val="0"/>
      <w:numFmt w:val="bullet"/>
      <w:lvlText w:val="•"/>
      <w:lvlJc w:val="left"/>
      <w:pPr>
        <w:ind w:left="1360" w:hanging="737"/>
      </w:pPr>
      <w:rPr>
        <w:rFonts w:hint="default"/>
        <w:lang w:val="zh-CN" w:eastAsia="zh-CN" w:bidi="zh-CN"/>
      </w:rPr>
    </w:lvl>
    <w:lvl w:ilvl="4">
      <w:start w:val="0"/>
      <w:numFmt w:val="bullet"/>
      <w:lvlText w:val="•"/>
      <w:lvlJc w:val="left"/>
      <w:pPr>
        <w:ind w:left="2620" w:hanging="737"/>
      </w:pPr>
      <w:rPr>
        <w:rFonts w:hint="default"/>
        <w:lang w:val="zh-CN" w:eastAsia="zh-CN" w:bidi="zh-CN"/>
      </w:rPr>
    </w:lvl>
    <w:lvl w:ilvl="5">
      <w:start w:val="0"/>
      <w:numFmt w:val="bullet"/>
      <w:lvlText w:val="•"/>
      <w:lvlJc w:val="left"/>
      <w:pPr>
        <w:ind w:left="3881" w:hanging="737"/>
      </w:pPr>
      <w:rPr>
        <w:rFonts w:hint="default"/>
        <w:lang w:val="zh-CN" w:eastAsia="zh-CN" w:bidi="zh-CN"/>
      </w:rPr>
    </w:lvl>
    <w:lvl w:ilvl="6">
      <w:start w:val="0"/>
      <w:numFmt w:val="bullet"/>
      <w:lvlText w:val="•"/>
      <w:lvlJc w:val="left"/>
      <w:pPr>
        <w:ind w:left="5142" w:hanging="737"/>
      </w:pPr>
      <w:rPr>
        <w:rFonts w:hint="default"/>
        <w:lang w:val="zh-CN" w:eastAsia="zh-CN" w:bidi="zh-CN"/>
      </w:rPr>
    </w:lvl>
    <w:lvl w:ilvl="7">
      <w:start w:val="0"/>
      <w:numFmt w:val="bullet"/>
      <w:lvlText w:val="•"/>
      <w:lvlJc w:val="left"/>
      <w:pPr>
        <w:ind w:left="6403" w:hanging="737"/>
      </w:pPr>
      <w:rPr>
        <w:rFonts w:hint="default"/>
        <w:lang w:val="zh-CN" w:eastAsia="zh-CN" w:bidi="zh-CN"/>
      </w:rPr>
    </w:lvl>
    <w:lvl w:ilvl="8">
      <w:start w:val="0"/>
      <w:numFmt w:val="bullet"/>
      <w:lvlText w:val="•"/>
      <w:lvlJc w:val="left"/>
      <w:pPr>
        <w:ind w:left="7664" w:hanging="737"/>
      </w:pPr>
      <w:rPr>
        <w:rFonts w:hint="default"/>
        <w:lang w:val="zh-CN" w:eastAsia="zh-CN" w:bidi="zh-CN"/>
      </w:rPr>
    </w:lvl>
  </w:abstractNum>
  <w:abstractNum w:abstractNumId="27">
    <w:nsid w:val="6CE4B41A"/>
    <w:multiLevelType w:val="hybridMultilevel"/>
    <w:tmpl w:val="00000000"/>
    <w:lvl w:ilvl="0">
      <w:start w:val="1"/>
      <w:numFmt w:val="decimal"/>
      <w:lvlText w:val="%1"/>
      <w:lvlJc w:val="left"/>
      <w:pPr>
        <w:ind w:left="876" w:hanging="361"/>
        <w:jc w:val="left"/>
      </w:pPr>
      <w:rPr>
        <w:rFonts w:ascii="黑体" w:eastAsia="黑体" w:hAnsi="黑体" w:cs="黑体" w:hint="default"/>
        <w:w w:val="100"/>
        <w:sz w:val="21"/>
        <w:szCs w:val="21"/>
        <w:lang w:val="zh-CN" w:eastAsia="zh-CN" w:bidi="zh-CN"/>
      </w:rPr>
    </w:lvl>
    <w:lvl w:ilvl="1">
      <w:start w:val="1"/>
      <w:numFmt w:val="decimal"/>
      <w:lvlText w:val="%1.%2"/>
      <w:lvlJc w:val="left"/>
      <w:pPr>
        <w:ind w:left="516" w:hanging="526"/>
        <w:jc w:val="left"/>
      </w:pPr>
      <w:rPr>
        <w:rFonts w:ascii="黑体" w:eastAsia="黑体" w:hAnsi="黑体" w:cs="黑体" w:hint="default"/>
        <w:w w:val="100"/>
        <w:sz w:val="21"/>
        <w:szCs w:val="21"/>
        <w:lang w:val="zh-CN" w:eastAsia="zh-CN" w:bidi="zh-CN"/>
      </w:rPr>
    </w:lvl>
    <w:lvl w:ilvl="2">
      <w:start w:val="0"/>
      <w:numFmt w:val="bullet"/>
      <w:lvlText w:val="•"/>
      <w:lvlJc w:val="left"/>
      <w:pPr>
        <w:ind w:left="1914" w:hanging="526"/>
      </w:pPr>
      <w:rPr>
        <w:rFonts w:hint="default"/>
        <w:lang w:val="zh-CN" w:eastAsia="zh-CN" w:bidi="zh-CN"/>
      </w:rPr>
    </w:lvl>
    <w:lvl w:ilvl="3">
      <w:start w:val="0"/>
      <w:numFmt w:val="bullet"/>
      <w:lvlText w:val="•"/>
      <w:lvlJc w:val="left"/>
      <w:pPr>
        <w:ind w:left="2948" w:hanging="526"/>
      </w:pPr>
      <w:rPr>
        <w:rFonts w:hint="default"/>
        <w:lang w:val="zh-CN" w:eastAsia="zh-CN" w:bidi="zh-CN"/>
      </w:rPr>
    </w:lvl>
    <w:lvl w:ilvl="4">
      <w:start w:val="0"/>
      <w:numFmt w:val="bullet"/>
      <w:lvlText w:val="•"/>
      <w:lvlJc w:val="left"/>
      <w:pPr>
        <w:ind w:left="3982" w:hanging="526"/>
      </w:pPr>
      <w:rPr>
        <w:rFonts w:hint="default"/>
        <w:lang w:val="zh-CN" w:eastAsia="zh-CN" w:bidi="zh-CN"/>
      </w:rPr>
    </w:lvl>
    <w:lvl w:ilvl="5">
      <w:start w:val="0"/>
      <w:numFmt w:val="bullet"/>
      <w:lvlText w:val="•"/>
      <w:lvlJc w:val="left"/>
      <w:pPr>
        <w:ind w:left="5016" w:hanging="526"/>
      </w:pPr>
      <w:rPr>
        <w:rFonts w:hint="default"/>
        <w:lang w:val="zh-CN" w:eastAsia="zh-CN" w:bidi="zh-CN"/>
      </w:rPr>
    </w:lvl>
    <w:lvl w:ilvl="6">
      <w:start w:val="0"/>
      <w:numFmt w:val="bullet"/>
      <w:lvlText w:val="•"/>
      <w:lvlJc w:val="left"/>
      <w:pPr>
        <w:ind w:left="6050" w:hanging="526"/>
      </w:pPr>
      <w:rPr>
        <w:rFonts w:hint="default"/>
        <w:lang w:val="zh-CN" w:eastAsia="zh-CN" w:bidi="zh-CN"/>
      </w:rPr>
    </w:lvl>
    <w:lvl w:ilvl="7">
      <w:start w:val="0"/>
      <w:numFmt w:val="bullet"/>
      <w:lvlText w:val="•"/>
      <w:lvlJc w:val="left"/>
      <w:pPr>
        <w:ind w:left="7084" w:hanging="526"/>
      </w:pPr>
      <w:rPr>
        <w:rFonts w:hint="default"/>
        <w:lang w:val="zh-CN" w:eastAsia="zh-CN" w:bidi="zh-CN"/>
      </w:rPr>
    </w:lvl>
    <w:lvl w:ilvl="8">
      <w:start w:val="0"/>
      <w:numFmt w:val="bullet"/>
      <w:lvlText w:val="•"/>
      <w:lvlJc w:val="left"/>
      <w:pPr>
        <w:ind w:left="8118" w:hanging="526"/>
      </w:pPr>
      <w:rPr>
        <w:rFonts w:hint="default"/>
        <w:lang w:val="zh-CN" w:eastAsia="zh-CN" w:bidi="zh-CN"/>
      </w:rPr>
    </w:lvl>
  </w:abstractNum>
  <w:abstractNum w:abstractNumId="28">
    <w:nsid w:val="6CF66B63"/>
    <w:multiLevelType w:val="hybridMultilevel"/>
    <w:tmpl w:val="00000000"/>
    <w:lvl w:ilvl="0">
      <w:start w:val="5"/>
      <w:numFmt w:val="decimal"/>
      <w:lvlText w:val="%1"/>
      <w:lvlJc w:val="left"/>
      <w:pPr>
        <w:ind w:left="1178" w:hanging="946"/>
        <w:jc w:val="left"/>
      </w:pPr>
      <w:rPr>
        <w:rFonts w:hint="default"/>
        <w:lang w:val="zh-CN" w:eastAsia="zh-CN" w:bidi="zh-CN"/>
      </w:rPr>
    </w:lvl>
    <w:lvl w:ilvl="1">
      <w:start w:val="3"/>
      <w:numFmt w:val="decimal"/>
      <w:lvlText w:val="%1.%2"/>
      <w:lvlJc w:val="left"/>
      <w:pPr>
        <w:ind w:left="1178" w:hanging="946"/>
        <w:jc w:val="left"/>
      </w:pPr>
      <w:rPr>
        <w:rFonts w:hint="default"/>
        <w:lang w:val="zh-CN" w:eastAsia="zh-CN" w:bidi="zh-CN"/>
      </w:rPr>
    </w:lvl>
    <w:lvl w:ilvl="2">
      <w:start w:val="2"/>
      <w:numFmt w:val="decimal"/>
      <w:lvlText w:val="%1.%2.%3"/>
      <w:lvlJc w:val="left"/>
      <w:pPr>
        <w:ind w:left="1178" w:hanging="946"/>
        <w:jc w:val="left"/>
      </w:pPr>
      <w:rPr>
        <w:rFonts w:hint="default"/>
        <w:lang w:val="zh-CN" w:eastAsia="zh-CN" w:bidi="zh-CN"/>
      </w:rPr>
    </w:lvl>
    <w:lvl w:ilvl="3">
      <w:start w:val="1"/>
      <w:numFmt w:val="decimal"/>
      <w:lvlText w:val="%1.%2.%3.%4"/>
      <w:lvlJc w:val="left"/>
      <w:pPr>
        <w:ind w:left="1178" w:hanging="946"/>
        <w:jc w:val="left"/>
      </w:pPr>
      <w:rPr>
        <w:rFonts w:ascii="黑体" w:eastAsia="黑体" w:hAnsi="黑体" w:cs="黑体" w:hint="default"/>
        <w:spacing w:val="-3"/>
        <w:w w:val="100"/>
        <w:sz w:val="21"/>
        <w:szCs w:val="21"/>
        <w:lang w:val="zh-CN" w:eastAsia="zh-CN" w:bidi="zh-CN"/>
      </w:rPr>
    </w:lvl>
    <w:lvl w:ilvl="4">
      <w:start w:val="1"/>
      <w:numFmt w:val="lowerLetter"/>
      <w:lvlText w:val="%5)"/>
      <w:lvlJc w:val="left"/>
      <w:pPr>
        <w:ind w:left="1072" w:hanging="423"/>
        <w:jc w:val="left"/>
      </w:pPr>
      <w:rPr>
        <w:rFonts w:ascii="宋体" w:eastAsia="宋体" w:hAnsi="宋体" w:cs="宋体" w:hint="default"/>
        <w:w w:val="100"/>
        <w:sz w:val="21"/>
        <w:szCs w:val="21"/>
        <w:lang w:val="zh-CN" w:eastAsia="zh-CN" w:bidi="zh-CN"/>
      </w:rPr>
    </w:lvl>
    <w:lvl w:ilvl="5">
      <w:start w:val="0"/>
      <w:numFmt w:val="bullet"/>
      <w:lvlText w:val="•"/>
      <w:lvlJc w:val="left"/>
      <w:pPr>
        <w:ind w:left="5182" w:hanging="423"/>
      </w:pPr>
      <w:rPr>
        <w:rFonts w:hint="default"/>
        <w:lang w:val="zh-CN" w:eastAsia="zh-CN" w:bidi="zh-CN"/>
      </w:rPr>
    </w:lvl>
    <w:lvl w:ilvl="6">
      <w:start w:val="0"/>
      <w:numFmt w:val="bullet"/>
      <w:lvlText w:val="•"/>
      <w:lvlJc w:val="left"/>
      <w:pPr>
        <w:ind w:left="6183" w:hanging="423"/>
      </w:pPr>
      <w:rPr>
        <w:rFonts w:hint="default"/>
        <w:lang w:val="zh-CN" w:eastAsia="zh-CN" w:bidi="zh-CN"/>
      </w:rPr>
    </w:lvl>
    <w:lvl w:ilvl="7">
      <w:start w:val="0"/>
      <w:numFmt w:val="bullet"/>
      <w:lvlText w:val="•"/>
      <w:lvlJc w:val="left"/>
      <w:pPr>
        <w:ind w:left="7184" w:hanging="423"/>
      </w:pPr>
      <w:rPr>
        <w:rFonts w:hint="default"/>
        <w:lang w:val="zh-CN" w:eastAsia="zh-CN" w:bidi="zh-CN"/>
      </w:rPr>
    </w:lvl>
    <w:lvl w:ilvl="8">
      <w:start w:val="0"/>
      <w:numFmt w:val="bullet"/>
      <w:lvlText w:val="•"/>
      <w:lvlJc w:val="left"/>
      <w:pPr>
        <w:ind w:left="8184" w:hanging="423"/>
      </w:pPr>
      <w:rPr>
        <w:rFonts w:hint="default"/>
        <w:lang w:val="zh-CN" w:eastAsia="zh-CN" w:bidi="zh-CN"/>
      </w:rPr>
    </w:lvl>
  </w:abstractNum>
  <w:abstractNum w:abstractNumId="29">
    <w:nsid w:val="6FE06AAC"/>
    <w:multiLevelType w:val="hybridMultilevel"/>
    <w:tmpl w:val="00000000"/>
    <w:lvl w:ilvl="0">
      <w:start w:val="9"/>
      <w:numFmt w:val="decimal"/>
      <w:lvlText w:val="%1"/>
      <w:lvlJc w:val="left"/>
      <w:pPr>
        <w:ind w:left="970" w:hanging="526"/>
        <w:jc w:val="left"/>
      </w:pPr>
      <w:rPr>
        <w:rFonts w:hint="default"/>
        <w:lang w:val="zh-CN" w:eastAsia="zh-CN" w:bidi="zh-CN"/>
      </w:rPr>
    </w:lvl>
    <w:lvl w:ilvl="1">
      <w:start w:val="9"/>
      <w:numFmt w:val="decimal"/>
      <w:lvlText w:val="%1.%2"/>
      <w:lvlJc w:val="left"/>
      <w:pPr>
        <w:ind w:left="970" w:hanging="526"/>
        <w:jc w:val="left"/>
      </w:pPr>
      <w:rPr>
        <w:rFonts w:ascii="宋体" w:eastAsia="宋体" w:hAnsi="宋体" w:cs="宋体" w:hint="default"/>
        <w:w w:val="100"/>
        <w:sz w:val="21"/>
        <w:szCs w:val="21"/>
        <w:lang w:val="zh-CN" w:eastAsia="zh-CN" w:bidi="zh-CN"/>
      </w:rPr>
    </w:lvl>
    <w:lvl w:ilvl="2">
      <w:start w:val="0"/>
      <w:numFmt w:val="bullet"/>
      <w:lvlText w:val="•"/>
      <w:lvlJc w:val="left"/>
      <w:pPr>
        <w:ind w:left="2821" w:hanging="526"/>
      </w:pPr>
      <w:rPr>
        <w:rFonts w:hint="default"/>
        <w:lang w:val="zh-CN" w:eastAsia="zh-CN" w:bidi="zh-CN"/>
      </w:rPr>
    </w:lvl>
    <w:lvl w:ilvl="3">
      <w:start w:val="0"/>
      <w:numFmt w:val="bullet"/>
      <w:lvlText w:val="•"/>
      <w:lvlJc w:val="left"/>
      <w:pPr>
        <w:ind w:left="3741" w:hanging="526"/>
      </w:pPr>
      <w:rPr>
        <w:rFonts w:hint="default"/>
        <w:lang w:val="zh-CN" w:eastAsia="zh-CN" w:bidi="zh-CN"/>
      </w:rPr>
    </w:lvl>
    <w:lvl w:ilvl="4">
      <w:start w:val="0"/>
      <w:numFmt w:val="bullet"/>
      <w:lvlText w:val="•"/>
      <w:lvlJc w:val="left"/>
      <w:pPr>
        <w:ind w:left="4662" w:hanging="526"/>
      </w:pPr>
      <w:rPr>
        <w:rFonts w:hint="default"/>
        <w:lang w:val="zh-CN" w:eastAsia="zh-CN" w:bidi="zh-CN"/>
      </w:rPr>
    </w:lvl>
    <w:lvl w:ilvl="5">
      <w:start w:val="0"/>
      <w:numFmt w:val="bullet"/>
      <w:lvlText w:val="•"/>
      <w:lvlJc w:val="left"/>
      <w:pPr>
        <w:ind w:left="5583" w:hanging="526"/>
      </w:pPr>
      <w:rPr>
        <w:rFonts w:hint="default"/>
        <w:lang w:val="zh-CN" w:eastAsia="zh-CN" w:bidi="zh-CN"/>
      </w:rPr>
    </w:lvl>
    <w:lvl w:ilvl="6">
      <w:start w:val="0"/>
      <w:numFmt w:val="bullet"/>
      <w:lvlText w:val="•"/>
      <w:lvlJc w:val="left"/>
      <w:pPr>
        <w:ind w:left="6503" w:hanging="526"/>
      </w:pPr>
      <w:rPr>
        <w:rFonts w:hint="default"/>
        <w:lang w:val="zh-CN" w:eastAsia="zh-CN" w:bidi="zh-CN"/>
      </w:rPr>
    </w:lvl>
    <w:lvl w:ilvl="7">
      <w:start w:val="0"/>
      <w:numFmt w:val="bullet"/>
      <w:lvlText w:val="•"/>
      <w:lvlJc w:val="left"/>
      <w:pPr>
        <w:ind w:left="7424" w:hanging="526"/>
      </w:pPr>
      <w:rPr>
        <w:rFonts w:hint="default"/>
        <w:lang w:val="zh-CN" w:eastAsia="zh-CN" w:bidi="zh-CN"/>
      </w:rPr>
    </w:lvl>
    <w:lvl w:ilvl="8">
      <w:start w:val="0"/>
      <w:numFmt w:val="bullet"/>
      <w:lvlText w:val="•"/>
      <w:lvlJc w:val="left"/>
      <w:pPr>
        <w:ind w:left="8345" w:hanging="526"/>
      </w:pPr>
      <w:rPr>
        <w:rFonts w:hint="default"/>
        <w:lang w:val="zh-CN" w:eastAsia="zh-CN" w:bidi="zh-CN"/>
      </w:rPr>
    </w:lvl>
  </w:abstractNum>
  <w:abstractNum w:abstractNumId="30">
    <w:nsid w:val="7BE0016E"/>
    <w:multiLevelType w:val="hybridMultilevel"/>
    <w:tmpl w:val="00000000"/>
    <w:lvl w:ilvl="0">
      <w:start w:val="1"/>
      <w:numFmt w:val="decimal"/>
      <w:lvlText w:val="%1"/>
      <w:lvlJc w:val="left"/>
      <w:pPr>
        <w:ind w:left="876" w:hanging="361"/>
        <w:jc w:val="left"/>
      </w:pPr>
      <w:rPr>
        <w:rFonts w:ascii="黑体" w:eastAsia="黑体" w:hAnsi="黑体" w:cs="黑体" w:hint="default"/>
        <w:w w:val="100"/>
        <w:sz w:val="21"/>
        <w:szCs w:val="21"/>
        <w:lang w:val="zh-CN" w:eastAsia="zh-CN" w:bidi="zh-CN"/>
      </w:rPr>
    </w:lvl>
    <w:lvl w:ilvl="1">
      <w:start w:val="1"/>
      <w:numFmt w:val="decimal"/>
      <w:lvlText w:val="%1.%2"/>
      <w:lvlJc w:val="left"/>
      <w:pPr>
        <w:ind w:left="516" w:hanging="526"/>
        <w:jc w:val="left"/>
      </w:pPr>
      <w:rPr>
        <w:rFonts w:ascii="黑体" w:eastAsia="黑体" w:hAnsi="黑体" w:cs="黑体" w:hint="default"/>
        <w:w w:val="100"/>
        <w:sz w:val="21"/>
        <w:szCs w:val="21"/>
        <w:lang w:val="zh-CN" w:eastAsia="zh-CN" w:bidi="zh-CN"/>
      </w:rPr>
    </w:lvl>
    <w:lvl w:ilvl="2">
      <w:start w:val="0"/>
      <w:numFmt w:val="bullet"/>
      <w:lvlText w:val="•"/>
      <w:lvlJc w:val="left"/>
      <w:pPr>
        <w:ind w:left="1914" w:hanging="526"/>
      </w:pPr>
      <w:rPr>
        <w:rFonts w:hint="default"/>
        <w:lang w:val="zh-CN" w:eastAsia="zh-CN" w:bidi="zh-CN"/>
      </w:rPr>
    </w:lvl>
    <w:lvl w:ilvl="3">
      <w:start w:val="0"/>
      <w:numFmt w:val="bullet"/>
      <w:lvlText w:val="•"/>
      <w:lvlJc w:val="left"/>
      <w:pPr>
        <w:ind w:left="2948" w:hanging="526"/>
      </w:pPr>
      <w:rPr>
        <w:rFonts w:hint="default"/>
        <w:lang w:val="zh-CN" w:eastAsia="zh-CN" w:bidi="zh-CN"/>
      </w:rPr>
    </w:lvl>
    <w:lvl w:ilvl="4">
      <w:start w:val="0"/>
      <w:numFmt w:val="bullet"/>
      <w:lvlText w:val="•"/>
      <w:lvlJc w:val="left"/>
      <w:pPr>
        <w:ind w:left="3982" w:hanging="526"/>
      </w:pPr>
      <w:rPr>
        <w:rFonts w:hint="default"/>
        <w:lang w:val="zh-CN" w:eastAsia="zh-CN" w:bidi="zh-CN"/>
      </w:rPr>
    </w:lvl>
    <w:lvl w:ilvl="5">
      <w:start w:val="0"/>
      <w:numFmt w:val="bullet"/>
      <w:lvlText w:val="•"/>
      <w:lvlJc w:val="left"/>
      <w:pPr>
        <w:ind w:left="5016" w:hanging="526"/>
      </w:pPr>
      <w:rPr>
        <w:rFonts w:hint="default"/>
        <w:lang w:val="zh-CN" w:eastAsia="zh-CN" w:bidi="zh-CN"/>
      </w:rPr>
    </w:lvl>
    <w:lvl w:ilvl="6">
      <w:start w:val="0"/>
      <w:numFmt w:val="bullet"/>
      <w:lvlText w:val="•"/>
      <w:lvlJc w:val="left"/>
      <w:pPr>
        <w:ind w:left="6050" w:hanging="526"/>
      </w:pPr>
      <w:rPr>
        <w:rFonts w:hint="default"/>
        <w:lang w:val="zh-CN" w:eastAsia="zh-CN" w:bidi="zh-CN"/>
      </w:rPr>
    </w:lvl>
    <w:lvl w:ilvl="7">
      <w:start w:val="0"/>
      <w:numFmt w:val="bullet"/>
      <w:lvlText w:val="•"/>
      <w:lvlJc w:val="left"/>
      <w:pPr>
        <w:ind w:left="7084" w:hanging="526"/>
      </w:pPr>
      <w:rPr>
        <w:rFonts w:hint="default"/>
        <w:lang w:val="zh-CN" w:eastAsia="zh-CN" w:bidi="zh-CN"/>
      </w:rPr>
    </w:lvl>
    <w:lvl w:ilvl="8">
      <w:start w:val="0"/>
      <w:numFmt w:val="bullet"/>
      <w:lvlText w:val="•"/>
      <w:lvlJc w:val="left"/>
      <w:pPr>
        <w:ind w:left="8118" w:hanging="526"/>
      </w:pPr>
      <w:rPr>
        <w:rFonts w:hint="default"/>
        <w:lang w:val="zh-CN" w:eastAsia="zh-CN" w:bidi="zh-CN"/>
      </w:rPr>
    </w:lvl>
  </w:abstractNum>
  <w:abstractNum w:abstractNumId="31">
    <w:nsid w:val="7CCBB855"/>
    <w:multiLevelType w:val="hybridMultilevel"/>
    <w:tmpl w:val="00000000"/>
    <w:lvl w:ilvl="0">
      <w:start w:val="1"/>
      <w:numFmt w:val="decimal"/>
      <w:lvlText w:val="%1."/>
      <w:lvlJc w:val="left"/>
      <w:pPr>
        <w:ind w:left="389" w:hanging="273"/>
        <w:jc w:val="left"/>
      </w:pPr>
      <w:rPr>
        <w:rFonts w:ascii="Times New Roman" w:eastAsia="Times New Roman" w:hAnsi="Times New Roman" w:cs="Times New Roman" w:hint="default"/>
        <w:spacing w:val="-12"/>
        <w:w w:val="100"/>
        <w:sz w:val="16"/>
        <w:szCs w:val="16"/>
        <w:lang w:val="zh-CN" w:eastAsia="zh-CN" w:bidi="zh-CN"/>
      </w:rPr>
    </w:lvl>
    <w:lvl w:ilvl="1">
      <w:start w:val="0"/>
      <w:numFmt w:val="bullet"/>
      <w:lvlText w:val="•"/>
      <w:lvlJc w:val="left"/>
      <w:pPr>
        <w:ind w:left="949" w:hanging="273"/>
      </w:pPr>
      <w:rPr>
        <w:rFonts w:hint="default"/>
        <w:lang w:val="zh-CN" w:eastAsia="zh-CN" w:bidi="zh-CN"/>
      </w:rPr>
    </w:lvl>
    <w:lvl w:ilvl="2">
      <w:start w:val="0"/>
      <w:numFmt w:val="bullet"/>
      <w:lvlText w:val="•"/>
      <w:lvlJc w:val="left"/>
      <w:pPr>
        <w:ind w:left="1518" w:hanging="273"/>
      </w:pPr>
      <w:rPr>
        <w:rFonts w:hint="default"/>
        <w:lang w:val="zh-CN" w:eastAsia="zh-CN" w:bidi="zh-CN"/>
      </w:rPr>
    </w:lvl>
    <w:lvl w:ilvl="3">
      <w:start w:val="0"/>
      <w:numFmt w:val="bullet"/>
      <w:lvlText w:val="•"/>
      <w:lvlJc w:val="left"/>
      <w:pPr>
        <w:ind w:left="2087" w:hanging="273"/>
      </w:pPr>
      <w:rPr>
        <w:rFonts w:hint="default"/>
        <w:lang w:val="zh-CN" w:eastAsia="zh-CN" w:bidi="zh-CN"/>
      </w:rPr>
    </w:lvl>
    <w:lvl w:ilvl="4">
      <w:start w:val="0"/>
      <w:numFmt w:val="bullet"/>
      <w:lvlText w:val="•"/>
      <w:lvlJc w:val="left"/>
      <w:pPr>
        <w:ind w:left="2657" w:hanging="273"/>
      </w:pPr>
      <w:rPr>
        <w:rFonts w:hint="default"/>
        <w:lang w:val="zh-CN" w:eastAsia="zh-CN" w:bidi="zh-CN"/>
      </w:rPr>
    </w:lvl>
    <w:lvl w:ilvl="5">
      <w:start w:val="0"/>
      <w:numFmt w:val="bullet"/>
      <w:lvlText w:val="•"/>
      <w:lvlJc w:val="left"/>
      <w:pPr>
        <w:ind w:left="3226" w:hanging="273"/>
      </w:pPr>
      <w:rPr>
        <w:rFonts w:hint="default"/>
        <w:lang w:val="zh-CN" w:eastAsia="zh-CN" w:bidi="zh-CN"/>
      </w:rPr>
    </w:lvl>
    <w:lvl w:ilvl="6">
      <w:start w:val="0"/>
      <w:numFmt w:val="bullet"/>
      <w:lvlText w:val="•"/>
      <w:lvlJc w:val="left"/>
      <w:pPr>
        <w:ind w:left="3795" w:hanging="273"/>
      </w:pPr>
      <w:rPr>
        <w:rFonts w:hint="default"/>
        <w:lang w:val="zh-CN" w:eastAsia="zh-CN" w:bidi="zh-CN"/>
      </w:rPr>
    </w:lvl>
    <w:lvl w:ilvl="7">
      <w:start w:val="0"/>
      <w:numFmt w:val="bullet"/>
      <w:lvlText w:val="•"/>
      <w:lvlJc w:val="left"/>
      <w:pPr>
        <w:ind w:left="4365" w:hanging="273"/>
      </w:pPr>
      <w:rPr>
        <w:rFonts w:hint="default"/>
        <w:lang w:val="zh-CN" w:eastAsia="zh-CN" w:bidi="zh-CN"/>
      </w:rPr>
    </w:lvl>
    <w:lvl w:ilvl="8">
      <w:start w:val="0"/>
      <w:numFmt w:val="bullet"/>
      <w:lvlText w:val="•"/>
      <w:lvlJc w:val="left"/>
      <w:pPr>
        <w:ind w:left="4934" w:hanging="273"/>
      </w:pPr>
      <w:rPr>
        <w:rFonts w:hint="default"/>
        <w:lang w:val="zh-CN" w:eastAsia="zh-CN" w:bidi="zh-CN"/>
      </w:rPr>
    </w:lvl>
  </w:abstractNum>
  <w:num w:numId="1">
    <w:abstractNumId w:val="15"/>
  </w:num>
  <w:num w:numId="2">
    <w:abstractNumId w:val="17"/>
  </w:num>
  <w:num w:numId="3">
    <w:abstractNumId w:val="9"/>
  </w:num>
  <w:num w:numId="4">
    <w:abstractNumId w:val="26"/>
  </w:num>
  <w:num w:numId="5">
    <w:abstractNumId w:val="25"/>
  </w:num>
  <w:num w:numId="6">
    <w:abstractNumId w:val="24"/>
  </w:num>
  <w:num w:numId="7">
    <w:abstractNumId w:val="6"/>
  </w:num>
  <w:num w:numId="8">
    <w:abstractNumId w:val="23"/>
  </w:num>
  <w:num w:numId="9">
    <w:abstractNumId w:val="31"/>
  </w:num>
  <w:num w:numId="10">
    <w:abstractNumId w:val="18"/>
  </w:num>
  <w:num w:numId="11">
    <w:abstractNumId w:val="5"/>
  </w:num>
  <w:num w:numId="12">
    <w:abstractNumId w:val="2"/>
  </w:num>
  <w:num w:numId="13">
    <w:abstractNumId w:val="16"/>
  </w:num>
  <w:num w:numId="14">
    <w:abstractNumId w:val="14"/>
  </w:num>
  <w:num w:numId="15">
    <w:abstractNumId w:val="11"/>
  </w:num>
  <w:num w:numId="16">
    <w:abstractNumId w:val="1"/>
  </w:num>
  <w:num w:numId="17">
    <w:abstractNumId w:val="22"/>
  </w:num>
  <w:num w:numId="18">
    <w:abstractNumId w:val="3"/>
  </w:num>
  <w:num w:numId="19">
    <w:abstractNumId w:val="19"/>
  </w:num>
  <w:num w:numId="20">
    <w:abstractNumId w:val="13"/>
  </w:num>
  <w:num w:numId="21">
    <w:abstractNumId w:val="20"/>
  </w:num>
  <w:num w:numId="22">
    <w:abstractNumId w:val="8"/>
  </w:num>
  <w:num w:numId="23">
    <w:abstractNumId w:val="28"/>
  </w:num>
  <w:num w:numId="24">
    <w:abstractNumId w:val="12"/>
  </w:num>
  <w:num w:numId="25">
    <w:abstractNumId w:val="4"/>
  </w:num>
  <w:num w:numId="26">
    <w:abstractNumId w:val="30"/>
  </w:num>
  <w:num w:numId="27">
    <w:abstractNumId w:val="29"/>
  </w:num>
  <w:num w:numId="28">
    <w:abstractNumId w:val="7"/>
  </w:num>
  <w:num w:numId="29">
    <w:abstractNumId w:val="27"/>
  </w:num>
  <w:num w:numId="30">
    <w:abstractNumId w:val="21"/>
  </w:num>
  <w:num w:numId="31">
    <w:abstractNumId w:val="0"/>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zh-CN" w:eastAsia="zh-CN" w:bidi="zh-CN"/>
    </w:rPr>
  </w:style>
  <w:style w:type="paragraph" w:styleId="Heading1">
    <w:name w:val="heading 1"/>
    <w:basedOn w:val="Normal"/>
    <w:uiPriority w:val="1"/>
    <w:qFormat/>
    <w:pPr>
      <w:ind w:left="1149" w:hanging="635"/>
      <w:outlineLvl w:val="0"/>
    </w:pPr>
    <w:rPr>
      <w:rFonts w:ascii="宋体" w:eastAsia="宋体" w:hAnsi="宋体" w:cs="宋体"/>
      <w:b/>
      <w:bCs/>
      <w:sz w:val="21"/>
      <w:szCs w:val="21"/>
      <w:lang w:val="zh-CN" w:eastAsia="zh-CN" w:bidi="zh-CN"/>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20"/>
      <w:ind w:left="232"/>
    </w:pPr>
    <w:rPr>
      <w:rFonts w:ascii="宋体" w:eastAsia="宋体" w:hAnsi="宋体" w:cs="宋体"/>
      <w:b/>
      <w:bCs/>
      <w:sz w:val="21"/>
      <w:szCs w:val="21"/>
      <w:lang w:val="zh-CN" w:eastAsia="zh-CN" w:bidi="zh-CN"/>
    </w:rPr>
  </w:style>
  <w:style w:type="paragraph" w:styleId="TOC2">
    <w:name w:val="toc 2"/>
    <w:basedOn w:val="Normal"/>
    <w:uiPriority w:val="1"/>
    <w:qFormat/>
    <w:pPr>
      <w:spacing w:before="43"/>
      <w:ind w:left="1075" w:hanging="632"/>
    </w:pPr>
    <w:rPr>
      <w:rFonts w:ascii="宋体" w:eastAsia="宋体" w:hAnsi="宋体" w:cs="宋体"/>
      <w:sz w:val="21"/>
      <w:szCs w:val="21"/>
      <w:lang w:val="zh-CN" w:eastAsia="zh-CN" w:bidi="zh-CN"/>
    </w:rPr>
  </w:style>
  <w:style w:type="paragraph" w:styleId="TOC3">
    <w:name w:val="toc 3"/>
    <w:basedOn w:val="Normal"/>
    <w:uiPriority w:val="1"/>
    <w:qFormat/>
    <w:pPr>
      <w:spacing w:before="120"/>
      <w:ind w:left="832" w:hanging="318"/>
    </w:pPr>
    <w:rPr>
      <w:rFonts w:ascii="宋体" w:eastAsia="宋体" w:hAnsi="宋体" w:cs="宋体"/>
      <w:b/>
      <w:bCs/>
      <w:sz w:val="21"/>
      <w:szCs w:val="21"/>
      <w:lang w:val="zh-CN" w:eastAsia="zh-CN" w:bidi="zh-CN"/>
    </w:rPr>
  </w:style>
  <w:style w:type="paragraph" w:styleId="TOC4">
    <w:name w:val="toc 4"/>
    <w:basedOn w:val="Normal"/>
    <w:uiPriority w:val="1"/>
    <w:qFormat/>
    <w:pPr>
      <w:spacing w:before="43"/>
      <w:ind w:left="1253" w:hanging="527"/>
    </w:pPr>
    <w:rPr>
      <w:rFonts w:ascii="宋体" w:eastAsia="宋体" w:hAnsi="宋体" w:cs="宋体"/>
      <w:sz w:val="21"/>
      <w:szCs w:val="21"/>
      <w:lang w:val="zh-CN" w:eastAsia="zh-CN" w:bidi="zh-CN"/>
    </w:rPr>
  </w:style>
  <w:style w:type="paragraph" w:styleId="BodyText">
    <w:name w:val="Body Text"/>
    <w:basedOn w:val="Normal"/>
    <w:uiPriority w:val="1"/>
    <w:qFormat/>
    <w:rPr>
      <w:rFonts w:ascii="宋体" w:eastAsia="宋体" w:hAnsi="宋体" w:cs="宋体"/>
      <w:sz w:val="21"/>
      <w:szCs w:val="21"/>
      <w:lang w:val="zh-CN" w:eastAsia="zh-CN" w:bidi="zh-CN"/>
    </w:rPr>
  </w:style>
  <w:style w:type="paragraph" w:styleId="Title">
    <w:name w:val="Title"/>
    <w:basedOn w:val="Normal"/>
    <w:uiPriority w:val="1"/>
    <w:qFormat/>
    <w:pPr>
      <w:ind w:left="527"/>
      <w:jc w:val="center"/>
    </w:pPr>
    <w:rPr>
      <w:rFonts w:ascii="方正小标宋简体" w:eastAsia="方正小标宋简体" w:hAnsi="方正小标宋简体" w:cs="方正小标宋简体"/>
      <w:sz w:val="48"/>
      <w:szCs w:val="48"/>
      <w:lang w:val="zh-CN" w:eastAsia="zh-CN" w:bidi="zh-CN"/>
    </w:rPr>
  </w:style>
  <w:style w:type="paragraph" w:styleId="ListParagraph">
    <w:name w:val="List Paragraph"/>
    <w:basedOn w:val="Normal"/>
    <w:uiPriority w:val="1"/>
    <w:qFormat/>
    <w:pPr>
      <w:ind w:left="1075"/>
    </w:pPr>
    <w:rPr>
      <w:rFonts w:ascii="宋体" w:eastAsia="宋体" w:hAnsi="宋体" w:cs="宋体"/>
      <w:lang w:val="zh-CN" w:eastAsia="zh-CN" w:bidi="zh-CN"/>
    </w:rPr>
  </w:style>
  <w:style w:type="paragraph" w:customStyle="1" w:styleId="TableParagraph">
    <w:name w:val="Table Paragraph"/>
    <w:basedOn w:val="Normal"/>
    <w:uiPriority w:val="1"/>
    <w:qFormat/>
    <w:pPr>
      <w:spacing w:before="38"/>
      <w:jc w:val="center"/>
    </w:pPr>
    <w:rPr>
      <w:rFonts w:ascii="宋体" w:eastAsia="宋体" w:hAnsi="宋体" w:cs="宋体"/>
      <w:lang w:val="zh-CN" w:eastAsia="zh-CN" w:bidi="zh-CN"/>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hyperlink" Target="https://d.book118.com/557055026034006045" TargetMode="Externa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revision>0</cp:revision>
  <dcterms:created xsi:type="dcterms:W3CDTF">2024-02-29T01:51:40Z</dcterms:created>
  <dcterms:modified xsi:type="dcterms:W3CDTF">2024-02-29T01:51:40Z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2019-06-14T00:00:00Z</vt:filetime>
  </property>
  <property fmtid="{D5CDD505-2E9C-101B-9397-08002B2CF9AE}" pid="3" name="Creator">
    <vt:lpwstr>Acrobat PDFMaker 15 Word 版</vt:lpwstr>
  </property>
  <property fmtid="{D5CDD505-2E9C-101B-9397-08002B2CF9AE}" pid="4" name="LastSaved">
    <vt:filetime>2024-02-29T00:00:00Z</vt:filetime>
  </property>
</Properties>
</file>