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D6688B" w:rsidP="00D6688B" w14:paraId="7B1CD40D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D6688B">
        <w:rPr>
          <w:rFonts w:ascii="华文中宋" w:eastAsia="华文中宋" w:hAnsi="华文中宋"/>
          <w:b/>
          <w:sz w:val="30"/>
        </w:rPr>
        <w:t>2023</w:t>
      </w:r>
      <w:r w:rsidRPr="00D6688B">
        <w:rPr>
          <w:rFonts w:ascii="华文中宋" w:eastAsia="华文中宋" w:hAnsi="华文中宋"/>
          <w:b/>
          <w:sz w:val="30"/>
        </w:rPr>
        <w:t>广西百色市那坡县面向全市中小学校长人才库选聘中小学校长</w:t>
      </w:r>
      <w:r w:rsidRPr="00D6688B">
        <w:rPr>
          <w:rFonts w:ascii="华文中宋" w:eastAsia="华文中宋" w:hAnsi="华文中宋"/>
          <w:b/>
          <w:sz w:val="30"/>
        </w:rPr>
        <w:t>33</w:t>
      </w:r>
      <w:r w:rsidRPr="00D6688B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1BFFFE45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6CA672C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5DE4CF1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《党政机关公文处理工作条例》规定，公文办理包括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DEA53F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、发文办理、收文办理、整理归档</w:t>
      </w:r>
    </w:p>
    <w:p w:rsidR="00AD1216" w14:paraId="11A5038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、起草、审核、签发</w:t>
      </w:r>
    </w:p>
    <w:p w:rsidR="00AD1216" w14:paraId="02860E9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、交拟、拟议、签发</w:t>
      </w:r>
    </w:p>
    <w:p w:rsidR="00AD1216" w14:paraId="6BEB876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、登记、承办、分发</w:t>
      </w:r>
    </w:p>
    <w:p w:rsidR="00AD1216" w14:paraId="45B7847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2C61C397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公文办理包括收文办理、发文办理和整理归档。故选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D99431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一切影响沟通的消极、负面、阻碍因素，在管理学中称为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BAF648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、沟通失真</w:t>
      </w:r>
    </w:p>
    <w:p w:rsidR="00AD1216" w14:paraId="52B172F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、沟通损耗</w:t>
      </w:r>
    </w:p>
    <w:p w:rsidR="00AD1216" w14:paraId="7C93CC8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、沟通噪音</w:t>
      </w:r>
    </w:p>
    <w:p w:rsidR="00AD1216" w14:paraId="4D1A9210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、背景噪音</w:t>
      </w:r>
    </w:p>
    <w:p w:rsidR="00AD1216" w14:paraId="0F62580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4AD84482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噪音是影响沟通的一切消极、负面因素。通常可以把沟通噪音定义为妨碍资讯沟通的任何因素。它存在于沟通过程的各个环节，并有可能造成资讯损耗或失真。典型的噪音主要包括发送噪音、传输噪音、接受噪音、系统噪音、环境噪音和背景噪音及数量噪音七大噪音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5C9170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我国现行立法采取的是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立法观点。</w:t>
      </w:r>
    </w:p>
    <w:p w:rsidR="00AD1216" w14:paraId="6E844AC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、民商分立</w:t>
      </w:r>
    </w:p>
    <w:p w:rsidR="00AD1216" w14:paraId="643627E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、民商合一</w:t>
      </w:r>
    </w:p>
    <w:p w:rsidR="00AD1216" w14:paraId="0CA4F6B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、民法优先</w:t>
      </w:r>
    </w:p>
    <w:p w:rsidR="00AD1216" w14:paraId="2F99E71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、商事优先</w:t>
      </w:r>
    </w:p>
    <w:p w:rsidR="00AD1216" w14:paraId="3E42DC3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2607A7D7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项错误，民商分立是指在民法典之外，另行制定商法典，民法典与商法典并存。采用民商分立的国家主要有法国、德国、日本以及以它们为模板的许多大陆法系国家。我国并未采取民商分立的立法观点。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项正确，民商合一是指民事和商事统一立法，将商事方面的内容编入民法典中，或以单行法规的形式出现。我国采取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民商合一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的立法形式，其理由在于：</w:t>
      </w:r>
      <w:r w:rsidRPr="00AD1216">
        <w:rPr>
          <w:rFonts w:ascii="微软雅黑" w:eastAsia="微软雅黑" w:cs="微软雅黑"/>
          <w:szCs w:val="14"/>
        </w:rPr>
        <w:t>1.</w:t>
      </w:r>
      <w:r w:rsidRPr="00AD1216">
        <w:rPr>
          <w:rFonts w:ascii="微软雅黑" w:eastAsia="微软雅黑" w:cs="微软雅黑"/>
          <w:szCs w:val="14"/>
        </w:rPr>
        <w:t>由于民法的商事化和商法的民事化，已经使得民商法的关系愈加密切</w:t>
      </w:r>
      <w:r w:rsidRPr="00AD1216">
        <w:rPr>
          <w:rFonts w:ascii="微软雅黑" w:eastAsia="微软雅黑" w:cs="微软雅黑"/>
          <w:szCs w:val="14"/>
        </w:rPr>
        <w:t>;2.</w:t>
      </w:r>
      <w:r w:rsidRPr="00AD1216">
        <w:rPr>
          <w:rFonts w:ascii="微软雅黑" w:eastAsia="微软雅黑" w:cs="微软雅黑"/>
          <w:szCs w:val="14"/>
        </w:rPr>
        <w:t>世界和中国的立法实践证明民商合一是可行的</w:t>
      </w:r>
      <w:r w:rsidRPr="00AD1216">
        <w:rPr>
          <w:rFonts w:ascii="微软雅黑" w:eastAsia="微软雅黑" w:cs="微软雅黑"/>
          <w:szCs w:val="14"/>
        </w:rPr>
        <w:t>;3.</w:t>
      </w:r>
      <w:r w:rsidRPr="00AD1216">
        <w:rPr>
          <w:rFonts w:ascii="微软雅黑" w:eastAsia="微软雅黑" w:cs="微软雅黑"/>
          <w:szCs w:val="14"/>
        </w:rPr>
        <w:t>建立社会主义市场经济法律体系的需要。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项、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项错误，一般法系中都不存在民法优先和商事优先观点。目前的主流观点为民商分立和民商合一两种。故选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EBEA5D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王芳将自己所有的一套房子卖给陆七，但王芳由于孩子上学还想再住一段时间，遂又与陆七达成协议，暂时租住两个月，陆七表示应允，陆七取得该房子所有权的交付方法为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2EE096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、简易交付</w:t>
      </w:r>
    </w:p>
    <w:p w:rsidR="00AD1216" w14:paraId="40EC2A8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、指示交付</w:t>
      </w:r>
    </w:p>
    <w:p w:rsidR="00AD1216" w14:paraId="3F297DE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、占有改定</w:t>
      </w:r>
    </w:p>
    <w:p w:rsidR="00AD1216" w14:paraId="35CED09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、拟制交付</w:t>
      </w:r>
    </w:p>
    <w:p w:rsidR="00AD1216" w14:paraId="5A2619D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02BAEC4F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《中华人民共和国物权法》规定：不动产物权的设立、变更、转让和消灭，应当依照法律规定登记。动产物权的设立和转让，应当依照法律规定交付。交付包括现实交付与拟制交付。现实交付是指动产物权的让与人，将其对于动产的现实的直接支配力，移转于受让人。拟制交付包括简易交付、占有改定及指示交付。简易交付是指在买卖合同订立前买受人已经实际占有标的物时，则合同一经成立即视为交付完成，此前买受人虽然占有标的物，但不享有所有权，合同成立时转移的只是所有权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指示交付是指在标的物由第三人占有的情况下，出卖人将要求第三人返还标的物的请求权让与买受人，以此代替标的物的实际交付，这种返还请求权正是标的物所有权的体现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占有改定是指买卖合同约定，买受人取得标的物的所有权，但标的物在约定的期间仍由出卖人占有，此种交付中虽不转移占有，仅转移所有权，但仍能完成交付。本案中，王芳将房子卖给陆七，陆七取得房子所有权，但约定由王芳继续租用两个月。符合占有改定的构成要件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  <w:r>
        <w:rPr>
          <w:color w:val="4066F4"/>
        </w:rPr>
        <w:br/>
      </w:r>
      <w:r>
        <w:rPr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https://d.book118.com/557104135061006040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688B" w:rsidP="001A6525" w14:paraId="175D496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6688B" w14:paraId="3800D21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688B" w:rsidP="001A6525" w14:paraId="70D67844" w14:textId="0BFC6A9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6688B" w14:paraId="0AB4E02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688B" w14:paraId="4292C36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688B" w:rsidP="001A65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6688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688B" w:rsidP="001A6525" w14:textId="0BFC6A9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6688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688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688B" w:rsidP="001A65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6688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688B" w:rsidP="001A6525" w14:textId="0BFC6A9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6688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688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688B" w14:paraId="340666A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688B" w14:paraId="5B479099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688B" w14:paraId="18AFD0E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688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688B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688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688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688B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688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1A6525"/>
    <w:rsid w:val="00A77B3E"/>
    <w:rsid w:val="00AD1216"/>
    <w:rsid w:val="00CA2A55"/>
    <w:rsid w:val="00D6688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7B029CF"/>
  <w15:docId w15:val="{C5E7E987-D34F-4F0E-BA06-7238779224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D6688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D6688B"/>
    <w:rPr>
      <w:sz w:val="18"/>
      <w:szCs w:val="18"/>
    </w:rPr>
  </w:style>
  <w:style w:type="paragraph" w:styleId="Footer">
    <w:name w:val="footer"/>
    <w:basedOn w:val="Normal"/>
    <w:link w:val="a0"/>
    <w:rsid w:val="00D6688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D6688B"/>
    <w:rPr>
      <w:sz w:val="18"/>
      <w:szCs w:val="18"/>
    </w:rPr>
  </w:style>
  <w:style w:type="character" w:styleId="PageNumber">
    <w:name w:val="page number"/>
    <w:basedOn w:val="DefaultParagraphFont"/>
    <w:rsid w:val="00D668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5710413506100604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3474</Words>
  <Characters>19803</Characters>
  <Application>Microsoft Office Word</Application>
  <DocSecurity>0</DocSecurity>
  <Lines>165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2024-02-06T12:39:00Z</dcterms:created>
  <dcterms:modified xsi:type="dcterms:W3CDTF">2024-02-06T12:39:00Z</dcterms:modified>
</cp:coreProperties>
</file>