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64" w:lineRule="auto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6010656</wp:posOffset>
            </wp:positionH>
            <wp:positionV relativeFrom="page">
              <wp:posOffset>0</wp:posOffset>
            </wp:positionV>
            <wp:extent cx="6181343" cy="6857997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343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spacing w:before="260" w:line="201" w:lineRule="auto"/>
        <w:ind w:left="296"/>
        <w:outlineLvl w:val="0"/>
        <w:rPr>
          <w:rFonts w:ascii="SimSun" w:eastAsia="SimSun" w:hAnsi="SimSun" w:cs="SimSun"/>
          <w:sz w:val="80"/>
          <w:szCs w:val="80"/>
        </w:rPr>
      </w:pPr>
      <w:r>
        <w:rPr>
          <w:rFonts w:ascii="Georgia" w:eastAsia="Georgia" w:hAnsi="Georgia" w:cs="Georgia"/>
          <w:spacing w:val="-4"/>
          <w:sz w:val="80"/>
          <w:szCs w:val="80"/>
        </w:rPr>
        <w:t>2024</w:t>
      </w:r>
      <w:r>
        <w:rPr>
          <w:rFonts w:ascii="SimSun" w:eastAsia="SimSun" w:hAnsi="SimSun" w:cs="SimSun"/>
          <w:spacing w:val="-4"/>
          <w:sz w:val="80"/>
          <w:szCs w:val="80"/>
        </w:rPr>
        <w:t>年全球并购趋势</w:t>
      </w:r>
    </w:p>
    <w:p>
      <w:pPr>
        <w:spacing w:before="1" w:line="187" w:lineRule="auto"/>
        <w:ind w:left="290"/>
        <w:rPr>
          <w:rFonts w:ascii="SimSun" w:eastAsia="SimSun" w:hAnsi="SimSun" w:cs="SimSun"/>
          <w:sz w:val="80"/>
          <w:szCs w:val="80"/>
        </w:rPr>
      </w:pPr>
      <w:r>
        <w:rPr>
          <w:rFonts w:ascii="SimSun" w:eastAsia="SimSun" w:hAnsi="SimSun" w:cs="SimSun"/>
          <w:spacing w:val="-2"/>
          <w:sz w:val="80"/>
          <w:szCs w:val="80"/>
        </w:rPr>
        <w:t>展望：能源、公用事业</w:t>
      </w:r>
    </w:p>
    <w:p>
      <w:pPr>
        <w:spacing w:line="213" w:lineRule="auto"/>
        <w:ind w:left="281"/>
        <w:rPr>
          <w:rFonts w:ascii="SimSun" w:eastAsia="SimSun" w:hAnsi="SimSun" w:cs="SimSun"/>
          <w:sz w:val="80"/>
          <w:szCs w:val="80"/>
        </w:rPr>
      </w:pPr>
      <w:r>
        <w:rPr>
          <w:rFonts w:ascii="SimSun" w:eastAsia="SimSun" w:hAnsi="SimSun" w:cs="SimSun"/>
          <w:spacing w:val="-4"/>
          <w:sz w:val="80"/>
          <w:szCs w:val="80"/>
        </w:rPr>
        <w:t>及资源市场</w:t>
      </w:r>
    </w:p>
    <w:p>
      <w:pPr>
        <w:pStyle w:val="BodyText"/>
        <w:spacing w:line="415" w:lineRule="auto"/>
      </w:pPr>
    </w:p>
    <w:p>
      <w:pPr>
        <w:pStyle w:val="BodyText"/>
        <w:spacing w:before="104" w:line="221" w:lineRule="auto"/>
        <w:ind w:left="406"/>
        <w:rPr>
          <w:rFonts w:ascii="SimHei" w:eastAsia="SimHei" w:hAnsi="SimHei" w:cs="SimHei"/>
          <w:sz w:val="32"/>
          <w:szCs w:val="32"/>
        </w:rPr>
      </w:pPr>
      <w:r>
        <w:rPr>
          <w:spacing w:val="-1"/>
          <w:sz w:val="32"/>
          <w:szCs w:val="32"/>
        </w:rPr>
        <w:t>2024</w:t>
      </w:r>
      <w:r>
        <w:rPr>
          <w:rFonts w:ascii="SimHei" w:eastAsia="SimHei" w:hAnsi="SimHei" w:cs="SimHei"/>
          <w:spacing w:val="-1"/>
          <w:sz w:val="32"/>
          <w:szCs w:val="32"/>
        </w:rPr>
        <w:t>年</w:t>
      </w:r>
      <w:r>
        <w:rPr>
          <w:spacing w:val="-1"/>
          <w:sz w:val="32"/>
          <w:szCs w:val="32"/>
        </w:rPr>
        <w:t>2</w:t>
      </w:r>
      <w:r>
        <w:rPr>
          <w:rFonts w:ascii="SimHei" w:eastAsia="SimHei" w:hAnsi="SimHei" w:cs="SimHei"/>
          <w:spacing w:val="-1"/>
          <w:sz w:val="32"/>
          <w:szCs w:val="32"/>
        </w:rPr>
        <w:t>月</w:t>
      </w: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  <w:sectPr>
          <w:pgSz w:w="19200" w:h="10800"/>
          <w:pgMar w:top="0" w:right="0" w:bottom="0" w:left="695" w:header="0" w:footer="0" w:gutter="0"/>
          <w:cols w:space="708"/>
        </w:sectPr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line="1421" w:lineRule="exact"/>
      </w:pPr>
      <w:r>
        <w:rPr>
          <w:position w:val="-28"/>
        </w:rPr>
        <w:drawing>
          <wp:inline distT="0" distB="0" distL="0" distR="0">
            <wp:extent cx="2487167" cy="90220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7167" cy="90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21" w:lineRule="exact"/>
        <w:sectPr>
          <w:type w:val="nextPage"/>
          <w:pgSz w:w="19200" w:h="10800"/>
          <w:pgMar w:top="0" w:right="0" w:bottom="0" w:left="695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53" w:lineRule="auto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5782055</wp:posOffset>
            </wp:positionH>
            <wp:positionV relativeFrom="page">
              <wp:posOffset>0</wp:posOffset>
            </wp:positionV>
            <wp:extent cx="6409944" cy="68580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9944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spacing w:before="315" w:line="1337" w:lineRule="exact"/>
        <w:outlineLvl w:val="0"/>
        <w:rPr>
          <w:rFonts w:ascii="Georgia" w:eastAsia="Georgia" w:hAnsi="Georgia" w:cs="Georgia"/>
          <w:sz w:val="111"/>
          <w:szCs w:val="111"/>
        </w:rPr>
      </w:pPr>
      <w:r>
        <w:rPr>
          <w:rFonts w:ascii="Georgia" w:eastAsia="Georgia" w:hAnsi="Georgia" w:cs="Georgia"/>
          <w:spacing w:val="189"/>
          <w:w w:val="139"/>
          <w:position w:val="11"/>
          <w:sz w:val="111"/>
          <w:szCs w:val="111"/>
        </w:rPr>
        <w:t>01</w:t>
      </w:r>
    </w:p>
    <w:p>
      <w:pPr>
        <w:spacing w:before="490" w:line="220" w:lineRule="auto"/>
        <w:ind w:left="115"/>
        <w:rPr>
          <w:rFonts w:ascii="SimSun" w:eastAsia="SimSun" w:hAnsi="SimSun" w:cs="SimSun"/>
          <w:sz w:val="80"/>
          <w:szCs w:val="80"/>
        </w:rPr>
      </w:pPr>
      <w:r>
        <w:rPr>
          <w:rFonts w:ascii="SimSun" w:eastAsia="SimSun" w:hAnsi="SimSun" w:cs="SimSun"/>
          <w:spacing w:val="-7"/>
          <w:sz w:val="80"/>
          <w:szCs w:val="80"/>
        </w:rPr>
        <w:t>概览</w:t>
      </w:r>
    </w:p>
    <w:p>
      <w:pPr>
        <w:pStyle w:val="BodyText"/>
        <w:spacing w:before="74" w:line="495" w:lineRule="exact"/>
        <w:ind w:left="94"/>
        <w:rPr>
          <w:rFonts w:ascii="SimHei" w:eastAsia="SimHei" w:hAnsi="SimHei" w:cs="SimHei"/>
          <w:sz w:val="36"/>
          <w:szCs w:val="36"/>
        </w:rPr>
      </w:pPr>
      <w:r>
        <w:rPr>
          <w:position w:val="9"/>
          <w:sz w:val="36"/>
          <w:szCs w:val="36"/>
        </w:rPr>
        <w:t>2024</w:t>
      </w:r>
      <w:r>
        <w:rPr>
          <w:rFonts w:ascii="SimHei" w:eastAsia="SimHei" w:hAnsi="SimHei" w:cs="SimHei"/>
          <w:position w:val="9"/>
          <w:sz w:val="36"/>
          <w:szCs w:val="36"/>
        </w:rPr>
        <w:t>年，能源转型持续受到投资者青睐，能源、公</w:t>
      </w:r>
    </w:p>
    <w:p>
      <w:pPr>
        <w:spacing w:line="218" w:lineRule="auto"/>
        <w:ind w:left="103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3"/>
          <w:sz w:val="36"/>
          <w:szCs w:val="36"/>
        </w:rPr>
        <w:t>用事业和资源领域将会成为并购市场的一大亮点。</w:t>
      </w:r>
    </w:p>
    <w:p>
      <w:pPr>
        <w:spacing w:line="218" w:lineRule="auto"/>
        <w:rPr>
          <w:rFonts w:ascii="SimHei" w:eastAsia="SimHei" w:hAnsi="SimHei" w:cs="SimHei"/>
          <w:sz w:val="36"/>
          <w:szCs w:val="36"/>
        </w:rPr>
        <w:sectPr>
          <w:pgSz w:w="19200" w:h="10800"/>
          <w:pgMar w:top="0" w:right="0" w:bottom="0" w:left="798" w:header="0" w:footer="0" w:gutter="0"/>
          <w:pgNumType w:start="3"/>
          <w:cols w:space="708"/>
        </w:sectPr>
      </w:pPr>
    </w:p>
    <w:p>
      <w:pPr>
        <w:spacing w:line="2398" w:lineRule="exact"/>
      </w:pPr>
      <w:r>
        <w:rPr>
          <w:position w:val="-47"/>
        </w:rPr>
        <w:pict>
          <v:group id="_x0000_i1025" style="width:960pt;height:120pt;mso-position-horizontal-relative:char;mso-position-vertical-relative:line" coordorigin="0,0" coordsize="19200,2400" filled="f" stroked="f">
            <v:rect id="_x0000_s1026" style="width:19200;height:2185;position:absolute" filled="t" fillcolor="#e0301e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3201;height:2440;left:-15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446" w:lineRule="exact"/>
                      <w:ind w:right="20"/>
                      <w:jc w:val="right"/>
                    </w:pPr>
                    <w:r>
                      <w:rPr>
                        <w:position w:val="-9"/>
                      </w:rPr>
                      <w:drawing>
                        <wp:inline distT="0" distB="0" distL="0" distR="0">
                          <wp:extent cx="143256" cy="283464"/>
                          <wp:effectExtent l="0" t="0" r="0" b="0"/>
                          <wp:docPr id="8" name="IM 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IM 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3256" cy="28346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197" w:line="217" w:lineRule="auto"/>
                      <w:ind w:left="236"/>
                      <w:outlineLvl w:val="0"/>
                      <w:rPr>
                        <w:rFonts w:ascii="SimSun" w:eastAsia="SimSun" w:hAnsi="SimSun" w:cs="SimSun"/>
                        <w:sz w:val="63"/>
                        <w:szCs w:val="63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position w:val="-33"/>
                        <w:sz w:val="63"/>
                        <w:szCs w:val="63"/>
                      </w:rPr>
                      <w:drawing>
                        <wp:inline distT="0" distB="0" distL="0" distR="0">
                          <wp:extent cx="137160" cy="137160"/>
                          <wp:effectExtent l="0" t="0" r="0" b="0"/>
                          <wp:docPr id="10" name="IM 1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IM 10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7160" cy="1371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11"/>
                        <w:sz w:val="63"/>
                        <w:szCs w:val="6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3"/>
                        <w:sz w:val="63"/>
                        <w:szCs w:val="63"/>
                      </w:rPr>
                      <w:t>并购趋势及</w:t>
                    </w:r>
                    <w:r>
                      <w:rPr>
                        <w:rFonts w:ascii="Georgia" w:eastAsia="Georgia" w:hAnsi="Georgia" w:cs="Georgia"/>
                        <w:color w:val="FFFFFF"/>
                        <w:spacing w:val="3"/>
                        <w:sz w:val="63"/>
                        <w:szCs w:val="63"/>
                      </w:rPr>
                      <w:t>2024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3"/>
                        <w:sz w:val="63"/>
                        <w:szCs w:val="63"/>
                      </w:rPr>
                      <w:t>展望</w:t>
                    </w:r>
                  </w:p>
                  <w:p>
                    <w:pPr>
                      <w:spacing w:before="4" w:line="648" w:lineRule="exact"/>
                      <w:ind w:left="236"/>
                    </w:pPr>
                    <w:r>
                      <w:rPr>
                        <w:position w:val="-13"/>
                      </w:rPr>
                      <w:drawing>
                        <wp:inline distT="0" distB="0" distL="0" distR="0">
                          <wp:extent cx="548640" cy="411480"/>
                          <wp:effectExtent l="0" t="0" r="0" b="0"/>
                          <wp:docPr id="12" name="IM 1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IM 1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48640" cy="4114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215" w:lineRule="exact"/>
                      <w:ind w:left="20"/>
                    </w:pPr>
                    <w:r>
                      <w:rPr>
                        <w:position w:val="-4"/>
                      </w:rPr>
                      <w:drawing>
                        <wp:inline distT="0" distB="0" distL="0" distR="0">
                          <wp:extent cx="137161" cy="137159"/>
                          <wp:effectExtent l="0" t="0" r="0" b="0"/>
                          <wp:docPr id="14" name="IM 1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IM 1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7161" cy="1371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28" style="width:1080;height:1085;left:17884;position:absolute;top:254" coordorigin="0,0" coordsize="1080,1085" path="m122,215l,338l,355l139,215l122,215xem,252l,268l52,215l36,215l,252xem215,215l210,215l,423l,432l6,432l215,225l215,215xem79,215l,295l,312l95,215l79,215xem182,215l165,215l,381l,398l182,215xem89,432l215,309l215,292l71,432l89,432xem9,215l,215l,225l9,215xem215,391l215,379l158,432l171,432l215,391xem215,336l115,432l132,432l215,352l215,336xem215,249l28,432l45,432l215,266l215,249xem770,868l647,991l647,1008l787,868l770,868xem647,905l647,921l700,868l684,868l647,905xem864,868l857,868l647,1076l647,1084l654,1084l864,877l864,868xem727,868l647,948l647,964l744,868l727,868xem830,868l813,868l647,1034l647,1051l830,868xem849,1084l864,1084l864,1070l849,1084xem741,1084l864,962l864,945l724,1084l741,1084xem657,868l647,868l647,878l657,868xem864,1044l864,1032l811,1084l823,1084l864,1044xem864,988l767,1084l784,1084l864,1005l864,988xem864,902l681,1084l698,1084l864,919l864,902xem864,215l864,l1080,l1080,215l864,215l864,215xem211,432l211,215l864,215l864,432l211,432l211,432xem864,868l647,868l647,215l864,215l864,868l864,868xe" filled="t" fillcolor="white" stroked="f"/>
            <v:group id="_x0000_s1029" style="width:447;height:226;left:18753;position:absolute;top:1766" coordorigin="0,0" coordsize="447,226" filled="f" stroked="f">
              <v:shape id="_x0000_s1030" style="width:226;height:226;left:220;position:absolute" coordorigin="0,0" coordsize="226,226" path="m98,l225,126l225,144l81,l98,xem225,39l225,57l167,l185,l225,39xem,l6,l225,216l225,225l219,225l,9l,xem141,l225,83l225,100l124,l141,xem33,l50,l225,170l225,187l33,xem130,225l,98l,81l148,225l130,225xem215,l225,l225,14l215,xem,180l,167l57,225l44,225l,180xem,124l105,225l87,225l,142l,124xem,38l191,225l174,225l,55l,38xe" filled="t" fillcolor="#464646" stroked="f"/>
              <v:shape id="_x0000_s1031" style="width:226;height:226;position:absolute" coordorigin="0,0" coordsize="226,226" path="m225,225l225,l,l,225l225,225l225,225xe" filled="t" fillcolor="#eb8c00" stroked="f"/>
            </v:group>
            <w10:wrap type="none"/>
          </v:group>
        </w:pict>
      </w:r>
    </w:p>
    <w:p>
      <w:pPr>
        <w:spacing w:before="199"/>
      </w:pPr>
    </w:p>
    <w:tbl>
      <w:tblPr>
        <w:tblStyle w:val="TableNormal0"/>
        <w:tblW w:w="18568" w:type="dxa"/>
        <w:tblInd w:w="316" w:type="dxa"/>
        <w:tblBorders>
          <w:top w:val="single" w:sz="6" w:space="0" w:color="F2F2F2"/>
          <w:left w:val="single" w:sz="4" w:space="0" w:color="F2F2F2"/>
          <w:bottom w:val="single" w:sz="6" w:space="0" w:color="F2F2F2"/>
          <w:right w:val="single" w:sz="6" w:space="0" w:color="F2F2F2"/>
        </w:tblBorders>
        <w:shd w:val="clear" w:color="auto" w:fill="F2F2F2"/>
        <w:tblLayout w:type="fixed"/>
      </w:tblPr>
      <w:tblGrid>
        <w:gridCol w:w="18568"/>
      </w:tblGrid>
      <w:tr>
        <w:tblPrEx>
          <w:tblW w:w="18568" w:type="dxa"/>
          <w:tblInd w:w="316" w:type="dxa"/>
          <w:tblBorders>
            <w:top w:val="single" w:sz="6" w:space="0" w:color="F2F2F2"/>
            <w:left w:val="single" w:sz="4" w:space="0" w:color="F2F2F2"/>
            <w:bottom w:val="single" w:sz="6" w:space="0" w:color="F2F2F2"/>
            <w:right w:val="single" w:sz="6" w:space="0" w:color="F2F2F2"/>
          </w:tblBorders>
          <w:shd w:val="clear" w:color="auto" w:fill="F2F2F2"/>
          <w:tblLayout w:type="fixed"/>
        </w:tblPrEx>
        <w:trPr>
          <w:trHeight w:val="1386"/>
        </w:trPr>
        <w:tc>
          <w:tcPr>
            <w:tcW w:w="18568" w:type="dxa"/>
            <w:shd w:val="clear" w:color="auto" w:fill="F2F2F2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8" w:line="246" w:lineRule="auto"/>
              <w:ind w:left="348" w:right="262" w:hanging="7"/>
            </w:pPr>
            <w:r>
              <w:rPr>
                <w:spacing w:val="9"/>
              </w:rPr>
              <w:t>在整体经济前景不明朗的背景下，能源、公用事业和资源（</w:t>
            </w:r>
            <w:r>
              <w:rPr>
                <w:rFonts w:ascii="Arial" w:eastAsia="Arial" w:hAnsi="Arial" w:cs="Arial"/>
              </w:rPr>
              <w:t>EU</w:t>
            </w:r>
            <w:r>
              <w:rPr>
                <w:rFonts w:ascii="Arial" w:eastAsia="Arial" w:hAnsi="Arial" w:cs="Arial"/>
                <w:spacing w:val="9"/>
              </w:rPr>
              <w:t>&amp;R</w:t>
            </w:r>
            <w:r>
              <w:rPr>
                <w:spacing w:val="9"/>
              </w:rPr>
              <w:t>）市场仍被视为</w:t>
            </w:r>
            <w:r>
              <w:rPr>
                <w:rFonts w:ascii="Arial" w:eastAsia="Arial" w:hAnsi="Arial" w:cs="Arial"/>
                <w:spacing w:val="9"/>
              </w:rPr>
              <w:t>2024</w:t>
            </w:r>
            <w:r>
              <w:rPr>
                <w:spacing w:val="9"/>
              </w:rPr>
              <w:t>年并购活动的亮点。预计</w:t>
            </w:r>
            <w:r>
              <w:rPr>
                <w:rFonts w:ascii="Arial" w:eastAsia="Arial" w:hAnsi="Arial" w:cs="Arial"/>
                <w:spacing w:val="9"/>
              </w:rPr>
              <w:t>2024</w:t>
            </w:r>
            <w:r>
              <w:rPr>
                <w:spacing w:val="9"/>
              </w:rPr>
              <w:t>年能源、公用事业和资源市场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交易额和交易量将维持上升趋势。</w:t>
            </w:r>
          </w:p>
        </w:tc>
      </w:tr>
    </w:tbl>
    <w:p>
      <w:pPr>
        <w:spacing w:before="60"/>
      </w:pPr>
    </w:p>
    <w:tbl>
      <w:tblPr>
        <w:tblStyle w:val="TableNormal0"/>
        <w:tblW w:w="18566" w:type="dxa"/>
        <w:tblInd w:w="285" w:type="dxa"/>
        <w:tblBorders>
          <w:top w:val="single" w:sz="6" w:space="0" w:color="F2F2F2"/>
          <w:left w:val="single" w:sz="6" w:space="0" w:color="F2F2F2"/>
          <w:bottom w:val="single" w:sz="6" w:space="0" w:color="F2F2F2"/>
          <w:right w:val="single" w:sz="6" w:space="0" w:color="F2F2F2"/>
        </w:tblBorders>
        <w:shd w:val="clear" w:color="auto" w:fill="F2F2F2"/>
        <w:tblLayout w:type="fixed"/>
      </w:tblPr>
      <w:tblGrid>
        <w:gridCol w:w="18566"/>
      </w:tblGrid>
      <w:tr>
        <w:tblPrEx>
          <w:tblW w:w="18566" w:type="dxa"/>
          <w:tblInd w:w="285" w:type="dxa"/>
          <w:tblBorders>
            <w:top w:val="single" w:sz="6" w:space="0" w:color="F2F2F2"/>
            <w:left w:val="single" w:sz="6" w:space="0" w:color="F2F2F2"/>
            <w:bottom w:val="single" w:sz="6" w:space="0" w:color="F2F2F2"/>
            <w:right w:val="single" w:sz="6" w:space="0" w:color="F2F2F2"/>
          </w:tblBorders>
          <w:shd w:val="clear" w:color="auto" w:fill="F2F2F2"/>
          <w:tblLayout w:type="fixed"/>
        </w:tblPrEx>
        <w:trPr>
          <w:trHeight w:val="2274"/>
        </w:trPr>
        <w:tc>
          <w:tcPr>
            <w:tcW w:w="18566" w:type="dxa"/>
            <w:shd w:val="clear" w:color="auto" w:fill="F2F2F2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8" w:line="253" w:lineRule="auto"/>
              <w:ind w:left="304" w:right="341"/>
              <w:jc w:val="both"/>
            </w:pPr>
            <w:r>
              <w:rPr>
                <w:spacing w:val="8"/>
              </w:rPr>
              <w:t>投资者围绕“能源转型将成为实现净零排放目标的关键一环”这一主题</w:t>
            </w:r>
            <w:r>
              <w:rPr>
                <w:spacing w:val="7"/>
              </w:rPr>
              <w:t>而持续投资能源、公用事业和资源市场。随着投资者队伍不断扩大，</w:t>
            </w:r>
            <w:r>
              <w:rPr>
                <w:spacing w:val="7"/>
              </w:rPr>
              <w:t xml:space="preserve"> </w:t>
            </w:r>
            <w:r>
              <w:rPr>
                <w:spacing w:val="7"/>
              </w:rPr>
              <w:t>更多全</w:t>
            </w:r>
            <w:r>
              <w:t xml:space="preserve"> </w:t>
            </w:r>
            <w:r>
              <w:rPr>
                <w:spacing w:val="7"/>
              </w:rPr>
              <w:t>球资本投入行业并购活动以及“绿地”（新建投资）</w:t>
            </w:r>
            <w:r>
              <w:rPr>
                <w:spacing w:val="-30"/>
              </w:rPr>
              <w:t xml:space="preserve"> </w:t>
            </w:r>
            <w:r>
              <w:rPr>
                <w:spacing w:val="7"/>
              </w:rPr>
              <w:t>和“棕地”（</w:t>
            </w:r>
            <w:r>
              <w:rPr>
                <w:spacing w:val="6"/>
              </w:rPr>
              <w:t>存量项目更新）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项目当中。由于投资重点可能从不符合向净零转型的趋势的资产</w:t>
            </w:r>
            <w:r>
              <w:t xml:space="preserve"> </w:t>
            </w:r>
            <w:r>
              <w:rPr>
                <w:spacing w:val="7"/>
              </w:rPr>
              <w:t>转向符合净零趋势的资产，部分细分行业或不可避免出现融资难现象。在这种情况下，</w:t>
            </w:r>
            <w:r>
              <w:rPr>
                <w:spacing w:val="51"/>
              </w:rPr>
              <w:t xml:space="preserve"> </w:t>
            </w:r>
            <w:r>
              <w:rPr>
                <w:spacing w:val="7"/>
              </w:rPr>
              <w:t>资产负债表稳健的公司将处于</w:t>
            </w:r>
            <w:r>
              <w:rPr>
                <w:spacing w:val="6"/>
              </w:rPr>
              <w:t>有利地位，能够充分挖掘潜在</w:t>
            </w:r>
            <w:r>
              <w:t xml:space="preserve"> </w:t>
            </w:r>
            <w:r>
              <w:rPr>
                <w:spacing w:val="1"/>
              </w:rPr>
              <w:t>的交易和机遇，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从而创造出更大的价值。</w:t>
            </w:r>
          </w:p>
        </w:tc>
      </w:tr>
    </w:tbl>
    <w:p>
      <w:pPr>
        <w:spacing w:before="60"/>
      </w:pPr>
    </w:p>
    <w:tbl>
      <w:tblPr>
        <w:tblStyle w:val="TableNormal0"/>
        <w:tblW w:w="18568" w:type="dxa"/>
        <w:tblInd w:w="316" w:type="dxa"/>
        <w:tblBorders>
          <w:top w:val="single" w:sz="6" w:space="0" w:color="F2F2F2"/>
          <w:left w:val="single" w:sz="4" w:space="0" w:color="F2F2F2"/>
          <w:bottom w:val="single" w:sz="6" w:space="0" w:color="F2F2F2"/>
          <w:right w:val="single" w:sz="6" w:space="0" w:color="F2F2F2"/>
        </w:tblBorders>
        <w:shd w:val="clear" w:color="auto" w:fill="F2F2F2"/>
        <w:tblLayout w:type="fixed"/>
      </w:tblPr>
      <w:tblGrid>
        <w:gridCol w:w="18568"/>
      </w:tblGrid>
      <w:tr>
        <w:tblPrEx>
          <w:tblW w:w="18568" w:type="dxa"/>
          <w:tblInd w:w="316" w:type="dxa"/>
          <w:tblBorders>
            <w:top w:val="single" w:sz="6" w:space="0" w:color="F2F2F2"/>
            <w:left w:val="single" w:sz="4" w:space="0" w:color="F2F2F2"/>
            <w:bottom w:val="single" w:sz="6" w:space="0" w:color="F2F2F2"/>
            <w:right w:val="single" w:sz="6" w:space="0" w:color="F2F2F2"/>
          </w:tblBorders>
          <w:shd w:val="clear" w:color="auto" w:fill="F2F2F2"/>
          <w:tblLayout w:type="fixed"/>
        </w:tblPrEx>
        <w:trPr>
          <w:trHeight w:val="2591"/>
        </w:trPr>
        <w:tc>
          <w:tcPr>
            <w:tcW w:w="18568" w:type="dxa"/>
            <w:shd w:val="clear" w:color="auto" w:fill="F2F2F2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7" w:line="255" w:lineRule="auto"/>
              <w:ind w:left="316" w:right="290" w:firstLine="29"/>
              <w:jc w:val="both"/>
            </w:pPr>
            <w:r>
              <w:rPr>
                <w:spacing w:val="9"/>
              </w:rPr>
              <w:t>目前，驱动能源转型所需的变革步伐不及预期。我们是否能在</w:t>
            </w:r>
            <w:r>
              <w:rPr>
                <w:rFonts w:ascii="Arial" w:eastAsia="Arial" w:hAnsi="Arial" w:cs="Arial"/>
                <w:spacing w:val="9"/>
              </w:rPr>
              <w:t>2024</w:t>
            </w:r>
            <w:r>
              <w:rPr>
                <w:spacing w:val="9"/>
              </w:rPr>
              <w:t>年见证能源、公用</w:t>
            </w:r>
            <w:r>
              <w:rPr>
                <w:spacing w:val="8"/>
              </w:rPr>
              <w:t>事业和资源市场的转型交易大幅增加？近年，环境、社会和公</w:t>
            </w:r>
            <w:r>
              <w:t xml:space="preserve"> </w:t>
            </w:r>
            <w:r>
              <w:rPr>
                <w:spacing w:val="10"/>
              </w:rPr>
              <w:t>司治理（</w:t>
            </w:r>
            <w:r>
              <w:rPr>
                <w:rFonts w:ascii="Arial" w:eastAsia="Arial" w:hAnsi="Arial" w:cs="Arial"/>
              </w:rPr>
              <w:t>ESG</w:t>
            </w:r>
            <w:r>
              <w:rPr>
                <w:spacing w:val="10"/>
              </w:rPr>
              <w:t>）一直是能源、公用事业和资源市场交易的关键驱动力。然而，最近数月，</w:t>
            </w:r>
            <w:r>
              <w:rPr>
                <w:spacing w:val="9"/>
              </w:rPr>
              <w:t>全球经济面临的一些负面因素导致短期内资本优先级发生</w:t>
            </w:r>
            <w:r>
              <w:t xml:space="preserve"> </w:t>
            </w:r>
            <w:r>
              <w:rPr>
                <w:spacing w:val="9"/>
              </w:rPr>
              <w:t>变化，环境、社会和公司治理在某些领域的受关注程度似乎有所下降。这一趋势是否会持续到</w:t>
            </w:r>
            <w:r>
              <w:rPr>
                <w:rFonts w:ascii="Arial" w:eastAsia="Arial" w:hAnsi="Arial" w:cs="Arial"/>
                <w:spacing w:val="9"/>
              </w:rPr>
              <w:t>2024</w:t>
            </w:r>
            <w:r>
              <w:rPr>
                <w:spacing w:val="9"/>
              </w:rPr>
              <w:t>年？以环境、社会和公司治理为关注重点的并购</w:t>
            </w:r>
            <w:r>
              <w:rPr>
                <w:spacing w:val="12"/>
              </w:rPr>
              <w:t xml:space="preserve"> </w:t>
            </w:r>
            <w:r>
              <w:rPr>
                <w:spacing w:val="7"/>
              </w:rPr>
              <w:t>交易是否会在</w:t>
            </w:r>
            <w:r>
              <w:rPr>
                <w:rFonts w:ascii="Arial" w:eastAsia="Arial" w:hAnsi="Arial" w:cs="Arial"/>
                <w:spacing w:val="7"/>
              </w:rPr>
              <w:t>2024</w:t>
            </w:r>
            <w:r>
              <w:rPr>
                <w:spacing w:val="7"/>
              </w:rPr>
              <w:t>年复苏？尽管短期波动在所难免，</w:t>
            </w:r>
            <w:r>
              <w:rPr>
                <w:spacing w:val="7"/>
              </w:rPr>
              <w:t xml:space="preserve"> </w:t>
            </w:r>
            <w:r>
              <w:rPr>
                <w:spacing w:val="7"/>
              </w:rPr>
              <w:t>在可预见的未来，普华永道认为能源转型和可持续发展仍将是能源、</w:t>
            </w:r>
            <w:r>
              <w:rPr>
                <w:spacing w:val="6"/>
              </w:rPr>
              <w:t>公用事业和资源市场交易</w:t>
            </w:r>
            <w:r>
              <w:t xml:space="preserve"> </w:t>
            </w:r>
            <w:r>
              <w:rPr>
                <w:spacing w:val="7"/>
              </w:rPr>
              <w:t>的关键驱动力，在</w:t>
            </w:r>
            <w:r>
              <w:rPr>
                <w:rFonts w:ascii="Arial" w:eastAsia="Arial" w:hAnsi="Arial" w:cs="Arial"/>
                <w:spacing w:val="7"/>
              </w:rPr>
              <w:t>2024</w:t>
            </w:r>
            <w:r>
              <w:rPr>
                <w:spacing w:val="7"/>
              </w:rPr>
              <w:t>年吸引各利益相关方持续关注。</w:t>
            </w:r>
          </w:p>
        </w:tc>
      </w:tr>
    </w:tbl>
    <w:p>
      <w:pPr>
        <w:pStyle w:val="BodyText"/>
        <w:spacing w:line="449" w:lineRule="auto"/>
        <w:sectPr>
          <w:headerReference w:type="default" r:id="rId11"/>
          <w:pgSz w:w="19200" w:h="10800"/>
          <w:pgMar w:top="1" w:right="0" w:bottom="0" w:left="0" w:header="0" w:footer="0" w:gutter="0"/>
          <w:pgNumType w:start="4"/>
          <w:cols w:space="708"/>
        </w:sectPr>
      </w:pPr>
    </w:p>
    <w:p>
      <w:pPr>
        <w:pStyle w:val="BodyText"/>
        <w:spacing w:before="45" w:line="225" w:lineRule="auto"/>
        <w:ind w:left="705"/>
        <w:rPr>
          <w:rFonts w:ascii="SimHei" w:eastAsia="SimHei" w:hAnsi="SimHei" w:cs="SimHei"/>
          <w:sz w:val="14"/>
          <w:szCs w:val="14"/>
        </w:rPr>
      </w:pPr>
      <w:r>
        <w:rPr>
          <w:rFonts w:ascii="SimHei" w:eastAsia="SimHei" w:hAnsi="SimHei" w:cs="SimHei"/>
          <w:spacing w:val="9"/>
          <w:sz w:val="14"/>
          <w:szCs w:val="14"/>
        </w:rPr>
        <w:t>普华永道</w:t>
      </w:r>
      <w:r>
        <w:rPr>
          <w:rFonts w:ascii="SimHei" w:eastAsia="SimHei" w:hAnsi="SimHei" w:cs="SimHei"/>
          <w:spacing w:val="-22"/>
          <w:sz w:val="14"/>
          <w:szCs w:val="14"/>
        </w:rPr>
        <w:t xml:space="preserve"> </w:t>
      </w:r>
      <w:r>
        <w:rPr>
          <w:spacing w:val="9"/>
          <w:sz w:val="14"/>
          <w:szCs w:val="14"/>
        </w:rPr>
        <w:t>| 2024</w:t>
      </w:r>
      <w:r>
        <w:rPr>
          <w:rFonts w:ascii="SimHei" w:eastAsia="SimHei" w:hAnsi="SimHei" w:cs="SimHei"/>
          <w:spacing w:val="9"/>
          <w:sz w:val="14"/>
          <w:szCs w:val="14"/>
        </w:rPr>
        <w:t>年全球并购趋势展望：能源、公用事业</w:t>
      </w:r>
      <w:r>
        <w:rPr>
          <w:rFonts w:ascii="SimHei" w:eastAsia="SimHei" w:hAnsi="SimHei" w:cs="SimHei"/>
          <w:spacing w:val="8"/>
          <w:sz w:val="14"/>
          <w:szCs w:val="14"/>
        </w:rPr>
        <w:t>及资源市场</w:t>
      </w:r>
    </w:p>
    <w:p>
      <w:pPr>
        <w:spacing w:line="225" w:lineRule="auto"/>
        <w:rPr>
          <w:rFonts w:ascii="SimHei" w:eastAsia="SimHei" w:hAnsi="SimHei" w:cs="SimHei"/>
          <w:sz w:val="14"/>
          <w:szCs w:val="14"/>
        </w:rPr>
        <w:sectPr>
          <w:headerReference w:type="default" r:id="rId12"/>
          <w:type w:val="nextPage"/>
          <w:pgSz w:w="19200" w:h="10800"/>
          <w:pgMar w:top="1" w:right="0" w:bottom="0" w:left="0" w:header="0" w:footer="0" w:gutter="0"/>
          <w:pgNumType w:start="5"/>
          <w:cols w:space="708"/>
          <w:titlePg w:val="0"/>
        </w:sectPr>
      </w:pPr>
    </w:p>
    <w:p>
      <w:pPr>
        <w:spacing w:line="2398" w:lineRule="exact"/>
      </w:pPr>
      <w:r>
        <w:pict>
          <v:shape id="_x0000_s1032" type="#_x0000_t202" style="width:360.15pt;height:336.4pt;margin-top:141.06pt;margin-left:585.54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7147" w:type="dxa"/>
                    <w:tblInd w:w="27" w:type="dxa"/>
                    <w:tblBorders>
                      <w:top w:val="single" w:sz="6" w:space="0" w:color="F2F2F2"/>
                      <w:left w:val="single" w:sz="6" w:space="0" w:color="F2F2F2"/>
                      <w:bottom w:val="single" w:sz="6" w:space="0" w:color="F2F2F2"/>
                      <w:right w:val="single" w:sz="6" w:space="0" w:color="F2F2F2"/>
                    </w:tblBorders>
                    <w:shd w:val="clear" w:color="auto" w:fill="F2F2F2"/>
                    <w:tblLayout w:type="fixed"/>
                  </w:tblPr>
                  <w:tblGrid>
                    <w:gridCol w:w="7147"/>
                  </w:tblGrid>
                  <w:tr>
                    <w:tblPrEx>
                      <w:tblW w:w="7147" w:type="dxa"/>
                      <w:tblInd w:w="27" w:type="dxa"/>
                      <w:tblBorders>
                        <w:top w:val="single" w:sz="6" w:space="0" w:color="F2F2F2"/>
                        <w:left w:val="single" w:sz="6" w:space="0" w:color="F2F2F2"/>
                        <w:bottom w:val="single" w:sz="6" w:space="0" w:color="F2F2F2"/>
                        <w:right w:val="single" w:sz="6" w:space="0" w:color="F2F2F2"/>
                      </w:tblBorders>
                      <w:shd w:val="clear" w:color="auto" w:fill="F2F2F2"/>
                      <w:tblLayout w:type="fixed"/>
                    </w:tblPrEx>
                    <w:trPr>
                      <w:trHeight w:val="6656"/>
                    </w:trPr>
                    <w:tc>
                      <w:tcPr>
                        <w:tcW w:w="7147" w:type="dxa"/>
                        <w:shd w:val="clear" w:color="auto" w:fill="F2F2F2"/>
                        <w:vAlign w:val="top"/>
                      </w:tcPr>
                      <w:p>
                        <w:pPr>
                          <w:spacing w:line="28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8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88" w:line="244" w:lineRule="auto"/>
                          <w:ind w:left="632" w:right="626"/>
                        </w:pPr>
                        <w:r>
                          <w:rPr>
                            <w:spacing w:val="11"/>
                          </w:rPr>
                          <w:t>在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hyperlink r:id="rId13" w:history="1">
                          <w:r>
                            <w:rPr>
                              <w:color w:val="D04A02"/>
                              <w:spacing w:val="11"/>
                              <w:u w:val="single" w:color="auto"/>
                            </w:rPr>
                            <w:t>普华永道《第</w:t>
                          </w:r>
                          <w:r>
                            <w:rPr>
                              <w:rFonts w:ascii="Arial" w:eastAsia="Arial" w:hAnsi="Arial" w:cs="Arial"/>
                              <w:color w:val="D04A02"/>
                              <w:spacing w:val="11"/>
                              <w:u w:val="single" w:color="auto"/>
                            </w:rPr>
                            <w:t>27</w:t>
                          </w:r>
                          <w:r>
                            <w:rPr>
                              <w:color w:val="D04A02"/>
                              <w:spacing w:val="11"/>
                              <w:u w:val="single" w:color="auto"/>
                            </w:rPr>
                            <w:t>期全球</w:t>
                          </w:r>
                          <w:r>
                            <w:rPr>
                              <w:rFonts w:ascii="Arial" w:eastAsia="Arial" w:hAnsi="Arial" w:cs="Arial"/>
                              <w:color w:val="D04A02"/>
                              <w:u w:val="single" w:color="auto"/>
                            </w:rPr>
                            <w:t>CEO</w:t>
                          </w:r>
                          <w:r>
                            <w:rPr>
                              <w:color w:val="D04A02"/>
                              <w:spacing w:val="11"/>
                              <w:u w:val="single" w:color="auto"/>
                            </w:rPr>
                            <w:t>调查报告》</w:t>
                          </w:r>
                        </w:hyperlink>
                        <w:r>
                          <w:rPr>
                            <w:spacing w:val="11"/>
                          </w:rPr>
                          <w:t>中</w:t>
                        </w:r>
                        <w:r>
                          <w:rPr>
                            <w:spacing w:val="-30"/>
                          </w:rPr>
                          <w:t xml:space="preserve"> </w:t>
                        </w:r>
                        <w:r>
                          <w:rPr>
                            <w:spacing w:val="11"/>
                          </w:rPr>
                          <w:t>，</w:t>
                        </w:r>
                        <w:r>
                          <w:t xml:space="preserve"> </w:t>
                        </w:r>
                        <w:r>
                          <w:rPr>
                            <w:spacing w:val="18"/>
                          </w:rPr>
                          <w:t>能源</w:t>
                        </w:r>
                        <w:r>
                          <w:rPr>
                            <w:spacing w:val="-81"/>
                          </w:rPr>
                          <w:t xml:space="preserve"> </w:t>
                        </w:r>
                        <w:r>
                          <w:rPr>
                            <w:spacing w:val="18"/>
                          </w:rPr>
                          <w:t>、公用事业和资源行业的</w:t>
                        </w:r>
                        <w:r>
                          <w:rPr>
                            <w:rFonts w:ascii="Arial" w:eastAsia="Arial" w:hAnsi="Arial" w:cs="Arial"/>
                          </w:rPr>
                          <w:t>CEO</w:t>
                        </w:r>
                        <w:r>
                          <w:rPr>
                            <w:spacing w:val="18"/>
                          </w:rPr>
                          <w:t>对未来</w:t>
                        </w:r>
                        <w:r>
                          <w:rPr>
                            <w:rFonts w:ascii="Arial" w:eastAsia="Arial" w:hAnsi="Arial" w:cs="Arial"/>
                            <w:spacing w:val="18"/>
                          </w:rPr>
                          <w:t>12</w:t>
                        </w:r>
                        <w:r>
                          <w:rPr>
                            <w:spacing w:val="18"/>
                          </w:rPr>
                          <w:t>个</w:t>
                        </w:r>
                        <w:r>
                          <w:t xml:space="preserve"> </w:t>
                        </w:r>
                        <w:r>
                          <w:rPr>
                            <w:spacing w:val="9"/>
                          </w:rPr>
                          <w:t>月气候变化给公司带来的风险表示极度或高度担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rPr>
                            <w:spacing w:val="18"/>
                          </w:rPr>
                          <w:t>忧的比例，比其他行业</w:t>
                        </w:r>
                        <w:r>
                          <w:rPr>
                            <w:rFonts w:ascii="Arial" w:eastAsia="Arial" w:hAnsi="Arial" w:cs="Arial"/>
                          </w:rPr>
                          <w:t>CEO</w:t>
                        </w:r>
                        <w:r>
                          <w:rPr>
                            <w:spacing w:val="18"/>
                          </w:rPr>
                          <w:t>高出一倍。</w:t>
                        </w:r>
                        <w:r>
                          <w:rPr>
                            <w:rFonts w:ascii="Arial" w:eastAsia="Arial" w:hAnsi="Arial" w:cs="Arial"/>
                            <w:spacing w:val="18"/>
                          </w:rPr>
                          <w:t>2023</w:t>
                        </w:r>
                        <w:r>
                          <w:rPr>
                            <w:spacing w:val="18"/>
                          </w:rPr>
                          <w:t>年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1"/>
                          </w:rPr>
                          <w:t>12</w:t>
                        </w:r>
                        <w:r>
                          <w:rPr>
                            <w:spacing w:val="21"/>
                          </w:rPr>
                          <w:t>月，各缔约方在第二十八届联合国气候</w:t>
                        </w:r>
                        <w:r>
                          <w:rPr>
                            <w:spacing w:val="20"/>
                          </w:rPr>
                          <w:t>环境</w:t>
                        </w:r>
                        <w:r>
                          <w:t xml:space="preserve"> </w:t>
                        </w:r>
                        <w:r>
                          <w:rPr>
                            <w:spacing w:val="8"/>
                          </w:rPr>
                          <w:t>变化大会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</w:rPr>
                          <w:t>COP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</w:rPr>
                          <w:t>28)</w:t>
                        </w:r>
                        <w:r>
                          <w:rPr>
                            <w:spacing w:val="8"/>
                          </w:rPr>
                          <w:t>上达成历史性协议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</w:rPr>
                          <w:t>——</w:t>
                        </w:r>
                        <w:r>
                          <w:rPr>
                            <w:rFonts w:ascii="Arial" w:eastAsia="Arial" w:hAnsi="Arial" w:cs="Arial"/>
                            <w:spacing w:val="-27"/>
                          </w:rPr>
                          <w:t xml:space="preserve"> </w:t>
                        </w:r>
                        <w:r>
                          <w:rPr>
                            <w:spacing w:val="8"/>
                          </w:rPr>
                          <w:t>向脱离</w:t>
                        </w:r>
                        <w:r>
                          <w:t xml:space="preserve"> </w:t>
                        </w:r>
                        <w:r>
                          <w:rPr>
                            <w:spacing w:val="23"/>
                          </w:rPr>
                          <w:t>化石燃料转型。预计，随着</w:t>
                        </w:r>
                        <w:r>
                          <w:rPr>
                            <w:rFonts w:ascii="Arial" w:eastAsia="Arial" w:hAnsi="Arial" w:cs="Arial"/>
                          </w:rPr>
                          <w:t>CEO</w:t>
                        </w:r>
                        <w:r>
                          <w:rPr>
                            <w:spacing w:val="23"/>
                          </w:rPr>
                          <w:t>们采取必要行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rPr>
                            <w:spacing w:val="9"/>
                          </w:rPr>
                          <w:t>动，转变商业模式并投资于能源转型，这种担忧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rPr>
                            <w:spacing w:val="9"/>
                          </w:rPr>
                          <w:t>只会与日俱增。这将会对中短期的并购活动产生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rPr>
                            <w:spacing w:val="4"/>
                          </w:rPr>
                          <w:t>积极影响。</w:t>
                        </w:r>
                      </w:p>
                      <w:p>
                        <w:pPr>
                          <w:pStyle w:val="TableText"/>
                          <w:spacing w:before="189" w:line="241" w:lineRule="auto"/>
                          <w:ind w:left="632" w:right="617" w:firstLine="15"/>
                          <w:jc w:val="both"/>
                        </w:pPr>
                        <w:r>
                          <w:rPr>
                            <w:spacing w:val="8"/>
                          </w:rPr>
                          <w:t>除能源转型这一广泛话题外，我们还将讨论行业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rPr>
                            <w:spacing w:val="9"/>
                          </w:rPr>
                          <w:t>整合、政府监管、供应安全和投资组合优化如何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rPr>
                            <w:spacing w:val="16"/>
                          </w:rPr>
                          <w:t>成为</w:t>
                        </w:r>
                        <w:r>
                          <w:rPr>
                            <w:rFonts w:ascii="Arial" w:eastAsia="Arial" w:hAnsi="Arial" w:cs="Arial"/>
                            <w:spacing w:val="16"/>
                          </w:rPr>
                          <w:t>2024</w:t>
                        </w:r>
                        <w:r>
                          <w:rPr>
                            <w:spacing w:val="16"/>
                          </w:rPr>
                          <w:t>年能源</w:t>
                        </w:r>
                        <w:r>
                          <w:rPr>
                            <w:spacing w:val="-67"/>
                          </w:rPr>
                          <w:t xml:space="preserve"> </w:t>
                        </w:r>
                        <w:r>
                          <w:rPr>
                            <w:spacing w:val="16"/>
                          </w:rPr>
                          <w:t>、公用事业和资源市场并购活</w:t>
                        </w:r>
                        <w:r>
                          <w:t xml:space="preserve"> </w:t>
                        </w:r>
                        <w:r>
                          <w:rPr>
                            <w:spacing w:val="6"/>
                          </w:rPr>
                          <w:t>动的关键影响因素。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-47"/>
        </w:rPr>
        <w:pict>
          <v:group id="_x0000_i1033" style="width:960pt;height:120pt;mso-position-horizontal-relative:char;mso-position-vertical-relative:line" coordorigin="0,0" coordsize="19200,2400" filled="f" stroked="f">
            <v:rect id="_x0000_s1034" style="width:19200;height:2185;position:absolute" filled="t" fillcolor="#e0301e" stroked="f"/>
            <v:shape id="_x0000_s1035" type="#_x0000_t202" style="width:13201;height:2440;left:-15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446" w:lineRule="exact"/>
                      <w:ind w:right="20"/>
                      <w:jc w:val="right"/>
                    </w:pPr>
                    <w:r>
                      <w:rPr>
                        <w:position w:val="-9"/>
                      </w:rPr>
                      <w:drawing>
                        <wp:inline distT="0" distB="0" distL="0" distR="0">
                          <wp:extent cx="143256" cy="283464"/>
                          <wp:effectExtent l="0" t="0" r="0" b="0"/>
                          <wp:docPr id="16" name="IM 1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" name="IM 1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3256" cy="28346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230" w:line="216" w:lineRule="auto"/>
                      <w:ind w:left="236"/>
                      <w:outlineLvl w:val="0"/>
                      <w:rPr>
                        <w:rFonts w:ascii="SimSun" w:eastAsia="SimSun" w:hAnsi="SimSun" w:cs="SimSun"/>
                        <w:sz w:val="63"/>
                        <w:szCs w:val="63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position w:val="-30"/>
                        <w:sz w:val="63"/>
                        <w:szCs w:val="63"/>
                      </w:rPr>
                      <w:drawing>
                        <wp:inline distT="0" distB="0" distL="0" distR="0">
                          <wp:extent cx="137160" cy="137160"/>
                          <wp:effectExtent l="0" t="0" r="0" b="0"/>
                          <wp:docPr id="18" name="IM 1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" name="IM 1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7160" cy="1371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18"/>
                        <w:sz w:val="63"/>
                        <w:szCs w:val="6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14"/>
                        <w:sz w:val="63"/>
                        <w:szCs w:val="63"/>
                      </w:rPr>
                      <w:t>引述</w:t>
                    </w:r>
                  </w:p>
                  <w:p>
                    <w:pPr>
                      <w:spacing w:before="4" w:line="648" w:lineRule="exact"/>
                      <w:ind w:left="236"/>
                    </w:pPr>
                    <w:r>
                      <w:rPr>
                        <w:position w:val="-13"/>
                      </w:rPr>
                      <w:drawing>
                        <wp:inline distT="0" distB="0" distL="0" distR="0">
                          <wp:extent cx="548640" cy="411480"/>
                          <wp:effectExtent l="0" t="0" r="0" b="0"/>
                          <wp:docPr id="20" name="IM 2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IM 20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48640" cy="4114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215" w:lineRule="exact"/>
                      <w:ind w:left="20"/>
                    </w:pPr>
                    <w:r>
                      <w:rPr>
                        <w:position w:val="-4"/>
                      </w:rPr>
                      <w:drawing>
                        <wp:inline distT="0" distB="0" distL="0" distR="0">
                          <wp:extent cx="137161" cy="137159"/>
                          <wp:effectExtent l="0" t="0" r="0" b="0"/>
                          <wp:docPr id="22" name="IM 2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IM 2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7161" cy="1371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6" style="width:1080;height:1085;left:17884;position:absolute;top:254" coordorigin="0,0" coordsize="1080,1085" path="m122,215l,338l,355l139,215l122,215xem,252l,268l52,215l36,215l,252xem215,215l210,215l,423l,432l6,432l215,225l215,215xem79,215l,295l,312l95,215l79,215xem182,215l165,215l,381l,398l182,215xem89,432l215,309l215,292l71,432l89,432xem9,215l,215l,225l9,215xem215,391l215,379l158,432l171,432l215,391xem215,336l115,432l132,432l215,352l215,336xem215,249l28,432l45,432l215,266l215,249xem770,868l647,991l647,1008l787,868l770,868xem647,905l647,921l700,868l684,868l647,905xem864,868l857,868l647,1076l647,1084l654,1084l864,877l864,868xem727,868l647,948l647,964l744,868l727,868xem830,868l813,868l647,1034l647,1051l830,868xem849,1084l864,1084l864,1070l849,1084xem741,1084l864,962l864,945l724,1084l741,1084xem657,868l647,868l647,878l657,868xem864,1044l864,1032l811,1084l823,1084l864,1044xem864,988l767,1084l784,1084l864,1005l864,988xem864,902l681,1084l698,1084l864,919l864,902xem864,215l864,l1080,l1080,215l864,215l864,215xem211,432l211,215l864,215l864,432l211,432l211,432xem864,868l647,868l647,215l864,215l864,868l864,868xe" filled="t" fillcolor="white" stroked="f"/>
            <v:group id="_x0000_s1037" style="width:447;height:226;left:18753;position:absolute;top:1766" coordorigin="0,0" coordsize="447,226" filled="f" stroked="f">
              <v:shape id="_x0000_s1038" style="width:226;height:226;left:220;position:absolute" coordorigin="0,0" coordsize="226,226" path="m98,l225,126l225,144l81,l98,xem225,39l225,57l167,l185,l225,39xem,l6,l225,216l225,225l219,225l,9l,xem141,l225,83l225,100l124,l141,xem33,l50,l225,170l225,187l33,xem130,225l,98l,81l148,225l130,225xem215,l225,l225,14l215,xem,180l,167l57,225l44,225l,180xem,124l105,225l87,225l,142l,124xem,38l191,225l174,225l,55l,38xe" filled="t" fillcolor="#464646" stroked="f"/>
              <v:shape id="_x0000_s1039" style="width:226;height:226;position:absolute" coordorigin="0,0" coordsize="226,226" path="m225,225l225,l,l,225l225,225l225,225xe" filled="t" fillcolor="#eb8c00" stroked="f"/>
            </v:group>
            <w10:wrap type="none"/>
          </v:group>
        </w:pict>
      </w:r>
    </w:p>
    <w:p>
      <w:pPr>
        <w:pStyle w:val="BodyText"/>
        <w:spacing w:before="196" w:line="7077" w:lineRule="exact"/>
        <w:ind w:firstLine="628"/>
      </w:pPr>
      <w:r>
        <w:rPr>
          <w:position w:val="-141"/>
        </w:rPr>
        <w:pict>
          <v:group id="_x0000_i1040" style="width:493.45pt;height:353.85pt;mso-position-horizontal-relative:char;mso-position-vertical-relative:line" coordorigin="0,0" coordsize="9869,7077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1" type="#_x0000_t75" style="width:9692;height:6940;left:177;position:absolute" filled="f" stroked="f">
              <v:imagedata r:id="rId14" o:title=""/>
            </v:shape>
            <v:rect id="_x0000_s1042" style="width:1708;height:485;left:609;position:absolute;top:2985" filled="t" fillcolor="white" stroked="f"/>
            <v:rect id="_x0000_s1043" style="width:1753;height:1636;left:571;position:absolute;top:3590" filled="t" fillcolor="white" stroked="f"/>
            <v:rect id="_x0000_s1044" style="width:1708;height:480;left:609;position:absolute;top:2155" filled="t" fillcolor="white" stroked="f"/>
            <v:rect id="_x0000_s1045" style="width:9652;height:485;position:absolute;top:268" filled="t" fillcolor="white" stroked="f"/>
            <v:rect id="_x0000_s1046" style="width:2165;height:820;left:172;position:absolute;top:1190" filled="t" fillcolor="white" stroked="f"/>
            <v:rect id="_x0000_s1047" style="width:1708;height:825;left:609;position:absolute;top:5356" filled="t" fillcolor="white" stroked="f"/>
            <v:shape id="_x0000_s1048" type="#_x0000_t202" style="width:5554;height:6740;left:135;position:absolute;top:356" filled="f" stroked="f">
              <o:lock v:ext="edit" aspectratio="f"/>
              <v:textbox inset="0,0,0,0">
                <w:txbxContent>
                  <w:p>
                    <w:pPr>
                      <w:spacing w:before="19" w:line="238" w:lineRule="auto"/>
                      <w:ind w:left="20"/>
                      <w:rPr>
                        <w:rFonts w:ascii="Arial" w:eastAsia="Arial" w:hAnsi="Arial" w:cs="Arial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8"/>
                        <w:sz w:val="27"/>
                        <w:szCs w:val="27"/>
                      </w:rPr>
                      <w:t>全球</w:t>
                    </w:r>
                    <w:r>
                      <w:rPr>
                        <w:rFonts w:ascii="Arial" w:eastAsia="Arial" w:hAnsi="Arial" w:cs="Arial"/>
                        <w:sz w:val="27"/>
                        <w:szCs w:val="27"/>
                      </w:rPr>
                      <w:t>CEO</w:t>
                    </w:r>
                    <w:r>
                      <w:rPr>
                        <w:rFonts w:ascii="SimHei" w:eastAsia="SimHei" w:hAnsi="SimHei" w:cs="SimHei"/>
                        <w:spacing w:val="8"/>
                        <w:sz w:val="27"/>
                        <w:szCs w:val="27"/>
                      </w:rPr>
                      <w:t>们对受气候变化影响的担忧</w:t>
                    </w:r>
                    <w:r>
                      <w:rPr>
                        <w:rFonts w:ascii="SimHei" w:eastAsia="SimHei" w:hAnsi="SimHei" w:cs="SimHei"/>
                        <w:spacing w:val="49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8"/>
                        <w:sz w:val="27"/>
                        <w:szCs w:val="27"/>
                      </w:rPr>
                      <w:t>%</w:t>
                    </w:r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7" w:line="230" w:lineRule="auto"/>
                      <w:ind w:left="202"/>
                      <w:rPr>
                        <w:rFonts w:ascii="SimHei" w:eastAsia="SimHei" w:hAnsi="SimHei" w:cs="SimHei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5"/>
                        <w:sz w:val="27"/>
                        <w:szCs w:val="27"/>
                      </w:rPr>
                      <w:t>能源、公用事</w:t>
                    </w:r>
                  </w:p>
                  <w:p>
                    <w:pPr>
                      <w:spacing w:before="1" w:line="223" w:lineRule="auto"/>
                      <w:ind w:left="197"/>
                      <w:rPr>
                        <w:rFonts w:ascii="SimHei" w:eastAsia="SimHei" w:hAnsi="SimHei" w:cs="SimHei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6"/>
                        <w:sz w:val="27"/>
                        <w:szCs w:val="27"/>
                      </w:rPr>
                      <w:t>业和资源领域</w:t>
                    </w:r>
                  </w:p>
                  <w:p>
                    <w:pPr>
                      <w:spacing w:before="300" w:line="225" w:lineRule="auto"/>
                      <w:ind w:left="777"/>
                      <w:rPr>
                        <w:rFonts w:ascii="SimHei" w:eastAsia="SimHei" w:hAnsi="SimHei" w:cs="SimHei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5"/>
                        <w:sz w:val="27"/>
                        <w:szCs w:val="27"/>
                      </w:rPr>
                      <w:t>消费市场</w:t>
                    </w:r>
                  </w:p>
                  <w:p>
                    <w:pPr>
                      <w:spacing w:line="41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8" w:line="224" w:lineRule="auto"/>
                      <w:ind w:left="778"/>
                      <w:rPr>
                        <w:rFonts w:ascii="SimHei" w:eastAsia="SimHei" w:hAnsi="SimHei" w:cs="SimHei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5"/>
                        <w:sz w:val="27"/>
                        <w:szCs w:val="27"/>
                      </w:rPr>
                      <w:t>金融服务</w:t>
                    </w:r>
                  </w:p>
                  <w:p>
                    <w:pPr>
                      <w:spacing w:before="274" w:line="230" w:lineRule="auto"/>
                      <w:ind w:left="642"/>
                      <w:rPr>
                        <w:rFonts w:ascii="SimHei" w:eastAsia="SimHei" w:hAnsi="SimHei" w:cs="SimHei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7"/>
                        <w:sz w:val="27"/>
                        <w:szCs w:val="27"/>
                      </w:rPr>
                      <w:t>工业制造和</w:t>
                    </w:r>
                  </w:p>
                  <w:p>
                    <w:pPr>
                      <w:spacing w:before="1" w:line="223" w:lineRule="auto"/>
                      <w:ind w:left="779"/>
                      <w:rPr>
                        <w:rFonts w:ascii="SimHei" w:eastAsia="SimHei" w:hAnsi="SimHei" w:cs="SimHei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6"/>
                        <w:sz w:val="27"/>
                        <w:szCs w:val="27"/>
                      </w:rPr>
                      <w:t>汽车行业</w:t>
                    </w:r>
                  </w:p>
                  <w:p>
                    <w:pPr>
                      <w:spacing w:before="153" w:line="230" w:lineRule="auto"/>
                      <w:ind w:left="600"/>
                      <w:rPr>
                        <w:rFonts w:ascii="SimHei" w:eastAsia="SimHei" w:hAnsi="SimHei" w:cs="SimHei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7"/>
                        <w:sz w:val="27"/>
                        <w:szCs w:val="27"/>
                      </w:rPr>
                      <w:t>科技、媒体</w:t>
                    </w:r>
                  </w:p>
                  <w:p>
                    <w:pPr>
                      <w:spacing w:before="1" w:line="225" w:lineRule="auto"/>
                      <w:ind w:left="600"/>
                      <w:rPr>
                        <w:rFonts w:ascii="SimHei" w:eastAsia="SimHei" w:hAnsi="SimHei" w:cs="SimHei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6"/>
                        <w:sz w:val="27"/>
                        <w:szCs w:val="27"/>
                      </w:rPr>
                      <w:t>和通信市场</w:t>
                    </w:r>
                  </w:p>
                  <w:p>
                    <w:pPr>
                      <w:spacing w:before="290" w:line="229" w:lineRule="auto"/>
                      <w:ind w:left="789"/>
                      <w:rPr>
                        <w:rFonts w:ascii="SimHei" w:eastAsia="SimHei" w:hAnsi="SimHei" w:cs="SimHei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2"/>
                        <w:sz w:val="27"/>
                        <w:szCs w:val="27"/>
                      </w:rPr>
                      <w:t>医疗健康</w:t>
                    </w:r>
                  </w:p>
                  <w:p>
                    <w:pPr>
                      <w:spacing w:line="227" w:lineRule="auto"/>
                      <w:ind w:left="1059"/>
                      <w:rPr>
                        <w:rFonts w:ascii="SimHei" w:eastAsia="SimHei" w:hAnsi="SimHei" w:cs="SimHei"/>
                        <w:sz w:val="27"/>
                        <w:szCs w:val="27"/>
                      </w:rPr>
                    </w:pPr>
                    <w:r>
                      <w:rPr>
                        <w:rFonts w:ascii="SimHei" w:eastAsia="SimHei" w:hAnsi="SimHei" w:cs="SimHei"/>
                        <w:spacing w:val="1"/>
                        <w:sz w:val="27"/>
                        <w:szCs w:val="27"/>
                      </w:rPr>
                      <w:t>市场</w:t>
                    </w:r>
                  </w:p>
                  <w:p>
                    <w:pPr>
                      <w:spacing w:line="30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78" w:line="218" w:lineRule="auto"/>
                      <w:ind w:right="20"/>
                      <w:jc w:val="right"/>
                      <w:rPr>
                        <w:rFonts w:ascii="SimHei" w:eastAsia="SimHei" w:hAnsi="SimHei" w:cs="SimHei"/>
                        <w:sz w:val="24"/>
                        <w:szCs w:val="24"/>
                      </w:rPr>
                    </w:pPr>
                    <w:r>
                      <w:rPr>
                        <w:rFonts w:ascii="SimHei" w:eastAsia="SimHei" w:hAnsi="SimHei" w:cs="SimHei"/>
                        <w:spacing w:val="-1"/>
                        <w:sz w:val="24"/>
                        <w:szCs w:val="24"/>
                      </w:rPr>
                      <w:t>资料来源：普华永道《第</w:t>
                    </w:r>
                    <w:r>
                      <w:rPr>
                        <w:rFonts w:ascii="Arial" w:eastAsia="Arial" w:hAnsi="Arial" w:cs="Arial"/>
                        <w:spacing w:val="-1"/>
                        <w:sz w:val="24"/>
                        <w:szCs w:val="24"/>
                      </w:rPr>
                      <w:t>27</w:t>
                    </w:r>
                    <w:r>
                      <w:rPr>
                        <w:rFonts w:ascii="SimHei" w:eastAsia="SimHei" w:hAnsi="SimHei" w:cs="SimHei"/>
                        <w:spacing w:val="-1"/>
                        <w:sz w:val="24"/>
                        <w:szCs w:val="24"/>
                      </w:rPr>
                      <w:t>期全球</w:t>
                    </w:r>
                    <w:r>
                      <w:rPr>
                        <w:rFonts w:ascii="Arial" w:eastAsia="Arial" w:hAnsi="Arial" w:cs="Arial"/>
                        <w:spacing w:val="-1"/>
                        <w:sz w:val="24"/>
                        <w:szCs w:val="24"/>
                      </w:rPr>
                      <w:t>CEO</w:t>
                    </w:r>
                    <w:r>
                      <w:rPr>
                        <w:rFonts w:ascii="SimHei" w:eastAsia="SimHei" w:hAnsi="SimHei" w:cs="SimHei"/>
                        <w:spacing w:val="-1"/>
                        <w:sz w:val="24"/>
                        <w:szCs w:val="24"/>
                      </w:rPr>
                      <w:t>调查报告》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81" w:lineRule="auto"/>
      </w:pPr>
    </w:p>
    <w:p>
      <w:pPr>
        <w:pStyle w:val="BodyText"/>
        <w:spacing w:line="281" w:lineRule="auto"/>
        <w:sectPr>
          <w:headerReference w:type="default" r:id="rId15"/>
          <w:pgSz w:w="19200" w:h="10800"/>
          <w:pgMar w:top="1" w:right="0" w:bottom="0" w:left="0" w:header="0" w:footer="0" w:gutter="0"/>
          <w:pgNumType w:start="6"/>
          <w:cols w:space="708"/>
        </w:sectPr>
      </w:pPr>
    </w:p>
    <w:p>
      <w:pPr>
        <w:pStyle w:val="BodyText"/>
        <w:spacing w:before="45" w:line="225" w:lineRule="auto"/>
        <w:ind w:left="705"/>
        <w:rPr>
          <w:rFonts w:ascii="SimHei" w:eastAsia="SimHei" w:hAnsi="SimHei" w:cs="SimHei"/>
          <w:sz w:val="14"/>
          <w:szCs w:val="14"/>
        </w:rPr>
      </w:pPr>
      <w:r>
        <w:rPr>
          <w:rFonts w:ascii="SimHei" w:eastAsia="SimHei" w:hAnsi="SimHei" w:cs="SimHei"/>
          <w:spacing w:val="9"/>
          <w:sz w:val="14"/>
          <w:szCs w:val="14"/>
        </w:rPr>
        <w:t>普华永道</w:t>
      </w:r>
      <w:r>
        <w:rPr>
          <w:rFonts w:ascii="SimHei" w:eastAsia="SimHei" w:hAnsi="SimHei" w:cs="SimHei"/>
          <w:spacing w:val="-22"/>
          <w:sz w:val="14"/>
          <w:szCs w:val="14"/>
        </w:rPr>
        <w:t xml:space="preserve"> </w:t>
      </w:r>
      <w:r>
        <w:rPr>
          <w:spacing w:val="9"/>
          <w:sz w:val="14"/>
          <w:szCs w:val="14"/>
        </w:rPr>
        <w:t>| 2024</w:t>
      </w:r>
      <w:r>
        <w:rPr>
          <w:rFonts w:ascii="SimHei" w:eastAsia="SimHei" w:hAnsi="SimHei" w:cs="SimHei"/>
          <w:spacing w:val="9"/>
          <w:sz w:val="14"/>
          <w:szCs w:val="14"/>
        </w:rPr>
        <w:t>年全球并购趋势展望：能源、公用事业</w:t>
      </w:r>
      <w:r>
        <w:rPr>
          <w:rFonts w:ascii="SimHei" w:eastAsia="SimHei" w:hAnsi="SimHei" w:cs="SimHei"/>
          <w:spacing w:val="8"/>
          <w:sz w:val="14"/>
          <w:szCs w:val="14"/>
        </w:rPr>
        <w:t>及资源市场</w:t>
      </w:r>
    </w:p>
    <w:p>
      <w:pPr>
        <w:spacing w:line="225" w:lineRule="auto"/>
        <w:rPr>
          <w:rFonts w:ascii="SimHei" w:eastAsia="SimHei" w:hAnsi="SimHei" w:cs="SimHei"/>
          <w:sz w:val="14"/>
          <w:szCs w:val="14"/>
        </w:rPr>
      </w:pPr>
      <w:r>
        <w:rPr>
          <w:rFonts w:ascii="SimHei" w:eastAsia="SimHei" w:hAnsi="SimHei" w:cs="SimHei"/>
          <w:sz w:val="14"/>
          <w:szCs w:val="14"/>
        </w:rPr>
        <w:br/>
      </w:r>
      <w:r>
        <w:rPr>
          <w:rFonts w:ascii="SimHei" w:eastAsia="SimHei" w:hAnsi="SimHei" w:cs="SimHei"/>
          <w:sz w:val="14"/>
          <w:szCs w:val="14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https://d.book118.com/557154121055006046</w:t>
        </w:r>
      </w:hyperlink>
    </w:p>
    <w:p>
      <w:pPr>
        <w:spacing w:line="225" w:lineRule="auto"/>
        <w:rPr>
          <w:rFonts w:ascii="SimHei" w:eastAsia="SimHei" w:hAnsi="SimHei" w:cs="SimHei"/>
          <w:sz w:val="14"/>
          <w:szCs w:val="14"/>
        </w:rPr>
      </w:pPr>
    </w:p>
    <w:sectPr>
      <w:headerReference w:type="default" r:id="rId17"/>
      <w:type w:val="nextPage"/>
      <w:pgSz w:w="19200" w:h="10800"/>
      <w:pgMar w:top="1" w:right="0" w:bottom="0" w:left="0" w:header="0" w:footer="0" w:gutter="0"/>
      <w:pgNumType w:start="7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Hei" w:eastAsia="SimHei" w:hAnsi="SimHei" w:cs="SimHei"/>
      <w:sz w:val="27"/>
      <w:szCs w:val="27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yperlink" Target="https://www.pwc.com/gx/en/issues/c-suite-insights/ceo-survey-2024.html" TargetMode="External" /><Relationship Id="rId14" Type="http://schemas.openxmlformats.org/officeDocument/2006/relationships/image" Target="media/image8.jpeg" /><Relationship Id="rId15" Type="http://schemas.openxmlformats.org/officeDocument/2006/relationships/header" Target="header3.xml" /><Relationship Id="rId16" Type="http://schemas.openxmlformats.org/officeDocument/2006/relationships/hyperlink" Target="https://d.book118.com/557154121055006046" TargetMode="External" /><Relationship Id="rId17" Type="http://schemas.openxmlformats.org/officeDocument/2006/relationships/header" Target="header4.xm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普华永道2024年全球并购趋势展望_能源、公用事业及资源市场</dc:title>
  <dc:subject>普华永道2024年全球并购趋势展望_能源、公用事业及资源市场</dc:subject>
  <dc:creator>普华永道</dc:creator>
  <cp:keywords>普华永道，2024年全球并购趋势展望，能源、公用事业，资源市场，中國</cp:keywords>
  <cp:revision>0</cp:revision>
  <dcterms:created xsi:type="dcterms:W3CDTF">2024-03-04T20:14:35Z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2024-03-04T20:28:42Z</vt:filetime>
  </property>
  <property fmtid="{D5CDD505-2E9C-101B-9397-08002B2CF9AE}" pid="3" name="CRO">
    <vt:lpwstr>wqlLaW5nc29mdCBQREYgdG8gV1BTIDkw</vt:lpwstr>
  </property>
</Properties>
</file>