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黑体" w:eastAsia="黑体" w:hAnsi="黑体" w:cs="黑体" w:hint="eastAsia"/>
          <w:sz w:val="28"/>
          <w:szCs w:val="28"/>
        </w:rPr>
      </w:pPr>
    </w:p>
    <w:p>
      <w:pPr>
        <w:jc w:val="center"/>
        <w:rPr>
          <w:rFonts w:ascii="黑体" w:eastAsia="黑体" w:hAnsi="黑体" w:cs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sz w:val="28"/>
          <w:szCs w:val="28"/>
        </w:rPr>
        <w:t>目录</w:t>
      </w:r>
    </w:p>
    <w:p>
      <w:pPr>
        <w:rPr>
          <w:rFonts w:ascii="黑体" w:eastAsia="黑体" w:hAnsi="黑体" w:cs="黑体"/>
          <w:sz w:val="28"/>
          <w:szCs w:val="28"/>
        </w:rPr>
      </w:pPr>
    </w:p>
    <w:sdt>
      <w:sdtPr>
        <w:rPr>
          <w:rFonts w:ascii="宋体" w:eastAsia="宋体" w:hAnsi="宋体"/>
        </w:rPr>
        <w:id w:val="147453566"/>
        <w:docPartObj>
          <w:docPartGallery w:val="Table of Contents"/>
          <w:docPartUnique/>
        </w:docPartObj>
        <w15:color w:val="DBDBDB"/>
      </w:sdtPr>
      <w:sdtEndPr>
        <w:rPr>
          <w:rFonts w:ascii="黑体" w:eastAsia="黑体" w:hAnsi="黑体" w:cs="黑体"/>
          <w:szCs w:val="28"/>
        </w:rPr>
      </w:sdtEndPr>
      <w:sdtContent>
        <w:p>
          <w:pPr>
            <w:spacing w:line="360" w:lineRule="auto"/>
            <w:jc w:val="center"/>
          </w:pPr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r>
            <w:fldChar w:fldCharType="begin"/>
          </w:r>
          <w:r>
            <w:instrText xml:space="preserve">TOC \o "1-4" \h \u </w:instrText>
          </w:r>
          <w:r>
            <w:fldChar w:fldCharType="separate"/>
          </w:r>
          <w:hyperlink w:anchor="_Toc34915000" w:history="1">
            <w:r>
              <w:rPr>
                <w:rStyle w:val="Hyperlink"/>
                <w:rFonts w:ascii="黑体" w:eastAsia="黑体" w:hAnsi="黑体" w:cs="黑体"/>
              </w:rPr>
              <w:t>中国重汽集团有限公司——基于资产负债表分析</w:t>
            </w:r>
            <w:r>
              <w:tab/>
            </w:r>
            <w:r>
              <w:fldChar w:fldCharType="begin"/>
            </w:r>
            <w:r>
              <w:instrText xml:space="preserve"> PAGEREF _Toc34915000 \h </w:instrText>
            </w:r>
            <w:r>
              <w:fldChar w:fldCharType="separate"/>
            </w:r>
            <w:r>
              <w:t>III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01" w:history="1">
            <w:r>
              <w:rPr>
                <w:rStyle w:val="Hyperlink"/>
                <w:rFonts w:ascii="黑体" w:eastAsia="黑体" w:hAnsi="黑体" w:cs="黑体"/>
              </w:rPr>
              <w:t>摘要</w:t>
            </w:r>
            <w:r>
              <w:tab/>
            </w:r>
            <w:r>
              <w:fldChar w:fldCharType="begin"/>
            </w:r>
            <w:r>
              <w:instrText xml:space="preserve"> PAGEREF _Toc34915001 \h </w:instrText>
            </w:r>
            <w:r>
              <w:fldChar w:fldCharType="separate"/>
            </w:r>
            <w:r>
              <w:t>III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02" w:history="1">
            <w:r>
              <w:rPr>
                <w:rStyle w:val="Hyperlink"/>
                <w:rFonts w:ascii="黑体" w:eastAsia="黑体" w:hAnsi="黑体" w:cs="黑体"/>
              </w:rPr>
              <w:t>绪论</w:t>
            </w:r>
            <w:r>
              <w:tab/>
            </w:r>
            <w:r>
              <w:fldChar w:fldCharType="begin"/>
            </w:r>
            <w:r>
              <w:instrText xml:space="preserve"> PAGEREF _Toc34915002 \h </w:instrText>
            </w:r>
            <w:r>
              <w:fldChar w:fldCharType="separate"/>
            </w:r>
            <w:r>
              <w:t>- 1 -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03" w:history="1">
            <w:r>
              <w:rPr>
                <w:rStyle w:val="Hyperlink"/>
                <w:rFonts w:ascii="黑体" w:eastAsia="黑体" w:hAnsi="黑体" w:cs="黑体"/>
                <w:bCs/>
              </w:rPr>
              <w:t>一、 中国重汽集团概况</w:t>
            </w:r>
            <w:r>
              <w:tab/>
            </w:r>
            <w:r>
              <w:fldChar w:fldCharType="begin"/>
            </w:r>
            <w:r>
              <w:instrText xml:space="preserve"> PAGEREF _Toc34915003 \h </w:instrText>
            </w:r>
            <w:r>
              <w:fldChar w:fldCharType="separate"/>
            </w:r>
            <w:r>
              <w:t>- 1 -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04" w:history="1">
            <w:r>
              <w:rPr>
                <w:rStyle w:val="Hyperlink"/>
                <w:bCs/>
              </w:rPr>
              <w:t>（一）公司简介</w:t>
            </w:r>
            <w:r>
              <w:tab/>
            </w:r>
            <w:r>
              <w:fldChar w:fldCharType="begin"/>
            </w:r>
            <w:r>
              <w:instrText xml:space="preserve"> PAGEREF _Toc34915004 \h </w:instrText>
            </w:r>
            <w:r>
              <w:fldChar w:fldCharType="separate"/>
            </w:r>
            <w:r>
              <w:t>- 1 -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05" w:history="1">
            <w:r>
              <w:rPr>
                <w:rStyle w:val="Hyperlink"/>
                <w:bCs/>
              </w:rPr>
              <w:t>（二） 公司战略</w:t>
            </w:r>
            <w:r>
              <w:tab/>
            </w:r>
            <w:r>
              <w:fldChar w:fldCharType="begin"/>
            </w:r>
            <w:r>
              <w:instrText xml:space="preserve"> PAGEREF _Toc34915005 \h </w:instrText>
            </w:r>
            <w:r>
              <w:fldChar w:fldCharType="separate"/>
            </w:r>
            <w:r>
              <w:t>- 2 -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06" w:history="1">
            <w:r>
              <w:rPr>
                <w:rStyle w:val="Hyperlink"/>
                <w:rFonts w:ascii="黑体" w:eastAsia="黑体" w:hAnsi="黑体" w:cs="黑体"/>
                <w:bCs/>
              </w:rPr>
              <w:t>二、 行业分析</w:t>
            </w:r>
            <w:r>
              <w:tab/>
            </w:r>
            <w:r>
              <w:fldChar w:fldCharType="begin"/>
            </w:r>
            <w:r>
              <w:instrText xml:space="preserve"> PAGEREF _Toc34915006 \h </w:instrText>
            </w:r>
            <w:r>
              <w:fldChar w:fldCharType="separate"/>
            </w:r>
            <w:r>
              <w:t>- 3 -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07" w:history="1">
            <w:r>
              <w:rPr>
                <w:rStyle w:val="Hyperlink"/>
                <w:rFonts w:ascii="黑体" w:hAnsi="黑体" w:cs="黑体"/>
                <w:bCs/>
              </w:rPr>
              <w:t>（一） 中国重汽的SWOT分析</w:t>
            </w:r>
            <w:r>
              <w:tab/>
            </w:r>
            <w:r>
              <w:fldChar w:fldCharType="begin"/>
            </w:r>
            <w:r>
              <w:instrText xml:space="preserve"> PAGEREF _Toc34915007 \h </w:instrText>
            </w:r>
            <w:r>
              <w:fldChar w:fldCharType="separate"/>
            </w:r>
            <w:r>
              <w:t>- 3 -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08" w:history="1">
            <w:r>
              <w:rPr>
                <w:rStyle w:val="Hyperlink"/>
                <w:bCs/>
              </w:rPr>
              <w:t>（二）宏观环境的分析</w:t>
            </w:r>
            <w:r>
              <w:tab/>
            </w:r>
            <w:r>
              <w:fldChar w:fldCharType="begin"/>
            </w:r>
            <w:r>
              <w:instrText xml:space="preserve"> PAGEREF _Toc34915008 \h </w:instrText>
            </w:r>
            <w:r>
              <w:fldChar w:fldCharType="separate"/>
            </w:r>
            <w:r>
              <w:t>- 4 -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09" w:history="1">
            <w:r>
              <w:rPr>
                <w:rStyle w:val="Hyperlink"/>
                <w:bCs/>
              </w:rPr>
              <w:t>（三）中国重汽的地位分析</w:t>
            </w:r>
            <w:r>
              <w:tab/>
            </w:r>
            <w:r>
              <w:fldChar w:fldCharType="begin"/>
            </w:r>
            <w:r>
              <w:instrText xml:space="preserve"> PAGEREF _Toc34915009 \h </w:instrText>
            </w:r>
            <w:r>
              <w:fldChar w:fldCharType="separate"/>
            </w:r>
            <w:r>
              <w:t>- 4 -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10" w:history="1">
            <w:r>
              <w:rPr>
                <w:rStyle w:val="Hyperlink"/>
                <w:rFonts w:ascii="黑体" w:eastAsia="黑体" w:hAnsi="黑体" w:cs="黑体"/>
                <w:bCs/>
              </w:rPr>
              <w:t>三、财务分析</w:t>
            </w:r>
            <w:r>
              <w:tab/>
            </w:r>
            <w:r>
              <w:fldChar w:fldCharType="begin"/>
            </w:r>
            <w:r>
              <w:instrText xml:space="preserve"> PAGEREF _Toc34915010 \h </w:instrText>
            </w:r>
            <w:r>
              <w:fldChar w:fldCharType="separate"/>
            </w:r>
            <w:r>
              <w:t>- 5 -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11" w:history="1">
            <w:r>
              <w:rPr>
                <w:rStyle w:val="Hyperlink"/>
                <w:bCs/>
              </w:rPr>
              <w:t>（一）资产负债表水平分析</w:t>
            </w:r>
            <w:r>
              <w:tab/>
            </w:r>
            <w:r>
              <w:fldChar w:fldCharType="begin"/>
            </w:r>
            <w:r>
              <w:instrText xml:space="preserve"> PAGEREF _Toc34915011 \h </w:instrText>
            </w:r>
            <w:r>
              <w:fldChar w:fldCharType="separate"/>
            </w:r>
            <w:r>
              <w:t>- 5 -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12" w:history="1">
            <w:r>
              <w:rPr>
                <w:rStyle w:val="Hyperlink"/>
                <w:rFonts w:ascii="黑体" w:eastAsia="黑体" w:hAnsi="黑体" w:cs="黑体"/>
                <w:bCs/>
              </w:rPr>
              <w:t>1.合并水平分析</w:t>
            </w:r>
            <w:r>
              <w:tab/>
            </w:r>
            <w:r>
              <w:fldChar w:fldCharType="begin"/>
            </w:r>
            <w:r>
              <w:instrText xml:space="preserve"> PAGEREF _Toc34915012 \h </w:instrText>
            </w:r>
            <w:r>
              <w:fldChar w:fldCharType="separate"/>
            </w:r>
            <w:r>
              <w:t>- 11 -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13" w:history="1">
            <w:r>
              <w:rPr>
                <w:rStyle w:val="Hyperlink"/>
                <w:rFonts w:ascii="黑体" w:eastAsia="黑体" w:hAnsi="黑体" w:cs="黑体"/>
                <w:bCs/>
              </w:rPr>
              <w:t>2.母公司水平分析</w:t>
            </w:r>
            <w:r>
              <w:tab/>
            </w:r>
            <w:r>
              <w:fldChar w:fldCharType="begin"/>
            </w:r>
            <w:r>
              <w:instrText xml:space="preserve"> PAGEREF _Toc34915013 \h </w:instrText>
            </w:r>
            <w:r>
              <w:fldChar w:fldCharType="separate"/>
            </w:r>
            <w:r>
              <w:t>- 12 -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14" w:history="1">
            <w:r>
              <w:rPr>
                <w:rStyle w:val="Hyperlink"/>
                <w:rFonts w:ascii="黑体" w:eastAsia="黑体" w:hAnsi="黑体" w:cs="黑体"/>
                <w:bCs/>
              </w:rPr>
              <w:t>3.（母公司）变动规模的分析评价</w:t>
            </w:r>
            <w:r>
              <w:tab/>
            </w:r>
            <w:r>
              <w:fldChar w:fldCharType="begin"/>
            </w:r>
            <w:r>
              <w:instrText xml:space="preserve"> PAGEREF _Toc34915014 \h </w:instrText>
            </w:r>
            <w:r>
              <w:fldChar w:fldCharType="separate"/>
            </w:r>
            <w:r>
              <w:t>- 13 -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15" w:history="1">
            <w:r>
              <w:rPr>
                <w:rStyle w:val="Hyperlink"/>
                <w:bCs/>
              </w:rPr>
              <w:t>（二）资产负债表垂直分析</w:t>
            </w:r>
            <w:r>
              <w:tab/>
            </w:r>
            <w:r>
              <w:fldChar w:fldCharType="begin"/>
            </w:r>
            <w:r>
              <w:instrText xml:space="preserve"> PAGEREF _Toc34915015 \h </w:instrText>
            </w:r>
            <w:r>
              <w:fldChar w:fldCharType="separate"/>
            </w:r>
            <w:r>
              <w:t>- 14 -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16" w:history="1">
            <w:r>
              <w:rPr>
                <w:rStyle w:val="Hyperlink"/>
                <w:rFonts w:ascii="黑体" w:eastAsia="黑体" w:hAnsi="黑体" w:cs="黑体"/>
                <w:bCs/>
              </w:rPr>
              <w:t>1.垂直分析：</w:t>
            </w:r>
            <w:r>
              <w:tab/>
            </w:r>
            <w:r>
              <w:fldChar w:fldCharType="begin"/>
            </w:r>
            <w:r>
              <w:instrText xml:space="preserve"> PAGEREF _Toc34915016 \h </w:instrText>
            </w:r>
            <w:r>
              <w:fldChar w:fldCharType="separate"/>
            </w:r>
            <w:r>
              <w:t>- 18 -</w:t>
            </w:r>
            <w:r>
              <w:fldChar w:fldCharType="end"/>
            </w:r>
          </w:hyperlink>
        </w:p>
        <w:p>
          <w:pPr>
            <w:pStyle w:val="TOC4"/>
            <w:tabs>
              <w:tab w:val="right" w:leader="dot" w:pos="8778"/>
            </w:tabs>
            <w:rPr>
              <w:szCs w:val="22"/>
            </w:rPr>
          </w:pPr>
          <w:hyperlink w:anchor="_Toc34915017" w:history="1">
            <w:r>
              <w:rPr>
                <w:rStyle w:val="Hyperlink"/>
                <w:rFonts w:ascii="黑体" w:hAnsi="黑体" w:cs="黑体"/>
                <w:bCs/>
              </w:rPr>
              <w:t>2.资本结构化的分析</w:t>
            </w:r>
            <w:r>
              <w:tab/>
            </w:r>
            <w:r>
              <w:fldChar w:fldCharType="begin"/>
            </w:r>
            <w:r>
              <w:instrText xml:space="preserve"> PAGEREF _Toc34915017 \h </w:instrText>
            </w:r>
            <w:r>
              <w:fldChar w:fldCharType="separate"/>
            </w:r>
            <w:r>
              <w:t>- 19 -</w:t>
            </w:r>
            <w:r>
              <w:fldChar w:fldCharType="end"/>
            </w:r>
          </w:hyperlink>
        </w:p>
        <w:p>
          <w:pPr>
            <w:pStyle w:val="TOC4"/>
            <w:tabs>
              <w:tab w:val="right" w:leader="dot" w:pos="8778"/>
            </w:tabs>
            <w:rPr>
              <w:szCs w:val="22"/>
            </w:rPr>
          </w:pPr>
          <w:hyperlink w:anchor="_Toc34915018" w:history="1">
            <w:r>
              <w:rPr>
                <w:rStyle w:val="Hyperlink"/>
                <w:rFonts w:ascii="黑体" w:hAnsi="黑体" w:cs="黑体"/>
                <w:bCs/>
              </w:rPr>
              <w:t>3.资产负债表整体结构的分析评价</w:t>
            </w:r>
            <w:r>
              <w:tab/>
            </w:r>
            <w:r>
              <w:fldChar w:fldCharType="begin"/>
            </w:r>
            <w:r>
              <w:instrText xml:space="preserve"> PAGEREF _Toc34915018 \h </w:instrText>
            </w:r>
            <w:r>
              <w:fldChar w:fldCharType="separate"/>
            </w:r>
            <w:r>
              <w:t>- 19 -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19" w:history="1">
            <w:r>
              <w:rPr>
                <w:rStyle w:val="Hyperlink"/>
                <w:rFonts w:ascii="黑体" w:eastAsia="黑体" w:hAnsi="黑体" w:cs="黑体"/>
                <w:bCs/>
              </w:rPr>
              <w:t>1.资本结构化的分析</w:t>
            </w:r>
            <w:r>
              <w:tab/>
            </w:r>
            <w:r>
              <w:fldChar w:fldCharType="begin"/>
            </w:r>
            <w:r>
              <w:instrText xml:space="preserve"> PAGEREF _Toc34915019 \h </w:instrText>
            </w:r>
            <w:r>
              <w:fldChar w:fldCharType="separate"/>
            </w:r>
            <w:r>
              <w:t>- 21 -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20" w:history="1">
            <w:r>
              <w:rPr>
                <w:rStyle w:val="Hyperlink"/>
                <w:rFonts w:ascii="黑体" w:eastAsia="黑体" w:hAnsi="黑体" w:cs="黑体"/>
                <w:bCs/>
              </w:rPr>
              <w:t>2.衡量财务风险</w:t>
            </w:r>
            <w:r>
              <w:tab/>
            </w:r>
            <w:r>
              <w:fldChar w:fldCharType="begin"/>
            </w:r>
            <w:r>
              <w:instrText xml:space="preserve"> PAGEREF _Toc34915020 \h </w:instrText>
            </w:r>
            <w:r>
              <w:fldChar w:fldCharType="separate"/>
            </w:r>
            <w:r>
              <w:t>- 21 -</w:t>
            </w:r>
            <w:r>
              <w:fldChar w:fldCharType="end"/>
            </w:r>
          </w:hyperlink>
        </w:p>
        <w:p>
          <w:pPr>
            <w:pStyle w:val="TOC4"/>
            <w:tabs>
              <w:tab w:val="right" w:leader="dot" w:pos="8778"/>
            </w:tabs>
            <w:rPr>
              <w:szCs w:val="22"/>
            </w:rPr>
          </w:pPr>
          <w:hyperlink w:anchor="_Toc34915021" w:history="1">
            <w:r>
              <w:rPr>
                <w:rStyle w:val="Hyperlink"/>
                <w:rFonts w:ascii="黑体" w:hAnsi="黑体" w:cs="黑体"/>
                <w:bCs/>
              </w:rPr>
              <w:t>3.资产负债表整体结构的分析评价</w:t>
            </w:r>
            <w:r>
              <w:tab/>
            </w:r>
            <w:r>
              <w:fldChar w:fldCharType="begin"/>
            </w:r>
            <w:r>
              <w:instrText xml:space="preserve"> PAGEREF _Toc34915021 \h </w:instrText>
            </w:r>
            <w:r>
              <w:fldChar w:fldCharType="separate"/>
            </w:r>
            <w:r>
              <w:t>- 21 -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22" w:history="1">
            <w:r>
              <w:rPr>
                <w:rStyle w:val="Hyperlink"/>
                <w:rFonts w:ascii="黑体" w:eastAsia="黑体" w:hAnsi="黑体" w:cs="黑体"/>
                <w:bCs/>
              </w:rPr>
              <w:t>4.资产结构、负债结构、所有者权益结构的具体评价</w:t>
            </w:r>
            <w:r>
              <w:tab/>
            </w:r>
            <w:r>
              <w:fldChar w:fldCharType="begin"/>
            </w:r>
            <w:r>
              <w:instrText xml:space="preserve"> PAGEREF _Toc34915022 \h </w:instrText>
            </w:r>
            <w:r>
              <w:fldChar w:fldCharType="separate"/>
            </w:r>
            <w:r>
              <w:t>- 22 -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23" w:history="1">
            <w:r>
              <w:rPr>
                <w:rStyle w:val="Hyperlink"/>
                <w:rFonts w:ascii="黑体" w:eastAsia="黑体" w:hAnsi="黑体" w:cs="黑体"/>
                <w:bCs/>
              </w:rPr>
              <w:t>四、财务比率分析</w:t>
            </w:r>
            <w:r>
              <w:tab/>
            </w:r>
            <w:r>
              <w:fldChar w:fldCharType="begin"/>
            </w:r>
            <w:r>
              <w:instrText xml:space="preserve"> PAGEREF _Toc34915023 \h </w:instrText>
            </w:r>
            <w:r>
              <w:fldChar w:fldCharType="separate"/>
            </w:r>
            <w:r>
              <w:t>- 22 -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24" w:history="1">
            <w:r>
              <w:rPr>
                <w:rStyle w:val="Hyperlink"/>
                <w:bCs/>
              </w:rPr>
              <w:t>（一）偿债能力分析</w:t>
            </w:r>
            <w:r>
              <w:tab/>
            </w:r>
            <w:r>
              <w:fldChar w:fldCharType="begin"/>
            </w:r>
            <w:r>
              <w:instrText xml:space="preserve"> PAGEREF _Toc34915024 \h </w:instrText>
            </w:r>
            <w:r>
              <w:fldChar w:fldCharType="separate"/>
            </w:r>
            <w:r>
              <w:t>- 23 -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25" w:history="1">
            <w:r>
              <w:rPr>
                <w:rStyle w:val="Hyperlink"/>
                <w:rFonts w:ascii="黑体" w:eastAsia="黑体" w:hAnsi="黑体" w:cs="黑体"/>
                <w:bCs/>
              </w:rPr>
              <w:t>3.流动比率</w:t>
            </w:r>
            <w:r>
              <w:tab/>
            </w:r>
            <w:r>
              <w:fldChar w:fldCharType="begin"/>
            </w:r>
            <w:r>
              <w:instrText xml:space="preserve"> PAGEREF _Toc34915025 \h </w:instrText>
            </w:r>
            <w:r>
              <w:fldChar w:fldCharType="separate"/>
            </w:r>
            <w:r>
              <w:t>- 23 -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27" w:history="1">
            <w:r>
              <w:rPr>
                <w:rStyle w:val="Hyperlink"/>
                <w:rFonts w:ascii="黑体" w:eastAsia="黑体" w:hAnsi="黑体" w:cs="黑体"/>
                <w:bCs/>
              </w:rPr>
              <w:t>2.速动比率</w:t>
            </w:r>
            <w:r>
              <w:tab/>
            </w:r>
            <w:r>
              <w:fldChar w:fldCharType="begin"/>
            </w:r>
            <w:r>
              <w:instrText xml:space="preserve"> PAGEREF _Toc34915027 \h </w:instrText>
            </w:r>
            <w:r>
              <w:fldChar w:fldCharType="separate"/>
            </w:r>
            <w:r>
              <w:t>- 24 -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28" w:history="1">
            <w:r>
              <w:rPr>
                <w:rStyle w:val="Hyperlink"/>
                <w:rFonts w:ascii="黑体" w:eastAsia="黑体" w:hAnsi="黑体" w:cs="黑体"/>
                <w:bCs/>
              </w:rPr>
              <w:t>3.现金流动负债比率</w:t>
            </w:r>
            <w:r>
              <w:tab/>
            </w:r>
            <w:r>
              <w:fldChar w:fldCharType="begin"/>
            </w:r>
            <w:r>
              <w:instrText xml:space="preserve"> PAGEREF _Toc34915028 \h </w:instrText>
            </w:r>
            <w:r>
              <w:fldChar w:fldCharType="separate"/>
            </w:r>
            <w:r>
              <w:t>- 24 -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29" w:history="1">
            <w:r>
              <w:rPr>
                <w:rStyle w:val="Hyperlink"/>
                <w:rFonts w:ascii="黑体" w:eastAsia="黑体" w:hAnsi="黑体" w:cs="黑体"/>
                <w:bCs/>
              </w:rPr>
              <w:t>4.资产负债率</w:t>
            </w:r>
            <w:r>
              <w:tab/>
            </w:r>
            <w:r>
              <w:fldChar w:fldCharType="begin"/>
            </w:r>
            <w:r>
              <w:instrText xml:space="preserve"> PAGEREF _Toc34915029 \h </w:instrText>
            </w:r>
            <w:r>
              <w:fldChar w:fldCharType="separate"/>
            </w:r>
            <w:r>
              <w:t>- 24 -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0" w:history="1">
            <w:r>
              <w:rPr>
                <w:rStyle w:val="Hyperlink"/>
                <w:rFonts w:ascii="黑体" w:eastAsia="黑体" w:hAnsi="黑体" w:cs="黑体"/>
                <w:bCs/>
              </w:rPr>
              <w:t>5.产权比率</w:t>
            </w:r>
            <w:r>
              <w:tab/>
            </w:r>
            <w:r>
              <w:fldChar w:fldCharType="begin"/>
            </w:r>
            <w:r>
              <w:instrText xml:space="preserve"> PAGEREF _Toc34915030 \h </w:instrText>
            </w:r>
            <w:r>
              <w:fldChar w:fldCharType="separate"/>
            </w:r>
            <w:r>
              <w:t>- 25 -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31" w:history="1">
            <w:r>
              <w:rPr>
                <w:rStyle w:val="Hyperlink"/>
                <w:rFonts w:ascii="黑体" w:hAnsi="黑体" w:cs="黑体"/>
                <w:bCs/>
              </w:rPr>
              <w:t>（二）运营能力指标</w:t>
            </w:r>
            <w:r>
              <w:tab/>
            </w:r>
            <w:r>
              <w:fldChar w:fldCharType="begin"/>
            </w:r>
            <w:r>
              <w:instrText xml:space="preserve"> PAGEREF _Toc34915031 \h </w:instrText>
            </w:r>
            <w:r>
              <w:fldChar w:fldCharType="separate"/>
            </w:r>
            <w:r>
              <w:t>- 25 -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2" w:history="1">
            <w:r>
              <w:rPr>
                <w:rStyle w:val="Hyperlink"/>
                <w:rFonts w:ascii="黑体" w:eastAsia="黑体" w:hAnsi="黑体" w:cs="黑体"/>
                <w:bCs/>
              </w:rPr>
              <w:t>1.总资产周转率</w:t>
            </w:r>
            <w:r>
              <w:rPr>
                <w:rStyle w:val="Hyperlink"/>
                <w:rFonts w:asciiTheme="minorEastAsia" w:hAnsiTheme="minorEastAsia" w:cstheme="minorEastAsia"/>
              </w:rPr>
              <w:t>=营业收入/平均资产总额</w:t>
            </w:r>
            <w:r>
              <w:tab/>
            </w:r>
            <w:r>
              <w:fldChar w:fldCharType="begin"/>
            </w:r>
            <w:r>
              <w:instrText xml:space="preserve"> PAGEREF _Toc34915032 \h </w:instrText>
            </w:r>
            <w:r>
              <w:fldChar w:fldCharType="separate"/>
            </w:r>
            <w:r>
              <w:t>- 25 -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3" w:history="1">
            <w:r>
              <w:rPr>
                <w:rStyle w:val="Hyperlink"/>
                <w:rFonts w:asciiTheme="minorEastAsia" w:hAnsiTheme="minorEastAsia" w:cstheme="minorEastAsia"/>
                <w:kern w:val="0"/>
                <w:lang w:bidi="ar"/>
              </w:rPr>
              <w:t>公式：总资产周转率</w:t>
            </w:r>
            <w:r>
              <w:rPr>
                <w:rStyle w:val="Hyperlink"/>
                <w:rFonts w:asciiTheme="minorEastAsia" w:hAnsiTheme="minorEastAsia" w:cstheme="minorEastAsia"/>
              </w:rPr>
              <w:t>=营业收入/平均资产总额</w:t>
            </w:r>
            <w:r>
              <w:tab/>
            </w:r>
            <w:r>
              <w:fldChar w:fldCharType="begin"/>
            </w:r>
            <w:r>
              <w:instrText xml:space="preserve"> PAGEREF _Toc34915033 \h </w:instrText>
            </w:r>
            <w:r>
              <w:fldChar w:fldCharType="separate"/>
            </w:r>
            <w:r>
              <w:t>- 25 -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4" w:history="1">
            <w:r>
              <w:rPr>
                <w:rStyle w:val="Hyperlink"/>
                <w:rFonts w:ascii="黑体" w:eastAsia="黑体" w:hAnsi="黑体" w:cs="黑体"/>
                <w:bCs/>
              </w:rPr>
              <w:t>2.应收账款周转率</w:t>
            </w:r>
            <w:r>
              <w:tab/>
            </w:r>
            <w:r>
              <w:fldChar w:fldCharType="begin"/>
            </w:r>
            <w:r>
              <w:instrText xml:space="preserve"> PAGEREF _Toc34915034 \h </w:instrText>
            </w:r>
            <w:r>
              <w:fldChar w:fldCharType="separate"/>
            </w:r>
            <w:r>
              <w:t>- 26 -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5" w:history="1">
            <w:r>
              <w:rPr>
                <w:rStyle w:val="Hyperlink"/>
                <w:rFonts w:asciiTheme="minorEastAsia" w:hAnsiTheme="minorEastAsia" w:cstheme="minorEastAsia"/>
              </w:rPr>
              <w:t>公式：应收账款周转率=营业收入/平均应收账款余额</w:t>
            </w:r>
            <w:r>
              <w:tab/>
            </w:r>
            <w:r>
              <w:fldChar w:fldCharType="begin"/>
            </w:r>
            <w:r>
              <w:instrText xml:space="preserve"> PAGEREF _Toc34915035 \h </w:instrText>
            </w:r>
            <w:r>
              <w:fldChar w:fldCharType="separate"/>
            </w:r>
            <w:r>
              <w:t>- 26 -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6" w:history="1">
            <w:r>
              <w:rPr>
                <w:rStyle w:val="Hyperlink"/>
                <w:rFonts w:ascii="黑体" w:eastAsia="黑体" w:hAnsi="黑体" w:cs="黑体"/>
                <w:bCs/>
              </w:rPr>
              <w:t>3.存货周转率</w:t>
            </w:r>
            <w:r>
              <w:tab/>
            </w:r>
            <w:r>
              <w:fldChar w:fldCharType="begin"/>
            </w:r>
            <w:r>
              <w:instrText xml:space="preserve"> PAGEREF _Toc34915036 \h </w:instrText>
            </w:r>
            <w:r>
              <w:fldChar w:fldCharType="separate"/>
            </w:r>
            <w:r>
              <w:t>- 26 -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  <w:sectPr>
              <w:headerReference w:type="default" r:id="rId6"/>
              <w:footerReference w:type="default" r:id="rId7"/>
              <w:pgSz w:w="11906" w:h="16838"/>
              <w:pgMar w:top="1417" w:right="1417" w:bottom="1417" w:left="1701" w:header="851" w:footer="992" w:gutter="0"/>
              <w:pgNumType w:fmt="upperRoman"/>
              <w:cols w:num="1" w:space="0"/>
              <w:docGrid w:type="lines" w:linePitch="312" w:charSpace="0"/>
            </w:sectPr>
          </w:pPr>
          <w:hyperlink w:anchor="_Toc34915037" w:history="1">
            <w:r>
              <w:rPr>
                <w:rStyle w:val="Hyperlink"/>
                <w:rFonts w:asciiTheme="minorEastAsia" w:hAnsiTheme="minorEastAsia" w:cstheme="minorEastAsia"/>
                <w:kern w:val="0"/>
                <w:lang w:bidi="ar"/>
              </w:rPr>
              <w:t>公式：存货周转率</w:t>
            </w:r>
            <w:r>
              <w:rPr>
                <w:rStyle w:val="Hyperlink"/>
                <w:rFonts w:asciiTheme="minorEastAsia" w:hAnsiTheme="minorEastAsia" w:cstheme="minorEastAsia"/>
              </w:rPr>
              <w:t>=（存货余额年初数+存货余额年末数）/2</w:t>
            </w:r>
            <w:r>
              <w:tab/>
            </w:r>
            <w:r>
              <w:fldChar w:fldCharType="begin"/>
            </w:r>
            <w:r>
              <w:instrText xml:space="preserve"> PAGEREF _Toc34915037 \h </w:instrText>
            </w:r>
            <w:r>
              <w:fldChar w:fldCharType="separate"/>
            </w:r>
            <w:r>
              <w:t>- 26 -</w:t>
            </w:r>
            <w:r>
              <w:fldChar w:fldCharType="end"/>
            </w:r>
          </w:hyperlink>
        </w:p>
      </w:sdtContent>
    </w:sdt>
    <w:sdt>
      <w:sdtPr>
        <w:rPr>
          <w:rFonts w:ascii="宋体" w:eastAsia="宋体" w:hAnsi="宋体"/>
        </w:rPr>
        <w:id w:val="606636026"/>
        <w:docPartObj>
          <w:docPartGallery w:val="Table of Contents"/>
          <w:docPartUnique/>
        </w:docPartObj>
        <w15:color w:val="DBDBDB"/>
      </w:sdtPr>
      <w:sdtEndPr>
        <w:rPr>
          <w:rFonts w:ascii="黑体" w:eastAsia="黑体" w:hAnsi="黑体" w:cs="黑体"/>
          <w:szCs w:val="28"/>
        </w:rPr>
      </w:sdtEndPr>
      <w:sdtContent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8" w:history="1">
            <w:r>
              <w:rPr>
                <w:rStyle w:val="Hyperlink"/>
                <w:rFonts w:ascii="黑体" w:eastAsia="黑体" w:hAnsi="黑体" w:cs="黑体"/>
                <w:bCs/>
              </w:rPr>
              <w:t>4.固定资产周转率</w:t>
            </w:r>
            <w:r>
              <w:tab/>
            </w:r>
            <w:r>
              <w:fldChar w:fldCharType="begin"/>
            </w:r>
            <w:r>
              <w:instrText xml:space="preserve"> PAGEREF _Toc34915038 \h </w:instrText>
            </w:r>
            <w:r>
              <w:fldChar w:fldCharType="separate"/>
            </w:r>
            <w:r>
              <w:t>- 26 -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778"/>
            </w:tabs>
            <w:rPr>
              <w:szCs w:val="22"/>
            </w:rPr>
          </w:pPr>
          <w:hyperlink w:anchor="_Toc34915039" w:history="1">
            <w:r>
              <w:rPr>
                <w:rStyle w:val="Hyperlink"/>
                <w:rFonts w:asciiTheme="minorEastAsia" w:hAnsiTheme="minorEastAsia" w:cstheme="minorEastAsia"/>
                <w:kern w:val="0"/>
                <w:lang w:bidi="ar"/>
              </w:rPr>
              <w:t>公式：固定资产周转率</w:t>
            </w:r>
            <w:r>
              <w:rPr>
                <w:rStyle w:val="Hyperlink"/>
                <w:rFonts w:asciiTheme="minorEastAsia" w:hAnsiTheme="minorEastAsia" w:cstheme="minorEastAsia"/>
              </w:rPr>
              <w:t>=营业收入/平均固定资产净值</w:t>
            </w:r>
            <w:r>
              <w:tab/>
            </w:r>
            <w:r>
              <w:fldChar w:fldCharType="begin"/>
            </w:r>
            <w:r>
              <w:instrText xml:space="preserve"> PAGEREF _Toc34915039 \h </w:instrText>
            </w:r>
            <w:r>
              <w:fldChar w:fldCharType="separate"/>
            </w:r>
            <w:r>
              <w:t>- 27 -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40" w:history="1">
            <w:r>
              <w:rPr>
                <w:rStyle w:val="Hyperlink"/>
                <w:rFonts w:ascii="黑体" w:hAnsi="黑体" w:cs="黑体"/>
                <w:bCs/>
              </w:rPr>
              <w:t>（三）盈利能力指标的分析</w:t>
            </w:r>
            <w:r>
              <w:tab/>
            </w:r>
            <w:r>
              <w:fldChar w:fldCharType="begin"/>
            </w:r>
            <w:r>
              <w:instrText xml:space="preserve"> PAGEREF _Toc34915040 \h </w:instrText>
            </w:r>
            <w:r>
              <w:fldChar w:fldCharType="separate"/>
            </w:r>
            <w:r>
              <w:t>- 27 -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41" w:history="1">
            <w:r>
              <w:rPr>
                <w:rStyle w:val="Hyperlink"/>
                <w:bCs/>
              </w:rPr>
              <w:t>（四）发展能力指标的分析</w:t>
            </w:r>
            <w:r>
              <w:tab/>
            </w:r>
            <w:r>
              <w:fldChar w:fldCharType="begin"/>
            </w:r>
            <w:r>
              <w:instrText xml:space="preserve"> PAGEREF _Toc34915041 \h </w:instrText>
            </w:r>
            <w:r>
              <w:fldChar w:fldCharType="separate"/>
            </w:r>
            <w:r>
              <w:t>- 29 -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42" w:history="1">
            <w:r>
              <w:rPr>
                <w:rStyle w:val="Hyperlink"/>
                <w:bCs/>
              </w:rPr>
              <w:t>（五）杜邦分析体系</w:t>
            </w:r>
            <w:r>
              <w:tab/>
            </w:r>
            <w:r>
              <w:fldChar w:fldCharType="begin"/>
            </w:r>
            <w:r>
              <w:instrText xml:space="preserve"> PAGEREF _Toc34915042 \h </w:instrText>
            </w:r>
            <w:r>
              <w:fldChar w:fldCharType="separate"/>
            </w:r>
            <w:r>
              <w:t>- 30 -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43" w:history="1">
            <w:r>
              <w:rPr>
                <w:rStyle w:val="Hyperlink"/>
                <w:rFonts w:ascii="黑体" w:eastAsia="黑体" w:hAnsi="黑体" w:cs="黑体"/>
                <w:bCs/>
              </w:rPr>
              <w:t>五、结论与建议</w:t>
            </w:r>
            <w:r>
              <w:tab/>
            </w:r>
            <w:r>
              <w:fldChar w:fldCharType="begin"/>
            </w:r>
            <w:r>
              <w:instrText xml:space="preserve"> PAGEREF _Toc34915043 \h </w:instrText>
            </w:r>
            <w:r>
              <w:fldChar w:fldCharType="separate"/>
            </w:r>
            <w:r>
              <w:t>- 31 -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44" w:history="1">
            <w:r>
              <w:rPr>
                <w:rStyle w:val="Hyperlink"/>
                <w:bCs/>
              </w:rPr>
              <w:t>（一）结论</w:t>
            </w:r>
            <w:r>
              <w:tab/>
            </w:r>
            <w:r>
              <w:fldChar w:fldCharType="begin"/>
            </w:r>
            <w:r>
              <w:instrText xml:space="preserve"> PAGEREF _Toc34915044 \h </w:instrText>
            </w:r>
            <w:r>
              <w:fldChar w:fldCharType="separate"/>
            </w:r>
            <w:r>
              <w:t>- 31 -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778"/>
            </w:tabs>
            <w:rPr>
              <w:szCs w:val="22"/>
            </w:rPr>
          </w:pPr>
          <w:hyperlink w:anchor="_Toc34915045" w:history="1">
            <w:r>
              <w:rPr>
                <w:rStyle w:val="Hyperlink"/>
                <w:bCs/>
              </w:rPr>
              <w:t>（二）建议</w:t>
            </w:r>
            <w:r>
              <w:tab/>
            </w:r>
            <w:r>
              <w:fldChar w:fldCharType="begin"/>
            </w:r>
            <w:r>
              <w:instrText xml:space="preserve"> PAGEREF _Toc34915045 \h </w:instrText>
            </w:r>
            <w:r>
              <w:fldChar w:fldCharType="separate"/>
            </w:r>
            <w:r>
              <w:t>- 31 -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46" w:history="1">
            <w:r>
              <w:rPr>
                <w:rStyle w:val="Hyperlink"/>
                <w:rFonts w:ascii="黑体" w:eastAsia="黑体" w:hAnsi="黑体" w:cs="黑体"/>
                <w:bCs/>
              </w:rPr>
              <w:t>参考文献</w:t>
            </w:r>
            <w:r>
              <w:tab/>
            </w:r>
            <w:r>
              <w:fldChar w:fldCharType="begin"/>
            </w:r>
            <w:r>
              <w:instrText xml:space="preserve"> PAGEREF _Toc34915046 \h </w:instrText>
            </w:r>
            <w:r>
              <w:fldChar w:fldCharType="separate"/>
            </w:r>
            <w:r>
              <w:t>- 33 -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778"/>
            </w:tabs>
            <w:rPr>
              <w:szCs w:val="22"/>
            </w:rPr>
          </w:pPr>
          <w:hyperlink w:anchor="_Toc34915047" w:history="1">
            <w:r>
              <w:rPr>
                <w:rStyle w:val="Hyperlink"/>
                <w:rFonts w:ascii="黑体" w:eastAsia="黑体" w:hAnsi="黑体" w:cs="黑体"/>
                <w:bCs/>
              </w:rPr>
              <w:t>致谢</w:t>
            </w:r>
            <w:r>
              <w:tab/>
            </w:r>
            <w:r>
              <w:fldChar w:fldCharType="begin"/>
            </w:r>
            <w:r>
              <w:instrText xml:space="preserve"> PAGEREF _Toc34915047 \h </w:instrText>
            </w:r>
            <w:r>
              <w:fldChar w:fldCharType="separate"/>
            </w:r>
            <w:r>
              <w:t>- 35 -</w:t>
            </w:r>
            <w:r>
              <w:fldChar w:fldCharType="end"/>
            </w:r>
          </w:hyperlink>
        </w:p>
        <w:p>
          <w:pPr>
            <w:spacing w:line="360" w:lineRule="auto"/>
            <w:rPr>
              <w:rFonts w:ascii="黑体" w:eastAsia="黑体" w:hAnsi="黑体" w:cs="黑体"/>
              <w:sz w:val="28"/>
              <w:szCs w:val="28"/>
            </w:rPr>
          </w:pPr>
          <w:r>
            <w:fldChar w:fldCharType="end"/>
          </w:r>
          <w:r>
            <w:rPr>
              <w:rFonts w:ascii="黑体" w:eastAsia="黑体" w:hAnsi="黑体" w:cs="黑体"/>
              <w:sz w:val="28"/>
              <w:szCs w:val="28"/>
            </w:rPr>
            <w:br/>
          </w:r>
          <w:r>
            <w:rPr>
              <w:rFonts w:ascii="黑体" w:eastAsia="黑体" w:hAnsi="黑体" w:cs="黑体"/>
              <w:sz w:val="28"/>
              <w:szCs w:val="28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8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https://d.book118.com/558002043057006035</w:t>
            </w:r>
          </w:hyperlink>
        </w:p>
        <w:p>
          <w:pPr>
            <w:spacing w:line="360" w:lineRule="auto"/>
            <w:rPr>
              <w:rFonts w:ascii="黑体" w:eastAsia="黑体" w:hAnsi="黑体" w:cs="黑体"/>
              <w:sz w:val="28"/>
              <w:szCs w:val="28"/>
            </w:rPr>
          </w:pPr>
        </w:p>
      </w:sdtContent>
    </w:sdt>
    <w:sectPr>
      <w:headerReference w:type="default" r:id="rId9"/>
      <w:footerReference w:type="default" r:id="rId10"/>
      <w:type w:val="nextPage"/>
      <w:pgSz w:w="11906" w:h="16838"/>
      <w:pgMar w:top="1417" w:right="1417" w:bottom="1417" w:left="1701" w:header="851" w:footer="992" w:gutter="0"/>
      <w:pgNumType w:fmt="upperRoman" w:start="2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5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185228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5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2160" w:firstLineChars="1200"/>
    </w:pPr>
    <w:r>
      <w:rPr>
        <w:rFonts w:hint="eastAsia"/>
      </w:rPr>
      <w:t>中国重汽集团有限公司——基于资产负债表分析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2160" w:firstLineChars="1200"/>
    </w:pPr>
    <w:r>
      <w:rPr>
        <w:rFonts w:hint="eastAsia"/>
      </w:rPr>
      <w:t>中国重汽集团有限公司——基于资产负债表分析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4A07615"/>
    <w:multiLevelType w:val="singleLevel"/>
    <w:tmpl w:val="84A0761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0DB5DC4"/>
    <w:multiLevelType w:val="singleLevel"/>
    <w:tmpl w:val="A0DB5DC4"/>
    <w:lvl w:ilvl="0">
      <w:start w:val="1"/>
      <w:numFmt w:val="decimal"/>
      <w:suff w:val="nothing"/>
      <w:lvlText w:val="（%1）"/>
      <w:lvlJc w:val="left"/>
    </w:lvl>
  </w:abstractNum>
  <w:abstractNum w:abstractNumId="2">
    <w:nsid w:val="0D0C2EC5"/>
    <w:multiLevelType w:val="multilevel"/>
    <w:tmpl w:val="0D0C2EC5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99B456"/>
    <w:multiLevelType w:val="singleLevel"/>
    <w:tmpl w:val="0D99B45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13BE3872"/>
    <w:multiLevelType w:val="singleLevel"/>
    <w:tmpl w:val="13BE3872"/>
    <w:lvl w:ilvl="0">
      <w:start w:val="1"/>
      <w:numFmt w:val="decimal"/>
      <w:suff w:val="nothing"/>
      <w:lvlText w:val="（%1）"/>
      <w:lvlJc w:val="left"/>
    </w:lvl>
  </w:abstractNum>
  <w:abstractNum w:abstractNumId="5">
    <w:nsid w:val="1CB64412"/>
    <w:multiLevelType w:val="singleLevel"/>
    <w:tmpl w:val="1CB6441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4BF"/>
    <w:rsid w:val="00044F83"/>
    <w:rsid w:val="00054BFF"/>
    <w:rsid w:val="000706C3"/>
    <w:rsid w:val="000A6ECE"/>
    <w:rsid w:val="000C6836"/>
    <w:rsid w:val="0011383F"/>
    <w:rsid w:val="001B11C6"/>
    <w:rsid w:val="00244AC7"/>
    <w:rsid w:val="0025589D"/>
    <w:rsid w:val="002901C8"/>
    <w:rsid w:val="002D3AFB"/>
    <w:rsid w:val="00307B7B"/>
    <w:rsid w:val="00341435"/>
    <w:rsid w:val="00356173"/>
    <w:rsid w:val="003E4EC8"/>
    <w:rsid w:val="00480CE4"/>
    <w:rsid w:val="004A0404"/>
    <w:rsid w:val="004B47D2"/>
    <w:rsid w:val="004D726F"/>
    <w:rsid w:val="004E2E5E"/>
    <w:rsid w:val="00541431"/>
    <w:rsid w:val="0056781F"/>
    <w:rsid w:val="00586E95"/>
    <w:rsid w:val="005879FB"/>
    <w:rsid w:val="006359C8"/>
    <w:rsid w:val="00676A33"/>
    <w:rsid w:val="006A2D21"/>
    <w:rsid w:val="006F0642"/>
    <w:rsid w:val="00763B17"/>
    <w:rsid w:val="007C5F21"/>
    <w:rsid w:val="00820561"/>
    <w:rsid w:val="00855F5C"/>
    <w:rsid w:val="008D2C00"/>
    <w:rsid w:val="009A4BAD"/>
    <w:rsid w:val="009E14BF"/>
    <w:rsid w:val="00A53C08"/>
    <w:rsid w:val="00A62C34"/>
    <w:rsid w:val="00A65EF5"/>
    <w:rsid w:val="00AB5724"/>
    <w:rsid w:val="00AD3AC1"/>
    <w:rsid w:val="00AD4CC4"/>
    <w:rsid w:val="00B51B01"/>
    <w:rsid w:val="00B7110D"/>
    <w:rsid w:val="00BE1F7D"/>
    <w:rsid w:val="00C63E5A"/>
    <w:rsid w:val="00CA208C"/>
    <w:rsid w:val="00CB7590"/>
    <w:rsid w:val="00CB7D50"/>
    <w:rsid w:val="00D51075"/>
    <w:rsid w:val="00D54D4E"/>
    <w:rsid w:val="00DD224D"/>
    <w:rsid w:val="00DF0C01"/>
    <w:rsid w:val="00E3299A"/>
    <w:rsid w:val="00E3760A"/>
    <w:rsid w:val="00E95E13"/>
    <w:rsid w:val="00F84B4C"/>
    <w:rsid w:val="02223773"/>
    <w:rsid w:val="04A816A9"/>
    <w:rsid w:val="074E394B"/>
    <w:rsid w:val="09C5225E"/>
    <w:rsid w:val="09FA3E4E"/>
    <w:rsid w:val="0E2F3348"/>
    <w:rsid w:val="0E766AB1"/>
    <w:rsid w:val="103E5CC2"/>
    <w:rsid w:val="14DA23F0"/>
    <w:rsid w:val="17062B2E"/>
    <w:rsid w:val="1C4B6499"/>
    <w:rsid w:val="1DE63670"/>
    <w:rsid w:val="1E046CF1"/>
    <w:rsid w:val="1E2505ED"/>
    <w:rsid w:val="203111DA"/>
    <w:rsid w:val="25005C0C"/>
    <w:rsid w:val="26F66EB6"/>
    <w:rsid w:val="27B216B8"/>
    <w:rsid w:val="27CC5A15"/>
    <w:rsid w:val="2A4D6EC7"/>
    <w:rsid w:val="2AB2056B"/>
    <w:rsid w:val="2DFB066E"/>
    <w:rsid w:val="34510B56"/>
    <w:rsid w:val="362241DF"/>
    <w:rsid w:val="3DE31279"/>
    <w:rsid w:val="40A62B6C"/>
    <w:rsid w:val="41DE2BCA"/>
    <w:rsid w:val="423757CD"/>
    <w:rsid w:val="438E2229"/>
    <w:rsid w:val="457F52D3"/>
    <w:rsid w:val="49CD28F9"/>
    <w:rsid w:val="4CFB2681"/>
    <w:rsid w:val="4E63379B"/>
    <w:rsid w:val="50470535"/>
    <w:rsid w:val="54894CF1"/>
    <w:rsid w:val="5B6707D0"/>
    <w:rsid w:val="62A95807"/>
    <w:rsid w:val="66BA7F14"/>
    <w:rsid w:val="69993975"/>
    <w:rsid w:val="6CA70789"/>
    <w:rsid w:val="728B63B3"/>
    <w:rsid w:val="75784401"/>
    <w:rsid w:val="76705DC4"/>
    <w:rsid w:val="776C1F34"/>
    <w:rsid w:val="776C4443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semiHidden="0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Char"/>
    <w:autoRedefine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link w:val="4Char"/>
    <w:autoRedefine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autoRedefine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4">
    <w:name w:val="toc 4"/>
    <w:basedOn w:val="Normal"/>
    <w:next w:val="Normal"/>
    <w:autoRedefine/>
    <w:uiPriority w:val="39"/>
    <w:qFormat/>
    <w:pPr>
      <w:ind w:left="1260" w:leftChars="600"/>
    </w:pPr>
  </w:style>
  <w:style w:type="paragraph" w:styleId="TOC2">
    <w:name w:val="toc 2"/>
    <w:basedOn w:val="Normal"/>
    <w:next w:val="Normal"/>
    <w:autoRedefine/>
    <w:uiPriority w:val="39"/>
    <w:qFormat/>
    <w:pPr>
      <w:ind w:left="420" w:leftChars="200"/>
    </w:p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autoRedefine/>
    <w:uiPriority w:val="99"/>
    <w:qFormat/>
    <w:rPr>
      <w:color w:val="0000FF"/>
      <w:u w:val="single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character" w:customStyle="1" w:styleId="font11">
    <w:name w:val="font11"/>
    <w:basedOn w:val="DefaultParagraphFont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3Char">
    <w:name w:val="标题 3 Char"/>
    <w:link w:val="Heading3"/>
    <w:autoRedefine/>
    <w:qFormat/>
    <w:rPr>
      <w:b/>
      <w:sz w:val="32"/>
    </w:rPr>
  </w:style>
  <w:style w:type="character" w:customStyle="1" w:styleId="4Char">
    <w:name w:val="标题 4 Char"/>
    <w:link w:val="Heading4"/>
    <w:autoRedefine/>
    <w:qFormat/>
    <w:rPr>
      <w:rFonts w:ascii="Arial" w:eastAsia="黑体" w:hAnsi="Arial"/>
      <w:b/>
      <w:sz w:val="2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yperlink" Target="https://d.book118.com/558002043057006035" TargetMode="Externa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C02AF38-2E50-40A5-8DE9-83EB6380B3C5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6098</Words>
  <Characters>34764</Characters>
  <Application>Microsoft Office Word</Application>
  <DocSecurity>0</DocSecurity>
  <Lines>289</Lines>
  <Paragraphs>81</Paragraphs>
  <ScaleCrop>false</ScaleCrop>
  <Company>Microsoft</Company>
  <LinksUpToDate>false</LinksUpToDate>
  <CharactersWithSpaces>40781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</cp:lastModifiedBy>
  <cp:revision>15</cp:revision>
  <cp:lastPrinted>2021-05-26T00:32:00Z</cp:lastPrinted>
  <dcterms:created xsi:type="dcterms:W3CDTF">2020-03-11T11:46:00Z</dcterms:created>
  <dcterms:modified xsi:type="dcterms:W3CDTF">2024-01-23T14:27:11Z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A6658BFACD4D4AFDB34B402092D1A5BD_12</vt:lpwstr>
  </property>
  <property fmtid="{D5CDD505-2E9C-101B-9397-08002B2CF9AE}" pid="3" name="KSOProductBuildVer">
    <vt:lpwstr>2052-12.1.0.16120</vt:lpwstr>
  </property>
</Properties>
</file>