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4" w:lineRule="auto"/>
        <w:ind w:left="3547"/>
        <w:outlineLvl w:val="0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-9"/>
          <w:sz w:val="31"/>
          <w:szCs w:val="31"/>
        </w:rPr>
        <w:t>1</w:t>
      </w:r>
      <w:r>
        <w:rPr>
          <w:rFonts w:ascii="Times New Roman" w:eastAsia="Times New Roman" w:hAnsi="Times New Roman" w:cs="Times New Roman"/>
          <w:b/>
          <w:bCs/>
          <w:spacing w:val="12"/>
          <w:sz w:val="31"/>
          <w:szCs w:val="31"/>
        </w:rPr>
        <w:t xml:space="preserve">  </w:t>
      </w:r>
      <w:r>
        <w:rPr>
          <w:rFonts w:ascii="SimHei" w:eastAsia="SimHei" w:hAnsi="SimHei" w:cs="SimHei"/>
          <w:spacing w:val="-9"/>
          <w:sz w:val="31"/>
          <w:szCs w:val="31"/>
        </w:rPr>
        <w:t>总</w:t>
      </w:r>
      <w:r>
        <w:rPr>
          <w:rFonts w:ascii="SimHei" w:eastAsia="SimHei" w:hAnsi="SimHei" w:cs="SimHei"/>
          <w:spacing w:val="11"/>
          <w:sz w:val="31"/>
          <w:szCs w:val="31"/>
        </w:rPr>
        <w:t xml:space="preserve">  </w:t>
      </w:r>
      <w:r>
        <w:rPr>
          <w:rFonts w:ascii="SimHei" w:eastAsia="SimHei" w:hAnsi="SimHei" w:cs="SimHei"/>
          <w:spacing w:val="-9"/>
          <w:sz w:val="31"/>
          <w:szCs w:val="31"/>
        </w:rPr>
        <w:t>则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68" w:line="468" w:lineRule="exact"/>
        <w:ind w:left="28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1.0.1  </w:t>
      </w:r>
      <w:r>
        <w:rPr>
          <w:position w:val="19"/>
        </w:rPr>
        <w:t>本规程旨在完善规范既有建筑外墙防水和涂饰更新实</w:t>
      </w:r>
      <w:r>
        <w:rPr>
          <w:spacing w:val="-1"/>
          <w:position w:val="19"/>
        </w:rPr>
        <w:t>施的标准要求，采用先进材料、</w:t>
      </w:r>
    </w:p>
    <w:p>
      <w:pPr>
        <w:pStyle w:val="BodyText"/>
        <w:spacing w:line="220" w:lineRule="auto"/>
        <w:ind w:left="26"/>
      </w:pPr>
      <w:r>
        <w:t>先进工艺和先进技术，解决既有建筑外墙渗漏、褪色、开裂和</w:t>
      </w:r>
      <w:r>
        <w:rPr>
          <w:spacing w:val="-1"/>
        </w:rPr>
        <w:t>脱落等常见病害。</w:t>
      </w:r>
    </w:p>
    <w:p>
      <w:pPr>
        <w:pStyle w:val="BodyText"/>
        <w:spacing w:before="217" w:line="468" w:lineRule="exact"/>
        <w:ind w:left="28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1.0.2  </w:t>
      </w:r>
      <w:r>
        <w:rPr>
          <w:position w:val="19"/>
        </w:rPr>
        <w:t>进一步落实建筑外墙防水的相关规范要求，优化外墙防水涂饰工程一体化实施路径，</w:t>
      </w:r>
    </w:p>
    <w:p>
      <w:pPr>
        <w:pStyle w:val="BodyText"/>
        <w:spacing w:line="219" w:lineRule="auto"/>
        <w:ind w:left="23"/>
      </w:pPr>
      <w:r>
        <w:t>保障既有建筑外墙更新后的安全性、美观性和耐久性，制定本技</w:t>
      </w:r>
      <w:r>
        <w:rPr>
          <w:spacing w:val="-1"/>
        </w:rPr>
        <w:t>术规程。</w:t>
      </w:r>
    </w:p>
    <w:p>
      <w:pPr>
        <w:pStyle w:val="BodyText"/>
        <w:spacing w:before="218" w:line="468" w:lineRule="exact"/>
        <w:ind w:left="28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1.0.3  </w:t>
      </w:r>
      <w:r>
        <w:rPr>
          <w:position w:val="19"/>
        </w:rPr>
        <w:t>本技术规程适用于江苏省既有民用建筑、工业厂房和仓库等建筑外墙防水涂饰更新改</w:t>
      </w:r>
    </w:p>
    <w:p>
      <w:pPr>
        <w:pStyle w:val="BodyText"/>
        <w:spacing w:before="1" w:line="220" w:lineRule="auto"/>
        <w:ind w:left="21"/>
      </w:pPr>
      <w:r>
        <w:t>造，江苏省内新建建筑外墙防水涂饰工程同样</w:t>
      </w:r>
      <w:r>
        <w:rPr>
          <w:spacing w:val="-1"/>
        </w:rPr>
        <w:t>适用。</w:t>
      </w:r>
    </w:p>
    <w:p>
      <w:pPr>
        <w:pStyle w:val="BodyText"/>
        <w:spacing w:before="217" w:line="221" w:lineRule="auto"/>
        <w:ind w:left="28"/>
      </w:pPr>
      <w:r>
        <w:rPr>
          <w:rFonts w:ascii="Times New Roman" w:eastAsia="Times New Roman" w:hAnsi="Times New Roman" w:cs="Times New Roman"/>
          <w:b/>
          <w:bCs/>
        </w:rPr>
        <w:t xml:space="preserve">1.0.4  </w:t>
      </w:r>
      <w:r>
        <w:t>规程遵循应坚持安全适用、绿色环保、经济合</w:t>
      </w:r>
      <w:r>
        <w:rPr>
          <w:spacing w:val="-1"/>
        </w:rPr>
        <w:t>理及施工便捷等原则。</w:t>
      </w:r>
    </w:p>
    <w:p>
      <w:pPr>
        <w:pStyle w:val="BodyText"/>
        <w:spacing w:before="217" w:line="468" w:lineRule="exact"/>
        <w:ind w:left="28"/>
      </w:pPr>
      <w:r>
        <w:rPr>
          <w:rFonts w:ascii="Times New Roman" w:eastAsia="Times New Roman" w:hAnsi="Times New Roman" w:cs="Times New Roman"/>
          <w:b/>
          <w:bCs/>
          <w:spacing w:val="-2"/>
          <w:position w:val="19"/>
        </w:rPr>
        <w:t xml:space="preserve">1.0.5  </w:t>
      </w:r>
      <w:r>
        <w:rPr>
          <w:spacing w:val="-2"/>
          <w:position w:val="19"/>
        </w:rPr>
        <w:t>既有建筑外墙防水涂饰一体化更新，除了</w:t>
      </w:r>
      <w:r>
        <w:rPr>
          <w:spacing w:val="-3"/>
          <w:position w:val="19"/>
        </w:rPr>
        <w:t>符合本规程的规定外， 尚应符合国家、行业</w:t>
      </w:r>
    </w:p>
    <w:p>
      <w:pPr>
        <w:pStyle w:val="BodyText"/>
        <w:spacing w:before="1" w:line="220" w:lineRule="auto"/>
        <w:ind w:left="21"/>
      </w:pPr>
      <w:r>
        <w:rPr>
          <w:spacing w:val="-6"/>
        </w:rPr>
        <w:t>及江苏省现行标准、</w:t>
      </w:r>
      <w:r>
        <w:rPr>
          <w:spacing w:val="-19"/>
        </w:rPr>
        <w:t xml:space="preserve"> </w:t>
      </w:r>
      <w:r>
        <w:rPr>
          <w:spacing w:val="-6"/>
        </w:rPr>
        <w:t>规范的规定。</w:t>
      </w:r>
    </w:p>
    <w:p>
      <w:pPr>
        <w:spacing w:line="220" w:lineRule="auto"/>
        <w:sectPr>
          <w:footerReference w:type="default" r:id="rId4"/>
          <w:pgSz w:w="11907" w:h="16839"/>
          <w:pgMar w:top="1431" w:right="1785" w:bottom="1149" w:left="1785" w:header="0" w:footer="991" w:gutter="0"/>
          <w:cols w:space="708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0" w:line="225" w:lineRule="auto"/>
        <w:ind w:left="3214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6"/>
          <w:sz w:val="31"/>
          <w:szCs w:val="31"/>
        </w:rPr>
        <w:t xml:space="preserve">2  </w:t>
      </w:r>
      <w:r>
        <w:rPr>
          <w:rFonts w:ascii="SimHei" w:eastAsia="SimHei" w:hAnsi="SimHei" w:cs="SimHei"/>
          <w:spacing w:val="6"/>
          <w:sz w:val="31"/>
          <w:szCs w:val="31"/>
        </w:rPr>
        <w:t>术语和定义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68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2.0.1  </w:t>
      </w:r>
      <w:r>
        <w:rPr>
          <w:rFonts w:ascii="SimHei" w:eastAsia="SimHei" w:hAnsi="SimHei" w:cs="SimHei"/>
          <w:spacing w:val="-1"/>
          <w:sz w:val="21"/>
          <w:szCs w:val="21"/>
        </w:rPr>
        <w:t>外墙防水涂饰一体化更新</w:t>
      </w:r>
    </w:p>
    <w:p>
      <w:pPr>
        <w:pStyle w:val="BodyText"/>
        <w:spacing w:before="219" w:line="411" w:lineRule="auto"/>
        <w:ind w:left="24" w:right="74" w:firstLine="420"/>
        <w:jc w:val="both"/>
      </w:pPr>
      <w:r>
        <w:rPr>
          <w:spacing w:val="-4"/>
        </w:rPr>
        <w:t>为治理既有建筑外墙渗漏、褪色、开裂和脱落等病害，</w:t>
      </w:r>
      <w:r>
        <w:rPr>
          <w:spacing w:val="-44"/>
        </w:rPr>
        <w:t xml:space="preserve"> </w:t>
      </w:r>
      <w:r>
        <w:rPr>
          <w:spacing w:val="-4"/>
        </w:rPr>
        <w:t>提高建筑外</w:t>
      </w:r>
      <w:r>
        <w:rPr>
          <w:spacing w:val="-5"/>
        </w:rPr>
        <w:t>墙安全性、耐久性和</w:t>
      </w:r>
      <w:r>
        <w:t xml:space="preserve"> </w:t>
      </w:r>
      <w:r>
        <w:rPr>
          <w:spacing w:val="-2"/>
        </w:rPr>
        <w:t>美观性，选用具有防水和装饰功能二合一的产品</w:t>
      </w:r>
      <w:r>
        <w:rPr>
          <w:spacing w:val="-3"/>
        </w:rPr>
        <w:t>方案，对既有建筑外墙进行检查、评估、修</w:t>
      </w:r>
    </w:p>
    <w:p>
      <w:pPr>
        <w:pStyle w:val="BodyText"/>
        <w:spacing w:line="221" w:lineRule="auto"/>
        <w:ind w:left="22"/>
      </w:pPr>
      <w:r>
        <w:rPr>
          <w:spacing w:val="-1"/>
        </w:rPr>
        <w:t>补和涂饰的活动。</w:t>
      </w:r>
    </w:p>
    <w:p>
      <w:pPr>
        <w:spacing w:before="217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2.0.2  </w:t>
      </w:r>
      <w:r>
        <w:rPr>
          <w:rFonts w:ascii="SimHei" w:eastAsia="SimHei" w:hAnsi="SimHei" w:cs="SimHei"/>
          <w:spacing w:val="-1"/>
          <w:sz w:val="21"/>
          <w:szCs w:val="21"/>
        </w:rPr>
        <w:t>聚合物水泥防水装饰一体化涂料</w:t>
      </w:r>
    </w:p>
    <w:p>
      <w:pPr>
        <w:pStyle w:val="BodyText"/>
        <w:spacing w:before="218" w:line="412" w:lineRule="auto"/>
        <w:ind w:left="36" w:firstLine="430"/>
        <w:jc w:val="both"/>
      </w:pPr>
      <w:r>
        <w:rPr>
          <w:spacing w:val="-6"/>
        </w:rPr>
        <w:t xml:space="preserve">以聚合物、水泥、细骨料为主要组分，掺入颜料和添加剂，按适当配比混合制成， 具有 </w:t>
      </w:r>
      <w:r>
        <w:rPr>
          <w:spacing w:val="-1"/>
        </w:rPr>
        <w:t>防水和装饰功能</w:t>
      </w:r>
      <w:r>
        <w:rPr>
          <w:rFonts w:ascii="Times New Roman" w:eastAsia="Times New Roman" w:hAnsi="Times New Roman" w:cs="Times New Roman"/>
          <w:spacing w:val="-1"/>
        </w:rPr>
        <w:t>“</w:t>
      </w:r>
      <w:r>
        <w:rPr>
          <w:spacing w:val="-1"/>
        </w:rPr>
        <w:t>二合一</w:t>
      </w:r>
      <w:r>
        <w:rPr>
          <w:rFonts w:ascii="Times New Roman" w:eastAsia="Times New Roman" w:hAnsi="Times New Roman" w:cs="Times New Roman"/>
          <w:spacing w:val="-1"/>
        </w:rPr>
        <w:t>”</w:t>
      </w:r>
      <w:r>
        <w:rPr>
          <w:rFonts w:ascii="Times New Roman" w:eastAsia="Times New Roman" w:hAnsi="Times New Roman" w:cs="Times New Roman"/>
          <w:spacing w:val="-24"/>
        </w:rPr>
        <w:t xml:space="preserve"> </w:t>
      </w:r>
      <w:r>
        <w:rPr>
          <w:spacing w:val="-1"/>
        </w:rPr>
        <w:t>、超耐候性、超耐污性、优异透气性和环保性的双组份建筑涂料。</w:t>
      </w:r>
    </w:p>
    <w:p>
      <w:pPr>
        <w:pStyle w:val="BodyText"/>
        <w:spacing w:before="1" w:line="219" w:lineRule="auto"/>
        <w:ind w:left="23"/>
      </w:pPr>
      <w:r>
        <w:rPr>
          <w:spacing w:val="-2"/>
        </w:rPr>
        <w:t>本技术规程中简称</w:t>
      </w:r>
      <w:r>
        <w:rPr>
          <w:rFonts w:ascii="Times New Roman" w:eastAsia="Times New Roman" w:hAnsi="Times New Roman" w:cs="Times New Roman"/>
          <w:spacing w:val="-2"/>
        </w:rPr>
        <w:t>“</w:t>
      </w:r>
      <w:r>
        <w:rPr>
          <w:rFonts w:ascii="Times New Roman" w:eastAsia="Times New Roman" w:hAnsi="Times New Roman" w:cs="Times New Roman"/>
          <w:spacing w:val="-20"/>
        </w:rPr>
        <w:t xml:space="preserve"> </w:t>
      </w:r>
      <w:r>
        <w:rPr>
          <w:spacing w:val="-2"/>
        </w:rPr>
        <w:t>防水装饰一体化涂料</w:t>
      </w:r>
      <w:r>
        <w:rPr>
          <w:rFonts w:ascii="Times New Roman" w:eastAsia="Times New Roman" w:hAnsi="Times New Roman" w:cs="Times New Roman"/>
          <w:spacing w:val="-2"/>
        </w:rPr>
        <w:t>”</w:t>
      </w:r>
      <w:r>
        <w:rPr>
          <w:spacing w:val="-2"/>
        </w:rPr>
        <w:t>。</w:t>
      </w:r>
    </w:p>
    <w:p>
      <w:pPr>
        <w:spacing w:before="218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2.0.3  </w:t>
      </w:r>
      <w:r>
        <w:rPr>
          <w:rFonts w:ascii="SimHei" w:eastAsia="SimHei" w:hAnsi="SimHei" w:cs="SimHei"/>
          <w:spacing w:val="-1"/>
          <w:sz w:val="21"/>
          <w:szCs w:val="21"/>
        </w:rPr>
        <w:t>基层渗透加固封闭底漆</w:t>
      </w:r>
    </w:p>
    <w:p>
      <w:pPr>
        <w:pStyle w:val="BodyText"/>
        <w:spacing w:before="218" w:line="468" w:lineRule="exact"/>
        <w:jc w:val="right"/>
      </w:pPr>
      <w:r>
        <w:rPr>
          <w:spacing w:val="-1"/>
          <w:position w:val="19"/>
        </w:rPr>
        <w:t>以改性聚合物乳液为原材料、掺加改性助剂制成的具有渗透加</w:t>
      </w:r>
      <w:r>
        <w:rPr>
          <w:spacing w:val="-2"/>
          <w:position w:val="19"/>
        </w:rPr>
        <w:t>固、抗返碱的涂料底漆。</w:t>
      </w:r>
    </w:p>
    <w:p>
      <w:pPr>
        <w:pStyle w:val="BodyText"/>
        <w:spacing w:before="1" w:line="219" w:lineRule="auto"/>
        <w:ind w:left="26"/>
      </w:pPr>
      <w:r>
        <w:t>与防水装饰一体化涂料搭配使用，为其提供</w:t>
      </w:r>
      <w:r>
        <w:rPr>
          <w:spacing w:val="-1"/>
        </w:rPr>
        <w:t>优异的粘结面。</w:t>
      </w:r>
    </w:p>
    <w:p>
      <w:pPr>
        <w:spacing w:before="218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2.0.5  </w:t>
      </w:r>
      <w:r>
        <w:rPr>
          <w:rFonts w:ascii="SimHei" w:eastAsia="SimHei" w:hAnsi="SimHei" w:cs="SimHei"/>
          <w:spacing w:val="-1"/>
          <w:sz w:val="21"/>
          <w:szCs w:val="21"/>
        </w:rPr>
        <w:t>水泥基改性增强剂</w:t>
      </w:r>
    </w:p>
    <w:p>
      <w:pPr>
        <w:pStyle w:val="BodyText"/>
        <w:spacing w:before="219" w:line="468" w:lineRule="exact"/>
        <w:ind w:left="446"/>
      </w:pPr>
      <w:r>
        <w:rPr>
          <w:spacing w:val="-4"/>
          <w:position w:val="19"/>
        </w:rPr>
        <w:t>是一种用于水泥基制品加固专用的改性聚合物乳液</w:t>
      </w:r>
      <w:r>
        <w:rPr>
          <w:spacing w:val="-5"/>
          <w:position w:val="19"/>
        </w:rPr>
        <w:t>，具有优异的水泥兼容性，</w:t>
      </w:r>
      <w:r>
        <w:rPr>
          <w:spacing w:val="-37"/>
          <w:position w:val="19"/>
        </w:rPr>
        <w:t xml:space="preserve"> </w:t>
      </w:r>
      <w:r>
        <w:rPr>
          <w:spacing w:val="-5"/>
          <w:position w:val="19"/>
        </w:rPr>
        <w:t>能有效降</w:t>
      </w:r>
    </w:p>
    <w:p>
      <w:pPr>
        <w:pStyle w:val="BodyText"/>
        <w:spacing w:before="1" w:line="220" w:lineRule="auto"/>
        <w:ind w:left="21"/>
      </w:pPr>
      <w:r>
        <w:rPr>
          <w:spacing w:val="-5"/>
        </w:rPr>
        <w:t>低水泥基制品的吸水率，</w:t>
      </w:r>
      <w:r>
        <w:rPr>
          <w:spacing w:val="-4"/>
        </w:rPr>
        <w:t xml:space="preserve"> </w:t>
      </w:r>
      <w:r>
        <w:rPr>
          <w:spacing w:val="-5"/>
        </w:rPr>
        <w:t>提高其粘结强度和抗渗性能。</w:t>
      </w:r>
    </w:p>
    <w:p>
      <w:pPr>
        <w:spacing w:before="217" w:line="220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2.0.6  </w:t>
      </w:r>
      <w:r>
        <w:rPr>
          <w:rFonts w:ascii="SimHei" w:eastAsia="SimHei" w:hAnsi="SimHei" w:cs="SimHei"/>
          <w:spacing w:val="-1"/>
          <w:sz w:val="21"/>
          <w:szCs w:val="21"/>
        </w:rPr>
        <w:t>耐碱玻璃纤维网格布</w:t>
      </w:r>
    </w:p>
    <w:p>
      <w:pPr>
        <w:pStyle w:val="BodyText"/>
        <w:spacing w:before="218" w:line="468" w:lineRule="exact"/>
        <w:ind w:left="441"/>
      </w:pPr>
      <w:r>
        <w:rPr>
          <w:spacing w:val="-3"/>
          <w:position w:val="19"/>
        </w:rPr>
        <w:t>表面经高分子材料涂覆处理的、具有耐碱功能的网格状玻璃纤维织物，作为增强材料内</w:t>
      </w:r>
    </w:p>
    <w:p>
      <w:pPr>
        <w:pStyle w:val="BodyText"/>
        <w:spacing w:before="1" w:line="219" w:lineRule="auto"/>
        <w:ind w:left="21"/>
      </w:pPr>
      <w:r>
        <w:rPr>
          <w:spacing w:val="-3"/>
        </w:rPr>
        <w:t>置于聚合物水泥砂浆找平层中，</w:t>
      </w:r>
      <w:r>
        <w:rPr>
          <w:spacing w:val="-18"/>
        </w:rPr>
        <w:t xml:space="preserve"> </w:t>
      </w:r>
      <w:r>
        <w:rPr>
          <w:spacing w:val="-3"/>
        </w:rPr>
        <w:t>用以提高砂浆层的抗裂性，简称耐碱玻纤网格布。</w:t>
      </w:r>
    </w:p>
    <w:p>
      <w:pPr>
        <w:spacing w:line="219" w:lineRule="auto"/>
        <w:sectPr>
          <w:footerReference w:type="default" r:id="rId5"/>
          <w:pgSz w:w="11907" w:h="16839"/>
          <w:pgMar w:top="1431" w:right="1719" w:bottom="1151" w:left="1785" w:header="0" w:footer="991" w:gutter="0"/>
          <w:pgNumType w:start="2"/>
          <w:cols w:space="708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6" w:lineRule="auto"/>
        <w:ind w:left="3372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31"/>
          <w:szCs w:val="31"/>
        </w:rPr>
        <w:t>3</w:t>
      </w:r>
      <w:r>
        <w:rPr>
          <w:rFonts w:ascii="Times New Roman" w:eastAsia="Times New Roman" w:hAnsi="Times New Roman" w:cs="Times New Roman"/>
          <w:b/>
          <w:bCs/>
          <w:spacing w:val="11"/>
          <w:sz w:val="31"/>
          <w:szCs w:val="31"/>
        </w:rPr>
        <w:t xml:space="preserve">  </w:t>
      </w:r>
      <w:r>
        <w:rPr>
          <w:rFonts w:ascii="SimHei" w:eastAsia="SimHei" w:hAnsi="SimHei" w:cs="SimHei"/>
          <w:spacing w:val="4"/>
          <w:sz w:val="31"/>
          <w:szCs w:val="31"/>
        </w:rPr>
        <w:t>基本规定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68" w:line="411" w:lineRule="auto"/>
        <w:ind w:left="21" w:right="7" w:hanging="4"/>
        <w:jc w:val="both"/>
      </w:pPr>
      <w:r>
        <w:rPr>
          <w:rFonts w:ascii="Times New Roman" w:eastAsia="Times New Roman" w:hAnsi="Times New Roman" w:cs="Times New Roman"/>
          <w:b/>
          <w:bCs/>
          <w:spacing w:val="-2"/>
        </w:rPr>
        <w:t xml:space="preserve">3.0.1  </w:t>
      </w:r>
      <w:r>
        <w:rPr>
          <w:spacing w:val="-2"/>
        </w:rPr>
        <w:t>既有建筑外墙防水涂饰更新工程，</w:t>
      </w:r>
      <w:r>
        <w:rPr>
          <w:spacing w:val="-5"/>
        </w:rPr>
        <w:t xml:space="preserve"> </w:t>
      </w:r>
      <w:r>
        <w:rPr>
          <w:spacing w:val="-2"/>
        </w:rPr>
        <w:t>是在成熟生活环境中实施的活动，且既有建筑外墙</w:t>
      </w:r>
      <w:r>
        <w:t xml:space="preserve"> </w:t>
      </w:r>
      <w:r>
        <w:rPr>
          <w:spacing w:val="-4"/>
        </w:rPr>
        <w:t>基层情况与新建建筑差异较大，</w:t>
      </w:r>
      <w:r>
        <w:rPr>
          <w:spacing w:val="-21"/>
        </w:rPr>
        <w:t xml:space="preserve"> </w:t>
      </w:r>
      <w:r>
        <w:rPr>
          <w:spacing w:val="-4"/>
        </w:rPr>
        <w:t>在材料选择</w:t>
      </w:r>
      <w:r>
        <w:rPr>
          <w:spacing w:val="-5"/>
        </w:rPr>
        <w:t>、工艺选择、施工组织、质量验收和后续维保等</w:t>
      </w:r>
    </w:p>
    <w:p>
      <w:pPr>
        <w:pStyle w:val="BodyText"/>
        <w:spacing w:line="219" w:lineRule="auto"/>
        <w:ind w:left="23"/>
      </w:pPr>
      <w:r>
        <w:rPr>
          <w:spacing w:val="-7"/>
        </w:rPr>
        <w:t>方面， 应因地制宜， 综合考虑其安全性、可行性和生态</w:t>
      </w:r>
      <w:r>
        <w:rPr>
          <w:spacing w:val="-8"/>
        </w:rPr>
        <w:t>环保性。</w:t>
      </w:r>
    </w:p>
    <w:p>
      <w:pPr>
        <w:pStyle w:val="BodyText"/>
        <w:spacing w:before="217" w:line="468" w:lineRule="exact"/>
        <w:ind w:left="17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3.0.2  </w:t>
      </w:r>
      <w:r>
        <w:rPr>
          <w:position w:val="19"/>
        </w:rPr>
        <w:t>本技术规程解决方案中采用的材料，需满足本技术规程中材料性能的要求外，尚应满</w:t>
      </w:r>
    </w:p>
    <w:p>
      <w:pPr>
        <w:pStyle w:val="BodyText"/>
        <w:spacing w:before="1" w:line="219" w:lineRule="auto"/>
        <w:ind w:left="26"/>
      </w:pPr>
      <w:r>
        <w:t>足安全及环保的要求，且应对材料进场、抽检和验收等进行全过</w:t>
      </w:r>
      <w:r>
        <w:rPr>
          <w:spacing w:val="-1"/>
        </w:rPr>
        <w:t>程监督管理。</w:t>
      </w:r>
    </w:p>
    <w:p>
      <w:pPr>
        <w:pStyle w:val="BodyText"/>
        <w:spacing w:before="218" w:line="469" w:lineRule="exact"/>
        <w:ind w:left="17"/>
      </w:pPr>
      <w:r>
        <w:rPr>
          <w:rFonts w:ascii="Times New Roman" w:eastAsia="Times New Roman" w:hAnsi="Times New Roman" w:cs="Times New Roman"/>
          <w:b/>
          <w:bCs/>
          <w:spacing w:val="-5"/>
          <w:position w:val="19"/>
        </w:rPr>
        <w:t xml:space="preserve">3.0.3  </w:t>
      </w:r>
      <w:r>
        <w:rPr>
          <w:spacing w:val="-5"/>
          <w:position w:val="19"/>
        </w:rPr>
        <w:t>选用本技术规程时， 外立面建筑设计需与“</w:t>
      </w:r>
      <w:r>
        <w:rPr>
          <w:rFonts w:ascii="Times New Roman" w:eastAsia="Times New Roman" w:hAnsi="Times New Roman" w:cs="Times New Roman"/>
          <w:spacing w:val="-5"/>
          <w:position w:val="19"/>
        </w:rPr>
        <w:t xml:space="preserve">6.3 </w:t>
      </w:r>
      <w:r>
        <w:rPr>
          <w:spacing w:val="-5"/>
          <w:position w:val="19"/>
        </w:rPr>
        <w:t>构造做法</w:t>
      </w:r>
      <w:r>
        <w:rPr>
          <w:spacing w:val="-64"/>
          <w:position w:val="19"/>
        </w:rPr>
        <w:t xml:space="preserve"> </w:t>
      </w:r>
      <w:r>
        <w:rPr>
          <w:spacing w:val="-5"/>
          <w:position w:val="19"/>
        </w:rPr>
        <w:t>”要求一致，不得引用其他构</w:t>
      </w:r>
    </w:p>
    <w:p>
      <w:pPr>
        <w:pStyle w:val="BodyText"/>
        <w:spacing w:line="220" w:lineRule="auto"/>
        <w:ind w:left="21"/>
      </w:pPr>
      <w:r>
        <w:rPr>
          <w:spacing w:val="-1"/>
        </w:rPr>
        <w:t>造做法。</w:t>
      </w:r>
    </w:p>
    <w:p>
      <w:pPr>
        <w:pStyle w:val="BodyText"/>
        <w:spacing w:before="217" w:line="468" w:lineRule="exact"/>
        <w:ind w:left="17"/>
      </w:pPr>
      <w:r>
        <w:rPr>
          <w:rFonts w:ascii="Times New Roman" w:eastAsia="Times New Roman" w:hAnsi="Times New Roman" w:cs="Times New Roman"/>
          <w:b/>
          <w:bCs/>
          <w:spacing w:val="-2"/>
          <w:position w:val="19"/>
        </w:rPr>
        <w:t xml:space="preserve">3.0.4  </w:t>
      </w:r>
      <w:r>
        <w:rPr>
          <w:spacing w:val="-2"/>
          <w:position w:val="19"/>
        </w:rPr>
        <w:t>施工管理应符合本技术规程中规定的要求外， 尚需满足国家相关的工程管理规</w:t>
      </w:r>
      <w:r>
        <w:rPr>
          <w:spacing w:val="-3"/>
          <w:position w:val="19"/>
        </w:rPr>
        <w:t>范和标</w:t>
      </w:r>
    </w:p>
    <w:p>
      <w:pPr>
        <w:pStyle w:val="BodyText"/>
        <w:spacing w:line="222" w:lineRule="auto"/>
        <w:ind w:left="24"/>
      </w:pPr>
      <w:r>
        <w:rPr>
          <w:spacing w:val="-10"/>
        </w:rPr>
        <w:t>准。</w:t>
      </w:r>
    </w:p>
    <w:p>
      <w:pPr>
        <w:pStyle w:val="BodyText"/>
        <w:spacing w:before="216" w:line="468" w:lineRule="exact"/>
        <w:ind w:left="17"/>
      </w:pPr>
      <w:r>
        <w:rPr>
          <w:rFonts w:ascii="Times New Roman" w:eastAsia="Times New Roman" w:hAnsi="Times New Roman" w:cs="Times New Roman"/>
          <w:b/>
          <w:bCs/>
          <w:spacing w:val="-1"/>
          <w:position w:val="19"/>
        </w:rPr>
        <w:t xml:space="preserve">3.0.5  </w:t>
      </w:r>
      <w:r>
        <w:rPr>
          <w:spacing w:val="-1"/>
          <w:position w:val="19"/>
        </w:rPr>
        <w:t>项目验收应严格按照</w:t>
      </w:r>
      <w:r>
        <w:rPr>
          <w:spacing w:val="-44"/>
          <w:position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9"/>
        </w:rPr>
        <w:t>GB55030-2022</w:t>
      </w:r>
      <w:r>
        <w:rPr>
          <w:spacing w:val="-1"/>
          <w:position w:val="19"/>
        </w:rPr>
        <w:t>《建筑与市政工</w:t>
      </w:r>
      <w:r>
        <w:rPr>
          <w:spacing w:val="-2"/>
          <w:position w:val="19"/>
        </w:rPr>
        <w:t>程防水通用规范》</w:t>
      </w:r>
      <w:r>
        <w:rPr>
          <w:rFonts w:ascii="Times New Roman" w:eastAsia="Times New Roman" w:hAnsi="Times New Roman" w:cs="Times New Roman"/>
          <w:spacing w:val="-2"/>
          <w:position w:val="19"/>
        </w:rPr>
        <w:t>6.0.11</w:t>
      </w:r>
      <w:r>
        <w:rPr>
          <w:rFonts w:ascii="Times New Roman" w:eastAsia="Times New Roman" w:hAnsi="Times New Roman" w:cs="Times New Roman"/>
          <w:spacing w:val="26"/>
          <w:position w:val="19"/>
        </w:rPr>
        <w:t xml:space="preserve"> </w:t>
      </w:r>
      <w:r>
        <w:rPr>
          <w:spacing w:val="-2"/>
          <w:position w:val="19"/>
        </w:rPr>
        <w:t>中规定的</w:t>
      </w:r>
    </w:p>
    <w:p>
      <w:pPr>
        <w:pStyle w:val="BodyText"/>
        <w:spacing w:line="221" w:lineRule="auto"/>
        <w:ind w:left="23"/>
      </w:pPr>
      <w:r>
        <w:rPr>
          <w:spacing w:val="-2"/>
        </w:rPr>
        <w:t>要求进行。</w:t>
      </w:r>
    </w:p>
    <w:p>
      <w:pPr>
        <w:spacing w:line="221" w:lineRule="auto"/>
        <w:sectPr>
          <w:footerReference w:type="default" r:id="rId6"/>
          <w:pgSz w:w="11907" w:h="16839"/>
          <w:pgMar w:top="1431" w:right="1785" w:bottom="1149" w:left="1785" w:header="0" w:footer="991" w:gutter="0"/>
          <w:pgNumType w:start="3"/>
          <w:cols w:space="708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0" w:line="225" w:lineRule="auto"/>
        <w:ind w:left="3375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31"/>
          <w:szCs w:val="31"/>
        </w:rPr>
        <w:t>4</w:t>
      </w:r>
      <w:r>
        <w:rPr>
          <w:rFonts w:ascii="Times New Roman" w:eastAsia="Times New Roman" w:hAnsi="Times New Roman" w:cs="Times New Roman"/>
          <w:b/>
          <w:bCs/>
          <w:spacing w:val="9"/>
          <w:sz w:val="31"/>
          <w:szCs w:val="31"/>
        </w:rPr>
        <w:t xml:space="preserve">  </w:t>
      </w:r>
      <w:r>
        <w:rPr>
          <w:rFonts w:ascii="SimHei" w:eastAsia="SimHei" w:hAnsi="SimHei" w:cs="SimHei"/>
          <w:spacing w:val="4"/>
          <w:sz w:val="31"/>
          <w:szCs w:val="31"/>
        </w:rPr>
        <w:t>性能指标</w:t>
      </w:r>
    </w:p>
    <w:p>
      <w:pPr>
        <w:spacing w:line="308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spacing w:before="68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4.1</w:t>
      </w:r>
      <w:r>
        <w:rPr>
          <w:rFonts w:ascii="Times New Roman" w:eastAsia="Times New Roman" w:hAnsi="Times New Roman" w:cs="Times New Roman"/>
          <w:b/>
          <w:bCs/>
          <w:spacing w:val="10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2"/>
          <w:sz w:val="21"/>
          <w:szCs w:val="21"/>
        </w:rPr>
        <w:t>防水装饰一体化涂料</w:t>
      </w:r>
    </w:p>
    <w:p>
      <w:pPr>
        <w:pStyle w:val="BodyText"/>
        <w:spacing w:before="218" w:line="468" w:lineRule="exact"/>
        <w:ind w:left="455"/>
      </w:pPr>
      <w:r>
        <w:rPr>
          <w:spacing w:val="-4"/>
          <w:position w:val="19"/>
        </w:rPr>
        <w:t>防水装饰一体化涂料主要性能指标应满足表</w:t>
      </w:r>
      <w:r>
        <w:rPr>
          <w:spacing w:val="-33"/>
          <w:position w:val="19"/>
        </w:rPr>
        <w:t xml:space="preserve"> </w:t>
      </w:r>
      <w:r>
        <w:rPr>
          <w:rFonts w:ascii="Times New Roman" w:eastAsia="Times New Roman" w:hAnsi="Times New Roman" w:cs="Times New Roman"/>
          <w:spacing w:val="-4"/>
          <w:position w:val="19"/>
        </w:rPr>
        <w:t>4.1.1</w:t>
      </w:r>
      <w:r>
        <w:rPr>
          <w:rFonts w:ascii="Times New Roman" w:eastAsia="Times New Roman" w:hAnsi="Times New Roman" w:cs="Times New Roman"/>
          <w:spacing w:val="23"/>
          <w:w w:val="101"/>
          <w:position w:val="19"/>
        </w:rPr>
        <w:t xml:space="preserve"> </w:t>
      </w:r>
      <w:r>
        <w:rPr>
          <w:spacing w:val="-4"/>
          <w:position w:val="19"/>
        </w:rPr>
        <w:t>的规定， 产品各项性能指标的检验方</w:t>
      </w:r>
    </w:p>
    <w:p>
      <w:pPr>
        <w:pStyle w:val="BodyText"/>
        <w:spacing w:line="220" w:lineRule="auto"/>
        <w:ind w:left="23"/>
      </w:pPr>
      <w:r>
        <w:rPr>
          <w:spacing w:val="-3"/>
        </w:rPr>
        <w:t>法按表</w:t>
      </w:r>
      <w:r>
        <w:rPr>
          <w:spacing w:val="-40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4.1.1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spacing w:val="-3"/>
        </w:rPr>
        <w:t>中现行标准的有关规定执行。</w:t>
      </w:r>
    </w:p>
    <w:p>
      <w:pPr>
        <w:spacing w:before="235" w:line="218" w:lineRule="auto"/>
        <w:ind w:left="2061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-1"/>
          <w:sz w:val="18"/>
          <w:szCs w:val="18"/>
        </w:rPr>
        <w:t>表</w:t>
      </w:r>
      <w:r>
        <w:rPr>
          <w:rFonts w:ascii="SimHei" w:eastAsia="SimHei" w:hAnsi="SimHei" w:cs="SimHei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4.1.1</w:t>
      </w:r>
      <w:r>
        <w:rPr>
          <w:rFonts w:ascii="Times New Roman" w:eastAsia="Times New Roman" w:hAnsi="Times New Roman" w:cs="Times New Roman"/>
          <w:spacing w:val="19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1"/>
          <w:sz w:val="18"/>
          <w:szCs w:val="18"/>
        </w:rPr>
        <w:t>防水装饰一体化涂料主要性能指</w:t>
      </w:r>
      <w:r>
        <w:rPr>
          <w:rFonts w:ascii="SimHei" w:eastAsia="SimHei" w:hAnsi="SimHei" w:cs="SimHei"/>
          <w:spacing w:val="-2"/>
          <w:sz w:val="18"/>
          <w:szCs w:val="18"/>
        </w:rPr>
        <w:t>标和检测方法</w:t>
      </w:r>
    </w:p>
    <w:tbl>
      <w:tblPr>
        <w:tblStyle w:val="TableNormal0"/>
        <w:tblW w:w="8790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8"/>
        <w:gridCol w:w="628"/>
        <w:gridCol w:w="1557"/>
        <w:gridCol w:w="1842"/>
        <w:gridCol w:w="2944"/>
        <w:gridCol w:w="1171"/>
      </w:tblGrid>
      <w:tr>
        <w:tblPrEx>
          <w:tblW w:w="8790" w:type="dxa"/>
          <w:tblInd w:w="1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648" w:type="dxa"/>
            <w:vAlign w:val="top"/>
          </w:tcPr>
          <w:p>
            <w:pPr>
              <w:pStyle w:val="TableText"/>
              <w:spacing w:before="70" w:line="220" w:lineRule="auto"/>
              <w:ind w:left="148"/>
            </w:pPr>
            <w:r>
              <w:rPr>
                <w:spacing w:val="-2"/>
              </w:rPr>
              <w:t>类别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70" w:line="221" w:lineRule="auto"/>
              <w:ind w:left="133"/>
            </w:pPr>
            <w:r>
              <w:rPr>
                <w:spacing w:val="-2"/>
              </w:rPr>
              <w:t>序号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70" w:line="220" w:lineRule="auto"/>
              <w:ind w:left="1344"/>
            </w:pPr>
            <w:r>
              <w:rPr>
                <w:spacing w:val="-2"/>
              </w:rPr>
              <w:t>试验项目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0" w:line="220" w:lineRule="auto"/>
              <w:ind w:left="1117"/>
            </w:pPr>
            <w:r>
              <w:rPr>
                <w:spacing w:val="-2"/>
              </w:rPr>
              <w:t>技术指标</w:t>
            </w:r>
          </w:p>
        </w:tc>
        <w:tc>
          <w:tcPr>
            <w:tcW w:w="1171" w:type="dxa"/>
            <w:vAlign w:val="top"/>
          </w:tcPr>
          <w:p>
            <w:pPr>
              <w:pStyle w:val="TableText"/>
              <w:spacing w:before="70" w:line="220" w:lineRule="auto"/>
              <w:ind w:left="230"/>
            </w:pPr>
            <w:r>
              <w:rPr>
                <w:spacing w:val="-2"/>
              </w:rPr>
              <w:t>检验方法</w:t>
            </w: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312" w:lineRule="exact"/>
              <w:ind w:left="159"/>
            </w:pPr>
            <w:r>
              <w:rPr>
                <w:spacing w:val="-5"/>
                <w:position w:val="10"/>
              </w:rPr>
              <w:t>防水</w:t>
            </w:r>
          </w:p>
          <w:p>
            <w:pPr>
              <w:pStyle w:val="TableText"/>
              <w:spacing w:line="220" w:lineRule="auto"/>
              <w:ind w:left="150"/>
            </w:pPr>
            <w:r>
              <w:rPr>
                <w:spacing w:val="-3"/>
              </w:rPr>
              <w:t>性能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6" w:line="182" w:lineRule="auto"/>
              <w:ind w:left="281"/>
            </w:pPr>
            <w:r>
              <w:t>1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6" w:line="221" w:lineRule="auto"/>
              <w:ind w:left="1433"/>
            </w:pPr>
            <w:r>
              <w:rPr>
                <w:spacing w:val="-2"/>
              </w:rPr>
              <w:t>施工性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5" w:line="220" w:lineRule="auto"/>
              <w:ind w:left="1027"/>
            </w:pPr>
            <w:r>
              <w:rPr>
                <w:spacing w:val="-2"/>
              </w:rPr>
              <w:t>施工无障碍</w:t>
            </w: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8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87" w:lineRule="auto"/>
              <w:ind w:left="227" w:right="142" w:hanging="88"/>
              <w:jc w:val="both"/>
            </w:pPr>
            <w:r>
              <w:rPr>
                <w:spacing w:val="-4"/>
              </w:rPr>
              <w:t>《聚合物水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泥防水涂</w:t>
            </w:r>
            <w:r>
              <w:rPr>
                <w:spacing w:val="1"/>
              </w:rPr>
              <w:t xml:space="preserve">  </w:t>
            </w:r>
            <w:r>
              <w:rPr>
                <w:spacing w:val="-1"/>
              </w:rPr>
              <w:t>料》GB/T</w:t>
            </w:r>
          </w:p>
          <w:p>
            <w:pPr>
              <w:pStyle w:val="TableText"/>
              <w:spacing w:before="127" w:line="181" w:lineRule="auto"/>
              <w:ind w:left="141"/>
            </w:pPr>
            <w:r>
              <w:rPr>
                <w:spacing w:val="-1"/>
              </w:rPr>
              <w:t>23445-2009</w:t>
            </w: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7" w:line="220" w:lineRule="auto"/>
              <w:ind w:left="1210"/>
            </w:pPr>
            <w:r>
              <w:rPr>
                <w:spacing w:val="-1"/>
              </w:rPr>
              <w:t>涂膜厚度/mm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0" w:line="209" w:lineRule="auto"/>
              <w:ind w:left="1163"/>
            </w:pPr>
            <w:r>
              <w:rPr>
                <w:spacing w:val="-1"/>
              </w:rPr>
              <w:t>0.6~1.0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9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9" w:line="181" w:lineRule="auto"/>
              <w:ind w:left="270"/>
            </w:pPr>
            <w:r>
              <w:t>2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8" w:line="220" w:lineRule="auto"/>
              <w:ind w:left="1269"/>
            </w:pPr>
            <w:r>
              <w:rPr>
                <w:spacing w:val="-4"/>
              </w:rPr>
              <w:t>固体含量/%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8" w:lineRule="auto"/>
              <w:ind w:left="1314"/>
            </w:pPr>
            <w:r>
              <w:rPr>
                <w:spacing w:val="-8"/>
              </w:rPr>
              <w:t>≥70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1" w:lineRule="auto"/>
              <w:ind w:left="271"/>
            </w:pPr>
            <w:r>
              <w:t>3</w:t>
            </w:r>
          </w:p>
        </w:tc>
        <w:tc>
          <w:tcPr>
            <w:tcW w:w="1557" w:type="dxa"/>
            <w:vAlign w:val="top"/>
          </w:tcPr>
          <w:p>
            <w:pPr>
              <w:pStyle w:val="TableText"/>
              <w:spacing w:before="67" w:line="220" w:lineRule="auto"/>
              <w:ind w:left="244"/>
            </w:pPr>
            <w:r>
              <w:rPr>
                <w:spacing w:val="-1"/>
              </w:rPr>
              <w:t>拉伸强度/MPa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7" w:line="220" w:lineRule="auto"/>
              <w:ind w:left="655"/>
            </w:pPr>
            <w:r>
              <w:rPr>
                <w:spacing w:val="-2"/>
              </w:rPr>
              <w:t>无处理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6" w:line="238" w:lineRule="auto"/>
              <w:ind w:left="1268"/>
            </w:pPr>
            <w:r>
              <w:rPr>
                <w:spacing w:val="-6"/>
              </w:rPr>
              <w:t>≥1.8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3" w:line="272" w:lineRule="auto"/>
              <w:ind w:left="689" w:right="147" w:hanging="537"/>
            </w:pPr>
            <w:r>
              <w:rPr>
                <w:spacing w:val="-2"/>
              </w:rPr>
              <w:t>拉伸强度保持率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/%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7" w:line="223" w:lineRule="auto"/>
              <w:ind w:left="565"/>
            </w:pPr>
            <w:r>
              <w:rPr>
                <w:spacing w:val="-2"/>
              </w:rPr>
              <w:t>加热处理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7" w:line="238" w:lineRule="auto"/>
              <w:ind w:left="1268"/>
            </w:pPr>
            <w:r>
              <w:rPr>
                <w:spacing w:val="-6"/>
              </w:rPr>
              <w:t>≥100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7" w:line="222" w:lineRule="auto"/>
              <w:ind w:left="652"/>
            </w:pPr>
            <w:r>
              <w:rPr>
                <w:spacing w:val="-2"/>
              </w:rPr>
              <w:t>碱处理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7" w:line="238" w:lineRule="auto"/>
              <w:ind w:left="1268"/>
            </w:pPr>
            <w:r>
              <w:rPr>
                <w:spacing w:val="-6"/>
              </w:rPr>
              <w:t>≥100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8" w:line="220" w:lineRule="auto"/>
              <w:ind w:left="565"/>
            </w:pPr>
            <w:r>
              <w:rPr>
                <w:spacing w:val="-2"/>
              </w:rPr>
              <w:t>浸水处理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38" w:lineRule="auto"/>
              <w:ind w:left="1268"/>
            </w:pPr>
            <w:r>
              <w:rPr>
                <w:spacing w:val="-6"/>
              </w:rPr>
              <w:t>≥100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181" w:lineRule="auto"/>
              <w:ind w:left="267"/>
            </w:pPr>
            <w:r>
              <w:t>4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249"/>
            </w:pPr>
            <w:r>
              <w:rPr>
                <w:spacing w:val="-2"/>
              </w:rPr>
              <w:t>断裂伸长率/%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0" w:lineRule="auto"/>
              <w:ind w:left="655"/>
            </w:pPr>
            <w:r>
              <w:rPr>
                <w:spacing w:val="-2"/>
              </w:rPr>
              <w:t>无处理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8" w:lineRule="auto"/>
              <w:ind w:left="1314"/>
            </w:pPr>
            <w:r>
              <w:rPr>
                <w:spacing w:val="-8"/>
              </w:rPr>
              <w:t>≥30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9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71" w:line="223" w:lineRule="auto"/>
              <w:ind w:left="565"/>
            </w:pPr>
            <w:r>
              <w:rPr>
                <w:spacing w:val="-2"/>
              </w:rPr>
              <w:t>加热处理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1" w:line="238" w:lineRule="auto"/>
              <w:ind w:left="1314"/>
            </w:pPr>
            <w:r>
              <w:rPr>
                <w:spacing w:val="-8"/>
              </w:rPr>
              <w:t>≥20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8" w:line="222" w:lineRule="auto"/>
              <w:ind w:left="652"/>
            </w:pPr>
            <w:r>
              <w:rPr>
                <w:spacing w:val="-2"/>
              </w:rPr>
              <w:t>碱处理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38" w:lineRule="auto"/>
              <w:ind w:left="1314"/>
            </w:pPr>
            <w:r>
              <w:rPr>
                <w:spacing w:val="-8"/>
              </w:rPr>
              <w:t>≥20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0" w:lineRule="auto"/>
              <w:ind w:left="565"/>
            </w:pPr>
            <w:r>
              <w:rPr>
                <w:spacing w:val="-2"/>
              </w:rPr>
              <w:t>浸水处理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8" w:lineRule="auto"/>
              <w:ind w:left="1314"/>
            </w:pPr>
            <w:r>
              <w:rPr>
                <w:spacing w:val="-8"/>
              </w:rPr>
              <w:t>≥20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180" w:lineRule="auto"/>
              <w:ind w:left="271"/>
            </w:pPr>
            <w:r>
              <w:t>5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242"/>
            </w:pPr>
            <w:r>
              <w:rPr>
                <w:spacing w:val="-1"/>
              </w:rPr>
              <w:t>粘结强度/MPa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0" w:lineRule="auto"/>
              <w:ind w:left="655"/>
            </w:pPr>
            <w:r>
              <w:rPr>
                <w:spacing w:val="-2"/>
              </w:rPr>
              <w:t>无处理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38" w:lineRule="auto"/>
              <w:ind w:left="1268"/>
            </w:pPr>
            <w:r>
              <w:rPr>
                <w:spacing w:val="-6"/>
              </w:rPr>
              <w:t>≥2.0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8" w:line="220" w:lineRule="auto"/>
              <w:ind w:left="564"/>
            </w:pPr>
            <w:r>
              <w:rPr>
                <w:spacing w:val="-2"/>
              </w:rPr>
              <w:t>潮湿处理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38" w:lineRule="auto"/>
              <w:ind w:left="1268"/>
            </w:pPr>
            <w:r>
              <w:rPr>
                <w:spacing w:val="-6"/>
              </w:rPr>
              <w:t>≥2.0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2" w:lineRule="auto"/>
              <w:ind w:left="652"/>
            </w:pPr>
            <w:r>
              <w:rPr>
                <w:spacing w:val="-2"/>
              </w:rPr>
              <w:t>碱处理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8" w:lineRule="auto"/>
              <w:ind w:left="1268"/>
            </w:pPr>
            <w:r>
              <w:rPr>
                <w:spacing w:val="-6"/>
              </w:rPr>
              <w:t>≥1.5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9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71" w:line="220" w:lineRule="auto"/>
              <w:ind w:left="565"/>
            </w:pPr>
            <w:r>
              <w:rPr>
                <w:spacing w:val="-2"/>
              </w:rPr>
              <w:t>浸水处理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1" w:line="238" w:lineRule="auto"/>
              <w:ind w:left="1268"/>
            </w:pPr>
            <w:r>
              <w:rPr>
                <w:spacing w:val="-6"/>
              </w:rPr>
              <w:t>≥1.5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60" w:line="181" w:lineRule="auto"/>
              <w:ind w:left="269"/>
            </w:pPr>
            <w:r>
              <w:t>6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74" w:line="312" w:lineRule="exact"/>
              <w:ind w:left="376"/>
            </w:pPr>
            <w:r>
              <w:rPr>
                <w:spacing w:val="-2"/>
                <w:position w:val="9"/>
              </w:rPr>
              <w:t>低温柔性/</w:t>
            </w:r>
          </w:p>
          <w:p>
            <w:pPr>
              <w:pStyle w:val="TableText"/>
              <w:spacing w:line="231" w:lineRule="auto"/>
              <w:ind w:left="427"/>
            </w:pPr>
            <w:r>
              <w:rPr>
                <w:spacing w:val="-2"/>
              </w:rPr>
              <w:t>（50mm）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0" w:lineRule="auto"/>
              <w:ind w:left="655"/>
            </w:pPr>
            <w:r>
              <w:rPr>
                <w:spacing w:val="-2"/>
              </w:rPr>
              <w:t>无处理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17" w:lineRule="auto"/>
              <w:ind w:left="980"/>
            </w:pPr>
            <w:r>
              <w:rPr>
                <w:spacing w:val="12"/>
              </w:rPr>
              <w:t>-5℃,无裂纹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1" w:lineRule="auto"/>
              <w:ind w:left="117"/>
            </w:pPr>
            <w:r>
              <w:rPr>
                <w:spacing w:val="-1"/>
              </w:rPr>
              <w:t>热老化（80℃/14d）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17" w:lineRule="auto"/>
              <w:ind w:left="980"/>
            </w:pPr>
            <w:r>
              <w:rPr>
                <w:spacing w:val="12"/>
              </w:rPr>
              <w:t>-3℃,无裂纹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100" w:line="180" w:lineRule="auto"/>
              <w:ind w:left="272"/>
            </w:pPr>
            <w:r>
              <w:t>7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8" w:line="220" w:lineRule="auto"/>
              <w:ind w:left="581"/>
            </w:pPr>
            <w:r>
              <w:rPr>
                <w:spacing w:val="-1"/>
              </w:rPr>
              <w:t>不透水性（0.3MPa，30min）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210"/>
            </w:pPr>
            <w:r>
              <w:rPr>
                <w:spacing w:val="-3"/>
              </w:rPr>
              <w:t>不透水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8" w:line="181" w:lineRule="auto"/>
              <w:ind w:left="269"/>
            </w:pPr>
            <w:r>
              <w:t>8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7" w:line="220" w:lineRule="auto"/>
              <w:ind w:left="624"/>
            </w:pPr>
            <w:r>
              <w:rPr>
                <w:spacing w:val="-9"/>
              </w:rPr>
              <w:t>抗渗性（砂浆背水面）</w:t>
            </w:r>
            <w:r>
              <w:rPr>
                <w:spacing w:val="30"/>
              </w:rPr>
              <w:t xml:space="preserve"> </w:t>
            </w:r>
            <w:r>
              <w:rPr>
                <w:spacing w:val="-9"/>
              </w:rPr>
              <w:t>/MPa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7" w:line="238" w:lineRule="auto"/>
              <w:ind w:left="1268"/>
            </w:pPr>
            <w:r>
              <w:rPr>
                <w:spacing w:val="-6"/>
              </w:rPr>
              <w:t>≥0.8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ectPr>
          <w:footerReference w:type="default" r:id="rId7"/>
          <w:pgSz w:w="11907" w:h="16839"/>
          <w:pgMar w:top="1431" w:right="1310" w:bottom="1151" w:left="1785" w:header="0" w:footer="991" w:gutter="0"/>
          <w:pgNumType w:start="4"/>
          <w:cols w:space="708"/>
        </w:sectPr>
      </w:pPr>
    </w:p>
    <w:tbl>
      <w:tblPr>
        <w:tblStyle w:val="TableNormal1"/>
        <w:tblW w:w="8790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8"/>
        <w:gridCol w:w="628"/>
        <w:gridCol w:w="1557"/>
        <w:gridCol w:w="1842"/>
        <w:gridCol w:w="2944"/>
        <w:gridCol w:w="1171"/>
      </w:tblGrid>
      <w:tr>
        <w:tblPrEx>
          <w:tblW w:w="8790" w:type="dxa"/>
          <w:tblInd w:w="1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16"/>
        </w:trPr>
        <w:tc>
          <w:tcPr>
            <w:tcW w:w="648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9" w:line="181" w:lineRule="auto"/>
              <w:ind w:left="269"/>
            </w:pPr>
            <w:r>
              <w:t>9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8" w:line="220" w:lineRule="auto"/>
              <w:ind w:left="895"/>
            </w:pPr>
            <w:r>
              <w:rPr>
                <w:spacing w:val="-1"/>
              </w:rPr>
              <w:t>耐水性（80℃/14d）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28"/>
            </w:pPr>
            <w:r>
              <w:rPr>
                <w:spacing w:val="-1"/>
              </w:rPr>
              <w:t>无裂纹、分层、起泡、破碎等现象</w:t>
            </w:r>
          </w:p>
        </w:tc>
        <w:tc>
          <w:tcPr>
            <w:tcW w:w="1171" w:type="dxa"/>
            <w:vMerge w:val="restart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9"/>
        </w:trPr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312" w:lineRule="exact"/>
              <w:ind w:left="148"/>
            </w:pPr>
            <w:r>
              <w:rPr>
                <w:spacing w:val="-2"/>
                <w:position w:val="9"/>
              </w:rPr>
              <w:t>装饰</w:t>
            </w:r>
          </w:p>
          <w:p>
            <w:pPr>
              <w:pStyle w:val="TableText"/>
              <w:spacing w:line="220" w:lineRule="auto"/>
              <w:ind w:left="150"/>
            </w:pPr>
            <w:r>
              <w:rPr>
                <w:spacing w:val="-3"/>
              </w:rPr>
              <w:t>性能</w:t>
            </w: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101" w:line="182" w:lineRule="auto"/>
              <w:ind w:left="238"/>
            </w:pPr>
            <w:r>
              <w:rPr>
                <w:spacing w:val="-5"/>
              </w:rPr>
              <w:t>10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71" w:line="214" w:lineRule="auto"/>
              <w:ind w:left="1080"/>
            </w:pPr>
            <w:r>
              <w:rPr>
                <w:spacing w:val="-2"/>
              </w:rPr>
              <w:t>吸水量（2h）/g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1" w:line="236" w:lineRule="auto"/>
              <w:ind w:left="1354"/>
            </w:pPr>
            <w:r>
              <w:rPr>
                <w:spacing w:val="-10"/>
              </w:rPr>
              <w:t>≤2</w:t>
            </w:r>
          </w:p>
        </w:tc>
        <w:tc>
          <w:tcPr>
            <w:tcW w:w="1171" w:type="dxa"/>
            <w:vMerge w:val="restart"/>
            <w:tcBorders>
              <w:bottom w:val="nil"/>
            </w:tcBorders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6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87" w:lineRule="auto"/>
              <w:ind w:left="139" w:right="134"/>
              <w:jc w:val="both"/>
            </w:pPr>
            <w:r>
              <w:rPr>
                <w:spacing w:val="-4"/>
              </w:rPr>
              <w:t>《合成树脂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乳液外墙涂</w:t>
            </w:r>
            <w:r>
              <w:t xml:space="preserve"> </w:t>
            </w:r>
            <w:r>
              <w:rPr>
                <w:spacing w:val="20"/>
              </w:rPr>
              <w:t>料》</w:t>
            </w:r>
            <w:r>
              <w:t>GB</w:t>
            </w:r>
            <w:r>
              <w:rPr>
                <w:spacing w:val="20"/>
              </w:rPr>
              <w:t>/T</w:t>
            </w:r>
          </w:p>
          <w:p>
            <w:pPr>
              <w:pStyle w:val="TableText"/>
              <w:spacing w:before="126" w:line="182" w:lineRule="auto"/>
              <w:ind w:left="185"/>
            </w:pPr>
            <w:r>
              <w:rPr>
                <w:spacing w:val="-1"/>
              </w:rPr>
              <w:t>9755-2014</w:t>
            </w: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8" w:line="182" w:lineRule="auto"/>
              <w:ind w:left="238"/>
            </w:pPr>
            <w:r>
              <w:rPr>
                <w:spacing w:val="-5"/>
              </w:rPr>
              <w:t>11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9" w:line="221" w:lineRule="auto"/>
              <w:ind w:left="626"/>
            </w:pPr>
            <w:r>
              <w:rPr>
                <w:spacing w:val="-9"/>
              </w:rPr>
              <w:t>耐沾污性（白色和浅色）</w:t>
            </w:r>
            <w:r>
              <w:rPr>
                <w:spacing w:val="21"/>
              </w:rPr>
              <w:t xml:space="preserve"> </w:t>
            </w:r>
            <w:r>
              <w:rPr>
                <w:spacing w:val="-9"/>
              </w:rPr>
              <w:t>/%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6" w:lineRule="auto"/>
              <w:ind w:left="1309"/>
            </w:pPr>
            <w:r>
              <w:rPr>
                <w:spacing w:val="-7"/>
              </w:rPr>
              <w:t>≤15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8" w:line="182" w:lineRule="auto"/>
              <w:ind w:left="238"/>
            </w:pPr>
            <w:r>
              <w:rPr>
                <w:spacing w:val="-5"/>
              </w:rPr>
              <w:t>12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8" w:line="220" w:lineRule="auto"/>
              <w:ind w:left="602"/>
            </w:pPr>
            <w:r>
              <w:rPr>
                <w:spacing w:val="-2"/>
              </w:rPr>
              <w:t>涂层耐温变性（15</w:t>
            </w:r>
            <w:r>
              <w:rPr>
                <w:spacing w:val="-32"/>
              </w:rPr>
              <w:t xml:space="preserve"> </w:t>
            </w:r>
            <w:r>
              <w:rPr>
                <w:spacing w:val="-2"/>
              </w:rPr>
              <w:t>次循环）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209"/>
            </w:pPr>
            <w:r>
              <w:rPr>
                <w:spacing w:val="-2"/>
              </w:rPr>
              <w:t>无异常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59" w:line="182" w:lineRule="auto"/>
              <w:ind w:left="238"/>
            </w:pPr>
            <w:r>
              <w:rPr>
                <w:spacing w:val="-5"/>
              </w:rPr>
              <w:t>13</w:t>
            </w:r>
          </w:p>
        </w:tc>
        <w:tc>
          <w:tcPr>
            <w:tcW w:w="3399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9" w:line="220" w:lineRule="auto"/>
              <w:ind w:left="987"/>
            </w:pPr>
            <w:r>
              <w:rPr>
                <w:spacing w:val="-2"/>
              </w:rPr>
              <w:t>耐人工气候老化性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20" w:lineRule="auto"/>
              <w:ind w:left="174"/>
            </w:pPr>
            <w:r>
              <w:rPr>
                <w:spacing w:val="-1"/>
              </w:rPr>
              <w:t>3000h，不起泡、不剥落、无裂纹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399" w:type="dxa"/>
            <w:gridSpan w:val="2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530"/>
            </w:pPr>
            <w:r>
              <w:rPr>
                <w:spacing w:val="-2"/>
              </w:rPr>
              <w:t>粉化≤1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级，变色≤2</w:t>
            </w:r>
            <w:r>
              <w:rPr>
                <w:spacing w:val="-33"/>
              </w:rPr>
              <w:t xml:space="preserve"> </w:t>
            </w:r>
            <w:r>
              <w:rPr>
                <w:spacing w:val="-2"/>
              </w:rPr>
              <w:t>级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8" w:line="182" w:lineRule="auto"/>
              <w:ind w:left="238"/>
            </w:pPr>
            <w:r>
              <w:rPr>
                <w:spacing w:val="-5"/>
              </w:rPr>
              <w:t>14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8" w:line="220" w:lineRule="auto"/>
              <w:ind w:left="1344"/>
            </w:pPr>
            <w:r>
              <w:rPr>
                <w:spacing w:val="-2"/>
              </w:rPr>
              <w:t>抗泛碱性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053"/>
            </w:pPr>
            <w:r>
              <w:rPr>
                <w:spacing w:val="-3"/>
              </w:rPr>
              <w:t>72h</w:t>
            </w:r>
            <w:r>
              <w:rPr>
                <w:spacing w:val="-35"/>
              </w:rPr>
              <w:t xml:space="preserve"> </w:t>
            </w:r>
            <w:r>
              <w:rPr>
                <w:spacing w:val="-3"/>
              </w:rPr>
              <w:t>无异常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9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101" w:line="182" w:lineRule="auto"/>
              <w:ind w:left="238"/>
            </w:pPr>
            <w:r>
              <w:rPr>
                <w:spacing w:val="-5"/>
              </w:rPr>
              <w:t>15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71" w:line="220" w:lineRule="auto"/>
              <w:ind w:left="1253"/>
            </w:pPr>
            <w:r>
              <w:rPr>
                <w:spacing w:val="-2"/>
              </w:rPr>
              <w:t>抗泛盐碱性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1" w:line="220" w:lineRule="auto"/>
              <w:ind w:left="1017"/>
            </w:pPr>
            <w:r>
              <w:rPr>
                <w:spacing w:val="-4"/>
              </w:rPr>
              <w:t>120h</w:t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无异常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9" w:line="182" w:lineRule="auto"/>
              <w:ind w:left="238"/>
            </w:pPr>
            <w:r>
              <w:rPr>
                <w:spacing w:val="-5"/>
              </w:rPr>
              <w:t>16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9" w:line="220" w:lineRule="auto"/>
              <w:ind w:left="941"/>
            </w:pPr>
            <w:r>
              <w:rPr>
                <w:spacing w:val="-2"/>
              </w:rPr>
              <w:t>水蒸气透过率（V）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14" w:lineRule="auto"/>
              <w:ind w:left="815"/>
            </w:pPr>
            <w:r>
              <w:rPr>
                <w:spacing w:val="-3"/>
              </w:rPr>
              <w:t>15~150</w:t>
            </w:r>
            <w:r>
              <w:rPr>
                <w:spacing w:val="22"/>
              </w:rPr>
              <w:t xml:space="preserve"> </w:t>
            </w:r>
            <w:r>
              <w:rPr>
                <w:spacing w:val="-3"/>
              </w:rPr>
              <w:t>g/(m2.d)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6" w:line="312" w:lineRule="exact"/>
              <w:ind w:left="148"/>
            </w:pPr>
            <w:r>
              <w:rPr>
                <w:spacing w:val="-2"/>
                <w:position w:val="9"/>
              </w:rPr>
              <w:t>应用</w:t>
            </w:r>
          </w:p>
          <w:p>
            <w:pPr>
              <w:pStyle w:val="TableText"/>
              <w:spacing w:line="220" w:lineRule="auto"/>
              <w:ind w:left="150"/>
            </w:pPr>
            <w:r>
              <w:rPr>
                <w:spacing w:val="-3"/>
              </w:rPr>
              <w:t>性能</w:t>
            </w: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182" w:lineRule="auto"/>
              <w:ind w:left="238"/>
            </w:pPr>
            <w:r>
              <w:rPr>
                <w:spacing w:val="-5"/>
              </w:rPr>
              <w:t>17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80" w:line="270" w:lineRule="auto"/>
              <w:ind w:left="381" w:right="147" w:hanging="226"/>
            </w:pPr>
            <w:r>
              <w:rPr>
                <w:spacing w:val="-2"/>
              </w:rPr>
              <w:t>与陶瓷砖的粘结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强度(可选</w:t>
            </w:r>
          </w:p>
          <w:p>
            <w:pPr>
              <w:pStyle w:val="TableText"/>
              <w:spacing w:before="97" w:line="220" w:lineRule="auto"/>
              <w:ind w:left="468"/>
            </w:pPr>
            <w:r>
              <w:rPr>
                <w:spacing w:val="-2"/>
              </w:rPr>
              <w:t>项)/MPa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70" w:line="220" w:lineRule="auto"/>
              <w:ind w:left="566"/>
            </w:pPr>
            <w:r>
              <w:rPr>
                <w:spacing w:val="-2"/>
              </w:rPr>
              <w:t>标准状态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0" w:line="238" w:lineRule="auto"/>
              <w:ind w:left="1268"/>
            </w:pPr>
            <w:r>
              <w:rPr>
                <w:spacing w:val="-6"/>
              </w:rPr>
              <w:t>≥1.0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9" w:line="220" w:lineRule="auto"/>
              <w:ind w:left="565"/>
            </w:pPr>
            <w:r>
              <w:rPr>
                <w:spacing w:val="-2"/>
              </w:rPr>
              <w:t>浸水处理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9" w:line="238" w:lineRule="auto"/>
              <w:ind w:left="1268"/>
            </w:pPr>
            <w:r>
              <w:rPr>
                <w:spacing w:val="-6"/>
              </w:rPr>
              <w:t>≥0.7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21"/>
        </w:trPr>
        <w:tc>
          <w:tcPr>
            <w:tcW w:w="64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70" w:line="220" w:lineRule="auto"/>
              <w:ind w:left="385"/>
            </w:pPr>
            <w:r>
              <w:rPr>
                <w:spacing w:val="-1"/>
              </w:rPr>
              <w:t>冻融循环处理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70" w:line="238" w:lineRule="auto"/>
              <w:ind w:left="1268"/>
            </w:pPr>
            <w:r>
              <w:rPr>
                <w:spacing w:val="-6"/>
              </w:rPr>
              <w:t>≥0.7</w:t>
            </w:r>
          </w:p>
        </w:tc>
        <w:tc>
          <w:tcPr>
            <w:tcW w:w="11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8"/>
          <w:type w:val="nextPage"/>
          <w:pgSz w:w="11907" w:h="16839"/>
          <w:pgMar w:top="1431" w:right="1310" w:bottom="1151" w:left="1785" w:header="0" w:footer="991" w:gutter="0"/>
          <w:pgNumType w:start="5"/>
          <w:cols w:space="708"/>
          <w:titlePg w:val="0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TableNormal2"/>
        <w:tblW w:w="8790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648"/>
        <w:gridCol w:w="628"/>
        <w:gridCol w:w="1557"/>
        <w:gridCol w:w="1842"/>
        <w:gridCol w:w="2944"/>
        <w:gridCol w:w="1171"/>
      </w:tblGrid>
      <w:tr>
        <w:tblPrEx>
          <w:tblW w:w="8790" w:type="dxa"/>
          <w:tblInd w:w="1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21"/>
        </w:trPr>
        <w:tc>
          <w:tcPr>
            <w:tcW w:w="648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1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spacing w:line="282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312" w:lineRule="exact"/>
              <w:ind w:left="148"/>
            </w:pPr>
            <w:r>
              <w:rPr>
                <w:spacing w:val="-2"/>
                <w:position w:val="9"/>
              </w:rPr>
              <w:t>环保</w:t>
            </w:r>
          </w:p>
          <w:p>
            <w:pPr>
              <w:pStyle w:val="TableText"/>
              <w:spacing w:line="220" w:lineRule="auto"/>
              <w:ind w:left="150"/>
            </w:pPr>
            <w:r>
              <w:rPr>
                <w:spacing w:val="-3"/>
              </w:rPr>
              <w:t>性能</w:t>
            </w:r>
          </w:p>
        </w:tc>
        <w:tc>
          <w:tcPr>
            <w:tcW w:w="628" w:type="dxa"/>
            <w:tcBorders>
              <w:top w:val="nil"/>
            </w:tcBorders>
            <w:vAlign w:val="top"/>
          </w:tcPr>
          <w:p>
            <w:pPr>
              <w:pStyle w:val="TableText"/>
              <w:spacing w:before="100" w:line="182" w:lineRule="auto"/>
              <w:ind w:left="238"/>
            </w:pPr>
            <w:r>
              <w:rPr>
                <w:spacing w:val="-5"/>
              </w:rPr>
              <w:t>18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70" w:line="214" w:lineRule="auto"/>
              <w:ind w:left="441"/>
            </w:pPr>
            <w:r>
              <w:rPr>
                <w:spacing w:val="-1"/>
              </w:rPr>
              <w:t>挥发性有机化合物（VOC</w:t>
            </w:r>
            <w:r>
              <w:rPr>
                <w:spacing w:val="-32"/>
              </w:rPr>
              <w:t>），</w:t>
            </w:r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g/L</w:t>
            </w:r>
          </w:p>
        </w:tc>
        <w:tc>
          <w:tcPr>
            <w:tcW w:w="2944" w:type="dxa"/>
            <w:tcBorders>
              <w:top w:val="nil"/>
            </w:tcBorders>
            <w:vAlign w:val="top"/>
          </w:tcPr>
          <w:p>
            <w:pPr>
              <w:pStyle w:val="TableText"/>
              <w:spacing w:before="70" w:line="236" w:lineRule="auto"/>
              <w:ind w:left="1309"/>
            </w:pPr>
            <w:r>
              <w:rPr>
                <w:spacing w:val="-7"/>
              </w:rPr>
              <w:t>≤50</w:t>
            </w:r>
          </w:p>
        </w:tc>
        <w:tc>
          <w:tcPr>
            <w:tcW w:w="1171" w:type="dxa"/>
            <w:vMerge w:val="restart"/>
            <w:tcBorders>
              <w:top w:val="nil"/>
              <w:bottom w:val="nil"/>
            </w:tcBorders>
            <w:vAlign w:val="top"/>
          </w:tcPr>
          <w:p>
            <w:pPr>
              <w:pStyle w:val="TableText"/>
              <w:spacing w:before="69" w:line="295" w:lineRule="auto"/>
              <w:ind w:left="138" w:right="132" w:firstLine="1"/>
            </w:pPr>
            <w:r>
              <w:rPr>
                <w:spacing w:val="-4"/>
              </w:rPr>
              <w:t>《建筑防水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涂料中有害</w:t>
            </w:r>
            <w:r>
              <w:rPr>
                <w:spacing w:val="2"/>
              </w:rPr>
              <w:t xml:space="preserve"> </w:t>
            </w:r>
            <w:r>
              <w:rPr>
                <w:spacing w:val="-3"/>
              </w:rPr>
              <w:t>物质限量》</w:t>
            </w:r>
            <w:r>
              <w:t xml:space="preserve"> </w:t>
            </w:r>
            <w:r>
              <w:rPr>
                <w:spacing w:val="-3"/>
              </w:rPr>
              <w:t>JC/T</w:t>
            </w:r>
            <w:r>
              <w:rPr>
                <w:spacing w:val="20"/>
              </w:rPr>
              <w:t xml:space="preserve"> </w:t>
            </w:r>
            <w:r>
              <w:rPr>
                <w:spacing w:val="-3"/>
              </w:rPr>
              <w:t>1066-</w:t>
            </w:r>
          </w:p>
          <w:p>
            <w:pPr>
              <w:pStyle w:val="TableText"/>
              <w:spacing w:before="129" w:line="181" w:lineRule="auto"/>
              <w:ind w:left="412"/>
            </w:pPr>
            <w:r>
              <w:rPr>
                <w:spacing w:val="-2"/>
              </w:rPr>
              <w:t>2008</w:t>
            </w:r>
          </w:p>
          <w:p>
            <w:pPr>
              <w:pStyle w:val="TableText"/>
              <w:spacing w:before="105" w:line="270" w:lineRule="auto"/>
              <w:ind w:left="139" w:right="134"/>
            </w:pPr>
            <w:r>
              <w:rPr>
                <w:spacing w:val="-4"/>
              </w:rPr>
              <w:t>《建筑用墙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面涂料中有</w:t>
            </w:r>
          </w:p>
          <w:p>
            <w:pPr>
              <w:pStyle w:val="TableText"/>
              <w:spacing w:before="96" w:line="273" w:lineRule="auto"/>
              <w:ind w:left="409" w:right="222" w:hanging="176"/>
            </w:pPr>
            <w:r>
              <w:rPr>
                <w:spacing w:val="-3"/>
              </w:rPr>
              <w:t>害物质限</w:t>
            </w:r>
            <w:r>
              <w:t xml:space="preserve"> </w:t>
            </w:r>
            <w:r>
              <w:rPr>
                <w:spacing w:val="-4"/>
              </w:rPr>
              <w:t>量》</w:t>
            </w:r>
          </w:p>
          <w:p>
            <w:pPr>
              <w:pStyle w:val="TableText"/>
              <w:spacing w:before="121" w:line="313" w:lineRule="exact"/>
              <w:ind w:left="182"/>
            </w:pPr>
            <w:r>
              <w:rPr>
                <w:spacing w:val="-3"/>
                <w:position w:val="13"/>
              </w:rPr>
              <w:t>GB</w:t>
            </w:r>
            <w:r>
              <w:rPr>
                <w:spacing w:val="20"/>
                <w:position w:val="13"/>
              </w:rPr>
              <w:t xml:space="preserve"> </w:t>
            </w:r>
            <w:r>
              <w:rPr>
                <w:spacing w:val="-3"/>
                <w:position w:val="13"/>
              </w:rPr>
              <w:t>18582-</w:t>
            </w:r>
          </w:p>
          <w:p>
            <w:pPr>
              <w:pStyle w:val="TableText"/>
              <w:spacing w:line="181" w:lineRule="auto"/>
              <w:ind w:left="412"/>
            </w:pPr>
            <w:r>
              <w:rPr>
                <w:spacing w:val="-2"/>
              </w:rPr>
              <w:t>2020</w:t>
            </w: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7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6" w:line="182" w:lineRule="auto"/>
              <w:ind w:left="238"/>
            </w:pPr>
            <w:r>
              <w:rPr>
                <w:spacing w:val="-5"/>
              </w:rPr>
              <w:t>19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6" w:line="214" w:lineRule="auto"/>
              <w:ind w:left="1028"/>
            </w:pPr>
            <w:r>
              <w:rPr>
                <w:spacing w:val="-11"/>
              </w:rPr>
              <w:t>游离甲醛，</w:t>
            </w:r>
            <w:r>
              <w:rPr>
                <w:spacing w:val="14"/>
              </w:rPr>
              <w:t xml:space="preserve"> </w:t>
            </w:r>
            <w:r>
              <w:rPr>
                <w:spacing w:val="-11"/>
              </w:rPr>
              <w:t>mg/kg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6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96" w:line="181" w:lineRule="auto"/>
              <w:ind w:left="227"/>
            </w:pPr>
            <w:r>
              <w:rPr>
                <w:spacing w:val="-2"/>
              </w:rPr>
              <w:t>20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6" w:line="214" w:lineRule="auto"/>
              <w:ind w:left="1299"/>
            </w:pPr>
            <w:r>
              <w:rPr>
                <w:spacing w:val="-10"/>
              </w:rPr>
              <w:t>氨，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mg/kg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5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630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Align w:val="top"/>
          </w:tcPr>
          <w:p>
            <w:pPr>
              <w:pStyle w:val="TableText"/>
              <w:spacing w:before="254" w:line="182" w:lineRule="auto"/>
              <w:ind w:left="227"/>
            </w:pPr>
            <w:r>
              <w:rPr>
                <w:spacing w:val="-2"/>
              </w:rPr>
              <w:t>21</w:t>
            </w:r>
          </w:p>
        </w:tc>
        <w:tc>
          <w:tcPr>
            <w:tcW w:w="3399" w:type="dxa"/>
            <w:gridSpan w:val="2"/>
            <w:vAlign w:val="top"/>
          </w:tcPr>
          <w:p>
            <w:pPr>
              <w:pStyle w:val="TableText"/>
              <w:spacing w:before="69" w:line="267" w:lineRule="auto"/>
              <w:ind w:left="1474" w:right="208" w:hanging="1299"/>
            </w:pPr>
            <w:r>
              <w:rPr>
                <w:spacing w:val="-3"/>
              </w:rPr>
              <w:t>苯、甲苯、乙苯、二甲苯的含量总和，</w:t>
            </w:r>
            <w:r>
              <w:t xml:space="preserve"> </w:t>
            </w:r>
            <w:r>
              <w:rPr>
                <w:spacing w:val="-1"/>
              </w:rPr>
              <w:t>mg/kg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224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 w:val="restart"/>
            <w:tcBorders>
              <w:bottom w:val="nil"/>
            </w:tcBorders>
            <w:vAlign w:val="top"/>
          </w:tcPr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5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181" w:lineRule="auto"/>
              <w:ind w:left="227"/>
            </w:pPr>
            <w:r>
              <w:rPr>
                <w:spacing w:val="-2"/>
              </w:rPr>
              <w:t>22</w:t>
            </w:r>
          </w:p>
        </w:tc>
        <w:tc>
          <w:tcPr>
            <w:tcW w:w="1557" w:type="dxa"/>
            <w:vMerge w:val="restart"/>
            <w:tcBorders>
              <w:bottom w:val="nil"/>
            </w:tcBorders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67" w:lineRule="auto"/>
              <w:ind w:left="551" w:right="187" w:hanging="399"/>
            </w:pPr>
            <w:r>
              <w:rPr>
                <w:spacing w:val="-7"/>
              </w:rPr>
              <w:t>可溶性重金属，</w:t>
            </w:r>
            <w:r>
              <w:t xml:space="preserve"> </w:t>
            </w:r>
            <w:r>
              <w:rPr>
                <w:spacing w:val="-1"/>
              </w:rPr>
              <w:t>mg/kg</w:t>
            </w: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7" w:line="224" w:lineRule="auto"/>
              <w:ind w:left="565"/>
            </w:pPr>
            <w:r>
              <w:rPr>
                <w:spacing w:val="-2"/>
              </w:rPr>
              <w:t>铅（Pb）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7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8" w:line="222" w:lineRule="auto"/>
              <w:ind w:left="564"/>
            </w:pPr>
            <w:r>
              <w:rPr>
                <w:spacing w:val="-1"/>
              </w:rPr>
              <w:t>镉（Cd）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316"/>
        </w:trPr>
        <w:tc>
          <w:tcPr>
            <w:tcW w:w="64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pStyle w:val="TableText"/>
              <w:spacing w:before="68" w:line="222" w:lineRule="auto"/>
              <w:ind w:left="564"/>
            </w:pPr>
            <w:r>
              <w:rPr>
                <w:spacing w:val="-2"/>
              </w:rPr>
              <w:t>铬（Cr）</w:t>
            </w:r>
          </w:p>
        </w:tc>
        <w:tc>
          <w:tcPr>
            <w:tcW w:w="2944" w:type="dxa"/>
            <w:vAlign w:val="top"/>
          </w:tcPr>
          <w:p>
            <w:pPr>
              <w:pStyle w:val="TableText"/>
              <w:spacing w:before="68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W w:w="8790" w:type="dxa"/>
          <w:tblInd w:w="17" w:type="dxa"/>
          <w:tblLayout w:type="fixed"/>
        </w:tblPrEx>
        <w:trPr>
          <w:trHeight w:val="874"/>
        </w:trPr>
        <w:tc>
          <w:tcPr>
            <w:tcW w:w="64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8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57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42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9" w:line="214" w:lineRule="auto"/>
              <w:ind w:left="566"/>
            </w:pPr>
            <w:r>
              <w:rPr>
                <w:spacing w:val="-2"/>
              </w:rPr>
              <w:t>汞（Hg）</w:t>
            </w:r>
          </w:p>
        </w:tc>
        <w:tc>
          <w:tcPr>
            <w:tcW w:w="2944" w:type="dxa"/>
            <w:vAlign w:val="top"/>
          </w:tcPr>
          <w:p>
            <w:pPr>
              <w:spacing w:line="287" w:lineRule="auto"/>
              <w:rPr>
                <w:rFonts w:ascii="Arial"/>
                <w:sz w:val="21"/>
              </w:rPr>
            </w:pPr>
          </w:p>
          <w:p>
            <w:pPr>
              <w:pStyle w:val="TableText"/>
              <w:spacing w:before="58" w:line="220" w:lineRule="auto"/>
              <w:ind w:left="1210"/>
            </w:pPr>
            <w:r>
              <w:rPr>
                <w:spacing w:val="-3"/>
              </w:rPr>
              <w:t>未检出</w:t>
            </w:r>
          </w:p>
        </w:tc>
        <w:tc>
          <w:tcPr>
            <w:tcW w:w="1171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BodyText"/>
        <w:spacing w:before="144" w:line="220" w:lineRule="auto"/>
        <w:ind w:left="23"/>
        <w:rPr>
          <w:sz w:val="18"/>
          <w:szCs w:val="18"/>
        </w:rPr>
      </w:pPr>
      <w:r>
        <w:rPr>
          <w:spacing w:val="-1"/>
          <w:sz w:val="18"/>
          <w:szCs w:val="18"/>
        </w:rPr>
        <w:t>备注：产品各项指标检测方法可参考《高耐候聚合物水泥防水装饰涂料》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T/HBBWA25-2023</w:t>
      </w:r>
      <w:r>
        <w:rPr>
          <w:rFonts w:ascii="Times New Roman" w:eastAsia="Times New Roman" w:hAnsi="Times New Roman" w:cs="Times New Roman"/>
          <w:spacing w:val="26"/>
          <w:w w:val="101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中试验方法。</w:t>
      </w:r>
    </w:p>
    <w:p>
      <w:pPr>
        <w:spacing w:before="237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4.2  </w:t>
      </w:r>
      <w:r>
        <w:rPr>
          <w:rFonts w:ascii="SimHei" w:eastAsia="SimHei" w:hAnsi="SimHei" w:cs="SimHei"/>
          <w:spacing w:val="-1"/>
          <w:sz w:val="21"/>
          <w:szCs w:val="21"/>
        </w:rPr>
        <w:t>水泥基改性增强剂</w:t>
      </w:r>
    </w:p>
    <w:p>
      <w:pPr>
        <w:pStyle w:val="BodyText"/>
        <w:spacing w:before="220" w:line="411" w:lineRule="auto"/>
        <w:ind w:left="18" w:right="478" w:firstLine="426"/>
        <w:jc w:val="both"/>
        <w:rPr>
          <w:rFonts w:ascii="Times New Roman" w:eastAsia="Times New Roman" w:hAnsi="Times New Roman" w:cs="Times New Roman"/>
        </w:rPr>
      </w:pPr>
      <w:r>
        <w:rPr>
          <w:spacing w:val="-3"/>
        </w:rPr>
        <w:t>水泥基改性增强剂作为添加剂，掺入聚合物水泥砂浆和外墙腻子使用时，成品材料主要</w:t>
      </w:r>
      <w:r>
        <w:rPr>
          <w:spacing w:val="14"/>
        </w:rPr>
        <w:t xml:space="preserve"> </w:t>
      </w:r>
      <w:r>
        <w:rPr>
          <w:spacing w:val="-2"/>
        </w:rPr>
        <w:t>性能应满足表</w:t>
      </w:r>
      <w:r>
        <w:rPr>
          <w:spacing w:val="-30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4.2.1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spacing w:val="-2"/>
        </w:rPr>
        <w:t>的规定，聚合物水泥砂浆检验方法应按现行国家标准《预拌砂浆》</w:t>
      </w:r>
      <w:r>
        <w:rPr>
          <w:rFonts w:ascii="Times New Roman" w:eastAsia="Times New Roman" w:hAnsi="Times New Roman" w:cs="Times New Roman"/>
          <w:spacing w:val="-2"/>
        </w:rPr>
        <w:t>GB/T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25181</w:t>
      </w:r>
      <w:r>
        <w:rPr>
          <w:rFonts w:ascii="Times New Roman" w:eastAsia="Times New Roman" w:hAnsi="Times New Roman" w:cs="Times New Roman"/>
          <w:spacing w:val="34"/>
          <w:w w:val="101"/>
        </w:rPr>
        <w:t xml:space="preserve"> </w:t>
      </w:r>
      <w:r>
        <w:rPr>
          <w:spacing w:val="-2"/>
        </w:rPr>
        <w:t>的有关规定执行，外墙腻子检验方法应按现行行业标准《建筑外墙用腻子》</w:t>
      </w:r>
      <w:r>
        <w:rPr>
          <w:rFonts w:ascii="Times New Roman" w:eastAsia="Times New Roman" w:hAnsi="Times New Roman" w:cs="Times New Roman"/>
          <w:spacing w:val="-2"/>
        </w:rPr>
        <w:t>JG/T 157-</w:t>
      </w:r>
    </w:p>
    <w:p>
      <w:pPr>
        <w:pStyle w:val="BodyText"/>
        <w:spacing w:line="220" w:lineRule="auto"/>
        <w:ind w:left="18"/>
      </w:pPr>
      <w:r>
        <w:rPr>
          <w:rFonts w:ascii="Times New Roman" w:eastAsia="Times New Roman" w:hAnsi="Times New Roman" w:cs="Times New Roman"/>
          <w:spacing w:val="-3"/>
        </w:rPr>
        <w:t>2009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spacing w:val="-3"/>
        </w:rPr>
        <w:t>的有关规定执行。</w:t>
      </w:r>
    </w:p>
    <w:p>
      <w:pPr>
        <w:spacing w:before="234" w:line="218" w:lineRule="auto"/>
        <w:ind w:left="2061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-1"/>
          <w:sz w:val="18"/>
          <w:szCs w:val="18"/>
        </w:rPr>
        <w:t>表</w:t>
      </w:r>
      <w:r>
        <w:rPr>
          <w:rFonts w:ascii="SimHei" w:eastAsia="SimHei" w:hAnsi="SimHei" w:cs="SimHei"/>
          <w:spacing w:val="-4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>4.2.1</w:t>
      </w:r>
      <w:r>
        <w:rPr>
          <w:rFonts w:ascii="Times New Roman" w:eastAsia="Times New Roman" w:hAnsi="Times New Roman" w:cs="Times New Roman"/>
          <w:spacing w:val="18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1"/>
          <w:sz w:val="18"/>
          <w:szCs w:val="18"/>
        </w:rPr>
        <w:t>防水装饰一体化涂料主要性能指标</w:t>
      </w:r>
      <w:r>
        <w:rPr>
          <w:rFonts w:ascii="SimHei" w:eastAsia="SimHei" w:hAnsi="SimHei" w:cs="SimHei"/>
          <w:spacing w:val="-2"/>
          <w:sz w:val="18"/>
          <w:szCs w:val="18"/>
        </w:rPr>
        <w:t>和检测方法</w:t>
      </w:r>
    </w:p>
    <w:p>
      <w:pPr>
        <w:spacing w:line="110" w:lineRule="exact"/>
      </w:pPr>
    </w:p>
    <w:tbl>
      <w:tblPr>
        <w:tblStyle w:val="TableNormal2"/>
        <w:tblW w:w="8302" w:type="dxa"/>
        <w:tblInd w:w="1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1559"/>
        <w:gridCol w:w="1806"/>
        <w:gridCol w:w="1168"/>
        <w:gridCol w:w="1056"/>
        <w:gridCol w:w="2713"/>
      </w:tblGrid>
      <w:tr>
        <w:tblPrEx>
          <w:tblW w:w="8302" w:type="dxa"/>
          <w:tblInd w:w="17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632"/>
        </w:trPr>
        <w:tc>
          <w:tcPr>
            <w:tcW w:w="1559" w:type="dxa"/>
            <w:vAlign w:val="top"/>
          </w:tcPr>
          <w:p>
            <w:pPr>
              <w:pStyle w:val="TableText"/>
              <w:spacing w:before="226" w:line="220" w:lineRule="auto"/>
              <w:ind w:left="421"/>
            </w:pPr>
            <w:r>
              <w:rPr>
                <w:spacing w:val="-2"/>
              </w:rPr>
              <w:t>产品种类</w:t>
            </w:r>
          </w:p>
        </w:tc>
        <w:tc>
          <w:tcPr>
            <w:tcW w:w="1806" w:type="dxa"/>
            <w:vAlign w:val="top"/>
          </w:tcPr>
          <w:p>
            <w:pPr>
              <w:pStyle w:val="TableText"/>
              <w:spacing w:before="70" w:line="222" w:lineRule="auto"/>
              <w:ind w:left="637"/>
            </w:pPr>
            <w:r>
              <w:rPr>
                <w:spacing w:val="-2"/>
              </w:rPr>
              <w:t>添加量</w:t>
            </w:r>
          </w:p>
          <w:p>
            <w:pPr>
              <w:pStyle w:val="TableText"/>
              <w:spacing w:before="95" w:line="233" w:lineRule="auto"/>
              <w:ind w:left="115"/>
            </w:pPr>
            <w:r>
              <w:rPr>
                <w:spacing w:val="-2"/>
              </w:rPr>
              <w:t>（干粉重量比，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%</w:t>
            </w:r>
            <w:r>
              <w:rPr>
                <w:spacing w:val="-2"/>
              </w:rPr>
              <w:t>）</w:t>
            </w:r>
          </w:p>
        </w:tc>
        <w:tc>
          <w:tcPr>
            <w:tcW w:w="1168" w:type="dxa"/>
            <w:vAlign w:val="top"/>
          </w:tcPr>
          <w:p>
            <w:pPr>
              <w:pStyle w:val="TableText"/>
              <w:spacing w:before="70" w:line="283" w:lineRule="auto"/>
              <w:ind w:left="241" w:right="222" w:hanging="14"/>
            </w:pPr>
            <w:r>
              <w:rPr>
                <w:spacing w:val="-2"/>
              </w:rPr>
              <w:t>粘结强度</w:t>
            </w:r>
            <w:r>
              <w:t xml:space="preserve"> </w:t>
            </w:r>
            <w:r>
              <w:rPr>
                <w:spacing w:val="-3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MPa</w:t>
            </w:r>
            <w:r>
              <w:rPr>
                <w:spacing w:val="-3"/>
              </w:rPr>
              <w:t>）</w:t>
            </w:r>
          </w:p>
        </w:tc>
        <w:tc>
          <w:tcPr>
            <w:tcW w:w="1056" w:type="dxa"/>
            <w:vAlign w:val="top"/>
          </w:tcPr>
          <w:p>
            <w:pPr>
              <w:pStyle w:val="TableText"/>
              <w:spacing w:before="70" w:line="266" w:lineRule="auto"/>
              <w:ind w:left="118" w:right="103" w:firstLine="150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 xml:space="preserve">吸水量  </w:t>
            </w:r>
            <w:r>
              <w:rPr>
                <w:spacing w:val="-2"/>
              </w:rPr>
              <w:t>（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10min)/g</w:t>
            </w:r>
          </w:p>
        </w:tc>
        <w:tc>
          <w:tcPr>
            <w:tcW w:w="2713" w:type="dxa"/>
            <w:vAlign w:val="top"/>
          </w:tcPr>
          <w:p>
            <w:pPr>
              <w:pStyle w:val="TableText"/>
              <w:spacing w:before="226" w:line="220" w:lineRule="auto"/>
              <w:ind w:left="999"/>
            </w:pPr>
            <w:r>
              <w:rPr>
                <w:spacing w:val="-2"/>
              </w:rPr>
              <w:t>适用场景</w:t>
            </w:r>
          </w:p>
        </w:tc>
      </w:tr>
      <w:tr>
        <w:tblPrEx>
          <w:tblW w:w="8302" w:type="dxa"/>
          <w:tblInd w:w="17" w:type="dxa"/>
          <w:tblLayout w:type="fixed"/>
        </w:tblPrEx>
        <w:trPr>
          <w:trHeight w:val="318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30" w:line="220" w:lineRule="auto"/>
              <w:ind w:left="160"/>
            </w:pPr>
            <w:r>
              <w:rPr>
                <w:spacing w:val="-2"/>
              </w:rPr>
              <w:t>聚合物水泥砂浆</w:t>
            </w:r>
          </w:p>
        </w:tc>
        <w:tc>
          <w:tcPr>
            <w:tcW w:w="1806" w:type="dxa"/>
            <w:vAlign w:val="top"/>
          </w:tcPr>
          <w:p>
            <w:pPr>
              <w:spacing w:before="103" w:line="185" w:lineRule="auto"/>
              <w:ind w:left="8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8" w:type="dxa"/>
            <w:vAlign w:val="top"/>
          </w:tcPr>
          <w:p>
            <w:pPr>
              <w:pStyle w:val="TableText"/>
              <w:spacing w:before="69" w:line="238" w:lineRule="auto"/>
              <w:ind w:left="379"/>
            </w:pPr>
            <w:r>
              <w:rPr>
                <w:spacing w:val="-6"/>
              </w:rPr>
              <w:t>≥0.7</w:t>
            </w:r>
          </w:p>
        </w:tc>
        <w:tc>
          <w:tcPr>
            <w:tcW w:w="1056" w:type="dxa"/>
            <w:vAlign w:val="top"/>
          </w:tcPr>
          <w:p>
            <w:pPr>
              <w:pStyle w:val="TableText"/>
              <w:spacing w:before="69" w:line="236" w:lineRule="auto"/>
              <w:ind w:left="342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1.5</w:t>
            </w:r>
          </w:p>
        </w:tc>
        <w:tc>
          <w:tcPr>
            <w:tcW w:w="2713" w:type="dxa"/>
            <w:vAlign w:val="top"/>
          </w:tcPr>
          <w:p>
            <w:pPr>
              <w:pStyle w:val="TableText"/>
              <w:spacing w:before="69" w:line="220" w:lineRule="auto"/>
              <w:ind w:left="550"/>
            </w:pPr>
            <w:r>
              <w:rPr>
                <w:spacing w:val="-1"/>
              </w:rPr>
              <w:t>基层整体找平、抹灰</w:t>
            </w:r>
          </w:p>
        </w:tc>
      </w:tr>
      <w:tr>
        <w:tblPrEx>
          <w:tblW w:w="8302" w:type="dxa"/>
          <w:tblInd w:w="17" w:type="dxa"/>
          <w:tblLayout w:type="fixed"/>
        </w:tblPrEx>
        <w:trPr>
          <w:trHeight w:val="316"/>
        </w:trPr>
        <w:tc>
          <w:tcPr>
            <w:tcW w:w="155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>
            <w:pPr>
              <w:spacing w:before="99" w:line="188" w:lineRule="auto"/>
              <w:ind w:left="8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10</w:t>
            </w:r>
          </w:p>
        </w:tc>
        <w:tc>
          <w:tcPr>
            <w:tcW w:w="1168" w:type="dxa"/>
            <w:vAlign w:val="top"/>
          </w:tcPr>
          <w:p>
            <w:pPr>
              <w:pStyle w:val="TableText"/>
              <w:spacing w:before="67" w:line="238" w:lineRule="auto"/>
              <w:ind w:left="379"/>
            </w:pPr>
            <w:r>
              <w:rPr>
                <w:spacing w:val="-6"/>
              </w:rPr>
              <w:t>≥1.0</w:t>
            </w:r>
          </w:p>
        </w:tc>
        <w:tc>
          <w:tcPr>
            <w:tcW w:w="1056" w:type="dxa"/>
            <w:vAlign w:val="top"/>
          </w:tcPr>
          <w:p>
            <w:pPr>
              <w:pStyle w:val="TableText"/>
              <w:spacing w:before="68" w:line="236" w:lineRule="auto"/>
              <w:ind w:left="320"/>
            </w:pPr>
            <w:r>
              <w:rPr>
                <w:spacing w:val="-5"/>
              </w:rPr>
              <w:t>≤1.0</w:t>
            </w:r>
          </w:p>
        </w:tc>
        <w:tc>
          <w:tcPr>
            <w:tcW w:w="2713" w:type="dxa"/>
            <w:vAlign w:val="top"/>
          </w:tcPr>
          <w:p>
            <w:pPr>
              <w:pStyle w:val="TableText"/>
              <w:spacing w:before="67" w:line="220" w:lineRule="auto"/>
              <w:ind w:left="196"/>
            </w:pPr>
            <w:r>
              <w:rPr>
                <w:spacing w:val="-1"/>
              </w:rPr>
              <w:t>空鼓修补、塞缝、瓷砖面找平</w:t>
            </w:r>
          </w:p>
        </w:tc>
      </w:tr>
      <w:tr>
        <w:tblPrEx>
          <w:tblW w:w="8302" w:type="dxa"/>
          <w:tblInd w:w="17" w:type="dxa"/>
          <w:tblLayout w:type="fixed"/>
        </w:tblPrEx>
        <w:trPr>
          <w:trHeight w:val="316"/>
        </w:trPr>
        <w:tc>
          <w:tcPr>
            <w:tcW w:w="1559" w:type="dxa"/>
            <w:vMerge w:val="restart"/>
            <w:tcBorders>
              <w:bottom w:val="nil"/>
            </w:tcBorders>
            <w:vAlign w:val="top"/>
          </w:tcPr>
          <w:p>
            <w:pPr>
              <w:pStyle w:val="TableText"/>
              <w:spacing w:before="229" w:line="220" w:lineRule="auto"/>
              <w:ind w:left="425"/>
            </w:pPr>
            <w:r>
              <w:rPr>
                <w:spacing w:val="-2"/>
              </w:rPr>
              <w:t>外墙腻子</w:t>
            </w:r>
          </w:p>
        </w:tc>
        <w:tc>
          <w:tcPr>
            <w:tcW w:w="1806" w:type="dxa"/>
            <w:vAlign w:val="top"/>
          </w:tcPr>
          <w:p>
            <w:pPr>
              <w:spacing w:before="103" w:line="185" w:lineRule="auto"/>
              <w:ind w:left="86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68" w:type="dxa"/>
            <w:vAlign w:val="top"/>
          </w:tcPr>
          <w:p>
            <w:pPr>
              <w:pStyle w:val="TableText"/>
              <w:spacing w:before="68" w:line="238" w:lineRule="auto"/>
              <w:ind w:left="379"/>
            </w:pPr>
            <w:r>
              <w:rPr>
                <w:spacing w:val="-6"/>
              </w:rPr>
              <w:t>≥0.7</w:t>
            </w:r>
          </w:p>
        </w:tc>
        <w:tc>
          <w:tcPr>
            <w:tcW w:w="1056" w:type="dxa"/>
            <w:vAlign w:val="top"/>
          </w:tcPr>
          <w:p>
            <w:pPr>
              <w:pStyle w:val="TableText"/>
              <w:spacing w:before="69" w:line="236" w:lineRule="auto"/>
              <w:ind w:left="342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2.0</w:t>
            </w:r>
          </w:p>
        </w:tc>
        <w:tc>
          <w:tcPr>
            <w:tcW w:w="2713" w:type="dxa"/>
            <w:vAlign w:val="top"/>
          </w:tcPr>
          <w:p>
            <w:pPr>
              <w:pStyle w:val="TableText"/>
              <w:spacing w:before="68" w:line="220" w:lineRule="auto"/>
              <w:ind w:left="819"/>
            </w:pPr>
            <w:r>
              <w:rPr>
                <w:spacing w:val="-1"/>
              </w:rPr>
              <w:t>基层二次找平</w:t>
            </w:r>
          </w:p>
        </w:tc>
      </w:tr>
      <w:tr>
        <w:tblPrEx>
          <w:tblW w:w="8302" w:type="dxa"/>
          <w:tblInd w:w="17" w:type="dxa"/>
          <w:tblLayout w:type="fixed"/>
        </w:tblPrEx>
        <w:trPr>
          <w:trHeight w:val="316"/>
        </w:trPr>
        <w:tc>
          <w:tcPr>
            <w:tcW w:w="1559" w:type="dxa"/>
            <w:vMerge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6" w:type="dxa"/>
            <w:vAlign w:val="top"/>
          </w:tcPr>
          <w:p>
            <w:pPr>
              <w:spacing w:before="101" w:line="188" w:lineRule="auto"/>
              <w:ind w:left="83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18"/>
                <w:szCs w:val="18"/>
              </w:rPr>
              <w:t>10</w:t>
            </w:r>
          </w:p>
        </w:tc>
        <w:tc>
          <w:tcPr>
            <w:tcW w:w="1168" w:type="dxa"/>
            <w:vAlign w:val="top"/>
          </w:tcPr>
          <w:p>
            <w:pPr>
              <w:pStyle w:val="TableText"/>
              <w:spacing w:before="69" w:line="238" w:lineRule="auto"/>
              <w:ind w:left="379"/>
            </w:pPr>
            <w:r>
              <w:rPr>
                <w:spacing w:val="-6"/>
              </w:rPr>
              <w:t>≥1.0</w:t>
            </w:r>
          </w:p>
        </w:tc>
        <w:tc>
          <w:tcPr>
            <w:tcW w:w="1056" w:type="dxa"/>
            <w:vAlign w:val="top"/>
          </w:tcPr>
          <w:p>
            <w:pPr>
              <w:pStyle w:val="TableText"/>
              <w:spacing w:before="70" w:line="236" w:lineRule="auto"/>
              <w:ind w:left="320"/>
            </w:pPr>
            <w:r>
              <w:rPr>
                <w:spacing w:val="-5"/>
              </w:rPr>
              <w:t>≤1.5</w:t>
            </w:r>
          </w:p>
        </w:tc>
        <w:tc>
          <w:tcPr>
            <w:tcW w:w="2713" w:type="dxa"/>
            <w:vAlign w:val="top"/>
          </w:tcPr>
          <w:p>
            <w:pPr>
              <w:pStyle w:val="TableText"/>
              <w:spacing w:before="70" w:line="220" w:lineRule="auto"/>
              <w:ind w:left="735"/>
            </w:pPr>
            <w:r>
              <w:rPr>
                <w:spacing w:val="-2"/>
              </w:rPr>
              <w:t>瓷砖面整体找平</w:t>
            </w:r>
          </w:p>
        </w:tc>
      </w:tr>
      <w:tr>
        <w:tblPrEx>
          <w:tblW w:w="8302" w:type="dxa"/>
          <w:tblInd w:w="17" w:type="dxa"/>
          <w:tblLayout w:type="fixed"/>
        </w:tblPrEx>
        <w:trPr>
          <w:trHeight w:val="321"/>
        </w:trPr>
        <w:tc>
          <w:tcPr>
            <w:tcW w:w="8302" w:type="dxa"/>
            <w:gridSpan w:val="5"/>
            <w:vAlign w:val="top"/>
          </w:tcPr>
          <w:p>
            <w:pPr>
              <w:pStyle w:val="TableText"/>
              <w:spacing w:before="70" w:line="219" w:lineRule="auto"/>
              <w:ind w:left="116"/>
            </w:pPr>
            <w:r>
              <w:rPr>
                <w:spacing w:val="-1"/>
              </w:rPr>
              <w:t>备注：随着水泥基改性掺入量的增加，水泥基材料粘结强度逐渐增加、吸水量明显降低。</w:t>
            </w:r>
          </w:p>
        </w:tc>
      </w:tr>
    </w:tbl>
    <w:p>
      <w:pPr>
        <w:spacing w:before="128" w:line="219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4.3  </w:t>
      </w:r>
      <w:r>
        <w:rPr>
          <w:rFonts w:ascii="SimHei" w:eastAsia="SimHei" w:hAnsi="SimHei" w:cs="SimHei"/>
          <w:spacing w:val="-1"/>
          <w:sz w:val="21"/>
          <w:szCs w:val="21"/>
        </w:rPr>
        <w:t>基层渗透加固封闭底漆</w:t>
      </w:r>
    </w:p>
    <w:p>
      <w:pPr>
        <w:pStyle w:val="BodyText"/>
        <w:spacing w:before="219" w:line="468" w:lineRule="exact"/>
        <w:ind w:left="442"/>
      </w:pPr>
      <w:r>
        <w:rPr>
          <w:spacing w:val="-1"/>
          <w:position w:val="19"/>
        </w:rPr>
        <w:t>基层渗透加固封闭底漆主要性能应符合表</w:t>
      </w:r>
      <w:r>
        <w:rPr>
          <w:spacing w:val="-32"/>
          <w:position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9"/>
        </w:rPr>
        <w:t>4.3.1</w:t>
      </w:r>
      <w:r>
        <w:rPr>
          <w:rFonts w:ascii="Times New Roman" w:eastAsia="Times New Roman" w:hAnsi="Times New Roman" w:cs="Times New Roman"/>
          <w:spacing w:val="28"/>
          <w:w w:val="101"/>
          <w:position w:val="19"/>
        </w:rPr>
        <w:t xml:space="preserve"> </w:t>
      </w:r>
      <w:r>
        <w:rPr>
          <w:spacing w:val="-1"/>
          <w:position w:val="19"/>
        </w:rPr>
        <w:t>的规定，检验方法应满足《建筑内外墙</w:t>
      </w:r>
    </w:p>
    <w:p>
      <w:pPr>
        <w:pStyle w:val="BodyText"/>
        <w:spacing w:before="1" w:line="220" w:lineRule="auto"/>
        <w:ind w:left="24"/>
      </w:pPr>
      <w:r>
        <w:rPr>
          <w:spacing w:val="-1"/>
        </w:rPr>
        <w:t>用底漆》</w:t>
      </w:r>
      <w:r>
        <w:rPr>
          <w:rFonts w:ascii="Times New Roman" w:eastAsia="Times New Roman" w:hAnsi="Times New Roman" w:cs="Times New Roman"/>
          <w:spacing w:val="-1"/>
        </w:rPr>
        <w:t>JG/T 210-2018</w:t>
      </w:r>
      <w:r>
        <w:rPr>
          <w:spacing w:val="-1"/>
        </w:rPr>
        <w:t>“外墙、Ⅱ型、渗透型”的有关规定执行。</w:t>
      </w:r>
    </w:p>
    <w:p>
      <w:pPr>
        <w:spacing w:before="234" w:line="218" w:lineRule="auto"/>
        <w:ind w:left="2422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-1"/>
          <w:sz w:val="18"/>
          <w:szCs w:val="18"/>
        </w:rPr>
        <w:t>表</w:t>
      </w:r>
      <w:r>
        <w:rPr>
          <w:rFonts w:ascii="SimHei" w:eastAsia="SimHei" w:hAnsi="SimHei" w:cs="SimHei"/>
          <w:spacing w:val="-32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4.3.1 </w:t>
      </w:r>
      <w:r>
        <w:rPr>
          <w:rFonts w:ascii="SimHei" w:eastAsia="SimHei" w:hAnsi="SimHei" w:cs="SimHei"/>
          <w:spacing w:val="-1"/>
          <w:sz w:val="18"/>
          <w:szCs w:val="18"/>
        </w:rPr>
        <w:t>基层渗透加固封闭底漆主要性能指标</w:t>
      </w:r>
    </w:p>
    <w:p>
      <w:pPr>
        <w:spacing w:line="110" w:lineRule="exact"/>
        <w:sectPr>
          <w:footerReference w:type="default" r:id="rId9"/>
          <w:pgSz w:w="11907" w:h="16839"/>
          <w:pgMar w:top="1431" w:right="1310" w:bottom="1151" w:left="1785" w:header="0" w:footer="991" w:gutter="0"/>
          <w:pgNumType w:start="6"/>
          <w:cols w:space="708"/>
        </w:sectPr>
      </w:pPr>
    </w:p>
    <w:tbl>
      <w:tblPr>
        <w:tblStyle w:val="TableNormal3"/>
        <w:tblW w:w="822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4109"/>
        <w:gridCol w:w="4114"/>
      </w:tblGrid>
      <w:tr>
        <w:tblPrEx>
          <w:tblW w:w="8223" w:type="dxa"/>
          <w:tblInd w:w="5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3"/>
        </w:trPr>
        <w:tc>
          <w:tcPr>
            <w:tcW w:w="4109" w:type="dxa"/>
            <w:vAlign w:val="top"/>
          </w:tcPr>
          <w:p>
            <w:pPr>
              <w:pStyle w:val="TableText"/>
              <w:spacing w:before="78" w:line="220" w:lineRule="auto"/>
              <w:ind w:left="1884"/>
            </w:pPr>
            <w:r>
              <w:rPr>
                <w:spacing w:val="-3"/>
              </w:rPr>
              <w:t>项目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8" w:line="220" w:lineRule="auto"/>
              <w:ind w:left="1881"/>
            </w:pPr>
            <w:r>
              <w:rPr>
                <w:spacing w:val="-3"/>
              </w:rPr>
              <w:t>指标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8"/>
        </w:trPr>
        <w:tc>
          <w:tcPr>
            <w:tcW w:w="4109" w:type="dxa"/>
            <w:vAlign w:val="top"/>
          </w:tcPr>
          <w:p>
            <w:pPr>
              <w:pStyle w:val="TableText"/>
              <w:spacing w:before="73" w:line="220" w:lineRule="auto"/>
              <w:ind w:left="1611"/>
            </w:pPr>
            <w:r>
              <w:rPr>
                <w:spacing w:val="-2"/>
              </w:rPr>
              <w:t>低温稳定性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3" w:line="220" w:lineRule="auto"/>
              <w:ind w:left="1793"/>
            </w:pPr>
            <w:r>
              <w:rPr>
                <w:spacing w:val="-3"/>
              </w:rPr>
              <w:t>不变质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38"/>
        </w:trPr>
        <w:tc>
          <w:tcPr>
            <w:tcW w:w="4109" w:type="dxa"/>
            <w:vAlign w:val="top"/>
          </w:tcPr>
          <w:p>
            <w:pPr>
              <w:pStyle w:val="TableText"/>
              <w:spacing w:before="76" w:line="233" w:lineRule="auto"/>
              <w:ind w:left="1251"/>
              <w:rPr>
                <w:rFonts w:ascii="Times New Roman" w:eastAsia="Times New Roman" w:hAnsi="Times New Roman" w:cs="Times New Roman"/>
              </w:rPr>
            </w:pPr>
            <w:r>
              <w:rPr>
                <w:spacing w:val="-12"/>
              </w:rPr>
              <w:t>干燥时间（表干</w:t>
            </w:r>
            <w:r>
              <w:rPr>
                <w:spacing w:val="-1"/>
              </w:rPr>
              <w:t>），</w:t>
            </w:r>
            <w:r>
              <w:rPr>
                <w:rFonts w:ascii="Times New Roman" w:eastAsia="Times New Roman" w:hAnsi="Times New Roman" w:cs="Times New Roman"/>
                <w:spacing w:val="-12"/>
              </w:rPr>
              <w:t>h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6" w:line="236" w:lineRule="auto"/>
              <w:ind w:left="1870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2.0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8"/>
        </w:trPr>
        <w:tc>
          <w:tcPr>
            <w:tcW w:w="4109" w:type="dxa"/>
            <w:vAlign w:val="top"/>
          </w:tcPr>
          <w:p>
            <w:pPr>
              <w:pStyle w:val="TableText"/>
              <w:spacing w:before="72" w:line="220" w:lineRule="auto"/>
              <w:ind w:left="1794"/>
            </w:pPr>
            <w:r>
              <w:rPr>
                <w:spacing w:val="-3"/>
              </w:rPr>
              <w:t>耐水性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2" w:line="233" w:lineRule="auto"/>
              <w:ind w:left="1632"/>
            </w:pPr>
            <w:r>
              <w:rPr>
                <w:rFonts w:ascii="Times New Roman" w:eastAsia="Times New Roman" w:hAnsi="Times New Roman" w:cs="Times New Roman"/>
                <w:spacing w:val="-3"/>
              </w:rPr>
              <w:t>96h</w:t>
            </w:r>
            <w:r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>
              <w:rPr>
                <w:spacing w:val="-3"/>
              </w:rPr>
              <w:t>无异常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5"/>
        </w:trPr>
        <w:tc>
          <w:tcPr>
            <w:tcW w:w="4109" w:type="dxa"/>
            <w:vAlign w:val="top"/>
          </w:tcPr>
          <w:p>
            <w:pPr>
              <w:pStyle w:val="TableText"/>
              <w:spacing w:before="73" w:line="221" w:lineRule="auto"/>
              <w:ind w:left="1794"/>
            </w:pPr>
            <w:r>
              <w:rPr>
                <w:spacing w:val="-3"/>
              </w:rPr>
              <w:t>耐碱性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3" w:line="233" w:lineRule="auto"/>
              <w:ind w:left="1628"/>
            </w:pPr>
            <w:r>
              <w:rPr>
                <w:rFonts w:ascii="Times New Roman" w:eastAsia="Times New Roman" w:hAnsi="Times New Roman" w:cs="Times New Roman"/>
                <w:spacing w:val="-2"/>
              </w:rPr>
              <w:t>48h</w:t>
            </w:r>
            <w:r>
              <w:rPr>
                <w:rFonts w:ascii="Times New Roman" w:eastAsia="Times New Roman" w:hAnsi="Times New Roman" w:cs="Times New Roman"/>
                <w:spacing w:val="12"/>
                <w:w w:val="101"/>
              </w:rPr>
              <w:t xml:space="preserve"> </w:t>
            </w:r>
            <w:r>
              <w:rPr>
                <w:spacing w:val="-2"/>
              </w:rPr>
              <w:t>无异常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32"/>
        </w:trPr>
        <w:tc>
          <w:tcPr>
            <w:tcW w:w="4109" w:type="dxa"/>
            <w:vAlign w:val="top"/>
          </w:tcPr>
          <w:p>
            <w:pPr>
              <w:pStyle w:val="TableText"/>
              <w:spacing w:before="76" w:line="220" w:lineRule="auto"/>
              <w:ind w:left="1612"/>
            </w:pPr>
            <w:r>
              <w:rPr>
                <w:spacing w:val="-2"/>
              </w:rPr>
              <w:t>抗泛盐碱性</w:t>
            </w:r>
          </w:p>
        </w:tc>
        <w:tc>
          <w:tcPr>
            <w:tcW w:w="4114" w:type="dxa"/>
            <w:vAlign w:val="top"/>
          </w:tcPr>
          <w:p>
            <w:pPr>
              <w:pStyle w:val="TableText"/>
              <w:spacing w:before="77" w:line="233" w:lineRule="auto"/>
              <w:ind w:left="1631"/>
            </w:pPr>
            <w:r>
              <w:rPr>
                <w:rFonts w:ascii="Times New Roman" w:eastAsia="Times New Roman" w:hAnsi="Times New Roman" w:cs="Times New Roman"/>
                <w:spacing w:val="-3"/>
              </w:rPr>
              <w:t>72h</w:t>
            </w:r>
            <w:r>
              <w:rPr>
                <w:rFonts w:ascii="Times New Roman" w:eastAsia="Times New Roman" w:hAnsi="Times New Roman" w:cs="Times New Roman"/>
                <w:spacing w:val="14"/>
                <w:w w:val="102"/>
              </w:rPr>
              <w:t xml:space="preserve"> </w:t>
            </w:r>
            <w:r>
              <w:rPr>
                <w:spacing w:val="-3"/>
              </w:rPr>
              <w:t>无异常</w:t>
            </w:r>
          </w:p>
        </w:tc>
      </w:tr>
    </w:tbl>
    <w:p>
      <w:pPr>
        <w:spacing w:before="128" w:line="220" w:lineRule="auto"/>
        <w:ind w:left="19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4.4  </w:t>
      </w:r>
      <w:r>
        <w:rPr>
          <w:rFonts w:ascii="SimHei" w:eastAsia="SimHei" w:hAnsi="SimHei" w:cs="SimHei"/>
          <w:spacing w:val="-1"/>
          <w:sz w:val="21"/>
          <w:szCs w:val="21"/>
        </w:rPr>
        <w:t>耐碱玻璃纤维网格布</w:t>
      </w:r>
    </w:p>
    <w:p>
      <w:pPr>
        <w:pStyle w:val="BodyText"/>
        <w:spacing w:before="218" w:line="220" w:lineRule="auto"/>
        <w:ind w:left="445"/>
      </w:pPr>
      <w:r>
        <w:rPr>
          <w:spacing w:val="-1"/>
        </w:rPr>
        <w:t>耐碱玻璃纤维网格布主要性能应符合表</w:t>
      </w:r>
      <w:r>
        <w:rPr>
          <w:spacing w:val="-49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4.4.1</w:t>
      </w:r>
      <w:r>
        <w:rPr>
          <w:spacing w:val="-1"/>
        </w:rPr>
        <w:t>，检验方法应满足《增</w:t>
      </w:r>
      <w:r>
        <w:rPr>
          <w:spacing w:val="-2"/>
        </w:rPr>
        <w:t>强材料 机织物试验</w:t>
      </w:r>
    </w:p>
    <w:p>
      <w:pPr>
        <w:spacing w:line="220" w:lineRule="auto"/>
        <w:sectPr>
          <w:footerReference w:type="default" r:id="rId10"/>
          <w:type w:val="nextPage"/>
          <w:pgSz w:w="11907" w:h="16839"/>
          <w:pgMar w:top="1431" w:right="1310" w:bottom="1151" w:left="1785" w:header="0" w:footer="991" w:gutter="0"/>
          <w:pgNumType w:start="7"/>
          <w:cols w:space="708"/>
          <w:titlePg w:val="0"/>
        </w:sectPr>
      </w:pPr>
    </w:p>
    <w:p>
      <w:pPr>
        <w:pStyle w:val="BodyText"/>
        <w:spacing w:before="136" w:line="469" w:lineRule="exact"/>
        <w:ind w:left="23"/>
      </w:pPr>
      <w:r>
        <w:rPr>
          <w:spacing w:val="-1"/>
          <w:position w:val="19"/>
        </w:rPr>
        <w:t>方法 第</w:t>
      </w:r>
      <w:r>
        <w:rPr>
          <w:spacing w:val="-41"/>
          <w:position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9"/>
        </w:rPr>
        <w:t xml:space="preserve">5 </w:t>
      </w:r>
      <w:r>
        <w:rPr>
          <w:spacing w:val="-1"/>
          <w:position w:val="19"/>
        </w:rPr>
        <w:t>部分</w:t>
      </w:r>
      <w:r>
        <w:rPr>
          <w:rFonts w:ascii="Times New Roman" w:eastAsia="Times New Roman" w:hAnsi="Times New Roman" w:cs="Times New Roman"/>
          <w:spacing w:val="-1"/>
          <w:position w:val="19"/>
        </w:rPr>
        <w:t>:</w:t>
      </w:r>
      <w:r>
        <w:rPr>
          <w:spacing w:val="-1"/>
          <w:position w:val="19"/>
        </w:rPr>
        <w:t>玻璃纤维拉伸断裂强力和断裂伸长的测定》</w:t>
      </w:r>
      <w:r>
        <w:rPr>
          <w:rFonts w:ascii="Times New Roman" w:eastAsia="Times New Roman" w:hAnsi="Times New Roman" w:cs="Times New Roman"/>
          <w:spacing w:val="-1"/>
          <w:position w:val="19"/>
        </w:rPr>
        <w:t>GB/T</w:t>
      </w:r>
      <w:r>
        <w:rPr>
          <w:rFonts w:ascii="Times New Roman" w:eastAsia="Times New Roman" w:hAnsi="Times New Roman" w:cs="Times New Roman"/>
          <w:spacing w:val="-11"/>
          <w:position w:val="19"/>
        </w:rPr>
        <w:t xml:space="preserve"> </w:t>
      </w:r>
      <w:r>
        <w:rPr>
          <w:rFonts w:ascii="Times New Roman" w:eastAsia="Times New Roman" w:hAnsi="Times New Roman" w:cs="Times New Roman"/>
          <w:spacing w:val="-1"/>
          <w:position w:val="19"/>
        </w:rPr>
        <w:t>7689.5-2013</w:t>
      </w:r>
      <w:r>
        <w:rPr>
          <w:rFonts w:ascii="Times New Roman" w:eastAsia="Times New Roman" w:hAnsi="Times New Roman" w:cs="Times New Roman"/>
          <w:spacing w:val="26"/>
          <w:w w:val="101"/>
          <w:position w:val="19"/>
        </w:rPr>
        <w:t xml:space="preserve"> </w:t>
      </w:r>
      <w:r>
        <w:rPr>
          <w:spacing w:val="-1"/>
          <w:position w:val="19"/>
        </w:rPr>
        <w:t>的有关规定执</w:t>
      </w:r>
    </w:p>
    <w:p>
      <w:pPr>
        <w:pStyle w:val="BodyText"/>
        <w:spacing w:line="221" w:lineRule="auto"/>
        <w:ind w:left="26"/>
      </w:pPr>
      <w:r>
        <w:rPr>
          <w:spacing w:val="-11"/>
        </w:rPr>
        <w:t>行。</w:t>
      </w:r>
    </w:p>
    <w:p>
      <w:pPr>
        <w:spacing w:before="233" w:line="219" w:lineRule="auto"/>
        <w:ind w:left="2511"/>
        <w:rPr>
          <w:rFonts w:ascii="SimHei" w:eastAsia="SimHei" w:hAnsi="SimHei" w:cs="SimHei"/>
          <w:sz w:val="18"/>
          <w:szCs w:val="18"/>
        </w:rPr>
      </w:pPr>
      <w:r>
        <w:rPr>
          <w:rFonts w:ascii="SimHei" w:eastAsia="SimHei" w:hAnsi="SimHei" w:cs="SimHei"/>
          <w:spacing w:val="-2"/>
          <w:sz w:val="18"/>
          <w:szCs w:val="18"/>
        </w:rPr>
        <w:t>表</w:t>
      </w:r>
      <w:r>
        <w:rPr>
          <w:rFonts w:ascii="SimHei" w:eastAsia="SimHei" w:hAnsi="SimHei" w:cs="SimHei"/>
          <w:spacing w:val="-24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18"/>
          <w:szCs w:val="18"/>
        </w:rPr>
        <w:t>4.4.1</w:t>
      </w:r>
      <w:r>
        <w:rPr>
          <w:rFonts w:ascii="Times New Roman" w:eastAsia="Times New Roman" w:hAnsi="Times New Roman" w:cs="Times New Roman"/>
          <w:spacing w:val="11"/>
          <w:w w:val="101"/>
          <w:sz w:val="18"/>
          <w:szCs w:val="18"/>
        </w:rPr>
        <w:t xml:space="preserve"> </w:t>
      </w:r>
      <w:r>
        <w:rPr>
          <w:rFonts w:ascii="SimHei" w:eastAsia="SimHei" w:hAnsi="SimHei" w:cs="SimHei"/>
          <w:spacing w:val="-2"/>
          <w:sz w:val="18"/>
          <w:szCs w:val="18"/>
        </w:rPr>
        <w:t>耐碱玻璃纤维网格布主要性能指标</w:t>
      </w:r>
    </w:p>
    <w:p>
      <w:pPr>
        <w:spacing w:line="109" w:lineRule="exact"/>
      </w:pPr>
    </w:p>
    <w:tbl>
      <w:tblPr>
        <w:tblStyle w:val="TableNormal4"/>
        <w:tblW w:w="8223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</w:tblPr>
      <w:tblGrid>
        <w:gridCol w:w="4392"/>
        <w:gridCol w:w="3831"/>
      </w:tblGrid>
      <w:tr>
        <w:tblPrEx>
          <w:tblW w:w="8223" w:type="dxa"/>
          <w:tblInd w:w="55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</w:tblPrEx>
        <w:trPr>
          <w:trHeight w:val="333"/>
        </w:trPr>
        <w:tc>
          <w:tcPr>
            <w:tcW w:w="4392" w:type="dxa"/>
            <w:vAlign w:val="top"/>
          </w:tcPr>
          <w:p>
            <w:pPr>
              <w:pStyle w:val="TableText"/>
              <w:spacing w:before="75" w:line="220" w:lineRule="auto"/>
              <w:ind w:left="2025"/>
            </w:pPr>
            <w:r>
              <w:rPr>
                <w:spacing w:val="-3"/>
              </w:rPr>
              <w:t>项目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5" w:line="220" w:lineRule="auto"/>
              <w:ind w:left="1742"/>
            </w:pPr>
            <w:r>
              <w:rPr>
                <w:spacing w:val="-3"/>
              </w:rPr>
              <w:t>指标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5"/>
        </w:trPr>
        <w:tc>
          <w:tcPr>
            <w:tcW w:w="4392" w:type="dxa"/>
            <w:vAlign w:val="top"/>
          </w:tcPr>
          <w:p>
            <w:pPr>
              <w:pStyle w:val="TableText"/>
              <w:spacing w:before="71" w:line="212" w:lineRule="auto"/>
              <w:ind w:left="140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spacing w:val="-1"/>
              </w:rPr>
              <w:t>单位面积质量，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g/m</w:t>
            </w:r>
            <w:r>
              <w:rPr>
                <w:rFonts w:ascii="Times New Roman" w:eastAsia="Times New Roman" w:hAnsi="Times New Roman" w:cs="Times New Roman"/>
                <w:spacing w:val="-1"/>
                <w:position w:val="5"/>
                <w:sz w:val="12"/>
                <w:szCs w:val="12"/>
              </w:rPr>
              <w:t>2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1" w:line="236" w:lineRule="auto"/>
              <w:ind w:left="1712"/>
              <w:rPr>
                <w:rFonts w:ascii="Times New Roman" w:eastAsia="Times New Roman" w:hAnsi="Times New Roman" w:cs="Times New Roman"/>
              </w:rPr>
            </w:pPr>
            <w:r>
              <w:rPr>
                <w:spacing w:val="-6"/>
              </w:rPr>
              <w:t>≥</w:t>
            </w:r>
            <w:r>
              <w:rPr>
                <w:rFonts w:ascii="Times New Roman" w:eastAsia="Times New Roman" w:hAnsi="Times New Roman" w:cs="Times New Roman"/>
                <w:spacing w:val="-6"/>
              </w:rPr>
              <w:t>160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37"/>
        </w:trPr>
        <w:tc>
          <w:tcPr>
            <w:tcW w:w="4392" w:type="dxa"/>
            <w:vAlign w:val="top"/>
          </w:tcPr>
          <w:p>
            <w:pPr>
              <w:pStyle w:val="TableText"/>
              <w:spacing w:before="79" w:line="220" w:lineRule="auto"/>
              <w:ind w:left="311"/>
              <w:rPr>
                <w:rFonts w:ascii="Times New Roman" w:eastAsia="Times New Roman" w:hAnsi="Times New Roman" w:cs="Times New Roman"/>
              </w:rPr>
            </w:pPr>
            <w:r>
              <w:rPr>
                <w:spacing w:val="-5"/>
              </w:rPr>
              <w:t>耐碱断裂强力（经向拉力、纬向拉力</w:t>
            </w:r>
            <w:r>
              <w:rPr>
                <w:spacing w:val="5"/>
              </w:rPr>
              <w:t>），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N/50mm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9" w:line="238" w:lineRule="auto"/>
              <w:ind w:left="1669"/>
            </w:pPr>
            <w:r>
              <w:rPr>
                <w:spacing w:val="-5"/>
              </w:rPr>
              <w:t>≥1250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8"/>
        </w:trPr>
        <w:tc>
          <w:tcPr>
            <w:tcW w:w="4392" w:type="dxa"/>
            <w:vAlign w:val="top"/>
          </w:tcPr>
          <w:p>
            <w:pPr>
              <w:pStyle w:val="TableText"/>
              <w:spacing w:before="76" w:line="233" w:lineRule="auto"/>
              <w:ind w:left="644"/>
              <w:rPr>
                <w:rFonts w:ascii="Times New Roman" w:eastAsia="Times New Roman" w:hAnsi="Times New Roman" w:cs="Times New Roman"/>
              </w:rPr>
            </w:pPr>
            <w:r>
              <w:rPr>
                <w:spacing w:val="-7"/>
              </w:rPr>
              <w:t>耐碱断裂强力保留率（经向、纬向</w:t>
            </w:r>
            <w:r>
              <w:rPr>
                <w:spacing w:val="8"/>
              </w:rPr>
              <w:t>），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%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5" w:line="238" w:lineRule="auto"/>
              <w:ind w:left="1758"/>
            </w:pPr>
            <w:r>
              <w:rPr>
                <w:spacing w:val="-8"/>
              </w:rPr>
              <w:t>≥90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28"/>
        </w:trPr>
        <w:tc>
          <w:tcPr>
            <w:tcW w:w="4392" w:type="dxa"/>
            <w:vAlign w:val="top"/>
          </w:tcPr>
          <w:p>
            <w:pPr>
              <w:pStyle w:val="TableText"/>
              <w:spacing w:before="76" w:line="233" w:lineRule="auto"/>
              <w:ind w:left="1009"/>
              <w:rPr>
                <w:rFonts w:ascii="Times New Roman" w:eastAsia="Times New Roman" w:hAnsi="Times New Roman" w:cs="Times New Roman"/>
              </w:rPr>
            </w:pPr>
            <w:r>
              <w:rPr>
                <w:spacing w:val="-9"/>
              </w:rPr>
              <w:t>断裂伸长率（经向、纬向</w:t>
            </w:r>
            <w:r>
              <w:rPr>
                <w:spacing w:val="4"/>
              </w:rPr>
              <w:t>），</w:t>
            </w:r>
            <w:r>
              <w:rPr>
                <w:rFonts w:ascii="Times New Roman" w:eastAsia="Times New Roman" w:hAnsi="Times New Roman" w:cs="Times New Roman"/>
                <w:spacing w:val="-9"/>
              </w:rPr>
              <w:t>%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6" w:line="236" w:lineRule="auto"/>
              <w:ind w:left="1798"/>
              <w:rPr>
                <w:rFonts w:ascii="Times New Roman" w:eastAsia="Times New Roman" w:hAnsi="Times New Roman" w:cs="Times New Roman"/>
              </w:rPr>
            </w:pPr>
            <w:r>
              <w:rPr>
                <w:spacing w:val="-10"/>
              </w:rPr>
              <w:t>≤</w:t>
            </w:r>
            <w:r>
              <w:rPr>
                <w:rFonts w:ascii="Times New Roman" w:eastAsia="Times New Roman" w:hAnsi="Times New Roman" w:cs="Times New Roman"/>
                <w:spacing w:val="-10"/>
              </w:rPr>
              <w:t>5</w:t>
            </w:r>
          </w:p>
        </w:tc>
      </w:tr>
      <w:tr>
        <w:tblPrEx>
          <w:tblW w:w="8223" w:type="dxa"/>
          <w:tblInd w:w="55" w:type="dxa"/>
          <w:tblLayout w:type="fixed"/>
        </w:tblPrEx>
        <w:trPr>
          <w:trHeight w:val="332"/>
        </w:trPr>
        <w:tc>
          <w:tcPr>
            <w:tcW w:w="4392" w:type="dxa"/>
            <w:vAlign w:val="top"/>
          </w:tcPr>
          <w:p>
            <w:pPr>
              <w:pStyle w:val="TableText"/>
              <w:spacing w:before="75" w:line="212" w:lineRule="auto"/>
              <w:ind w:left="1674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  <w:r>
              <w:rPr>
                <w:spacing w:val="-13"/>
                <w:w w:val="98"/>
              </w:rPr>
              <w:t>涂塑量，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3"/>
                <w:w w:val="98"/>
              </w:rPr>
              <w:t>g/m</w:t>
            </w:r>
            <w:r>
              <w:rPr>
                <w:rFonts w:ascii="Times New Roman" w:eastAsia="Times New Roman" w:hAnsi="Times New Roman" w:cs="Times New Roman"/>
                <w:spacing w:val="1"/>
                <w:position w:val="5"/>
                <w:sz w:val="12"/>
                <w:szCs w:val="12"/>
              </w:rPr>
              <w:t>2</w:t>
            </w:r>
          </w:p>
        </w:tc>
        <w:tc>
          <w:tcPr>
            <w:tcW w:w="3831" w:type="dxa"/>
            <w:vAlign w:val="top"/>
          </w:tcPr>
          <w:p>
            <w:pPr>
              <w:pStyle w:val="TableText"/>
              <w:spacing w:before="74" w:line="238" w:lineRule="auto"/>
              <w:ind w:left="1758"/>
            </w:pPr>
            <w:r>
              <w:rPr>
                <w:spacing w:val="-8"/>
              </w:rPr>
              <w:t>≥20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eastAsia="Arial" w:hAnsi="Arial" w:cs="Arial"/>
          <w:sz w:val="21"/>
          <w:szCs w:val="21"/>
        </w:rPr>
        <w:sectPr>
          <w:footerReference w:type="default" r:id="rId11"/>
          <w:pgSz w:w="11907" w:h="16839"/>
          <w:pgMar w:top="1431" w:right="1785" w:bottom="1151" w:left="1785" w:header="0" w:footer="991" w:gutter="0"/>
          <w:pgNumType w:start="8"/>
          <w:cols w:space="708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4" w:lineRule="auto"/>
        <w:ind w:left="3383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spacing w:val="3"/>
          <w:sz w:val="31"/>
          <w:szCs w:val="31"/>
        </w:rPr>
        <w:t>5</w:t>
      </w:r>
      <w:r>
        <w:rPr>
          <w:rFonts w:ascii="Times New Roman" w:eastAsia="Times New Roman" w:hAnsi="Times New Roman" w:cs="Times New Roman"/>
          <w:spacing w:val="8"/>
          <w:sz w:val="31"/>
          <w:szCs w:val="31"/>
        </w:rPr>
        <w:t xml:space="preserve">  </w:t>
      </w:r>
      <w:r>
        <w:rPr>
          <w:rFonts w:ascii="SimHei" w:eastAsia="SimHei" w:hAnsi="SimHei" w:cs="SimHei"/>
          <w:spacing w:val="3"/>
          <w:sz w:val="31"/>
          <w:szCs w:val="31"/>
        </w:rPr>
        <w:t>项目踏勘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09" w:lineRule="auto"/>
        <w:rPr>
          <w:rFonts w:ascii="Arial"/>
          <w:sz w:val="21"/>
        </w:rPr>
      </w:pPr>
    </w:p>
    <w:p>
      <w:pPr>
        <w:pStyle w:val="BodyText"/>
        <w:spacing w:before="68" w:line="468" w:lineRule="exact"/>
        <w:ind w:left="21"/>
      </w:pPr>
      <w:r>
        <w:rPr>
          <w:rFonts w:ascii="Times New Roman" w:eastAsia="Times New Roman" w:hAnsi="Times New Roman" w:cs="Times New Roman"/>
          <w:b/>
          <w:bCs/>
          <w:spacing w:val="-3"/>
          <w:position w:val="19"/>
        </w:rPr>
        <w:t xml:space="preserve">5.1  </w:t>
      </w:r>
      <w:r>
        <w:rPr>
          <w:spacing w:val="-3"/>
          <w:position w:val="19"/>
        </w:rPr>
        <w:t>项目踏勘应考虑为既有建筑外墙基层整体分析、增设基层加固层、找平层、</w:t>
      </w:r>
      <w:r>
        <w:rPr>
          <w:spacing w:val="-19"/>
          <w:position w:val="19"/>
        </w:rPr>
        <w:t xml:space="preserve"> </w:t>
      </w:r>
      <w:r>
        <w:rPr>
          <w:spacing w:val="-3"/>
          <w:position w:val="19"/>
        </w:rPr>
        <w:t>防水层和涂</w:t>
      </w:r>
    </w:p>
    <w:p>
      <w:pPr>
        <w:pStyle w:val="BodyText"/>
        <w:spacing w:line="220" w:lineRule="auto"/>
        <w:ind w:left="22"/>
      </w:pPr>
      <w:r>
        <w:rPr>
          <w:spacing w:val="-1"/>
        </w:rPr>
        <w:t>料饰面层等内容。</w:t>
      </w:r>
    </w:p>
    <w:p>
      <w:pPr>
        <w:pStyle w:val="BodyText"/>
        <w:spacing w:before="217" w:line="468" w:lineRule="exact"/>
        <w:jc w:val="right"/>
      </w:pPr>
      <w:r>
        <w:rPr>
          <w:rFonts w:ascii="Times New Roman" w:eastAsia="Times New Roman" w:hAnsi="Times New Roman" w:cs="Times New Roman"/>
          <w:b/>
          <w:bCs/>
          <w:spacing w:val="-2"/>
          <w:position w:val="19"/>
        </w:rPr>
        <w:t xml:space="preserve">5.2  </w:t>
      </w:r>
      <w:r>
        <w:rPr>
          <w:spacing w:val="-2"/>
          <w:position w:val="19"/>
        </w:rPr>
        <w:t>项目踏勘宜根据既有建筑外立面防水涂饰更新的要求和目标，对所涉及的建筑业态环境、</w:t>
      </w:r>
    </w:p>
    <w:p>
      <w:pPr>
        <w:pStyle w:val="BodyText"/>
        <w:spacing w:line="219" w:lineRule="auto"/>
        <w:ind w:left="24"/>
      </w:pPr>
      <w:r>
        <w:rPr>
          <w:spacing w:val="-1"/>
        </w:rPr>
        <w:t>人文环境、作业环境和生态环境进行整体评估。</w:t>
      </w:r>
    </w:p>
    <w:p>
      <w:pPr>
        <w:pStyle w:val="BodyText"/>
        <w:spacing w:before="218" w:line="221" w:lineRule="auto"/>
        <w:ind w:left="21"/>
      </w:pPr>
      <w:r>
        <w:rPr>
          <w:rFonts w:ascii="Times New Roman" w:eastAsia="Times New Roman" w:hAnsi="Times New Roman" w:cs="Times New Roman"/>
          <w:b/>
          <w:bCs/>
        </w:rPr>
        <w:t xml:space="preserve">5.3  </w:t>
      </w:r>
      <w:r>
        <w:t>项目踏勘前，项目相关责任主体方可获取以下资料，作为项目实施的参考性文</w:t>
      </w:r>
      <w:r>
        <w:rPr>
          <w:spacing w:val="-1"/>
        </w:rPr>
        <w:t>件：</w:t>
      </w:r>
    </w:p>
    <w:p>
      <w:pPr>
        <w:pStyle w:val="BodyText"/>
        <w:spacing w:before="216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5.3.1  </w:t>
      </w:r>
      <w:r>
        <w:rPr>
          <w:spacing w:val="-1"/>
        </w:rPr>
        <w:t>项目所在地区相关规划政策文件</w:t>
      </w:r>
    </w:p>
    <w:p>
      <w:pPr>
        <w:pStyle w:val="BodyText"/>
        <w:spacing w:before="218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5.3.2  </w:t>
      </w:r>
      <w:r>
        <w:rPr>
          <w:spacing w:val="-1"/>
        </w:rPr>
        <w:t>项目原设计图纸</w:t>
      </w:r>
    </w:p>
    <w:p>
      <w:pPr>
        <w:pStyle w:val="BodyText"/>
        <w:spacing w:before="216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5.3.3  </w:t>
      </w:r>
      <w:r>
        <w:rPr>
          <w:spacing w:val="-1"/>
        </w:rPr>
        <w:t>相关竣工资料或者现场实测图纸</w:t>
      </w:r>
    </w:p>
    <w:p>
      <w:pPr>
        <w:pStyle w:val="BodyText"/>
        <w:spacing w:before="217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5.3.4  </w:t>
      </w:r>
      <w:r>
        <w:rPr>
          <w:spacing w:val="-1"/>
        </w:rPr>
        <w:t>历次修缮、维护或改造记录</w:t>
      </w:r>
    </w:p>
    <w:p>
      <w:pPr>
        <w:pStyle w:val="BodyText"/>
        <w:spacing w:before="216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5.3.5  </w:t>
      </w:r>
      <w:r>
        <w:rPr>
          <w:spacing w:val="-1"/>
        </w:rPr>
        <w:t>相关检测与安全鉴定性资料</w:t>
      </w:r>
    </w:p>
    <w:p>
      <w:pPr>
        <w:pStyle w:val="BodyText"/>
        <w:spacing w:before="217" w:line="221" w:lineRule="auto"/>
        <w:ind w:left="444"/>
      </w:pPr>
      <w:r>
        <w:rPr>
          <w:rFonts w:ascii="Times New Roman" w:eastAsia="Times New Roman" w:hAnsi="Times New Roman" w:cs="Times New Roman"/>
          <w:b/>
          <w:bCs/>
          <w:spacing w:val="-1"/>
        </w:rPr>
        <w:t xml:space="preserve">5.3.6  </w:t>
      </w:r>
      <w:r>
        <w:rPr>
          <w:spacing w:val="-1"/>
        </w:rPr>
        <w:t>空鼓、开裂和脱落等病害汇总</w:t>
      </w:r>
    </w:p>
    <w:p>
      <w:pPr>
        <w:pStyle w:val="BodyText"/>
        <w:spacing w:before="218" w:line="315" w:lineRule="auto"/>
        <w:ind w:left="23" w:right="177" w:hanging="2"/>
      </w:pPr>
      <w:r>
        <w:rPr>
          <w:rFonts w:ascii="Times New Roman" w:eastAsia="Times New Roman" w:hAnsi="Times New Roman" w:cs="Times New Roman"/>
          <w:b/>
          <w:bCs/>
          <w:spacing w:val="-3"/>
        </w:rPr>
        <w:t xml:space="preserve">5.4  </w:t>
      </w:r>
      <w:r>
        <w:rPr>
          <w:spacing w:val="-3"/>
        </w:rPr>
        <w:t>踏勘内容可包括但不限于下列内容：</w:t>
      </w:r>
      <w:r>
        <w:rPr>
          <w:spacing w:val="-20"/>
        </w:rPr>
        <w:t xml:space="preserve"> </w:t>
      </w:r>
      <w:r>
        <w:rPr>
          <w:spacing w:val="-3"/>
        </w:rPr>
        <w:t>建筑外墙表观现状分析、基层强度检查、基层含水</w:t>
      </w:r>
      <w:r>
        <w:t xml:space="preserve"> </w:t>
      </w:r>
      <w:r>
        <w:rPr>
          <w:spacing w:val="-2"/>
        </w:rPr>
        <w:t>率查勘、外墙渗漏情况统计和结构安全性初步评</w:t>
      </w:r>
      <w:r>
        <w:rPr>
          <w:spacing w:val="-3"/>
        </w:rPr>
        <w:t>估等，应重点查勘基层强度和结构安全方面</w:t>
      </w:r>
    </w:p>
    <w:p>
      <w:pPr>
        <w:pStyle w:val="BodyText"/>
        <w:spacing w:before="218" w:line="221" w:lineRule="auto"/>
        <w:ind w:left="40"/>
      </w:pPr>
      <w:r>
        <w:rPr>
          <w:spacing w:val="-4"/>
        </w:rPr>
        <w:t>的外墙状况。</w:t>
      </w:r>
    </w:p>
    <w:p>
      <w:pPr>
        <w:pStyle w:val="BodyText"/>
        <w:spacing w:before="218" w:line="468" w:lineRule="exact"/>
        <w:ind w:left="21"/>
      </w:pPr>
      <w:r>
        <w:rPr>
          <w:rFonts w:ascii="Times New Roman" w:eastAsia="Times New Roman" w:hAnsi="Times New Roman" w:cs="Times New Roman"/>
          <w:b/>
          <w:bCs/>
          <w:spacing w:val="-1"/>
          <w:position w:val="19"/>
        </w:rPr>
        <w:t xml:space="preserve">5.5  </w:t>
      </w:r>
      <w:r>
        <w:rPr>
          <w:spacing w:val="-1"/>
          <w:position w:val="19"/>
        </w:rPr>
        <w:t>踏勘报告可由“项目概况、外墙现状分析、现有外墙构造和材料分析、需要解决的问题</w:t>
      </w:r>
    </w:p>
    <w:p>
      <w:pPr>
        <w:pStyle w:val="BodyText"/>
        <w:spacing w:line="219" w:lineRule="auto"/>
        <w:ind w:left="23"/>
      </w:pPr>
      <w:r>
        <w:rPr>
          <w:spacing w:val="-5"/>
        </w:rPr>
        <w:t>和踏勘人员信息</w:t>
      </w:r>
      <w:r>
        <w:rPr>
          <w:spacing w:val="-78"/>
        </w:rPr>
        <w:t xml:space="preserve"> </w:t>
      </w:r>
      <w:r>
        <w:rPr>
          <w:spacing w:val="-5"/>
        </w:rPr>
        <w:t>”等五个部分组成， 具体踏勘报告可参考附录</w:t>
      </w:r>
      <w:r>
        <w:rPr>
          <w:spacing w:val="-5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A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spacing w:val="-5"/>
        </w:rPr>
        <w:t>内容采用。</w:t>
      </w:r>
    </w:p>
    <w:p>
      <w:pPr>
        <w:spacing w:line="219" w:lineRule="auto"/>
        <w:sectPr>
          <w:footerReference w:type="default" r:id="rId12"/>
          <w:pgSz w:w="11907" w:h="16839"/>
          <w:pgMar w:top="1431" w:right="1615" w:bottom="1151" w:left="1785" w:header="0" w:footer="991" w:gutter="0"/>
          <w:pgNumType w:start="9"/>
          <w:cols w:space="708"/>
        </w:sectPr>
      </w:pPr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before="101" w:line="224" w:lineRule="auto"/>
        <w:ind w:left="3377"/>
        <w:rPr>
          <w:rFonts w:ascii="SimHei" w:eastAsia="SimHei" w:hAnsi="SimHei" w:cs="SimHei"/>
          <w:sz w:val="31"/>
          <w:szCs w:val="31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31"/>
          <w:szCs w:val="31"/>
        </w:rPr>
        <w:t>6</w:t>
      </w:r>
      <w:r>
        <w:rPr>
          <w:rFonts w:ascii="Times New Roman" w:eastAsia="Times New Roman" w:hAnsi="Times New Roman" w:cs="Times New Roman"/>
          <w:b/>
          <w:bCs/>
          <w:spacing w:val="14"/>
          <w:sz w:val="31"/>
          <w:szCs w:val="31"/>
        </w:rPr>
        <w:t xml:space="preserve">  </w:t>
      </w:r>
      <w:r>
        <w:rPr>
          <w:rFonts w:ascii="SimHei" w:eastAsia="SimHei" w:hAnsi="SimHei" w:cs="SimHei"/>
          <w:b/>
          <w:bCs/>
          <w:spacing w:val="1"/>
          <w:sz w:val="31"/>
          <w:szCs w:val="31"/>
        </w:rPr>
        <w:t>方案</w:t>
      </w:r>
      <w:r>
        <w:rPr>
          <w:rFonts w:ascii="SimHei" w:eastAsia="SimHei" w:hAnsi="SimHei" w:cs="SimHei"/>
          <w:spacing w:val="1"/>
          <w:sz w:val="31"/>
          <w:szCs w:val="31"/>
        </w:rPr>
        <w:t>设计</w:t>
      </w:r>
    </w:p>
    <w:p>
      <w:pPr>
        <w:spacing w:line="309" w:lineRule="auto"/>
        <w:rPr>
          <w:rFonts w:ascii="Arial"/>
          <w:sz w:val="21"/>
        </w:rPr>
      </w:pPr>
    </w:p>
    <w:p>
      <w:pPr>
        <w:spacing w:line="310" w:lineRule="auto"/>
        <w:rPr>
          <w:rFonts w:ascii="Arial"/>
          <w:sz w:val="21"/>
        </w:rPr>
      </w:pPr>
    </w:p>
    <w:p>
      <w:pPr>
        <w:spacing w:before="68" w:line="234" w:lineRule="auto"/>
        <w:ind w:left="22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</w:rPr>
        <w:t>6.1</w:t>
      </w:r>
      <w:r>
        <w:rPr>
          <w:rFonts w:ascii="Times New Roman" w:eastAsia="Times New Roman" w:hAnsi="Times New Roman" w:cs="Times New Roman"/>
          <w:b/>
          <w:bCs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spacing w:val="-3"/>
          <w:sz w:val="21"/>
          <w:szCs w:val="21"/>
        </w:rPr>
        <w:t>设计依据</w:t>
      </w:r>
    </w:p>
    <w:p>
      <w:pPr>
        <w:pStyle w:val="BodyText"/>
        <w:spacing w:before="201" w:line="220" w:lineRule="auto"/>
        <w:ind w:left="443"/>
      </w:pPr>
      <w:r>
        <w:rPr>
          <w:spacing w:val="-3"/>
        </w:rPr>
        <w:t>本技术规程相关设计的基本要求和依据，</w:t>
      </w:r>
      <w:r>
        <w:rPr>
          <w:spacing w:val="-21"/>
        </w:rPr>
        <w:t xml:space="preserve"> </w:t>
      </w:r>
      <w:r>
        <w:rPr>
          <w:spacing w:val="-3"/>
        </w:rPr>
        <w:t>可参考本技术规程附</w:t>
      </w:r>
      <w:r>
        <w:rPr>
          <w:spacing w:val="-4"/>
        </w:rPr>
        <w:t>录</w:t>
      </w:r>
      <w:r>
        <w:rPr>
          <w:spacing w:val="-5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 xml:space="preserve">B </w:t>
      </w:r>
      <w:r>
        <w:rPr>
          <w:spacing w:val="-4"/>
        </w:rPr>
        <w:t>采用。</w:t>
      </w:r>
    </w:p>
    <w:p>
      <w:pPr>
        <w:spacing w:before="217" w:line="220" w:lineRule="auto"/>
        <w:ind w:left="22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6.2  </w:t>
      </w:r>
      <w:r>
        <w:rPr>
          <w:rFonts w:ascii="SimHei" w:eastAsia="SimHei" w:hAnsi="SimHei" w:cs="SimHei"/>
          <w:spacing w:val="-1"/>
          <w:sz w:val="21"/>
          <w:szCs w:val="21"/>
        </w:rPr>
        <w:t>基本设计要求</w:t>
      </w:r>
    </w:p>
    <w:p>
      <w:pPr>
        <w:pStyle w:val="BodyText"/>
        <w:spacing w:before="218" w:line="468" w:lineRule="exact"/>
        <w:ind w:right="9"/>
        <w:jc w:val="right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6.2.1  </w:t>
      </w:r>
      <w:r>
        <w:rPr>
          <w:position w:val="19"/>
        </w:rPr>
        <w:t>空鼓处理：对原外墙基层处理宜采用空鼓检查后，对空鼓区域进行铲除到坚实基</w:t>
      </w:r>
    </w:p>
    <w:p>
      <w:pPr>
        <w:pStyle w:val="BodyText"/>
        <w:spacing w:before="1" w:line="220" w:lineRule="auto"/>
        <w:ind w:left="22"/>
      </w:pPr>
      <w:r>
        <w:rPr>
          <w:spacing w:val="-1"/>
        </w:rPr>
        <w:t>层，并进行基层清灰和加固处理；</w:t>
      </w:r>
    </w:p>
    <w:p>
      <w:pPr>
        <w:pStyle w:val="BodyText"/>
        <w:spacing w:before="217" w:line="468" w:lineRule="exact"/>
        <w:ind w:right="9"/>
        <w:jc w:val="right"/>
      </w:pPr>
      <w:r>
        <w:rPr>
          <w:rFonts w:ascii="Times New Roman" w:eastAsia="Times New Roman" w:hAnsi="Times New Roman" w:cs="Times New Roman"/>
          <w:b/>
          <w:bCs/>
          <w:position w:val="19"/>
        </w:rPr>
        <w:t xml:space="preserve">6.2.2  </w:t>
      </w:r>
      <w:r>
        <w:rPr>
          <w:position w:val="19"/>
        </w:rPr>
        <w:t>基层找平：宜采用聚合物水泥砂浆掺入水泥基改性增强剂对空鼓区域挂网找平，</w:t>
      </w:r>
    </w:p>
    <w:p>
      <w:pPr>
        <w:pStyle w:val="BodyText"/>
        <w:spacing w:before="1" w:line="219" w:lineRule="auto"/>
        <w:ind w:left="23"/>
      </w:pPr>
      <w:r>
        <w:rPr>
          <w:spacing w:val="-2"/>
        </w:rPr>
        <w:t>养护后再大面采用砂浆挂网找平或外墙腻子找平；</w:t>
      </w:r>
    </w:p>
    <w:p>
      <w:pPr>
        <w:pStyle w:val="BodyText"/>
        <w:spacing w:before="218" w:line="468" w:lineRule="exact"/>
        <w:ind w:right="9"/>
        <w:jc w:val="right"/>
      </w:pPr>
      <w:r>
        <w:rPr>
          <w:rFonts w:ascii="Times New Roman" w:eastAsia="Times New Roman" w:hAnsi="Times New Roman" w:cs="Times New Roman"/>
          <w:b/>
          <w:bCs/>
          <w:spacing w:val="-2"/>
          <w:position w:val="19"/>
        </w:rPr>
        <w:t xml:space="preserve">6.2.3  </w:t>
      </w:r>
      <w:r>
        <w:rPr>
          <w:spacing w:val="-2"/>
          <w:position w:val="19"/>
        </w:rPr>
        <w:t>防水涂饰一体化：</w:t>
      </w:r>
      <w:r>
        <w:rPr>
          <w:spacing w:val="-17"/>
          <w:position w:val="19"/>
        </w:rPr>
        <w:t xml:space="preserve"> </w:t>
      </w:r>
      <w:r>
        <w:rPr>
          <w:spacing w:val="-2"/>
          <w:position w:val="19"/>
        </w:rPr>
        <w:t>基层处理完毕后，宜滚涂基层渗透加固封闭底漆，然后滚涂或</w:t>
      </w:r>
    </w:p>
    <w:p>
      <w:pPr>
        <w:pStyle w:val="BodyText"/>
        <w:spacing w:before="1" w:line="234" w:lineRule="auto"/>
        <w:ind w:left="30"/>
      </w:pPr>
      <w:r>
        <w:t>喷涂防水装饰一体化涂料，进行防水饰面层一体化施工，</w:t>
      </w:r>
      <w:r>
        <w:rPr>
          <w:spacing w:val="-1"/>
        </w:rPr>
        <w:t>漆膜成膜厚度</w:t>
      </w:r>
      <w:r>
        <w:rPr>
          <w:spacing w:val="-45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0.6mm~1.0mm</w:t>
      </w:r>
      <w:r>
        <w:rPr>
          <w:spacing w:val="-1"/>
        </w:rPr>
        <w:t>；</w:t>
      </w:r>
    </w:p>
    <w:p>
      <w:pPr>
        <w:pStyle w:val="BodyText"/>
        <w:spacing w:before="202" w:line="411" w:lineRule="auto"/>
        <w:ind w:left="22" w:right="7" w:firstLine="421"/>
      </w:pPr>
      <w:r>
        <w:rPr>
          <w:rFonts w:ascii="Times New Roman" w:eastAsia="Times New Roman" w:hAnsi="Times New Roman" w:cs="Times New Roman"/>
          <w:b/>
          <w:bCs/>
          <w:spacing w:val="-2"/>
        </w:rPr>
        <w:t xml:space="preserve">6.2.4  </w:t>
      </w:r>
      <w:r>
        <w:rPr>
          <w:spacing w:val="-2"/>
        </w:rPr>
        <w:t>仿石饰面设计要求：若设计为仿石涂料饰</w:t>
      </w:r>
      <w:r>
        <w:rPr>
          <w:spacing w:val="-3"/>
        </w:rPr>
        <w:t>面，可在</w:t>
      </w:r>
      <w:r>
        <w:rPr>
          <w:spacing w:val="-43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 xml:space="preserve">6.2.3 </w:t>
      </w:r>
      <w:r>
        <w:rPr>
          <w:spacing w:val="-3"/>
        </w:rPr>
        <w:t>作业面上进行相关仿石涂</w:t>
      </w:r>
      <w:r>
        <w:t xml:space="preserve"> </w:t>
      </w:r>
      <w:r>
        <w:rPr>
          <w:spacing w:val="-2"/>
        </w:rPr>
        <w:t>料饰面施工，施工前应现场打样确定两种界面之间的</w:t>
      </w:r>
      <w:r>
        <w:rPr>
          <w:spacing w:val="-3"/>
        </w:rPr>
        <w:t>粘结强度满足仿石涂料相关规范后方可</w:t>
      </w:r>
    </w:p>
    <w:p>
      <w:pPr>
        <w:pStyle w:val="BodyText"/>
        <w:spacing w:line="222" w:lineRule="auto"/>
        <w:ind w:left="22"/>
      </w:pPr>
      <w:r>
        <w:rPr>
          <w:spacing w:val="-8"/>
        </w:rPr>
        <w:t>应用。</w:t>
      </w:r>
    </w:p>
    <w:p>
      <w:pPr>
        <w:pStyle w:val="BodyText"/>
        <w:spacing w:before="215" w:line="412" w:lineRule="auto"/>
        <w:ind w:left="21" w:right="7" w:firstLine="423"/>
      </w:pPr>
      <w:r>
        <w:rPr>
          <w:rFonts w:ascii="Times New Roman" w:eastAsia="Times New Roman" w:hAnsi="Times New Roman" w:cs="Times New Roman"/>
          <w:b/>
          <w:bCs/>
          <w:spacing w:val="-3"/>
        </w:rPr>
        <w:t xml:space="preserve">6.2.5  </w:t>
      </w:r>
      <w:r>
        <w:rPr>
          <w:spacing w:val="-3"/>
        </w:rPr>
        <w:t>幕墙饰面设计要求：若设计为幕墙饰面（有龙骨</w:t>
      </w:r>
      <w:r>
        <w:rPr>
          <w:spacing w:val="-17"/>
        </w:rPr>
        <w:t>），</w:t>
      </w:r>
      <w:r>
        <w:rPr>
          <w:spacing w:val="-3"/>
        </w:rPr>
        <w:t>宜在</w:t>
      </w:r>
      <w:r>
        <w:rPr>
          <w:spacing w:val="-39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6.2.2</w:t>
      </w:r>
      <w:r>
        <w:rPr>
          <w:rFonts w:ascii="Times New Roman" w:eastAsia="Times New Roman" w:hAnsi="Times New Roman" w:cs="Times New Roman"/>
          <w:spacing w:val="13"/>
          <w:w w:val="101"/>
        </w:rPr>
        <w:t xml:space="preserve"> </w:t>
      </w:r>
      <w:r>
        <w:rPr>
          <w:spacing w:val="-4"/>
        </w:rPr>
        <w:t>基层找平工序后，</w:t>
      </w:r>
      <w:r>
        <w:t xml:space="preserve"> </w:t>
      </w:r>
      <w:r>
        <w:rPr>
          <w:spacing w:val="-2"/>
        </w:rPr>
        <w:t>进行外墙龙骨施工，</w:t>
      </w:r>
      <w:r>
        <w:rPr>
          <w:spacing w:val="-21"/>
        </w:rPr>
        <w:t xml:space="preserve"> </w:t>
      </w:r>
      <w:r>
        <w:rPr>
          <w:spacing w:val="-2"/>
        </w:rPr>
        <w:t>龙骨安装完毕后，按</w:t>
      </w:r>
      <w:r>
        <w:rPr>
          <w:spacing w:val="-29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 xml:space="preserve">6.2.3 </w:t>
      </w:r>
      <w:r>
        <w:rPr>
          <w:spacing w:val="-2"/>
        </w:rPr>
        <w:t>进行整体的仿石</w:t>
      </w:r>
      <w:r>
        <w:rPr>
          <w:spacing w:val="-3"/>
        </w:rPr>
        <w:t>涂饰一体化施工，最后安装</w:t>
      </w:r>
    </w:p>
    <w:p>
      <w:pPr>
        <w:pStyle w:val="BodyText"/>
        <w:spacing w:before="1" w:line="219" w:lineRule="auto"/>
        <w:ind w:left="21"/>
      </w:pPr>
      <w:r>
        <w:rPr>
          <w:spacing w:val="-1"/>
        </w:rPr>
        <w:t>幕墙饰面层。</w:t>
      </w:r>
    </w:p>
    <w:p>
      <w:pPr>
        <w:spacing w:before="218" w:line="221" w:lineRule="auto"/>
        <w:ind w:left="22"/>
        <w:rPr>
          <w:rFonts w:ascii="SimHei" w:eastAsia="SimHei" w:hAnsi="SimHei" w:cs="SimHei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</w:rPr>
        <w:t xml:space="preserve">6.3  </w:t>
      </w:r>
      <w:r>
        <w:rPr>
          <w:rFonts w:ascii="SimHei" w:eastAsia="SimHei" w:hAnsi="SimHei" w:cs="SimHei"/>
          <w:spacing w:val="-1"/>
          <w:sz w:val="21"/>
          <w:szCs w:val="21"/>
        </w:rPr>
        <w:t>构造做法</w:t>
      </w:r>
    </w:p>
    <w:p>
      <w:pPr>
        <w:pStyle w:val="BodyText"/>
        <w:spacing w:before="217" w:line="411" w:lineRule="auto"/>
        <w:ind w:left="22" w:right="7" w:firstLine="419"/>
        <w:jc w:val="both"/>
      </w:pPr>
      <w:r>
        <w:rPr>
          <w:rFonts w:ascii="Times New Roman" w:eastAsia="Times New Roman" w:hAnsi="Times New Roman" w:cs="Times New Roman"/>
          <w:b/>
          <w:bCs/>
          <w:spacing w:val="-2"/>
        </w:rPr>
        <w:t xml:space="preserve">6.3.1  </w:t>
      </w:r>
      <w:r>
        <w:rPr>
          <w:spacing w:val="-2"/>
        </w:rPr>
        <w:t>对需要整体找平更新的外墙， 应对外墙进行空鼓铲</w:t>
      </w:r>
      <w:r>
        <w:rPr>
          <w:spacing w:val="-3"/>
        </w:rPr>
        <w:t>除后，进行清灰处理，用聚合</w:t>
      </w:r>
      <w:r>
        <w:t xml:space="preserve"> </w:t>
      </w:r>
      <w:r>
        <w:rPr>
          <w:spacing w:val="-2"/>
        </w:rPr>
        <w:t>物水泥砂浆挂网对空鼓区域进行修补，再进行整体挂</w:t>
      </w:r>
      <w:r>
        <w:rPr>
          <w:spacing w:val="-3"/>
        </w:rPr>
        <w:t>网初步找平，最后进行腻子层和防水涂</w:t>
      </w:r>
    </w:p>
    <w:p>
      <w:pPr>
        <w:pStyle w:val="BodyText"/>
        <w:spacing w:before="1" w:line="220" w:lineRule="auto"/>
        <w:ind w:left="22"/>
      </w:pPr>
      <w:r>
        <w:rPr>
          <w:spacing w:val="-6"/>
        </w:rPr>
        <w:t>饰层施工。</w:t>
      </w:r>
      <w:r>
        <w:rPr>
          <w:spacing w:val="-29"/>
        </w:rPr>
        <w:t xml:space="preserve"> </w:t>
      </w:r>
      <w:r>
        <w:rPr>
          <w:spacing w:val="-6"/>
        </w:rPr>
        <w:t>构造做法如图</w:t>
      </w:r>
      <w:r>
        <w:rPr>
          <w:spacing w:val="-45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6.3.1-</w:t>
      </w:r>
      <w:r>
        <w:rPr>
          <w:rFonts w:ascii="Times New Roman" w:eastAsia="Times New Roman" w:hAnsi="Times New Roman" w:cs="Times New Roman"/>
          <w:spacing w:val="-29"/>
        </w:rPr>
        <w:t xml:space="preserve"> </w:t>
      </w:r>
      <w:r>
        <w:rPr>
          <w:rFonts w:ascii="Times New Roman" w:eastAsia="Times New Roman" w:hAnsi="Times New Roman" w:cs="Times New Roman"/>
          <w:spacing w:val="-6"/>
        </w:rPr>
        <w:t>1</w:t>
      </w:r>
      <w:r>
        <w:rPr>
          <w:spacing w:val="-6"/>
        </w:rPr>
        <w:t>。</w:t>
      </w:r>
    </w:p>
    <w:p>
      <w:pPr>
        <w:spacing w:line="220" w:lineRule="auto"/>
        <w:sectPr>
          <w:footerReference w:type="default" r:id="rId13"/>
          <w:pgSz w:w="11907" w:h="16839"/>
          <w:pgMar w:top="1431" w:right="1785" w:bottom="1151" w:left="1785" w:header="0" w:footer="991" w:gutter="0"/>
          <w:pgNumType w:start="10"/>
          <w:cols w:space="708"/>
        </w:sectPr>
      </w:pPr>
    </w:p>
    <w:p>
      <w:pPr>
        <w:spacing w:before="58" w:line="3620" w:lineRule="exact"/>
        <w:ind w:firstLine="2493"/>
      </w:pPr>
      <w:r>
        <w:rPr>
          <w:position w:val="-72"/>
        </w:rPr>
        <w:drawing>
          <wp:inline distT="0" distB="0" distL="0" distR="0">
            <wp:extent cx="1993945" cy="2298652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93945" cy="229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188" w:line="219" w:lineRule="auto"/>
        <w:ind w:left="2673"/>
        <w:rPr>
          <w:sz w:val="20"/>
          <w:szCs w:val="20"/>
        </w:rPr>
      </w:pPr>
      <w:r>
        <w:rPr>
          <w:spacing w:val="-20"/>
          <w:w w:val="99"/>
          <w:sz w:val="20"/>
          <w:szCs w:val="20"/>
        </w:rPr>
        <w:t>图6.3.1-1</w:t>
      </w:r>
      <w:r>
        <w:rPr>
          <w:spacing w:val="19"/>
          <w:sz w:val="20"/>
          <w:szCs w:val="20"/>
        </w:rPr>
        <w:t xml:space="preserve"> </w:t>
      </w:r>
      <w:r>
        <w:rPr>
          <w:spacing w:val="-20"/>
          <w:w w:val="99"/>
          <w:sz w:val="20"/>
          <w:szCs w:val="20"/>
        </w:rPr>
        <w:t>外墙整体找平更新构造做法</w:t>
      </w:r>
    </w:p>
    <w:p>
      <w:pPr>
        <w:pStyle w:val="BodyText"/>
        <w:spacing w:before="232" w:line="219" w:lineRule="auto"/>
        <w:ind w:left="813"/>
        <w:rPr>
          <w:sz w:val="20"/>
          <w:szCs w:val="20"/>
        </w:rPr>
      </w:pPr>
      <w:r>
        <w:rPr>
          <w:spacing w:val="-20"/>
          <w:w w:val="99"/>
          <w:sz w:val="20"/>
          <w:szCs w:val="20"/>
        </w:rPr>
        <w:t>1-基层墙体空鼓铲除；2-滚涂基层加固封闭底漆，清灰处理；3-聚合物水泥砂浆找平；</w:t>
      </w:r>
    </w:p>
    <w:p>
      <w:pPr>
        <w:pStyle w:val="BodyText"/>
        <w:spacing w:before="231" w:line="219" w:lineRule="auto"/>
        <w:ind w:left="1223"/>
        <w:rPr>
          <w:sz w:val="20"/>
          <w:szCs w:val="20"/>
        </w:rPr>
      </w:pPr>
      <w:r>
        <w:rPr>
          <w:spacing w:val="-18"/>
          <w:w w:val="98"/>
          <w:sz w:val="20"/>
          <w:szCs w:val="20"/>
        </w:rPr>
        <w:t>4-耐碱玻纤网格布；5-批刮外墙水泥基腻子两遍，掺入水泥基改性增强剂；</w:t>
      </w:r>
    </w:p>
    <w:p>
      <w:pPr>
        <w:pStyle w:val="BodyText"/>
        <w:spacing w:before="244" w:line="219" w:lineRule="auto"/>
        <w:ind w:left="723"/>
        <w:rPr>
          <w:sz w:val="20"/>
          <w:szCs w:val="20"/>
        </w:rPr>
      </w:pPr>
      <w:r>
        <w:rPr>
          <w:spacing w:val="-15"/>
          <w:sz w:val="20"/>
          <w:szCs w:val="20"/>
        </w:rPr>
        <w:t>6-滚涂基层加固封闭底漆一遍，分隔缝处理(可选)</w:t>
      </w:r>
      <w:r>
        <w:rPr>
          <w:spacing w:val="-16"/>
          <w:sz w:val="20"/>
          <w:szCs w:val="20"/>
        </w:rPr>
        <w:t>;7-滚涂防水装饰一体化涂料两遍。</w:t>
      </w:r>
    </w:p>
    <w:p>
      <w:pPr>
        <w:pStyle w:val="BodyText"/>
        <w:spacing w:before="241" w:line="425" w:lineRule="auto"/>
        <w:ind w:left="23" w:right="34" w:firstLine="410"/>
        <w:jc w:val="both"/>
        <w:rPr>
          <w:sz w:val="20"/>
          <w:szCs w:val="20"/>
        </w:rPr>
      </w:pPr>
      <w:r>
        <w:rPr>
          <w:spacing w:val="7"/>
          <w:sz w:val="20"/>
          <w:szCs w:val="20"/>
        </w:rPr>
        <w:t>6.3.2 对原条形瓷砖面和方块瓷砖面外墙</w:t>
      </w:r>
      <w:r>
        <w:rPr>
          <w:spacing w:val="6"/>
          <w:sz w:val="20"/>
          <w:szCs w:val="20"/>
        </w:rPr>
        <w:t>需要更新，而可以保留原瓷砖纹路的情况，可</w:t>
      </w:r>
      <w:r>
        <w:rPr>
          <w:sz w:val="20"/>
          <w:szCs w:val="20"/>
        </w:rPr>
        <w:t xml:space="preserve"> </w:t>
      </w:r>
      <w:r>
        <w:rPr>
          <w:spacing w:val="7"/>
          <w:sz w:val="20"/>
          <w:szCs w:val="20"/>
        </w:rPr>
        <w:t>以对瓷砖空鼓区域铲除后进行复位，砖缝区域进行清灰加固处理，再整体进行防水涂</w:t>
      </w:r>
      <w:r>
        <w:rPr>
          <w:spacing w:val="6"/>
          <w:sz w:val="20"/>
          <w:szCs w:val="20"/>
        </w:rPr>
        <w:t>饰一体</w:t>
      </w:r>
    </w:p>
    <w:p>
      <w:pPr>
        <w:pStyle w:val="BodyText"/>
        <w:spacing w:before="1" w:line="219" w:lineRule="auto"/>
        <w:ind w:left="33"/>
        <w:rPr>
          <w:sz w:val="20"/>
          <w:szCs w:val="20"/>
        </w:rPr>
      </w:pPr>
      <w:r>
        <w:rPr>
          <w:spacing w:val="1"/>
          <w:sz w:val="20"/>
          <w:szCs w:val="20"/>
        </w:rPr>
        <w:t>化涂料施工。构造做法如图6.3.2-1。</w:t>
      </w:r>
    </w:p>
    <w:p>
      <w:pPr>
        <w:spacing w:before="114" w:line="3650" w:lineRule="exact"/>
        <w:ind w:firstLine="2673"/>
      </w:pPr>
      <w:r>
        <w:rPr>
          <w:position w:val="-72"/>
        </w:rPr>
        <w:drawing>
          <wp:inline distT="0" distB="0" distL="0" distR="0">
            <wp:extent cx="2019281" cy="2317687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19281" cy="2317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18" w:line="219" w:lineRule="auto"/>
        <w:ind w:left="2333"/>
        <w:rPr>
          <w:sz w:val="20"/>
          <w:szCs w:val="20"/>
        </w:rPr>
      </w:pPr>
      <w:r>
        <w:rPr>
          <w:spacing w:val="-21"/>
          <w:sz w:val="20"/>
          <w:szCs w:val="20"/>
        </w:rPr>
        <w:t>图6.3.2-1 瓷砖外墙复位更新直接涂饰构造做法</w:t>
      </w:r>
    </w:p>
    <w:p>
      <w:pPr>
        <w:pStyle w:val="BodyText"/>
        <w:spacing w:before="233" w:line="219" w:lineRule="auto"/>
        <w:ind w:left="2663"/>
        <w:rPr>
          <w:sz w:val="20"/>
          <w:szCs w:val="20"/>
        </w:rPr>
      </w:pPr>
      <w:r>
        <w:rPr>
          <w:spacing w:val="-23"/>
          <w:sz w:val="20"/>
          <w:szCs w:val="20"/>
        </w:rPr>
        <w:t>1-基层墙体空鼓区域铲除，清灰处理；</w:t>
      </w:r>
    </w:p>
    <w:p>
      <w:pPr>
        <w:pStyle w:val="BodyText"/>
        <w:spacing w:before="222" w:line="219" w:lineRule="auto"/>
        <w:ind w:left="1733"/>
        <w:rPr>
          <w:sz w:val="20"/>
          <w:szCs w:val="20"/>
        </w:rPr>
      </w:pPr>
      <w:r>
        <w:rPr>
          <w:spacing w:val="-20"/>
          <w:sz w:val="20"/>
          <w:szCs w:val="20"/>
        </w:rPr>
        <w:t>2-按标准铺贴法，用原尺寸大小相同的瓷砖对铲除区域复位；</w:t>
      </w:r>
    </w:p>
    <w:p>
      <w:pPr>
        <w:pStyle w:val="BodyText"/>
        <w:spacing w:before="224" w:line="219" w:lineRule="auto"/>
        <w:ind w:left="1873"/>
        <w:rPr>
          <w:sz w:val="20"/>
          <w:szCs w:val="20"/>
        </w:rPr>
      </w:pPr>
      <w:r>
        <w:rPr>
          <w:spacing w:val="-16"/>
          <w:sz w:val="20"/>
          <w:szCs w:val="20"/>
        </w:rPr>
        <w:t>3-基滚涂防水装饰一体化涂料两遍，分隔缝处理(可选)。</w:t>
      </w:r>
    </w:p>
    <w:p>
      <w:pPr>
        <w:pStyle w:val="BodyText"/>
        <w:spacing w:before="243" w:line="432" w:lineRule="auto"/>
        <w:ind w:left="23" w:right="140" w:firstLine="410"/>
        <w:jc w:val="both"/>
        <w:rPr>
          <w:sz w:val="20"/>
          <w:szCs w:val="20"/>
        </w:rPr>
        <w:sectPr>
          <w:footerReference w:type="default" r:id="rId16"/>
          <w:pgSz w:w="11910" w:h="16840"/>
          <w:pgMar w:top="1431" w:right="1786" w:bottom="1128" w:left="1786" w:header="0" w:footer="989" w:gutter="0"/>
          <w:pgNumType w:start="11"/>
          <w:cols w:space="708"/>
        </w:sectPr>
      </w:pPr>
      <w:r>
        <w:rPr>
          <w:spacing w:val="4"/>
          <w:sz w:val="20"/>
          <w:szCs w:val="20"/>
        </w:rPr>
        <w:t>6.3.3 对于新建建筑外墙防水设计应分为两种情况</w:t>
      </w:r>
      <w:r>
        <w:rPr>
          <w:spacing w:val="3"/>
          <w:sz w:val="20"/>
          <w:szCs w:val="20"/>
        </w:rPr>
        <w:t>，“防水等级为一级的框架填充或砌</w:t>
      </w:r>
      <w:r>
        <w:rPr>
          <w:sz w:val="20"/>
          <w:szCs w:val="20"/>
        </w:rPr>
        <w:t xml:space="preserve"> </w:t>
      </w:r>
      <w:r>
        <w:rPr>
          <w:spacing w:val="9"/>
          <w:sz w:val="20"/>
          <w:szCs w:val="20"/>
        </w:rPr>
        <w:t>体结构外墙”,按国标要求应设计“一道防水砂浆，及一道防水涂料或其它防水材料”,构</w:t>
      </w:r>
    </w:p>
    <w:p>
      <w:pPr>
        <w:pStyle w:val="BodyText"/>
        <w:spacing w:before="1" w:line="216" w:lineRule="auto"/>
        <w:ind w:left="23"/>
        <w:rPr>
          <w:sz w:val="20"/>
          <w:szCs w:val="20"/>
        </w:rPr>
      </w:pPr>
      <w:r>
        <w:rPr>
          <w:spacing w:val="7"/>
          <w:sz w:val="20"/>
          <w:szCs w:val="20"/>
        </w:rPr>
        <w:t>造做法如图6.3.3-1;“防水等级为一级的现浇混</w:t>
      </w:r>
      <w:r>
        <w:rPr>
          <w:spacing w:val="6"/>
          <w:sz w:val="20"/>
          <w:szCs w:val="20"/>
        </w:rPr>
        <w:t>凝土外墙、装配式混凝土外墙”,按国标要</w:t>
      </w:r>
    </w:p>
    <w:p>
      <w:pPr>
        <w:spacing w:line="216" w:lineRule="auto"/>
        <w:rPr>
          <w:sz w:val="20"/>
          <w:szCs w:val="20"/>
        </w:rPr>
        <w:sectPr>
          <w:footerReference w:type="default" r:id="rId17"/>
          <w:type w:val="nextPage"/>
          <w:pgSz w:w="11910" w:h="16840"/>
          <w:pgMar w:top="1431" w:right="1786" w:bottom="1128" w:left="1786" w:header="0" w:footer="989" w:gutter="0"/>
          <w:pgNumType w:start="12"/>
          <w:cols w:space="708"/>
          <w:titlePg w:val="0"/>
        </w:sectPr>
      </w:pPr>
    </w:p>
    <w:p>
      <w:pPr>
        <w:pStyle w:val="BodyText"/>
        <w:spacing w:before="134" w:line="216" w:lineRule="auto"/>
        <w:ind w:left="23"/>
        <w:rPr>
          <w:sz w:val="20"/>
          <w:szCs w:val="20"/>
        </w:rPr>
      </w:pPr>
      <w:r>
        <w:rPr>
          <w:spacing w:val="3"/>
          <w:sz w:val="20"/>
          <w:szCs w:val="20"/>
        </w:rPr>
        <w:t>求应设计“一道及以上防水层”,构造做法如图6.3.3-2。</w:t>
      </w:r>
    </w:p>
    <w:p>
      <w:pPr>
        <w:spacing w:line="248" w:lineRule="auto"/>
        <w:rPr>
          <w:rFonts w:ascii="Arial"/>
          <w:sz w:val="21"/>
        </w:rPr>
      </w:pPr>
    </w:p>
    <w:p>
      <w:pPr>
        <w:spacing w:line="3391" w:lineRule="exact"/>
        <w:ind w:firstLine="2663"/>
      </w:pPr>
      <w:r>
        <w:rPr>
          <w:position w:val="-67"/>
        </w:rPr>
        <w:drawing>
          <wp:inline distT="0" distB="0" distL="0" distR="0">
            <wp:extent cx="1904930" cy="2152688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4930" cy="215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61" w:lineRule="auto"/>
        <w:rPr>
          <w:rFonts w:ascii="Arial"/>
          <w:sz w:val="21"/>
        </w:rPr>
      </w:pPr>
    </w:p>
    <w:p>
      <w:pPr>
        <w:pStyle w:val="BodyText"/>
        <w:spacing w:before="65" w:line="219" w:lineRule="auto"/>
        <w:ind w:left="2243"/>
        <w:rPr>
          <w:sz w:val="20"/>
          <w:szCs w:val="20"/>
        </w:rPr>
      </w:pPr>
      <w:r>
        <w:rPr>
          <w:color w:val="162BE5"/>
          <w:spacing w:val="-19"/>
          <w:w w:val="96"/>
          <w:sz w:val="20"/>
          <w:szCs w:val="20"/>
        </w:rPr>
        <w:t>图6.3.3-1</w:t>
      </w:r>
      <w:r>
        <w:rPr>
          <w:color w:val="162BE5"/>
          <w:spacing w:val="24"/>
          <w:sz w:val="20"/>
          <w:szCs w:val="20"/>
        </w:rPr>
        <w:t xml:space="preserve"> </w:t>
      </w:r>
      <w:r>
        <w:rPr>
          <w:color w:val="162BE5"/>
          <w:spacing w:val="-19"/>
          <w:w w:val="96"/>
          <w:sz w:val="20"/>
          <w:szCs w:val="20"/>
        </w:rPr>
        <w:t>一道防水砂浆、</w:t>
      </w:r>
      <w:r>
        <w:rPr>
          <w:color w:val="162BE5"/>
          <w:spacing w:val="-16"/>
          <w:sz w:val="20"/>
          <w:szCs w:val="20"/>
        </w:rPr>
        <w:t xml:space="preserve"> </w:t>
      </w:r>
      <w:r>
        <w:rPr>
          <w:color w:val="162BE5"/>
          <w:spacing w:val="-19"/>
          <w:w w:val="96"/>
          <w:sz w:val="20"/>
          <w:szCs w:val="20"/>
        </w:rPr>
        <w:t>一道防水涂</w:t>
      </w:r>
      <w:r>
        <w:rPr>
          <w:color w:val="162BE5"/>
          <w:spacing w:val="-20"/>
          <w:w w:val="96"/>
          <w:sz w:val="20"/>
          <w:szCs w:val="20"/>
        </w:rPr>
        <w:t>料构造做法</w:t>
      </w:r>
    </w:p>
    <w:p>
      <w:pPr>
        <w:pStyle w:val="BodyText"/>
        <w:spacing w:before="242" w:line="219" w:lineRule="auto"/>
        <w:ind w:left="1853"/>
        <w:rPr>
          <w:sz w:val="20"/>
          <w:szCs w:val="20"/>
        </w:rPr>
      </w:pPr>
      <w:r>
        <w:rPr>
          <w:spacing w:val="-17"/>
          <w:w w:val="98"/>
          <w:sz w:val="20"/>
          <w:szCs w:val="20"/>
        </w:rPr>
        <w:t>1-基层墙体；2-找平层；3-5</w:t>
      </w:r>
      <w:r>
        <w:rPr>
          <w:rFonts w:ascii="Times New Roman" w:eastAsia="Times New Roman" w:hAnsi="Times New Roman" w:cs="Times New Roman"/>
          <w:spacing w:val="-17"/>
          <w:w w:val="98"/>
          <w:sz w:val="20"/>
          <w:szCs w:val="20"/>
        </w:rPr>
        <w:t>mm/8mm</w:t>
      </w:r>
      <w:r>
        <w:rPr>
          <w:spacing w:val="-17"/>
          <w:w w:val="98"/>
          <w:sz w:val="20"/>
          <w:szCs w:val="20"/>
        </w:rPr>
        <w:t>聚合物水泥防水砂浆；</w:t>
      </w:r>
    </w:p>
    <w:p>
      <w:pPr>
        <w:pStyle w:val="BodyText"/>
        <w:spacing w:before="222" w:line="219" w:lineRule="auto"/>
        <w:ind w:left="2163"/>
        <w:rPr>
          <w:sz w:val="20"/>
          <w:szCs w:val="20"/>
        </w:rPr>
      </w:pPr>
      <w:r>
        <w:rPr>
          <w:spacing w:val="-17"/>
          <w:sz w:val="20"/>
          <w:szCs w:val="20"/>
        </w:rPr>
        <w:t>4-保温层；5-防水装饰一体化涂料层(一底两面)。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1" w:line="3730" w:lineRule="exact"/>
        <w:ind w:firstLine="2553"/>
      </w:pPr>
      <w:r>
        <w:rPr>
          <w:position w:val="-74"/>
        </w:rPr>
        <w:drawing>
          <wp:inline distT="0" distB="0" distL="0" distR="0">
            <wp:extent cx="2051044" cy="2368587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1044" cy="236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98" w:line="219" w:lineRule="auto"/>
        <w:ind w:left="2873"/>
        <w:rPr>
          <w:sz w:val="20"/>
          <w:szCs w:val="20"/>
        </w:rPr>
      </w:pPr>
      <w:r>
        <w:rPr>
          <w:spacing w:val="-21"/>
          <w:sz w:val="20"/>
          <w:szCs w:val="20"/>
        </w:rPr>
        <w:t>图6.3.3-2 一道防水涂料构造做法</w:t>
      </w:r>
    </w:p>
    <w:p>
      <w:pPr>
        <w:pStyle w:val="BodyText"/>
        <w:spacing w:before="233" w:line="219" w:lineRule="auto"/>
        <w:ind w:left="2783"/>
        <w:rPr>
          <w:sz w:val="20"/>
          <w:szCs w:val="20"/>
        </w:rPr>
      </w:pPr>
      <w:r>
        <w:rPr>
          <w:spacing w:val="-22"/>
          <w:w w:val="99"/>
          <w:sz w:val="20"/>
          <w:szCs w:val="20"/>
        </w:rPr>
        <w:t>1-基层墙体；2-找平层；3-保温层；</w:t>
      </w:r>
    </w:p>
    <w:p>
      <w:pPr>
        <w:pStyle w:val="BodyText"/>
        <w:spacing w:before="233" w:line="219" w:lineRule="auto"/>
        <w:ind w:left="2603"/>
        <w:rPr>
          <w:sz w:val="20"/>
          <w:szCs w:val="20"/>
        </w:rPr>
      </w:pPr>
      <w:r>
        <w:rPr>
          <w:spacing w:val="-16"/>
          <w:sz w:val="20"/>
          <w:szCs w:val="20"/>
        </w:rPr>
        <w:t>4-防水装饰一体化涂料层(一底两面)。</w:t>
      </w:r>
    </w:p>
    <w:p>
      <w:pPr>
        <w:pStyle w:val="BodyText"/>
        <w:spacing w:before="242" w:line="219" w:lineRule="auto"/>
        <w:ind w:left="433"/>
        <w:rPr>
          <w:sz w:val="20"/>
          <w:szCs w:val="20"/>
        </w:rPr>
      </w:pPr>
      <w:r>
        <w:rPr>
          <w:spacing w:val="-7"/>
          <w:sz w:val="20"/>
          <w:szCs w:val="20"/>
        </w:rPr>
        <w:t>6.3.4</w:t>
      </w:r>
      <w:r>
        <w:rPr>
          <w:spacing w:val="53"/>
          <w:sz w:val="20"/>
          <w:szCs w:val="20"/>
        </w:rPr>
        <w:t xml:space="preserve"> </w:t>
      </w:r>
      <w:r>
        <w:rPr>
          <w:spacing w:val="-7"/>
          <w:sz w:val="20"/>
          <w:szCs w:val="20"/>
        </w:rPr>
        <w:t>窗台部位节点做法如图</w:t>
      </w:r>
      <w:hyperlink r:id="rId20" w:history="1">
        <w:r>
          <w:rPr>
            <w:spacing w:val="-7"/>
            <w:sz w:val="20"/>
            <w:szCs w:val="20"/>
          </w:rPr>
          <w:t>6.3.4.1</w:t>
        </w:r>
      </w:hyperlink>
      <w:r>
        <w:rPr>
          <w:spacing w:val="-7"/>
          <w:sz w:val="20"/>
          <w:szCs w:val="20"/>
        </w:rPr>
        <w:t>~</w:t>
      </w:r>
      <w:hyperlink r:id="rId21" w:history="1">
        <w:r>
          <w:rPr>
            <w:spacing w:val="-7"/>
            <w:sz w:val="20"/>
            <w:szCs w:val="20"/>
          </w:rPr>
          <w:t>6.3.4.5</w:t>
        </w:r>
      </w:hyperlink>
    </w:p>
    <w:p>
      <w:pPr>
        <w:spacing w:line="219" w:lineRule="auto"/>
        <w:rPr>
          <w:sz w:val="20"/>
          <w:szCs w:val="20"/>
        </w:rPr>
      </w:pP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https://d.book118.com/558011016113006023</w:t>
        </w:r>
      </w:hyperlink>
    </w:p>
    <w:p>
      <w:pPr>
        <w:spacing w:line="219" w:lineRule="auto"/>
        <w:rPr>
          <w:sz w:val="20"/>
          <w:szCs w:val="20"/>
        </w:rPr>
      </w:pPr>
    </w:p>
    <w:sectPr>
      <w:footerReference w:type="default" r:id="rId23"/>
      <w:pgSz w:w="11910" w:h="16840"/>
      <w:pgMar w:top="1431" w:right="1786" w:bottom="1131" w:left="1786" w:header="0" w:footer="1002" w:gutter="0"/>
      <w:pgNumType w:start="1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130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5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09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12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063"/>
      <w:rPr>
        <w:sz w:val="14"/>
        <w:szCs w:val="14"/>
      </w:rPr>
    </w:pPr>
    <w:r>
      <w:rPr>
        <w:spacing w:val="-4"/>
        <w:sz w:val="14"/>
        <w:szCs w:val="14"/>
      </w:rPr>
      <w:t>13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70" w:lineRule="auto"/>
      <w:ind w:left="4063"/>
      <w:rPr>
        <w:sz w:val="14"/>
        <w:szCs w:val="14"/>
      </w:rPr>
    </w:pPr>
    <w:r>
      <w:rPr>
        <w:spacing w:val="-4"/>
        <w:sz w:val="14"/>
        <w:szCs w:val="14"/>
      </w:rPr>
      <w:t>13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69" w:lineRule="auto"/>
      <w:ind w:left="4073"/>
      <w:rPr>
        <w:sz w:val="13"/>
        <w:szCs w:val="13"/>
      </w:rPr>
    </w:pPr>
    <w:r>
      <w:rPr>
        <w:spacing w:val="-4"/>
        <w:sz w:val="13"/>
        <w:szCs w:val="13"/>
      </w:rPr>
      <w:t>14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2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1" w:lineRule="auto"/>
      <w:ind w:left="412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7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3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32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8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2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28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9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099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5"/>
        <w:sz w:val="18"/>
        <w:szCs w:val="18"/>
      </w:rPr>
      <w:t>10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74" w:lineRule="auto"/>
      <w:ind w:left="410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pacing w:val="-7"/>
        <w:sz w:val="18"/>
        <w:szCs w:val="18"/>
      </w:rPr>
      <w:t>11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semiHidden/>
    <w:qFormat/>
    <w:rPr>
      <w:rFonts w:ascii="SimSun" w:eastAsia="SimSun" w:hAnsi="SimSun" w:cs="SimSun"/>
      <w:sz w:val="21"/>
      <w:szCs w:val="21"/>
      <w:lang w:val="en-US" w:eastAsia="en-US" w:bidi="ar-SA"/>
    </w:rPr>
  </w:style>
  <w:style w:type="paragraph" w:customStyle="1" w:styleId="TableText">
    <w:name w:val="Table Text"/>
    <w:basedOn w:val="Normal"/>
    <w:semiHidden/>
    <w:qFormat/>
    <w:rPr>
      <w:rFonts w:ascii="SimSun" w:eastAsia="SimSun" w:hAnsi="SimSun" w:cs="SimSun"/>
      <w:sz w:val="18"/>
      <w:szCs w:val="18"/>
      <w:lang w:val="en-US" w:eastAsia="en-US" w:bidi="ar-SA"/>
    </w:r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7.xml" /><Relationship Id="rId11" Type="http://schemas.openxmlformats.org/officeDocument/2006/relationships/footer" Target="footer8.xml" /><Relationship Id="rId12" Type="http://schemas.openxmlformats.org/officeDocument/2006/relationships/footer" Target="footer9.xml" /><Relationship Id="rId13" Type="http://schemas.openxmlformats.org/officeDocument/2006/relationships/footer" Target="footer10.xml" /><Relationship Id="rId14" Type="http://schemas.openxmlformats.org/officeDocument/2006/relationships/image" Target="media/image1.jpeg" /><Relationship Id="rId15" Type="http://schemas.openxmlformats.org/officeDocument/2006/relationships/image" Target="media/image2.jpeg" /><Relationship Id="rId16" Type="http://schemas.openxmlformats.org/officeDocument/2006/relationships/footer" Target="footer11.xml" /><Relationship Id="rId17" Type="http://schemas.openxmlformats.org/officeDocument/2006/relationships/footer" Target="footer12.xml" /><Relationship Id="rId18" Type="http://schemas.openxmlformats.org/officeDocument/2006/relationships/image" Target="media/image3.jpeg" /><Relationship Id="rId19" Type="http://schemas.openxmlformats.org/officeDocument/2006/relationships/image" Target="media/image4.jpeg" /><Relationship Id="rId2" Type="http://schemas.openxmlformats.org/officeDocument/2006/relationships/webSettings" Target="webSettings.xml" /><Relationship Id="rId20" Type="http://schemas.openxmlformats.org/officeDocument/2006/relationships/hyperlink" Target="6.3.4.1" TargetMode="External" /><Relationship Id="rId21" Type="http://schemas.openxmlformats.org/officeDocument/2006/relationships/hyperlink" Target="6.3.4.5" TargetMode="External" /><Relationship Id="rId22" Type="http://schemas.openxmlformats.org/officeDocument/2006/relationships/hyperlink" Target="https://d.book118.com/558011016113006023" TargetMode="External" /><Relationship Id="rId23" Type="http://schemas.openxmlformats.org/officeDocument/2006/relationships/footer" Target="footer13.xml" /><Relationship Id="rId24" Type="http://schemas.openxmlformats.org/officeDocument/2006/relationships/theme" Target="theme/theme1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2024-01-05T19:54:31Z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2024-01-05T19:54:34Z</vt:filetime>
  </property>
  <property fmtid="{D5CDD505-2E9C-101B-9397-08002B2CF9AE}" pid="3" name="CRO">
    <vt:lpwstr>wqlLaW5nc29mdCBQREYgdG8gV1BTIDkw</vt:lpwstr>
  </property>
  <property fmtid="{D5CDD505-2E9C-101B-9397-08002B2CF9AE}" pid="4" name="UsrData">
    <vt:lpwstr>6597edf44d394d001f02fb83wl</vt:lpwstr>
  </property>
</Properties>
</file>