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7B3E">
      <w:pPr>
        <w:pStyle w:val="title"/>
        <w:pBdr>
          <w:top w:val="none" w:sz="0" w:space="11" w:color="auto"/>
          <w:left w:val="none" w:sz="0" w:space="0" w:color="auto"/>
          <w:bottom w:val="none" w:sz="0" w:space="11" w:color="auto"/>
          <w:right w:val="none" w:sz="0" w:space="0" w:color="auto"/>
        </w:pBdr>
        <w:spacing w:line="525" w:lineRule="atLeast"/>
        <w:ind w:left="0" w:right="0" w:firstLine="375"/>
        <w:jc w:val="center"/>
        <w:rPr>
          <w:rFonts w:ascii="宋体" w:eastAsia="宋体" w:hAnsi="宋体" w:cs="宋体"/>
          <w:color w:val="000000"/>
        </w:rPr>
      </w:pPr>
      <w:r>
        <w:rPr>
          <w:rFonts w:ascii="宋体" w:eastAsia="宋体" w:hAnsi="宋体" w:cs="宋体"/>
          <w:b/>
          <w:bCs/>
          <w:color w:val="000000"/>
          <w:sz w:val="32"/>
          <w:szCs w:val="32"/>
        </w:rPr>
        <w:t>腾冲火山及邻区速度结构的三维层析成象</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1 21 1 1秦嘉政皇甫岗李 强 钱晓东苏有锦蔡明军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云南省地震局 , 昆明 , 650041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2 中国地震局地球物理研究所 , 北京 , 100081</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摘要 利用 1984,1998 年间期间发生在腾冲火山及邻区 30 个台站记录的数千个地震的 P 波资料 , 采用地震层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析成象法重建了腾冲火山及邻区地壳 、上地幔不同深度的三维速度结构层析成象图 。结果给出 , 在腾冲火山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区下面地壳内约 3,9km 存在低速带 , 扰动量达 - 10 % ; 10,15km 深度为高波速带 , 扰动量达 713 % ; 16,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( 24km 深度为低波速 带 。扰 动 量 达 - 911 % ; 25 , 40km 为 高 波 速 带 , 扰 动 量 达 10 % ; 大 于 莫 霍 面 深 度 h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42km以下均为低波速带 。本文所得的腾冲火山区地壳分层速度结构层析成象图是迄今为止最为详细的成象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研究成果 , 其中一个重要结果是发现在火山区下不同深度存在两个高波速带 , 不是象以往报道的整个火山区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下为低波速带 。根据本文成析成象结果 , 结合数字化近场地震观测资料及震源力学参数特征解释 , 分析认为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腾冲火山区地壳不同深度存在的低速带或高速带均与火山作用的岩浆活动有密切关系 。低速带可解释为与岩 </w:t>
      </w:r>
    </w:p>
    <w:p w:rsidR="00A77B3E">
      <w:pPr>
        <w:pStyle w:val="p"/>
        <w:spacing w:line="525" w:lineRule="atLeast"/>
        <w:ind w:firstLine="375"/>
        <w:rPr>
          <w:rFonts w:ascii="宋体" w:eastAsia="宋体" w:hAnsi="宋体" w:cs="宋体"/>
          <w:color w:val="000000"/>
          <w:sz w:val="24"/>
          <w:szCs w:val="24"/>
        </w:rPr>
        <w:sectPr>
          <w:pgSz w:w="12240" w:h="15840"/>
          <w:pgMar w:top="1440" w:right="1800" w:bottom="1440" w:left="1800" w:header="708" w:footer="708" w:gutter="0"/>
          <w:cols w:space="708"/>
          <w:docGrid w:linePitch="360"/>
        </w:sectPr>
      </w:pPr>
      <w:r>
        <w:rPr>
          <w:rFonts w:ascii="宋体" w:eastAsia="宋体" w:hAnsi="宋体" w:cs="宋体"/>
          <w:color w:val="000000"/>
          <w:sz w:val="24"/>
        </w:rPr>
        <w:t xml:space="preserve">浆囊或半熔融热物质有关 , 高速带可解释为与地壳岩浆通道内剩留岩浆逐渐冷却固化组成的超铁镁堆积岩形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成的火山核有关 。本文所得的三维速度层析成象结果 , 可为研究腾冲火山喷发机理 、岩浆运移系统动力成因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以及火山喷发预测与预防等方面深入研究提供重要参考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关键词 : 层析成象 , 速度结构 , 横向不均匀 , 腾冲火山区</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0 前言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腾冲火山群是我国著名的火山活动地区之一 , 由于腾冲火山活动区位于印度板块与欧亚板块碰撞带 的北东侧 , 属于喜马拉雅强地震活动带缅甸弧形地震构造体系 。这种复杂的地质构造区位使得该区具有 地震 、火山及温泉三位一体伴生的特殊地区 , 其西部是缅甸中深源地震带 , 北东部是滇西地震活动区 , 南部龙陵地区 1976 年曾发生过 713 、714 级强烈大地震 。腾冲火山地区周围地震构造带上的强震活动对 火山活动的影响是显而易见的 , 例如 , 在龙陵地震以后一年左右之内 , 火山区内的微震活动明显增强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火山区内的微震增加可以被解释为火山体内部岩浆活动引发了封闭岩浆房内的应力变化从而导致火山微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震的发生 。根据云南省地矿局及姜朝松等的研究成果, 腾冲火山活动喷发最早始于地质年代的上新世 延续至全新世 , 其喷发活动期大致可分为 4 期 , 不同时期发生的火山喷发遗留下的火山锥及破火山口呈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2"/>
          <w:cols w:space="708"/>
          <w:titlePg w:val="0"/>
          <w:docGrid w:linePitch="360"/>
        </w:sectPr>
      </w:pPr>
      <w:r>
        <w:rPr>
          <w:rFonts w:ascii="宋体" w:eastAsia="宋体" w:hAnsi="宋体" w:cs="宋体"/>
          <w:color w:val="000000"/>
          <w:sz w:val="24"/>
        </w:rPr>
        <w:t>南北向排列</w:t>
      </w:r>
      <w:r>
        <w:rPr>
          <w:rFonts w:ascii="宋体" w:eastAsia="宋体" w:hAnsi="宋体" w:cs="宋体"/>
          <w:color w:val="000000"/>
          <w:sz w:val="24"/>
        </w:rPr>
        <w:t xml:space="preserve"> 。火山区内地热资源十分丰富</w:t>
      </w:r>
      <w:r>
        <w:rPr>
          <w:rFonts w:ascii="宋体" w:eastAsia="宋体" w:hAnsi="宋体" w:cs="宋体"/>
          <w:color w:val="000000"/>
          <w:sz w:val="24"/>
        </w:rPr>
        <w:t xml:space="preserve"> ,</w:t>
      </w:r>
      <w:r>
        <w:rPr>
          <w:rFonts w:ascii="宋体" w:eastAsia="宋体" w:hAnsi="宋体" w:cs="宋体"/>
          <w:color w:val="000000"/>
          <w:sz w:val="24"/>
        </w:rPr>
        <w:t xml:space="preserve"> 大地热流值是云南全省最高的地区</w:t>
      </w:r>
      <w:r>
        <w:rPr>
          <w:rFonts w:ascii="宋体" w:eastAsia="宋体" w:hAnsi="宋体" w:cs="宋体"/>
          <w:color w:val="000000"/>
          <w:sz w:val="24"/>
        </w:rPr>
        <w:t xml:space="preserve"> 。根据腾冲火山地震近场数字化观测结果</w:t>
      </w:r>
      <w:r>
        <w:rPr>
          <w:rFonts w:ascii="宋体" w:eastAsia="宋体" w:hAnsi="宋体" w:cs="宋体"/>
          <w:color w:val="000000"/>
          <w:sz w:val="24"/>
        </w:rPr>
        <w:t xml:space="preserve"> ,</w:t>
      </w:r>
      <w:r>
        <w:rPr>
          <w:rFonts w:ascii="宋体" w:eastAsia="宋体" w:hAnsi="宋体" w:cs="宋体"/>
          <w:color w:val="000000"/>
          <w:sz w:val="24"/>
        </w:rPr>
        <w:t xml:space="preserve"> 在最年青的打鹰山</w:t>
      </w:r>
      <w:r>
        <w:rPr>
          <w:rFonts w:ascii="宋体" w:eastAsia="宋体" w:hAnsi="宋体" w:cs="宋体"/>
          <w:color w:val="000000"/>
          <w:sz w:val="24"/>
        </w:rPr>
        <w:t xml:space="preserve"> —马鞍山火山群近邻地区的微震活动相当频繁</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尤其是单台记录的</w:t>
      </w:r>
      <w:r>
        <w:rPr>
          <w:rFonts w:ascii="宋体" w:eastAsia="宋体" w:hAnsi="宋体" w:cs="宋体"/>
          <w:color w:val="000000"/>
          <w:sz w:val="24"/>
        </w:rPr>
        <w:t xml:space="preserve"> 震级从</w:t>
      </w:r>
      <w:r>
        <w:rPr>
          <w:rFonts w:ascii="宋体" w:eastAsia="宋体" w:hAnsi="宋体" w:cs="宋体"/>
          <w:color w:val="000000"/>
          <w:sz w:val="24"/>
        </w:rPr>
        <w:t xml:space="preserve"> 210</w:t>
      </w:r>
      <w:r>
        <w:rPr>
          <w:rFonts w:ascii="宋体" w:eastAsia="宋体" w:hAnsi="宋体" w:cs="宋体"/>
          <w:color w:val="000000"/>
          <w:sz w:val="24"/>
        </w:rPr>
        <w:t xml:space="preserve"> 级到</w:t>
      </w:r>
      <w:r>
        <w:rPr>
          <w:rFonts w:ascii="宋体" w:eastAsia="宋体" w:hAnsi="宋体" w:cs="宋体"/>
          <w:color w:val="000000"/>
          <w:sz w:val="24"/>
        </w:rPr>
        <w:t xml:space="preserve"> 0</w:t>
      </w:r>
      <w:r>
        <w:rPr>
          <w:rFonts w:ascii="宋体" w:eastAsia="宋体" w:hAnsi="宋体" w:cs="宋体"/>
          <w:color w:val="000000"/>
          <w:sz w:val="24"/>
        </w:rPr>
        <w:t xml:space="preserve"> 级以下地震的数量是相当多的</w:t>
      </w:r>
      <w:r>
        <w:rPr>
          <w:rFonts w:ascii="宋体" w:eastAsia="宋体" w:hAnsi="宋体" w:cs="宋体"/>
          <w:color w:val="000000"/>
          <w:sz w:val="24"/>
        </w:rPr>
        <w:t xml:space="preserve"> ,</w:t>
      </w:r>
      <w:r>
        <w:rPr>
          <w:rFonts w:ascii="宋体" w:eastAsia="宋体" w:hAnsi="宋体" w:cs="宋体"/>
          <w:color w:val="000000"/>
          <w:sz w:val="24"/>
        </w:rPr>
        <w:t xml:space="preserve"> 这些观测现象表明腾冲火山区地下深部存在的岩浆体</w:t>
      </w:r>
      <w:r>
        <w:rPr>
          <w:rFonts w:ascii="宋体" w:eastAsia="宋体" w:hAnsi="宋体" w:cs="宋体"/>
          <w:color w:val="000000"/>
          <w:sz w:val="24"/>
        </w:rPr>
        <w:t xml:space="preserve"> 仍在活动</w:t>
      </w:r>
      <w:r>
        <w:rPr>
          <w:rFonts w:ascii="宋体" w:eastAsia="宋体" w:hAnsi="宋体" w:cs="宋体"/>
          <w:color w:val="000000"/>
          <w:sz w:val="24"/>
        </w:rPr>
        <w:t xml:space="preserve"> 。</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腾冲火山区位于滇西强震活动区 , 该区地震监测台网密集 , 多年来积累了丰富的天然地震资料 , 为研究腾冲火山地震 、岩浆活动以及地球内部结构提供了宝贵的资料 。虽然腾冲火山数百年没有发生岩浆 溢出或大规模喷发 , 但该区频繁的地震发生及地热资源十分丰富的现象表明 , 火山地下岩浆活动还未停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止 , 仅是目前的观测地震图上我们难以区别哪些地震是由岩浆活动引发的火山地震 , 哪些地震属于构造</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地震的机制 。由此研究腾冲火山喷发机理 、构造过程 、岩浆活动状态以及喷发的危险性 , 是我们最为关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Ξ() () 国家自然科学基金 D0407和地震科学联合基金 199119资助项目.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云南省科技攻关项目.</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收稿日期 : 2000 - 01 - 06 . 秦嘉政 , 男 , 47 岁 , 副研究员.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注的重要问题 。所以仔细研究这一地区的地壳和地幔结构 , 对深入认识上述问题是十分重要的 。本文利 用区域地震台网和火山区近场数字化观测的地震资料 , 根据刘福田等提出的局部地区地球内部速度重建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的层析成象反演的计算方法, 研究了腾冲火山地区及邻区的地下三维 P 波速度结构的层析图象 。 1 层析成象反演的理论及方法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3"/>
          <w:cols w:space="708"/>
          <w:titlePg w:val="0"/>
          <w:docGrid w:linePitch="360"/>
        </w:sectPr>
      </w:pPr>
      <w:r>
        <w:rPr>
          <w:rFonts w:ascii="宋体" w:eastAsia="宋体" w:hAnsi="宋体" w:cs="宋体"/>
          <w:color w:val="000000"/>
          <w:sz w:val="24"/>
        </w:rPr>
        <w:t xml:space="preserve">111 理论概述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尽管真实的地球内部结构是十分复杂的 , 但建立地球内部速度结构的反演模式 , 为使问题简化 , 这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里假定地球是各向同性的 , 且完全弹性的分层介质 , 地震为点源 。根据刘福田等用建立三维速度的反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演层析成象方法 , 采用三维空间中非均匀网格点的速度值作为介质的速度函数 , 并允许介质存在间断层</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在球坐标系中 , 用下列的球坐标面将研究区进行剖分 :面 。于是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r = ci = 1 , 2 , I i θ= cj j = 1 , 2 , J φ = c kk = 1 , 2 , 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式中 , c、c和 c为给定常数 , 这样研究区被划分为不同的六面体所组成 。坐标面的交点即为六面体的 i j k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节点 , 当给定每个节点处的速度值时 , 则六面体内任意一点处的速度值就可用节点处的速度值进行线性 插值而获得 。这个速度场定义在横向上是连续的 , 而在纵向是允许有速度间断面存在 , 这就可以动态模 拟地球内部结构中实际存在的速度间断面 , 如莫霍面 、地幔与地壳间断面等 。这样可以把地球内部空间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θφ) 任意一点 r , , 处的速度值写成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θφ)( θφ)()V r , , = ?VFr , , 1 αα α?H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θφ) α式中 Fα r , , 取为线性函数 , 而且是已知的基函数 , ?H 表示属于六面体 H 的节点速度值 。界面 方程取为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(θφ) ()2 R, = r i i</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+ 0 - 0 式中 r为给定的常数 , 反演过程中 , 把 r和 r视为网络面 , 通过对上下网格点赋予不同的速度值来 i i i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4"/>
          <w:cols w:space="708"/>
          <w:titlePg w:val="0"/>
          <w:docGrid w:linePitch="360"/>
        </w:sectPr>
      </w:pPr>
      <w:r>
        <w:rPr>
          <w:rFonts w:ascii="宋体" w:eastAsia="宋体" w:hAnsi="宋体" w:cs="宋体"/>
          <w:color w:val="000000"/>
          <w:sz w:val="24"/>
        </w:rPr>
        <w:t>表述介质速度的间断面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112 反演方程</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假定地球是各向同性 、完全弹性的分层介质组成 , 地震视为点源 , 取地震波的高频近似解 , 设速度 为 V , 则由震源 i 至接收点 j 的走时方程为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ds ()3 T= ? ij Lij V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式中 L为地震波射线路径 , 由路径的微分方程给出 。由于走时与射线路径的积分相关 , 路径又与介 ij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将给反演过程带来困难 , 这里质速度有关 , 因此直接利用上式进行反演则将使成象问题高度非线性化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将按下述方式进行线性化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 obs cal i ()) δδ ( - Tε4 δT= T= ? T〃q+ds + ij ij ijL qi ij l ijij V cal i obs() 式中 T , T为代表参考速度 V时的理论走时 ,为观测走时 q1 = 2 , 3 , 4分别表示第 i 个地震的震 ij ij 0 l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ε() δ源深度 、纬度 、经度和发震时间 , 为误差项 。式 4中的第一项为速度相对于 V有小的扰动V 时 ij 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所引起的走时变化 , 第二项代表震源时空参数变化对走时的影响 。根据刘福田等提出的把速度参数和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震源参数分离求解的方法 , 就可反演 4式的数值解 , 在具体计算过程中 , 需采用两条技术措施 , 一 是使计算矩阵顺序正交三角化 ; 二是修正的奇异值分解 。总的原则是减少内存一个数量级与减少一半计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 使用资料与模型建立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211 地震资料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5"/>
          <w:cols w:space="708"/>
          <w:titlePg w:val="0"/>
          <w:docGrid w:linePitch="360"/>
        </w:sectPr>
      </w:pPr>
      <w:r>
        <w:rPr>
          <w:rFonts w:ascii="宋体" w:eastAsia="宋体" w:hAnsi="宋体" w:cs="宋体"/>
          <w:color w:val="000000"/>
          <w:sz w:val="24"/>
        </w:rPr>
        <w:t>精确的地震波走时计算是非均匀介质中局部地震层析成象的核心</w:t>
      </w:r>
      <w:r>
        <w:rPr>
          <w:rFonts w:ascii="宋体" w:eastAsia="宋体" w:hAnsi="宋体" w:cs="宋体"/>
          <w:color w:val="000000"/>
          <w:sz w:val="24"/>
        </w:rPr>
        <w:t xml:space="preserve"> 。用于本文研究中的地震</w:t>
      </w:r>
      <w:r>
        <w:rPr>
          <w:rFonts w:ascii="宋体" w:eastAsia="宋体" w:hAnsi="宋体" w:cs="宋体"/>
          <w:color w:val="000000"/>
          <w:sz w:val="24"/>
        </w:rPr>
        <w:t xml:space="preserve"> P</w:t>
      </w:r>
      <w:r>
        <w:rPr>
          <w:rFonts w:ascii="宋体" w:eastAsia="宋体" w:hAnsi="宋体" w:cs="宋体"/>
          <w:color w:val="000000"/>
          <w:sz w:val="24"/>
        </w:rPr>
        <w:t xml:space="preserve"> 波到时</w:t>
      </w:r>
      <w:r>
        <w:rPr>
          <w:rFonts w:ascii="宋体" w:eastAsia="宋体" w:hAnsi="宋体" w:cs="宋体"/>
          <w:color w:val="000000"/>
          <w:sz w:val="24"/>
        </w:rPr>
        <w:t xml:space="preserve"> 资料有两种</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一种是研究区内通过的远震资料</w:t>
      </w:r>
      <w:r>
        <w:rPr>
          <w:rFonts w:ascii="宋体" w:eastAsia="宋体" w:hAnsi="宋体" w:cs="宋体"/>
          <w:color w:val="000000"/>
          <w:sz w:val="24"/>
        </w:rPr>
        <w:t xml:space="preserve"> 。另一种是研究区内的近震资料</w:t>
      </w:r>
      <w:r>
        <w:rPr>
          <w:rFonts w:ascii="宋体" w:eastAsia="宋体" w:hAnsi="宋体" w:cs="宋体"/>
          <w:color w:val="000000"/>
          <w:sz w:val="24"/>
        </w:rPr>
        <w:t xml:space="preserve"> 。由于远震资料的入射角</w:t>
      </w:r>
      <w:r>
        <w:rPr>
          <w:rFonts w:ascii="宋体" w:eastAsia="宋体" w:hAnsi="宋体" w:cs="宋体"/>
          <w:color w:val="000000"/>
          <w:sz w:val="24"/>
        </w:rPr>
        <w:t xml:space="preserve">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范围相当窄 一般只在 ?30?范围, 它只能分辩尺度相当大的结构 , 它的水平分辨可以用增加台站个数 、减小台站间距来改善 , 但分辨地壳上部的垂直分辨率是不够理想的 。与远震资料相比 , 区域地震走 时资料的优点在于入射角可以有一个很大的变化范围 , 因此对地壳上的三维结构能获得良好的分辨结 果 。本文研究的重点关注的是腾冲火山及周围地区的地壳及上地幔速度结构 , 因此 , 主要使用了区域地 震资料 。一般来说 , 地震波射线穿透地下介质的深度与震中到接收台站的距离成正比 , 在我们所使用的 地震的震源深度参数在 8,30km 之间 , 这时如研究区域取得太小 , 则穿过下地壳的地震射线将很少 , 就 无法获得下地壳的层析成象图象 , 我们将腾冲火山区周围扩大到 23?,2715?N , 96?,100?E , 作为我们的 研究区 。在这个 区 域 内 使 用 了 26 个 地 震 台 站 , 从 1984 , 1998 年 间 发 生 在 研 究 区 内 2021 个 地 震 , 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12000 条 P 波数据 , 每次地震一般不少于 5 个台站记录 , 经过残差计算 , 所用地震波地震射线的 P 波到</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6"/>
          <w:cols w:space="708"/>
          <w:titlePg w:val="0"/>
          <w:docGrid w:linePitch="360"/>
        </w:sectPr>
      </w:pPr>
      <w:r>
        <w:rPr>
          <w:rFonts w:ascii="宋体" w:eastAsia="宋体" w:hAnsi="宋体" w:cs="宋体"/>
          <w:color w:val="000000"/>
          <w:sz w:val="24"/>
        </w:rPr>
        <w:t xml:space="preserve">为使图面清晰 ,我们没有给出使用台站的位时小于 013 秒 。图 1 给出的是震中分布及网络划分示意图 , 臵分布 ,图 2 是地震波走时曲线 。 </w:t>
      </w:r>
    </w:p>
    <w:p w:rsidR="00A77B3E">
      <w:pPr>
        <w:rPr>
          <w:rFonts w:ascii="宋体" w:eastAsia="宋体" w:hAnsi="宋体" w:cs="宋体"/>
          <w:color w:val="000000"/>
        </w:rPr>
      </w:pPr>
      <w:r>
        <w:rPr>
          <w:rStyle w:val="DefaultParagraphFont"/>
          <w:rFonts w:ascii="宋体" w:eastAsia="宋体" w:hAnsi="宋体" w:cs="宋体"/>
          <w:color w:val="000000"/>
          <w:sz w:val="24"/>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0pt;height:314.25pt">
            <v:imagedata r:id="rId4" o:title=""/>
          </v:shape>
        </w:pict>
      </w:r>
      <w:r>
        <w:rPr>
          <w:rStyle w:val="DefaultParagraphFont"/>
          <w:rFonts w:ascii="宋体" w:eastAsia="宋体" w:hAnsi="宋体" w:cs="宋体"/>
          <w:color w:val="000000"/>
          <w:sz w:val="24"/>
        </w:rPr>
        <w:pict>
          <v:shape id="_x0000_i1026" type="#_x0000_t75" style="width:300pt;height:268.5pt">
            <v:imagedata r:id="rId5"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2 使用的地震 P 波走时曲线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7"/>
          <w:cols w:space="708"/>
          <w:titlePg w:val="0"/>
          <w:docGrid w:linePitch="360"/>
        </w:sectPr>
      </w:pPr>
      <w:r>
        <w:rPr>
          <w:rFonts w:ascii="宋体" w:eastAsia="宋体" w:hAnsi="宋体" w:cs="宋体"/>
          <w:color w:val="000000"/>
          <w:sz w:val="24"/>
        </w:rPr>
        <w:t xml:space="preserve">图 1 使用地震震中分布与计算网格划分示意图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212 初始模型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初始模型的选择首先是以研究区内所使用的地震台网和震中分布而确定的 , 在划分计算网格时 , 重 要的考虑是应保证每一网格点有足够的地震射线通过 。根据我们所使用的资料 , 研究区内网格点的划分 是非均匀的 , 在 23?,2615?N 和 97?,100?E 范围为 015?×015?为网格划分 , 腾冲火山活动区几乎位于该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网格的中心 , 研究区的北面和西面由于射线较少 , 按 110?×110?划分 参见图 1。不同深度初始速度的 选取是参考了研究区已有的人工地壳测深获得的已有成果 , 表 1 是深度方向共 10 层的初始速度参考值 。 其次 , 在初始模型中 , 我们在 9 、15 和 42km 的深度上设定了地壳内可能存在的速度间断面 , 而且 42km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处表示莫霍断面 。深度的划分应保证不同层面内有足够多的射线数和分析研究的需要 ,这样研究区内总 共有 648 个节点 ,并假定从一个深度到下一个深度的速度按线性变化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表 1腾冲火山及邻区的初始速度值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- 0 + 0 - 0 + 0 - 0 + 0 - 0 + 0 ( )0 24 80 深度 km 3 3 9 9 15 15 42 42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)速度 vkmΠs 4 . 5 5 . 75 5 . 75 6 . 0 6. 05 6 . 3 6. 35 6 . 6 7 . 0 8 . 0 8 . 1 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 结果与分析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对 12000 多个到时进行层析成象反演 , 我们给出了模型中不同深度的 9 幅 P 波三维速度结构层析成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8"/>
          <w:cols w:space="708"/>
          <w:titlePg w:val="0"/>
          <w:docGrid w:linePitch="360"/>
        </w:sectPr>
      </w:pPr>
      <w:r>
        <w:rPr>
          <w:rFonts w:ascii="宋体" w:eastAsia="宋体" w:hAnsi="宋体" w:cs="宋体"/>
          <w:color w:val="000000"/>
          <w:sz w:val="24"/>
        </w:rPr>
        <w:t xml:space="preserve">兰色代表高速区 ,深浅不同象图 , 版图 ?是选择了具有代表性的 6 幅层析成象结果 , 红色代表低速区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的色版代表速度扰动量的变化范围 。 </w:t>
      </w:r>
    </w:p>
    <w:p w:rsidR="00A77B3E">
      <w:pPr>
        <w:rPr>
          <w:rFonts w:ascii="宋体" w:eastAsia="宋体" w:hAnsi="宋体" w:cs="宋体"/>
          <w:color w:val="000000"/>
        </w:rPr>
      </w:pPr>
      <w:r>
        <w:rPr>
          <w:rStyle w:val="DefaultParagraphFont"/>
          <w:rFonts w:ascii="宋体" w:eastAsia="宋体" w:hAnsi="宋体" w:cs="宋体"/>
          <w:color w:val="000000"/>
          <w:sz w:val="24"/>
        </w:rPr>
        <w:pict>
          <v:shape id="_x0000_i1027" type="#_x0000_t75" style="width:300pt;height:348pt">
            <v:imagedata r:id="rId6" o:title=""/>
          </v:shape>
        </w:pic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 ( ) 13km 深度的速度图象 : 图版 ?- a所示的是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3km 深处的速度图象 , 这一层位实际上反映了地壳上层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顶部的速度结构 , 在我国大陆地区 , 这一厚层相当于深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积层的厚度 , 给定的初值 v= 5175kmΠs , 扰动量变化范围0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为 - 1615 %,719 , v = 418,612kmΠs 。由图中看出 , 在部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份地区为高速区 , 腾冲火山活动最为明显的特征是位于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低速区 , 一般认为高山区的沉积层比较薄 , 因此腾冲火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山活动区的低速特征可能与火山体地下的浅部的岩浆热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物质体有密切关系 , 而分布在火山活动区东部的高速地 </w:t>
      </w:r>
    </w:p>
    <w:p w:rsidR="00A77B3E">
      <w:pPr>
        <w:pStyle w:val="p"/>
        <w:spacing w:line="525" w:lineRule="atLeast"/>
        <w:ind w:firstLine="375"/>
        <w:rPr>
          <w:rFonts w:ascii="宋体" w:eastAsia="宋体" w:hAnsi="宋体" w:cs="宋体"/>
          <w:color w:val="000000"/>
          <w:sz w:val="24"/>
          <w:szCs w:val="24"/>
        </w:rPr>
        <w:sectPr>
          <w:type w:val="nextPage"/>
          <w:pgSz w:w="12240" w:h="15840"/>
          <w:pgMar w:top="1440" w:right="1800" w:bottom="1440" w:left="1800" w:header="708" w:footer="708" w:gutter="0"/>
          <w:pgNumType w:start="9"/>
          <w:cols w:space="708"/>
          <w:titlePg w:val="0"/>
          <w:docGrid w:linePitch="360"/>
        </w:sectPr>
      </w:pPr>
      <w:r>
        <w:rPr>
          <w:rFonts w:ascii="宋体" w:eastAsia="宋体" w:hAnsi="宋体" w:cs="宋体"/>
          <w:color w:val="000000"/>
          <w:sz w:val="24"/>
        </w:rPr>
        <w:t xml:space="preserve">区反映了哀牢山山根稳定的特征 , 在火山活动区的南部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低速区则是潞西盆地 , 这一地区的速度最低为 418kmΠs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分析认为可能的原因是潞西盆地的沉积层相对厚以及潞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西断裂在这一深度范围内较破碎所致 。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 ) 215km 深度速度图象 : 图版 ? - b所示 的 是</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15km 深度的速率结构图象 , 这一深度相当于地壳上层范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围 , 给定的初 值 是 v= 6134kmΠs , 扰 动 量 变 化 范 围 为 - 0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图中不同符号标注的数字表示震源深度 1117 %,713 % , v = 516,618kmΠs 。由这一深度的层析成 范围 , NS 代表沿火山南北向剖面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图 3 腾冲火山区数字化近场地震 象图我们发现一个十分重要的现象是腾冲火山活动区地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观测确定的震中分布 下出现了呈南北向分布的高波速带 , 其速度高达 618kmΠ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s , 根据层析成象结果 , 这一高波速带实际上是从深度为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9,15km 范围形成的 , 这一新的重要现象在以往有关腾冲火山内部结构的研究报道中尚未见到 。对 9, 15km 深度形成的高波速带可能解释为反映了在腾冲火山锥或破火山口下 , 从地幔上涌的喷发岩浆体残 留在上地壳岩浆通道存贮库内的岩浆逐渐冷却形成复合体的超铁镁质堆积岩 。堆积岩组成的火山核具有 </w:t>
      </w:r>
    </w:p>
    <w:p w:rsidR="00A77B3E">
      <w:pPr>
        <w:pStyle w:val="p"/>
        <w:spacing w:line="525" w:lineRule="atLeast"/>
        <w:ind w:firstLine="375"/>
        <w:rPr>
          <w:rFonts w:ascii="宋体" w:eastAsia="宋体" w:hAnsi="宋体" w:cs="宋体"/>
          <w:color w:val="000000"/>
          <w:sz w:val="24"/>
          <w:szCs w:val="24"/>
        </w:rPr>
      </w:pPr>
      <w:r>
        <w:rPr>
          <w:rFonts w:ascii="宋体" w:eastAsia="宋体" w:hAnsi="宋体" w:cs="宋体"/>
          <w:color w:val="000000"/>
          <w:sz w:val="24"/>
        </w:rPr>
        <w:t xml:space="preserve">高波速的重要特征 。值得注意的是 , 根据 Okubo , P. G 等最新的研究 , 报道了美国夏威夷活火山的层析成象结果 , 给出在冒纳罗亚和基拉韦厄活火山下 5,11km 存在这种火山核 , 具有 615,710kmΠs 的高波 速带 。 </w:t>
      </w:r>
      <w:r>
        <w:rPr>
          <w:rFonts w:ascii="宋体" w:eastAsia="宋体" w:hAnsi="宋体" w:cs="宋体"/>
          <w:color w:val="000000"/>
          <w:sz w:val="24"/>
          <w:szCs w:val="24"/>
        </w:rPr>
        <w:br/>
      </w:r>
      <w:r>
        <w:rPr>
          <w:rFonts w:ascii="宋体" w:eastAsia="宋体" w:hAnsi="宋体" w:cs="宋体"/>
          <w:color w:val="000000"/>
          <w:sz w:val="24"/>
          <w:szCs w:val="24"/>
        </w:rPr>
        <w:br/>
      </w:r>
    </w:p>
    <w:p>
      <w:pPr>
        <w:rPr>
          <w:rFonts w:ascii="SimSun" w:eastAsia="SimSun" w:hAnsi="SimSun" w:cs="SimSun"/>
          <w:b/>
          <w:bCs/>
          <w:color w:val="000000"/>
          <w:sz w:val="30"/>
          <w:szCs w:val="30"/>
        </w:rPr>
      </w:pPr>
      <w:r>
        <w:rPr>
          <w:rFonts w:ascii="SimSun" w:eastAsia="SimSun" w:hAnsi="SimSun" w:cs="SimSun"/>
          <w:b/>
          <w:bCs/>
          <w:color w:val="000000"/>
          <w:sz w:val="30"/>
          <w:szCs w:val="30"/>
        </w:rPr>
        <w:t>以上内容仅为本文档的试下载部分，为可阅读页数的一半内容。如要下载或阅读全文，请访问：</w:t>
      </w:r>
      <w:hyperlink r:id="rId7" w:history="1">
        <w:r>
          <w:rPr>
            <w:rFonts w:ascii="SimSun" w:eastAsia="SimSun" w:hAnsi="SimSun" w:cs="SimSun"/>
            <w:b/>
            <w:bCs/>
            <w:color w:val="0000EE"/>
            <w:sz w:val="30"/>
            <w:szCs w:val="30"/>
            <w:u w:val="single" w:color="0000EE"/>
          </w:rPr>
          <w:t>https://d.book118.com/558040011051006041</w:t>
        </w:r>
      </w:hyperlink>
    </w:p>
    <w:p w:rsidR="00A77B3E">
      <w:pPr>
        <w:pStyle w:val="p"/>
        <w:spacing w:line="525" w:lineRule="atLeast"/>
        <w:ind w:firstLine="375"/>
        <w:rPr>
          <w:rFonts w:ascii="宋体" w:eastAsia="宋体" w:hAnsi="宋体" w:cs="宋体"/>
          <w:color w:val="000000"/>
          <w:sz w:val="24"/>
          <w:szCs w:val="24"/>
        </w:rPr>
      </w:pPr>
    </w:p>
    <w:sectPr>
      <w:type w:val="nextPage"/>
      <w:pgSz w:w="12240" w:h="15840"/>
      <w:pgMar w:top="1440" w:right="1800" w:bottom="1440" w:left="1800" w:header="708" w:footer="708" w:gutter="0"/>
      <w:pgNumType w:start="1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7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7A87" w:usb1="80000000" w:usb2="00000008" w:usb3="00000000" w:csb0="000001FF" w:csb1="00000000"/>
  </w:font>
  <w:font w:name="宋体">
    <w:panose1 w:val="00000000000000000000"/>
    <w:charset w:val="00"/>
    <w:family w:val="auto"/>
    <w:pitch w:val="default"/>
    <w:sig w:usb0="00000000"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proofState w:grammar="clean"/>
  <w:stylePaneFormatFilter w:val="3F01"/>
  <w:defaultTabStop w:val="720"/>
  <w:noPunctuationKerning/>
  <w:characterSpacingControl w:val="doNotCompress"/>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77B3E"/>
    <w:rsid w:val="00A77B3E"/>
  </w:rsids>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semiHidden="0"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HTML Top of Form" w:semiHidden="0" w:uiPriority="0" w:unhideWhenUsed="0"/>
    <w:lsdException w:name="HTML Bottom of Form"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semiHidden="0" w:uiPriority="0" w:unhideWhenUsed="0"/>
    <w:lsdException w:name="annotation subject" w:semiHidden="0" w:uiPriority="0" w:unhideWhenUsed="0"/>
    <w:lsdException w:name="No List" w:semiHidden="0" w:uiPriority="0" w:unhideWhenUsed="0"/>
    <w:lsdException w:name="Outline List 1" w:semiHidden="0" w:uiPriority="0" w:unhideWhenUsed="0"/>
    <w:lsdException w:name="Outline List 2" w:semiHidden="0" w:uiPriority="0" w:unhideWhenUsed="0"/>
    <w:lsdException w:name="Outline List 3"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title">
    <w:name w:val="title"/>
    <w:basedOn w:val="Normal"/>
    <w:pPr>
      <w:pBdr>
        <w:top w:val="none" w:sz="0" w:space="11" w:color="auto"/>
        <w:left w:val="none" w:sz="0" w:space="0" w:color="auto"/>
        <w:bottom w:val="none" w:sz="0" w:space="11" w:color="auto"/>
        <w:right w:val="none" w:sz="0" w:space="0" w:color="auto"/>
      </w:pBdr>
      <w:jc w:val="center"/>
    </w:pPr>
    <w:rPr>
      <w:b/>
      <w:bCs/>
      <w:sz w:val="32"/>
      <w:szCs w:val="32"/>
    </w:rPr>
  </w:style>
  <w:style w:type="paragraph" w:customStyle="1" w:styleId="p">
    <w:name w:val="p"/>
    <w:basedOn w:val="Normal"/>
    <w:pPr>
      <w:spacing w:line="525" w:lineRule="atLeast"/>
      <w:ind w:firstLine="375"/>
    </w:p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image" Target="media/image1.jpeg" /><Relationship Id="rId5" Type="http://schemas.openxmlformats.org/officeDocument/2006/relationships/image" Target="media/image2.jpeg" /><Relationship Id="rId6" Type="http://schemas.openxmlformats.org/officeDocument/2006/relationships/image" Target="media/image3.jpeg" /><Relationship Id="rId7" Type="http://schemas.openxmlformats.org/officeDocument/2006/relationships/hyperlink" Target="https://d.book118.com/558040011051006041" TargetMode="External" /><Relationship Id="rId8" Type="http://schemas.openxmlformats.org/officeDocument/2006/relationships/theme" Target="theme/theme1.xml" /><Relationship Id="rId9"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Template>
  <TotalTime>0</TotalTime>
  <Pages>10</Pages>
  <Words>0</Words>
  <Characters>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1</cp:revision>
</cp:coreProperties>
</file>