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水杨酸锌改性树脂(无碳复写纸显色剂)项目工作报告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94" w:history="1">
        <w:r>
          <w:rPr>
            <w:rFonts w:ascii="仿宋" w:eastAsia="仿宋" w:hAnsi="仿宋" w:cs="仿宋" w:hint="eastAsia"/>
            <w:lang w:eastAsia="zh-CN"/>
          </w:rPr>
          <w:t>前言</w:t>
        </w:r>
        <w:r>
          <w:tab/>
        </w:r>
        <w:r>
          <w:fldChar w:fldCharType="begin"/>
        </w:r>
        <w:r>
          <w:instrText xml:space="preserve"> PAGEREF _Toc23494 \h </w:instrText>
        </w:r>
        <w:r>
          <w:fldChar w:fldCharType="separate"/>
        </w:r>
        <w:r>
          <w:t>3</w:t>
        </w:r>
        <w:r>
          <w:fldChar w:fldCharType="end"/>
        </w:r>
      </w:hyperlink>
    </w:p>
    <w:p>
      <w:pPr>
        <w:pStyle w:val="TOC1"/>
        <w:tabs>
          <w:tab w:val="right" w:leader="dot" w:pos="8306"/>
        </w:tabs>
      </w:pPr>
      <w:hyperlink w:anchor="_Toc20655" w:history="1">
        <w:r>
          <w:rPr>
            <w:rFonts w:ascii="仿宋" w:eastAsia="仿宋" w:hAnsi="仿宋" w:cs="仿宋" w:hint="eastAsia"/>
            <w:lang w:eastAsia="zh-CN"/>
          </w:rPr>
          <w:t>一、土建工程设计</w:t>
        </w:r>
        <w:r>
          <w:tab/>
        </w:r>
        <w:r>
          <w:fldChar w:fldCharType="begin"/>
        </w:r>
        <w:r>
          <w:instrText xml:space="preserve"> PAGEREF _Toc20655 \h </w:instrText>
        </w:r>
        <w:r>
          <w:fldChar w:fldCharType="separate"/>
        </w:r>
        <w:r>
          <w:t>3</w:t>
        </w:r>
        <w:r>
          <w:fldChar w:fldCharType="end"/>
        </w:r>
      </w:hyperlink>
    </w:p>
    <w:p>
      <w:pPr>
        <w:pStyle w:val="TOC2"/>
        <w:tabs>
          <w:tab w:val="right" w:leader="dot" w:pos="8306"/>
        </w:tabs>
      </w:pPr>
      <w:hyperlink w:anchor="_Toc26933" w:history="1">
        <w:r>
          <w:rPr>
            <w:rFonts w:ascii="仿宋" w:eastAsia="仿宋" w:hAnsi="仿宋" w:cs="仿宋" w:hint="eastAsia"/>
            <w:lang w:eastAsia="zh-CN"/>
          </w:rPr>
          <w:t>(一)、建筑工程设计原则</w:t>
        </w:r>
        <w:r>
          <w:tab/>
        </w:r>
        <w:r>
          <w:fldChar w:fldCharType="begin"/>
        </w:r>
        <w:r>
          <w:instrText xml:space="preserve"> PAGEREF _Toc26933 \h </w:instrText>
        </w:r>
        <w:r>
          <w:fldChar w:fldCharType="separate"/>
        </w:r>
        <w:r>
          <w:t>3</w:t>
        </w:r>
        <w:r>
          <w:fldChar w:fldCharType="end"/>
        </w:r>
      </w:hyperlink>
    </w:p>
    <w:p>
      <w:pPr>
        <w:pStyle w:val="TOC2"/>
        <w:tabs>
          <w:tab w:val="right" w:leader="dot" w:pos="8306"/>
        </w:tabs>
      </w:pPr>
      <w:hyperlink w:anchor="_Toc786" w:history="1">
        <w:r>
          <w:rPr>
            <w:rFonts w:ascii="仿宋" w:eastAsia="仿宋" w:hAnsi="仿宋" w:cs="仿宋" w:hint="eastAsia"/>
            <w:lang w:eastAsia="zh-CN"/>
          </w:rPr>
          <w:t>(二)、土建工程设计年限及安全等级</w:t>
        </w:r>
        <w:r>
          <w:tab/>
        </w:r>
        <w:r>
          <w:fldChar w:fldCharType="begin"/>
        </w:r>
        <w:r>
          <w:instrText xml:space="preserve"> PAGEREF _Toc786 \h </w:instrText>
        </w:r>
        <w:r>
          <w:fldChar w:fldCharType="separate"/>
        </w:r>
        <w:r>
          <w:t>5</w:t>
        </w:r>
        <w:r>
          <w:fldChar w:fldCharType="end"/>
        </w:r>
      </w:hyperlink>
    </w:p>
    <w:p>
      <w:pPr>
        <w:pStyle w:val="TOC2"/>
        <w:tabs>
          <w:tab w:val="right" w:leader="dot" w:pos="8306"/>
        </w:tabs>
      </w:pPr>
      <w:hyperlink w:anchor="_Toc28577" w:history="1">
        <w:r>
          <w:rPr>
            <w:rFonts w:ascii="仿宋" w:eastAsia="仿宋" w:hAnsi="仿宋" w:cs="仿宋" w:hint="eastAsia"/>
            <w:lang w:eastAsia="zh-CN"/>
          </w:rPr>
          <w:t>(三)、建筑工程设计总体要求</w:t>
        </w:r>
        <w:r>
          <w:tab/>
        </w:r>
        <w:r>
          <w:fldChar w:fldCharType="begin"/>
        </w:r>
        <w:r>
          <w:instrText xml:space="preserve"> PAGEREF _Toc28577 \h </w:instrText>
        </w:r>
        <w:r>
          <w:fldChar w:fldCharType="separate"/>
        </w:r>
        <w:r>
          <w:t>6</w:t>
        </w:r>
        <w:r>
          <w:fldChar w:fldCharType="end"/>
        </w:r>
      </w:hyperlink>
    </w:p>
    <w:p>
      <w:pPr>
        <w:pStyle w:val="TOC2"/>
        <w:tabs>
          <w:tab w:val="right" w:leader="dot" w:pos="8306"/>
        </w:tabs>
      </w:pPr>
      <w:hyperlink w:anchor="_Toc3636" w:history="1">
        <w:r>
          <w:rPr>
            <w:rFonts w:ascii="仿宋" w:eastAsia="仿宋" w:hAnsi="仿宋" w:cs="仿宋" w:hint="eastAsia"/>
            <w:lang w:eastAsia="zh-CN"/>
          </w:rPr>
          <w:t>(四)、土建工程建设指标</w:t>
        </w:r>
        <w:r>
          <w:tab/>
        </w:r>
        <w:r>
          <w:fldChar w:fldCharType="begin"/>
        </w:r>
        <w:r>
          <w:instrText xml:space="preserve"> PAGEREF _Toc3636 \h </w:instrText>
        </w:r>
        <w:r>
          <w:fldChar w:fldCharType="separate"/>
        </w:r>
        <w:r>
          <w:t>8</w:t>
        </w:r>
        <w:r>
          <w:fldChar w:fldCharType="end"/>
        </w:r>
      </w:hyperlink>
    </w:p>
    <w:p>
      <w:pPr>
        <w:pStyle w:val="TOC1"/>
        <w:tabs>
          <w:tab w:val="right" w:leader="dot" w:pos="8306"/>
        </w:tabs>
      </w:pPr>
      <w:hyperlink w:anchor="_Toc3494" w:history="1">
        <w:r>
          <w:rPr>
            <w:rFonts w:ascii="仿宋" w:eastAsia="仿宋" w:hAnsi="仿宋" w:cs="仿宋" w:hint="eastAsia"/>
            <w:lang w:eastAsia="zh-CN"/>
          </w:rPr>
          <w:t>二、工艺分析</w:t>
        </w:r>
        <w:r>
          <w:tab/>
        </w:r>
        <w:r>
          <w:fldChar w:fldCharType="begin"/>
        </w:r>
        <w:r>
          <w:instrText xml:space="preserve"> PAGEREF _Toc3494 \h </w:instrText>
        </w:r>
        <w:r>
          <w:fldChar w:fldCharType="separate"/>
        </w:r>
        <w:r>
          <w:t>10</w:t>
        </w:r>
        <w:r>
          <w:fldChar w:fldCharType="end"/>
        </w:r>
      </w:hyperlink>
    </w:p>
    <w:p>
      <w:pPr>
        <w:pStyle w:val="TOC2"/>
        <w:tabs>
          <w:tab w:val="right" w:leader="dot" w:pos="8306"/>
        </w:tabs>
      </w:pPr>
      <w:hyperlink w:anchor="_Toc9723" w:history="1">
        <w:r>
          <w:rPr>
            <w:rFonts w:ascii="仿宋" w:eastAsia="仿宋" w:hAnsi="仿宋" w:cs="仿宋" w:hint="eastAsia"/>
            <w:lang w:eastAsia="zh-CN"/>
          </w:rPr>
          <w:t>(一)、技术管理特点</w:t>
        </w:r>
        <w:r>
          <w:tab/>
        </w:r>
        <w:r>
          <w:fldChar w:fldCharType="begin"/>
        </w:r>
        <w:r>
          <w:instrText xml:space="preserve"> PAGEREF _Toc9723 \h </w:instrText>
        </w:r>
        <w:r>
          <w:fldChar w:fldCharType="separate"/>
        </w:r>
        <w:r>
          <w:t>10</w:t>
        </w:r>
        <w:r>
          <w:fldChar w:fldCharType="end"/>
        </w:r>
      </w:hyperlink>
    </w:p>
    <w:p>
      <w:pPr>
        <w:pStyle w:val="TOC2"/>
        <w:tabs>
          <w:tab w:val="right" w:leader="dot" w:pos="8306"/>
        </w:tabs>
      </w:pPr>
      <w:hyperlink w:anchor="_Toc24683" w:history="1">
        <w:r>
          <w:rPr>
            <w:rFonts w:ascii="仿宋" w:eastAsia="仿宋" w:hAnsi="仿宋" w:cs="仿宋" w:hint="eastAsia"/>
            <w:lang w:eastAsia="zh-CN"/>
          </w:rPr>
          <w:t>(二)、水杨酸锌改性树脂(无碳复写纸显色剂)项目工艺技术设计方案</w:t>
        </w:r>
        <w:r>
          <w:tab/>
        </w:r>
        <w:r>
          <w:fldChar w:fldCharType="begin"/>
        </w:r>
        <w:r>
          <w:instrText xml:space="preserve"> PAGEREF _Toc24683 \h </w:instrText>
        </w:r>
        <w:r>
          <w:fldChar w:fldCharType="separate"/>
        </w:r>
        <w:r>
          <w:t>11</w:t>
        </w:r>
        <w:r>
          <w:fldChar w:fldCharType="end"/>
        </w:r>
      </w:hyperlink>
    </w:p>
    <w:p>
      <w:pPr>
        <w:pStyle w:val="TOC2"/>
        <w:tabs>
          <w:tab w:val="right" w:leader="dot" w:pos="8306"/>
        </w:tabs>
      </w:pPr>
      <w:hyperlink w:anchor="_Toc4223" w:history="1">
        <w:r>
          <w:rPr>
            <w:rFonts w:ascii="仿宋" w:eastAsia="仿宋" w:hAnsi="仿宋" w:cs="仿宋" w:hint="eastAsia"/>
            <w:lang w:eastAsia="zh-CN"/>
          </w:rPr>
          <w:t>(三)、设备选型方案</w:t>
        </w:r>
        <w:r>
          <w:tab/>
        </w:r>
        <w:r>
          <w:fldChar w:fldCharType="begin"/>
        </w:r>
        <w:r>
          <w:instrText xml:space="preserve"> PAGEREF _Toc4223 \h </w:instrText>
        </w:r>
        <w:r>
          <w:fldChar w:fldCharType="separate"/>
        </w:r>
        <w:r>
          <w:t>12</w:t>
        </w:r>
        <w:r>
          <w:fldChar w:fldCharType="end"/>
        </w:r>
      </w:hyperlink>
    </w:p>
    <w:p>
      <w:pPr>
        <w:pStyle w:val="TOC1"/>
        <w:tabs>
          <w:tab w:val="right" w:leader="dot" w:pos="8306"/>
        </w:tabs>
      </w:pPr>
      <w:hyperlink w:anchor="_Toc25865" w:history="1">
        <w:r>
          <w:rPr>
            <w:rFonts w:ascii="仿宋" w:eastAsia="仿宋" w:hAnsi="仿宋" w:cs="仿宋" w:hint="eastAsia"/>
            <w:lang w:eastAsia="zh-CN"/>
          </w:rPr>
          <w:t>三、建设单位基本信息</w:t>
        </w:r>
        <w:r>
          <w:tab/>
        </w:r>
        <w:r>
          <w:fldChar w:fldCharType="begin"/>
        </w:r>
        <w:r>
          <w:instrText xml:space="preserve"> PAGEREF _Toc25865 \h </w:instrText>
        </w:r>
        <w:r>
          <w:fldChar w:fldCharType="separate"/>
        </w:r>
        <w:r>
          <w:t>13</w:t>
        </w:r>
        <w:r>
          <w:fldChar w:fldCharType="end"/>
        </w:r>
      </w:hyperlink>
    </w:p>
    <w:p>
      <w:pPr>
        <w:pStyle w:val="TOC2"/>
        <w:tabs>
          <w:tab w:val="right" w:leader="dot" w:pos="8306"/>
        </w:tabs>
      </w:pPr>
      <w:hyperlink w:anchor="_Toc28751" w:history="1">
        <w:r>
          <w:rPr>
            <w:rFonts w:ascii="仿宋" w:eastAsia="仿宋" w:hAnsi="仿宋" w:cs="仿宋" w:hint="eastAsia"/>
            <w:lang w:eastAsia="zh-CN"/>
          </w:rPr>
          <w:t>(一)、水杨酸锌改性树脂(无碳复写纸显色剂)项目承办单位基本情况</w:t>
        </w:r>
        <w:r>
          <w:tab/>
        </w:r>
        <w:r>
          <w:fldChar w:fldCharType="begin"/>
        </w:r>
        <w:r>
          <w:instrText xml:space="preserve"> PAGEREF _Toc28751 \h </w:instrText>
        </w:r>
        <w:r>
          <w:fldChar w:fldCharType="separate"/>
        </w:r>
        <w:r>
          <w:t>13</w:t>
        </w:r>
        <w:r>
          <w:fldChar w:fldCharType="end"/>
        </w:r>
      </w:hyperlink>
    </w:p>
    <w:p>
      <w:pPr>
        <w:pStyle w:val="TOC2"/>
        <w:tabs>
          <w:tab w:val="right" w:leader="dot" w:pos="8306"/>
        </w:tabs>
      </w:pPr>
      <w:hyperlink w:anchor="_Toc20032" w:history="1">
        <w:r>
          <w:rPr>
            <w:rFonts w:ascii="仿宋" w:eastAsia="仿宋" w:hAnsi="仿宋" w:cs="仿宋" w:hint="eastAsia"/>
            <w:lang w:eastAsia="zh-CN"/>
          </w:rPr>
          <w:t>(二)、公司经济效益分析</w:t>
        </w:r>
        <w:r>
          <w:tab/>
        </w:r>
        <w:r>
          <w:fldChar w:fldCharType="begin"/>
        </w:r>
        <w:r>
          <w:instrText xml:space="preserve"> PAGEREF _Toc20032 \h </w:instrText>
        </w:r>
        <w:r>
          <w:fldChar w:fldCharType="separate"/>
        </w:r>
        <w:r>
          <w:t>14</w:t>
        </w:r>
        <w:r>
          <w:fldChar w:fldCharType="end"/>
        </w:r>
      </w:hyperlink>
    </w:p>
    <w:p>
      <w:pPr>
        <w:pStyle w:val="TOC1"/>
        <w:tabs>
          <w:tab w:val="right" w:leader="dot" w:pos="8306"/>
        </w:tabs>
      </w:pPr>
      <w:hyperlink w:anchor="_Toc9679" w:history="1">
        <w:r>
          <w:rPr>
            <w:rFonts w:ascii="仿宋" w:eastAsia="仿宋" w:hAnsi="仿宋" w:cs="仿宋" w:hint="eastAsia"/>
            <w:lang w:eastAsia="zh-CN"/>
          </w:rPr>
          <w:t>四、水杨酸锌改性树脂(无碳复写纸显色剂)项目选址说明</w:t>
        </w:r>
        <w:r>
          <w:tab/>
        </w:r>
        <w:r>
          <w:fldChar w:fldCharType="begin"/>
        </w:r>
        <w:r>
          <w:instrText xml:space="preserve"> PAGEREF _Toc9679 \h </w:instrText>
        </w:r>
        <w:r>
          <w:fldChar w:fldCharType="separate"/>
        </w:r>
        <w:r>
          <w:t>16</w:t>
        </w:r>
        <w:r>
          <w:fldChar w:fldCharType="end"/>
        </w:r>
      </w:hyperlink>
    </w:p>
    <w:p>
      <w:pPr>
        <w:pStyle w:val="TOC2"/>
        <w:tabs>
          <w:tab w:val="right" w:leader="dot" w:pos="8306"/>
        </w:tabs>
      </w:pPr>
      <w:hyperlink w:anchor="_Toc14569" w:history="1">
        <w:r>
          <w:rPr>
            <w:rFonts w:ascii="仿宋" w:eastAsia="仿宋" w:hAnsi="仿宋" w:cs="仿宋" w:hint="eastAsia"/>
            <w:lang w:eastAsia="zh-CN"/>
          </w:rPr>
          <w:t>(一)、水杨酸锌改性树脂(无碳复写纸显色剂)项目选址</w:t>
        </w:r>
        <w:r>
          <w:tab/>
        </w:r>
        <w:r>
          <w:fldChar w:fldCharType="begin"/>
        </w:r>
        <w:r>
          <w:instrText xml:space="preserve"> PAGEREF _Toc14569 \h </w:instrText>
        </w:r>
        <w:r>
          <w:fldChar w:fldCharType="separate"/>
        </w:r>
        <w:r>
          <w:t>16</w:t>
        </w:r>
        <w:r>
          <w:fldChar w:fldCharType="end"/>
        </w:r>
      </w:hyperlink>
    </w:p>
    <w:p>
      <w:pPr>
        <w:pStyle w:val="TOC2"/>
        <w:tabs>
          <w:tab w:val="right" w:leader="dot" w:pos="8306"/>
        </w:tabs>
      </w:pPr>
      <w:hyperlink w:anchor="_Toc10357" w:history="1">
        <w:r>
          <w:rPr>
            <w:rFonts w:ascii="仿宋" w:eastAsia="仿宋" w:hAnsi="仿宋" w:cs="仿宋" w:hint="eastAsia"/>
            <w:lang w:eastAsia="zh-CN"/>
          </w:rPr>
          <w:t>(二)、用地控制指标</w:t>
        </w:r>
        <w:r>
          <w:tab/>
        </w:r>
        <w:r>
          <w:fldChar w:fldCharType="begin"/>
        </w:r>
        <w:r>
          <w:instrText xml:space="preserve"> PAGEREF _Toc10357 \h </w:instrText>
        </w:r>
        <w:r>
          <w:fldChar w:fldCharType="separate"/>
        </w:r>
        <w:r>
          <w:t>16</w:t>
        </w:r>
        <w:r>
          <w:fldChar w:fldCharType="end"/>
        </w:r>
      </w:hyperlink>
    </w:p>
    <w:p>
      <w:pPr>
        <w:pStyle w:val="TOC2"/>
        <w:tabs>
          <w:tab w:val="right" w:leader="dot" w:pos="8306"/>
        </w:tabs>
      </w:pPr>
      <w:hyperlink w:anchor="_Toc15545" w:history="1">
        <w:r>
          <w:rPr>
            <w:rFonts w:ascii="仿宋" w:eastAsia="仿宋" w:hAnsi="仿宋" w:cs="仿宋" w:hint="eastAsia"/>
            <w:lang w:eastAsia="zh-CN"/>
          </w:rPr>
          <w:t>(三)、节约用地措施</w:t>
        </w:r>
        <w:r>
          <w:tab/>
        </w:r>
        <w:r>
          <w:fldChar w:fldCharType="begin"/>
        </w:r>
        <w:r>
          <w:instrText xml:space="preserve"> PAGEREF _Toc15545 \h </w:instrText>
        </w:r>
        <w:r>
          <w:fldChar w:fldCharType="separate"/>
        </w:r>
        <w:r>
          <w:t>17</w:t>
        </w:r>
        <w:r>
          <w:fldChar w:fldCharType="end"/>
        </w:r>
      </w:hyperlink>
    </w:p>
    <w:p>
      <w:pPr>
        <w:pStyle w:val="TOC2"/>
        <w:tabs>
          <w:tab w:val="right" w:leader="dot" w:pos="8306"/>
        </w:tabs>
      </w:pPr>
      <w:hyperlink w:anchor="_Toc32489" w:history="1">
        <w:r>
          <w:rPr>
            <w:rFonts w:ascii="仿宋" w:eastAsia="仿宋" w:hAnsi="仿宋" w:cs="仿宋" w:hint="eastAsia"/>
            <w:lang w:eastAsia="zh-CN"/>
          </w:rPr>
          <w:t>(四)、总图布置方案</w:t>
        </w:r>
        <w:r>
          <w:tab/>
        </w:r>
        <w:r>
          <w:fldChar w:fldCharType="begin"/>
        </w:r>
        <w:r>
          <w:instrText xml:space="preserve"> PAGEREF _Toc32489 \h </w:instrText>
        </w:r>
        <w:r>
          <w:fldChar w:fldCharType="separate"/>
        </w:r>
        <w:r>
          <w:t>18</w:t>
        </w:r>
        <w:r>
          <w:fldChar w:fldCharType="end"/>
        </w:r>
      </w:hyperlink>
    </w:p>
    <w:p>
      <w:pPr>
        <w:pStyle w:val="TOC2"/>
        <w:tabs>
          <w:tab w:val="right" w:leader="dot" w:pos="8306"/>
        </w:tabs>
      </w:pPr>
      <w:hyperlink w:anchor="_Toc1103" w:history="1">
        <w:r>
          <w:rPr>
            <w:rFonts w:ascii="仿宋" w:eastAsia="仿宋" w:hAnsi="仿宋" w:cs="仿宋" w:hint="eastAsia"/>
            <w:lang w:eastAsia="zh-CN"/>
          </w:rPr>
          <w:t>(五)、选址综合评价</w:t>
        </w:r>
        <w:r>
          <w:tab/>
        </w:r>
        <w:r>
          <w:fldChar w:fldCharType="begin"/>
        </w:r>
        <w:r>
          <w:instrText xml:space="preserve"> PAGEREF _Toc1103 \h </w:instrText>
        </w:r>
        <w:r>
          <w:fldChar w:fldCharType="separate"/>
        </w:r>
        <w:r>
          <w:t>19</w:t>
        </w:r>
        <w:r>
          <w:fldChar w:fldCharType="end"/>
        </w:r>
      </w:hyperlink>
    </w:p>
    <w:p>
      <w:pPr>
        <w:pStyle w:val="TOC1"/>
        <w:tabs>
          <w:tab w:val="right" w:leader="dot" w:pos="8306"/>
        </w:tabs>
      </w:pPr>
      <w:hyperlink w:anchor="_Toc30055" w:history="1">
        <w:r>
          <w:rPr>
            <w:rFonts w:ascii="仿宋" w:eastAsia="仿宋" w:hAnsi="仿宋" w:cs="仿宋" w:hint="eastAsia"/>
            <w:lang w:eastAsia="zh-CN"/>
          </w:rPr>
          <w:t>五、水杨酸锌改性树脂(无碳复写纸显色剂)项目实施进度计划</w:t>
        </w:r>
        <w:r>
          <w:tab/>
        </w:r>
        <w:r>
          <w:fldChar w:fldCharType="begin"/>
        </w:r>
        <w:r>
          <w:instrText xml:space="preserve"> PAGEREF _Toc30055 \h </w:instrText>
        </w:r>
        <w:r>
          <w:fldChar w:fldCharType="separate"/>
        </w:r>
        <w:r>
          <w:t>21</w:t>
        </w:r>
        <w:r>
          <w:fldChar w:fldCharType="end"/>
        </w:r>
      </w:hyperlink>
    </w:p>
    <w:p>
      <w:pPr>
        <w:pStyle w:val="TOC2"/>
        <w:tabs>
          <w:tab w:val="right" w:leader="dot" w:pos="8306"/>
        </w:tabs>
      </w:pPr>
      <w:hyperlink w:anchor="_Toc11954" w:history="1">
        <w:r>
          <w:rPr>
            <w:rFonts w:ascii="仿宋" w:eastAsia="仿宋" w:hAnsi="仿宋" w:cs="仿宋" w:hint="eastAsia"/>
            <w:lang w:eastAsia="zh-CN"/>
          </w:rPr>
          <w:t>(一)、建设周期</w:t>
        </w:r>
        <w:r>
          <w:tab/>
        </w:r>
        <w:r>
          <w:fldChar w:fldCharType="begin"/>
        </w:r>
        <w:r>
          <w:instrText xml:space="preserve"> PAGEREF _Toc11954 \h </w:instrText>
        </w:r>
        <w:r>
          <w:fldChar w:fldCharType="separate"/>
        </w:r>
        <w:r>
          <w:t>21</w:t>
        </w:r>
        <w:r>
          <w:fldChar w:fldCharType="end"/>
        </w:r>
      </w:hyperlink>
    </w:p>
    <w:p>
      <w:pPr>
        <w:pStyle w:val="TOC2"/>
        <w:tabs>
          <w:tab w:val="right" w:leader="dot" w:pos="8306"/>
        </w:tabs>
      </w:pPr>
      <w:hyperlink w:anchor="_Toc27590" w:history="1">
        <w:r>
          <w:rPr>
            <w:rFonts w:ascii="仿宋" w:eastAsia="仿宋" w:hAnsi="仿宋" w:cs="仿宋" w:hint="eastAsia"/>
            <w:lang w:eastAsia="zh-CN"/>
          </w:rPr>
          <w:t>(二)、建设进度</w:t>
        </w:r>
        <w:r>
          <w:tab/>
        </w:r>
        <w:r>
          <w:fldChar w:fldCharType="begin"/>
        </w:r>
        <w:r>
          <w:instrText xml:space="preserve"> PAGEREF _Toc27590 \h </w:instrText>
        </w:r>
        <w:r>
          <w:fldChar w:fldCharType="separate"/>
        </w:r>
        <w:r>
          <w:t>23</w:t>
        </w:r>
        <w:r>
          <w:fldChar w:fldCharType="end"/>
        </w:r>
      </w:hyperlink>
    </w:p>
    <w:p>
      <w:pPr>
        <w:pStyle w:val="TOC2"/>
        <w:tabs>
          <w:tab w:val="right" w:leader="dot" w:pos="8306"/>
        </w:tabs>
      </w:pPr>
      <w:hyperlink w:anchor="_Toc3486" w:history="1">
        <w:r>
          <w:rPr>
            <w:rFonts w:ascii="仿宋" w:eastAsia="仿宋" w:hAnsi="仿宋" w:cs="仿宋" w:hint="eastAsia"/>
            <w:lang w:eastAsia="zh-CN"/>
          </w:rPr>
          <w:t>(三)、进度安排注意事项</w:t>
        </w:r>
        <w:r>
          <w:tab/>
        </w:r>
        <w:r>
          <w:fldChar w:fldCharType="begin"/>
        </w:r>
        <w:r>
          <w:instrText xml:space="preserve"> PAGEREF _Toc3486 \h </w:instrText>
        </w:r>
        <w:r>
          <w:fldChar w:fldCharType="separate"/>
        </w:r>
        <w:r>
          <w:t>24</w:t>
        </w:r>
        <w:r>
          <w:fldChar w:fldCharType="end"/>
        </w:r>
      </w:hyperlink>
    </w:p>
    <w:p>
      <w:pPr>
        <w:pStyle w:val="TOC2"/>
        <w:tabs>
          <w:tab w:val="right" w:leader="dot" w:pos="8306"/>
        </w:tabs>
      </w:pPr>
      <w:hyperlink w:anchor="_Toc8460" w:history="1">
        <w:r>
          <w:rPr>
            <w:rFonts w:ascii="仿宋" w:eastAsia="仿宋" w:hAnsi="仿宋" w:cs="仿宋" w:hint="eastAsia"/>
            <w:lang w:eastAsia="zh-CN"/>
          </w:rPr>
          <w:t>(四)、人力资源配置</w:t>
        </w:r>
        <w:r>
          <w:tab/>
        </w:r>
        <w:r>
          <w:fldChar w:fldCharType="begin"/>
        </w:r>
        <w:r>
          <w:instrText xml:space="preserve"> PAGEREF _Toc8460 \h </w:instrText>
        </w:r>
        <w:r>
          <w:fldChar w:fldCharType="separate"/>
        </w:r>
        <w:r>
          <w:t>26</w:t>
        </w:r>
        <w:r>
          <w:fldChar w:fldCharType="end"/>
        </w:r>
      </w:hyperlink>
    </w:p>
    <w:p>
      <w:pPr>
        <w:pStyle w:val="TOC2"/>
        <w:tabs>
          <w:tab w:val="right" w:leader="dot" w:pos="8306"/>
        </w:tabs>
      </w:pPr>
      <w:hyperlink w:anchor="_Toc12113" w:history="1">
        <w:r>
          <w:rPr>
            <w:rFonts w:ascii="仿宋" w:eastAsia="仿宋" w:hAnsi="仿宋" w:cs="仿宋" w:hint="eastAsia"/>
            <w:lang w:eastAsia="zh-CN"/>
          </w:rPr>
          <w:t>(五)、员工培训</w:t>
        </w:r>
        <w:r>
          <w:tab/>
        </w:r>
        <w:r>
          <w:fldChar w:fldCharType="begin"/>
        </w:r>
        <w:r>
          <w:instrText xml:space="preserve"> PAGEREF _Toc12113 \h </w:instrText>
        </w:r>
        <w:r>
          <w:fldChar w:fldCharType="separate"/>
        </w:r>
        <w:r>
          <w:t>28</w:t>
        </w:r>
        <w:r>
          <w:fldChar w:fldCharType="end"/>
        </w:r>
      </w:hyperlink>
    </w:p>
    <w:p>
      <w:pPr>
        <w:pStyle w:val="TOC2"/>
        <w:tabs>
          <w:tab w:val="right" w:leader="dot" w:pos="8306"/>
        </w:tabs>
      </w:pPr>
      <w:hyperlink w:anchor="_Toc20617" w:history="1">
        <w:r>
          <w:rPr>
            <w:rFonts w:ascii="仿宋" w:eastAsia="仿宋" w:hAnsi="仿宋" w:cs="仿宋" w:hint="eastAsia"/>
            <w:lang w:eastAsia="zh-CN"/>
          </w:rPr>
          <w:t>(六)、水杨酸锌改性树脂(无碳复写纸显色剂)项目实施保障</w:t>
        </w:r>
        <w:r>
          <w:tab/>
        </w:r>
        <w:r>
          <w:fldChar w:fldCharType="begin"/>
        </w:r>
        <w:r>
          <w:instrText xml:space="preserve"> PAGEREF _Toc20617 \h </w:instrText>
        </w:r>
        <w:r>
          <w:fldChar w:fldCharType="separate"/>
        </w:r>
        <w:r>
          <w:t>29</w:t>
        </w:r>
        <w:r>
          <w:fldChar w:fldCharType="end"/>
        </w:r>
      </w:hyperlink>
    </w:p>
    <w:p>
      <w:pPr>
        <w:pStyle w:val="TOC1"/>
        <w:tabs>
          <w:tab w:val="right" w:leader="dot" w:pos="8306"/>
        </w:tabs>
      </w:pPr>
      <w:hyperlink w:anchor="_Toc22460" w:history="1">
        <w:r>
          <w:rPr>
            <w:rFonts w:ascii="仿宋" w:eastAsia="仿宋" w:hAnsi="仿宋" w:cs="仿宋" w:hint="eastAsia"/>
            <w:lang w:eastAsia="zh-CN"/>
          </w:rPr>
          <w:t>六、危机管理与应急预案</w:t>
        </w:r>
        <w:r>
          <w:tab/>
        </w:r>
        <w:r>
          <w:fldChar w:fldCharType="begin"/>
        </w:r>
        <w:r>
          <w:instrText xml:space="preserve"> PAGEREF _Toc22460 \h </w:instrText>
        </w:r>
        <w:r>
          <w:fldChar w:fldCharType="separate"/>
        </w:r>
        <w:r>
          <w:t>31</w:t>
        </w:r>
        <w:r>
          <w:fldChar w:fldCharType="end"/>
        </w:r>
      </w:hyperlink>
    </w:p>
    <w:p>
      <w:pPr>
        <w:pStyle w:val="TOC2"/>
        <w:tabs>
          <w:tab w:val="right" w:leader="dot" w:pos="8306"/>
        </w:tabs>
      </w:pPr>
      <w:hyperlink w:anchor="_Toc21698" w:history="1">
        <w:r>
          <w:rPr>
            <w:rFonts w:ascii="仿宋" w:eastAsia="仿宋" w:hAnsi="仿宋" w:cs="仿宋" w:hint="eastAsia"/>
            <w:lang w:eastAsia="zh-CN"/>
          </w:rPr>
          <w:t>(一)、危机预警与监测</w:t>
        </w:r>
        <w:r>
          <w:tab/>
        </w:r>
        <w:r>
          <w:fldChar w:fldCharType="begin"/>
        </w:r>
        <w:r>
          <w:instrText xml:space="preserve"> PAGEREF _Toc21698 \h </w:instrText>
        </w:r>
        <w:r>
          <w:fldChar w:fldCharType="separate"/>
        </w:r>
        <w:r>
          <w:t>31</w:t>
        </w:r>
        <w:r>
          <w:fldChar w:fldCharType="end"/>
        </w:r>
      </w:hyperlink>
    </w:p>
    <w:p>
      <w:pPr>
        <w:pStyle w:val="TOC2"/>
        <w:tabs>
          <w:tab w:val="right" w:leader="dot" w:pos="8306"/>
        </w:tabs>
      </w:pPr>
      <w:hyperlink w:anchor="_Toc27716" w:history="1">
        <w:r>
          <w:rPr>
            <w:rFonts w:ascii="仿宋" w:eastAsia="仿宋" w:hAnsi="仿宋" w:cs="仿宋" w:hint="eastAsia"/>
            <w:lang w:eastAsia="zh-CN"/>
          </w:rPr>
          <w:t>(二)、应急预案与危机响应</w:t>
        </w:r>
        <w:r>
          <w:tab/>
        </w:r>
        <w:r>
          <w:fldChar w:fldCharType="begin"/>
        </w:r>
        <w:r>
          <w:instrText xml:space="preserve"> PAGEREF _Toc27716 \h </w:instrText>
        </w:r>
        <w:r>
          <w:fldChar w:fldCharType="separate"/>
        </w:r>
        <w:r>
          <w:t>33</w:t>
        </w:r>
        <w:r>
          <w:fldChar w:fldCharType="end"/>
        </w:r>
      </w:hyperlink>
    </w:p>
    <w:p>
      <w:pPr>
        <w:pStyle w:val="TOC2"/>
        <w:tabs>
          <w:tab w:val="right" w:leader="dot" w:pos="8306"/>
        </w:tabs>
      </w:pPr>
      <w:hyperlink w:anchor="_Toc26292" w:history="1">
        <w:r>
          <w:rPr>
            <w:rFonts w:ascii="仿宋" w:eastAsia="仿宋" w:hAnsi="仿宋" w:cs="仿宋" w:hint="eastAsia"/>
            <w:lang w:eastAsia="zh-CN"/>
          </w:rPr>
          <w:t>(三)、危机沟通与舆情控制</w:t>
        </w:r>
        <w:r>
          <w:tab/>
        </w:r>
        <w:r>
          <w:fldChar w:fldCharType="begin"/>
        </w:r>
        <w:r>
          <w:instrText xml:space="preserve"> PAGEREF _Toc26292 \h </w:instrText>
        </w:r>
        <w:r>
          <w:fldChar w:fldCharType="separate"/>
        </w:r>
        <w:r>
          <w:t>35</w:t>
        </w:r>
        <w:r>
          <w:fldChar w:fldCharType="end"/>
        </w:r>
      </w:hyperlink>
    </w:p>
    <w:p>
      <w:pPr>
        <w:pStyle w:val="TOC2"/>
        <w:tabs>
          <w:tab w:val="right" w:leader="dot" w:pos="8306"/>
        </w:tabs>
      </w:pPr>
      <w:hyperlink w:anchor="_Toc11890" w:history="1">
        <w:r>
          <w:rPr>
            <w:rFonts w:ascii="仿宋" w:eastAsia="仿宋" w:hAnsi="仿宋" w:cs="仿宋" w:hint="eastAsia"/>
            <w:lang w:eastAsia="zh-CN"/>
          </w:rPr>
          <w:t>(四)、危机后教训与改进</w:t>
        </w:r>
        <w:r>
          <w:tab/>
        </w:r>
        <w:r>
          <w:fldChar w:fldCharType="begin"/>
        </w:r>
        <w:r>
          <w:instrText xml:space="preserve"> PAGEREF _Toc11890 \h </w:instrText>
        </w:r>
        <w:r>
          <w:fldChar w:fldCharType="separate"/>
        </w:r>
        <w:r>
          <w:t>37</w:t>
        </w:r>
        <w:r>
          <w:fldChar w:fldCharType="end"/>
        </w:r>
      </w:hyperlink>
    </w:p>
    <w:p>
      <w:pPr>
        <w:pStyle w:val="TOC1"/>
        <w:tabs>
          <w:tab w:val="right" w:leader="dot" w:pos="8306"/>
        </w:tabs>
      </w:pPr>
      <w:hyperlink w:anchor="_Toc1081" w:history="1">
        <w:r>
          <w:rPr>
            <w:rFonts w:ascii="仿宋" w:eastAsia="仿宋" w:hAnsi="仿宋" w:cs="仿宋" w:hint="eastAsia"/>
            <w:lang w:eastAsia="zh-CN"/>
          </w:rPr>
          <w:t>七、水杨酸锌改性树脂(无碳复写纸显色剂)项目投资可行性分析</w:t>
        </w:r>
        <w:r>
          <w:tab/>
        </w:r>
        <w:r>
          <w:fldChar w:fldCharType="begin"/>
        </w:r>
        <w:r>
          <w:instrText xml:space="preserve"> PAGEREF _Toc1081 \h </w:instrText>
        </w:r>
        <w:r>
          <w:fldChar w:fldCharType="separate"/>
        </w:r>
        <w:r>
          <w:t>38</w:t>
        </w:r>
        <w:r>
          <w:fldChar w:fldCharType="end"/>
        </w:r>
      </w:hyperlink>
    </w:p>
    <w:p>
      <w:pPr>
        <w:pStyle w:val="TOC2"/>
        <w:tabs>
          <w:tab w:val="right" w:leader="dot" w:pos="8306"/>
        </w:tabs>
      </w:pPr>
      <w:hyperlink w:anchor="_Toc17737" w:history="1">
        <w:r>
          <w:rPr>
            <w:rFonts w:ascii="仿宋" w:eastAsia="仿宋" w:hAnsi="仿宋" w:cs="仿宋" w:hint="eastAsia"/>
            <w:lang w:eastAsia="zh-CN"/>
          </w:rPr>
          <w:t>(一)、水杨酸锌改性树脂(无碳复写纸显色剂)项目估算说明</w:t>
        </w:r>
        <w:r>
          <w:tab/>
        </w:r>
        <w:r>
          <w:fldChar w:fldCharType="begin"/>
        </w:r>
        <w:r>
          <w:instrText xml:space="preserve"> PAGEREF _Toc17737 \h </w:instrText>
        </w:r>
        <w:r>
          <w:fldChar w:fldCharType="separate"/>
        </w:r>
        <w:r>
          <w:t>38</w:t>
        </w:r>
        <w:r>
          <w:fldChar w:fldCharType="end"/>
        </w:r>
      </w:hyperlink>
    </w:p>
    <w:p>
      <w:pPr>
        <w:pStyle w:val="TOC2"/>
        <w:tabs>
          <w:tab w:val="right" w:leader="dot" w:pos="8306"/>
        </w:tabs>
      </w:pPr>
      <w:hyperlink w:anchor="_Toc7834" w:history="1">
        <w:r>
          <w:rPr>
            <w:rFonts w:ascii="仿宋" w:eastAsia="仿宋" w:hAnsi="仿宋" w:cs="仿宋" w:hint="eastAsia"/>
            <w:lang w:eastAsia="zh-CN"/>
          </w:rPr>
          <w:t>(二)、水杨酸锌改性树脂(无碳复写纸显色剂)项目总投资估算</w:t>
        </w:r>
        <w:r>
          <w:tab/>
        </w:r>
        <w:r>
          <w:fldChar w:fldCharType="begin"/>
        </w:r>
        <w:r>
          <w:instrText xml:space="preserve"> PAGEREF _Toc7834 \h </w:instrText>
        </w:r>
        <w:r>
          <w:fldChar w:fldCharType="separate"/>
        </w:r>
        <w:r>
          <w:t>40</w:t>
        </w:r>
        <w:r>
          <w:fldChar w:fldCharType="end"/>
        </w:r>
      </w:hyperlink>
    </w:p>
    <w:p>
      <w:pPr>
        <w:pStyle w:val="TOC2"/>
        <w:tabs>
          <w:tab w:val="right" w:leader="dot" w:pos="8306"/>
        </w:tabs>
      </w:pPr>
      <w:hyperlink w:anchor="_Toc21014" w:history="1">
        <w:r>
          <w:rPr>
            <w:rFonts w:ascii="仿宋" w:eastAsia="仿宋" w:hAnsi="仿宋" w:cs="仿宋" w:hint="eastAsia"/>
            <w:lang w:eastAsia="zh-CN"/>
          </w:rPr>
          <w:t>(三)、资金筹措</w:t>
        </w:r>
        <w:r>
          <w:tab/>
        </w:r>
        <w:r>
          <w:fldChar w:fldCharType="begin"/>
        </w:r>
        <w:r>
          <w:instrText xml:space="preserve"> PAGEREF _Toc21014 \h </w:instrText>
        </w:r>
        <w:r>
          <w:fldChar w:fldCharType="separate"/>
        </w:r>
        <w:r>
          <w:t>41</w:t>
        </w:r>
        <w:r>
          <w:fldChar w:fldCharType="end"/>
        </w:r>
      </w:hyperlink>
    </w:p>
    <w:p>
      <w:pPr>
        <w:pStyle w:val="TOC1"/>
        <w:tabs>
          <w:tab w:val="right" w:leader="dot" w:pos="8306"/>
        </w:tabs>
      </w:pPr>
      <w:hyperlink w:anchor="_Toc31368" w:history="1">
        <w:r>
          <w:rPr>
            <w:rFonts w:ascii="仿宋" w:eastAsia="仿宋" w:hAnsi="仿宋" w:cs="仿宋" w:hint="eastAsia"/>
            <w:lang w:eastAsia="zh-CN"/>
          </w:rPr>
          <w:t>八、知识管理与技术创新</w:t>
        </w:r>
        <w:r>
          <w:tab/>
        </w:r>
        <w:r>
          <w:fldChar w:fldCharType="begin"/>
        </w:r>
        <w:r>
          <w:instrText xml:space="preserve"> PAGEREF _Toc31368 \h </w:instrText>
        </w:r>
        <w:r>
          <w:fldChar w:fldCharType="separate"/>
        </w:r>
        <w:r>
          <w:t>43</w:t>
        </w:r>
        <w:r>
          <w:fldChar w:fldCharType="end"/>
        </w:r>
      </w:hyperlink>
    </w:p>
    <w:p>
      <w:pPr>
        <w:pStyle w:val="TOC2"/>
        <w:tabs>
          <w:tab w:val="right" w:leader="dot" w:pos="8306"/>
        </w:tabs>
      </w:pPr>
      <w:hyperlink w:anchor="_Toc29940" w:history="1">
        <w:r>
          <w:rPr>
            <w:rFonts w:ascii="仿宋" w:eastAsia="仿宋" w:hAnsi="仿宋" w:cs="仿宋" w:hint="eastAsia"/>
            <w:lang w:eastAsia="zh-CN"/>
          </w:rPr>
          <w:t>(一)、知识管理体系建设</w:t>
        </w:r>
        <w:r>
          <w:tab/>
        </w:r>
        <w:r>
          <w:fldChar w:fldCharType="begin"/>
        </w:r>
        <w:r>
          <w:instrText xml:space="preserve"> PAGEREF _Toc29940 \h </w:instrText>
        </w:r>
        <w:r>
          <w:fldChar w:fldCharType="separate"/>
        </w:r>
        <w:r>
          <w:t>43</w:t>
        </w:r>
        <w:r>
          <w:fldChar w:fldCharType="end"/>
        </w:r>
      </w:hyperlink>
    </w:p>
    <w:p>
      <w:pPr>
        <w:pStyle w:val="TOC2"/>
        <w:tabs>
          <w:tab w:val="right" w:leader="dot" w:pos="8306"/>
        </w:tabs>
      </w:pPr>
      <w:hyperlink w:anchor="_Toc13592" w:history="1">
        <w:r>
          <w:rPr>
            <w:rFonts w:ascii="仿宋" w:eastAsia="仿宋" w:hAnsi="仿宋" w:cs="仿宋" w:hint="eastAsia"/>
            <w:lang w:eastAsia="zh-CN"/>
          </w:rPr>
          <w:t>(二)、技术创新与研发投入</w:t>
        </w:r>
        <w:r>
          <w:tab/>
        </w:r>
        <w:r>
          <w:fldChar w:fldCharType="begin"/>
        </w:r>
        <w:r>
          <w:instrText xml:space="preserve"> PAGEREF _Toc13592 \h </w:instrText>
        </w:r>
        <w:r>
          <w:fldChar w:fldCharType="separate"/>
        </w:r>
        <w:r>
          <w:t>45</w:t>
        </w:r>
        <w:r>
          <w:fldChar w:fldCharType="end"/>
        </w:r>
      </w:hyperlink>
    </w:p>
    <w:p>
      <w:pPr>
        <w:pStyle w:val="TOC2"/>
        <w:tabs>
          <w:tab w:val="right" w:leader="dot" w:pos="8306"/>
        </w:tabs>
      </w:pPr>
      <w:hyperlink w:anchor="_Toc1639" w:history="1">
        <w:r>
          <w:rPr>
            <w:rFonts w:ascii="仿宋" w:eastAsia="仿宋" w:hAnsi="仿宋" w:cs="仿宋" w:hint="eastAsia"/>
            <w:lang w:eastAsia="zh-CN"/>
          </w:rPr>
          <w:t>(三)、专利申请与技术保护</w:t>
        </w:r>
        <w:r>
          <w:tab/>
        </w:r>
        <w:r>
          <w:fldChar w:fldCharType="begin"/>
        </w:r>
        <w:r>
          <w:instrText xml:space="preserve"> PAGEREF _Toc1639 \h </w:instrText>
        </w:r>
        <w:r>
          <w:fldChar w:fldCharType="separate"/>
        </w:r>
        <w:r>
          <w:t>47</w:t>
        </w:r>
        <w:r>
          <w:fldChar w:fldCharType="end"/>
        </w:r>
      </w:hyperlink>
    </w:p>
    <w:p>
      <w:pPr>
        <w:pStyle w:val="TOC2"/>
        <w:tabs>
          <w:tab w:val="right" w:leader="dot" w:pos="8306"/>
        </w:tabs>
      </w:pPr>
      <w:hyperlink w:anchor="_Toc15738" w:history="1">
        <w:r>
          <w:rPr>
            <w:rFonts w:ascii="仿宋" w:eastAsia="仿宋" w:hAnsi="仿宋" w:cs="仿宋" w:hint="eastAsia"/>
            <w:lang w:eastAsia="zh-CN"/>
          </w:rPr>
          <w:t>(四)、人才培养与团队建设</w:t>
        </w:r>
        <w:r>
          <w:tab/>
        </w:r>
        <w:r>
          <w:fldChar w:fldCharType="begin"/>
        </w:r>
        <w:r>
          <w:instrText xml:space="preserve"> PAGEREF _Toc15738 \h </w:instrText>
        </w:r>
        <w:r>
          <w:fldChar w:fldCharType="separate"/>
        </w:r>
        <w:r>
          <w:t>49</w:t>
        </w:r>
        <w:r>
          <w:fldChar w:fldCharType="end"/>
        </w:r>
      </w:hyperlink>
    </w:p>
    <w:p>
      <w:pPr>
        <w:pStyle w:val="TOC1"/>
        <w:tabs>
          <w:tab w:val="right" w:leader="dot" w:pos="8306"/>
        </w:tabs>
      </w:pPr>
      <w:hyperlink w:anchor="_Toc13997" w:history="1">
        <w:r>
          <w:rPr>
            <w:rFonts w:ascii="仿宋" w:eastAsia="仿宋" w:hAnsi="仿宋" w:cs="仿宋" w:hint="eastAsia"/>
            <w:lang w:eastAsia="zh-CN"/>
          </w:rPr>
          <w:t>九、风险管理与应对策略</w:t>
        </w:r>
        <w:r>
          <w:tab/>
        </w:r>
        <w:r>
          <w:fldChar w:fldCharType="begin"/>
        </w:r>
        <w:r>
          <w:instrText xml:space="preserve"> PAGEREF _Toc13997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64" w:history="1">
        <w:r>
          <w:rPr>
            <w:rFonts w:ascii="仿宋" w:eastAsia="仿宋" w:hAnsi="仿宋" w:cs="仿宋" w:hint="eastAsia"/>
            <w:lang w:eastAsia="zh-CN"/>
          </w:rPr>
          <w:t>(一)、风险管理流程</w:t>
        </w:r>
        <w:r>
          <w:tab/>
        </w:r>
        <w:r>
          <w:fldChar w:fldCharType="begin"/>
        </w:r>
        <w:r>
          <w:instrText xml:space="preserve"> PAGEREF _Toc20864 \h </w:instrText>
        </w:r>
        <w:r>
          <w:fldChar w:fldCharType="separate"/>
        </w:r>
        <w:r>
          <w:t>51</w:t>
        </w:r>
        <w:r>
          <w:fldChar w:fldCharType="end"/>
        </w:r>
      </w:hyperlink>
    </w:p>
    <w:p>
      <w:pPr>
        <w:pStyle w:val="TOC2"/>
        <w:tabs>
          <w:tab w:val="right" w:leader="dot" w:pos="8306"/>
        </w:tabs>
      </w:pPr>
      <w:hyperlink w:anchor="_Toc2232" w:history="1">
        <w:r>
          <w:rPr>
            <w:rFonts w:ascii="仿宋" w:eastAsia="仿宋" w:hAnsi="仿宋" w:cs="仿宋" w:hint="eastAsia"/>
            <w:lang w:eastAsia="zh-CN"/>
          </w:rPr>
          <w:t>(二)、风险识别与评估</w:t>
        </w:r>
        <w:r>
          <w:tab/>
        </w:r>
        <w:r>
          <w:fldChar w:fldCharType="begin"/>
        </w:r>
        <w:r>
          <w:instrText xml:space="preserve"> PAGEREF _Toc2232 \h </w:instrText>
        </w:r>
        <w:r>
          <w:fldChar w:fldCharType="separate"/>
        </w:r>
        <w:r>
          <w:t>55</w:t>
        </w:r>
        <w:r>
          <w:fldChar w:fldCharType="end"/>
        </w:r>
      </w:hyperlink>
    </w:p>
    <w:p>
      <w:pPr>
        <w:pStyle w:val="TOC2"/>
        <w:tabs>
          <w:tab w:val="right" w:leader="dot" w:pos="8306"/>
        </w:tabs>
      </w:pPr>
      <w:hyperlink w:anchor="_Toc15145" w:history="1">
        <w:r>
          <w:rPr>
            <w:rFonts w:ascii="仿宋" w:eastAsia="仿宋" w:hAnsi="仿宋" w:cs="仿宋" w:hint="eastAsia"/>
            <w:lang w:eastAsia="zh-CN"/>
          </w:rPr>
          <w:t>(三)、风险控制与应对策略</w:t>
        </w:r>
        <w:r>
          <w:tab/>
        </w:r>
        <w:r>
          <w:fldChar w:fldCharType="begin"/>
        </w:r>
        <w:r>
          <w:instrText xml:space="preserve"> PAGEREF _Toc15145 \h </w:instrText>
        </w:r>
        <w:r>
          <w:fldChar w:fldCharType="separate"/>
        </w:r>
        <w:r>
          <w:t>56</w:t>
        </w:r>
        <w:r>
          <w:fldChar w:fldCharType="end"/>
        </w:r>
      </w:hyperlink>
    </w:p>
    <w:p>
      <w:pPr>
        <w:pStyle w:val="TOC2"/>
        <w:tabs>
          <w:tab w:val="right" w:leader="dot" w:pos="8306"/>
        </w:tabs>
      </w:pPr>
      <w:hyperlink w:anchor="_Toc3576" w:history="1">
        <w:r>
          <w:rPr>
            <w:rFonts w:ascii="仿宋" w:eastAsia="仿宋" w:hAnsi="仿宋" w:cs="仿宋" w:hint="eastAsia"/>
            <w:lang w:eastAsia="zh-CN"/>
          </w:rPr>
          <w:t>(四)、危机管理与应急预案</w:t>
        </w:r>
        <w:r>
          <w:tab/>
        </w:r>
        <w:r>
          <w:fldChar w:fldCharType="begin"/>
        </w:r>
        <w:r>
          <w:instrText xml:space="preserve"> PAGEREF _Toc3576 \h </w:instrText>
        </w:r>
        <w:r>
          <w:fldChar w:fldCharType="separate"/>
        </w:r>
        <w:r>
          <w:t>59</w:t>
        </w:r>
        <w:r>
          <w:fldChar w:fldCharType="end"/>
        </w:r>
      </w:hyperlink>
    </w:p>
    <w:p>
      <w:pPr>
        <w:pStyle w:val="TOC1"/>
        <w:tabs>
          <w:tab w:val="right" w:leader="dot" w:pos="8306"/>
        </w:tabs>
      </w:pPr>
      <w:hyperlink w:anchor="_Toc16342" w:history="1">
        <w:r>
          <w:rPr>
            <w:rFonts w:ascii="仿宋" w:eastAsia="仿宋" w:hAnsi="仿宋" w:cs="仿宋" w:hint="eastAsia"/>
            <w:lang w:eastAsia="zh-CN"/>
          </w:rPr>
          <w:t>十、供应链管理与物流优化</w:t>
        </w:r>
        <w:r>
          <w:tab/>
        </w:r>
        <w:r>
          <w:fldChar w:fldCharType="begin"/>
        </w:r>
        <w:r>
          <w:instrText xml:space="preserve"> PAGEREF _Toc16342 \h </w:instrText>
        </w:r>
        <w:r>
          <w:fldChar w:fldCharType="separate"/>
        </w:r>
        <w:r>
          <w:t>61</w:t>
        </w:r>
        <w:r>
          <w:fldChar w:fldCharType="end"/>
        </w:r>
      </w:hyperlink>
    </w:p>
    <w:p>
      <w:pPr>
        <w:pStyle w:val="TOC2"/>
        <w:tabs>
          <w:tab w:val="right" w:leader="dot" w:pos="8306"/>
        </w:tabs>
      </w:pPr>
      <w:hyperlink w:anchor="_Toc12625" w:history="1">
        <w:r>
          <w:rPr>
            <w:rFonts w:ascii="仿宋" w:eastAsia="仿宋" w:hAnsi="仿宋" w:cs="仿宋" w:hint="eastAsia"/>
            <w:lang w:eastAsia="zh-CN"/>
          </w:rPr>
          <w:t>(一)、供应链规划与优化</w:t>
        </w:r>
        <w:r>
          <w:tab/>
        </w:r>
        <w:r>
          <w:fldChar w:fldCharType="begin"/>
        </w:r>
        <w:r>
          <w:instrText xml:space="preserve"> PAGEREF _Toc12625 \h </w:instrText>
        </w:r>
        <w:r>
          <w:fldChar w:fldCharType="separate"/>
        </w:r>
        <w:r>
          <w:t>61</w:t>
        </w:r>
        <w:r>
          <w:fldChar w:fldCharType="end"/>
        </w:r>
      </w:hyperlink>
    </w:p>
    <w:p>
      <w:pPr>
        <w:pStyle w:val="TOC2"/>
        <w:tabs>
          <w:tab w:val="right" w:leader="dot" w:pos="8306"/>
        </w:tabs>
      </w:pPr>
      <w:hyperlink w:anchor="_Toc30159" w:history="1">
        <w:r>
          <w:rPr>
            <w:rFonts w:ascii="仿宋" w:eastAsia="仿宋" w:hAnsi="仿宋" w:cs="仿宋" w:hint="eastAsia"/>
            <w:lang w:eastAsia="zh-CN"/>
          </w:rPr>
          <w:t>(二)、供应商选择与评估</w:t>
        </w:r>
        <w:r>
          <w:tab/>
        </w:r>
        <w:r>
          <w:fldChar w:fldCharType="begin"/>
        </w:r>
        <w:r>
          <w:instrText xml:space="preserve"> PAGEREF _Toc30159 \h </w:instrText>
        </w:r>
        <w:r>
          <w:fldChar w:fldCharType="separate"/>
        </w:r>
        <w:r>
          <w:t>63</w:t>
        </w:r>
        <w:r>
          <w:fldChar w:fldCharType="end"/>
        </w:r>
      </w:hyperlink>
    </w:p>
    <w:p>
      <w:pPr>
        <w:pStyle w:val="TOC2"/>
        <w:tabs>
          <w:tab w:val="right" w:leader="dot" w:pos="8306"/>
        </w:tabs>
      </w:pPr>
      <w:hyperlink w:anchor="_Toc4857" w:history="1">
        <w:r>
          <w:rPr>
            <w:rFonts w:ascii="仿宋" w:eastAsia="仿宋" w:hAnsi="仿宋" w:cs="仿宋" w:hint="eastAsia"/>
            <w:lang w:eastAsia="zh-CN"/>
          </w:rPr>
          <w:t>(三)、物流网络设计与管理</w:t>
        </w:r>
        <w:r>
          <w:tab/>
        </w:r>
        <w:r>
          <w:fldChar w:fldCharType="begin"/>
        </w:r>
        <w:r>
          <w:instrText xml:space="preserve"> PAGEREF _Toc4857 \h </w:instrText>
        </w:r>
        <w:r>
          <w:fldChar w:fldCharType="separate"/>
        </w:r>
        <w:r>
          <w:t>65</w:t>
        </w:r>
        <w:r>
          <w:fldChar w:fldCharType="end"/>
        </w:r>
      </w:hyperlink>
    </w:p>
    <w:p>
      <w:pPr>
        <w:pStyle w:val="TOC2"/>
        <w:tabs>
          <w:tab w:val="right" w:leader="dot" w:pos="8306"/>
        </w:tabs>
      </w:pPr>
      <w:hyperlink w:anchor="_Toc6975" w:history="1">
        <w:r>
          <w:rPr>
            <w:rFonts w:ascii="仿宋" w:eastAsia="仿宋" w:hAnsi="仿宋" w:cs="仿宋" w:hint="eastAsia"/>
            <w:lang w:eastAsia="zh-CN"/>
          </w:rPr>
          <w:t>(四)、库存控制与仓储管理</w:t>
        </w:r>
        <w:r>
          <w:tab/>
        </w:r>
        <w:r>
          <w:fldChar w:fldCharType="begin"/>
        </w:r>
        <w:r>
          <w:instrText xml:space="preserve"> PAGEREF _Toc6975 \h </w:instrText>
        </w:r>
        <w:r>
          <w:fldChar w:fldCharType="separate"/>
        </w:r>
        <w:r>
          <w:t>68</w:t>
        </w:r>
        <w:r>
          <w:fldChar w:fldCharType="end"/>
        </w:r>
      </w:hyperlink>
    </w:p>
    <w:p>
      <w:pPr>
        <w:pStyle w:val="TOC1"/>
        <w:tabs>
          <w:tab w:val="right" w:leader="dot" w:pos="8306"/>
        </w:tabs>
      </w:pPr>
      <w:hyperlink w:anchor="_Toc17426" w:history="1">
        <w:r>
          <w:rPr>
            <w:rFonts w:ascii="仿宋" w:eastAsia="仿宋" w:hAnsi="仿宋" w:cs="仿宋" w:hint="eastAsia"/>
            <w:lang w:eastAsia="zh-CN"/>
          </w:rPr>
          <w:t>十一、未来发展战略</w:t>
        </w:r>
        <w:r>
          <w:tab/>
        </w:r>
        <w:r>
          <w:fldChar w:fldCharType="begin"/>
        </w:r>
        <w:r>
          <w:instrText xml:space="preserve"> PAGEREF _Toc17426 \h </w:instrText>
        </w:r>
        <w:r>
          <w:fldChar w:fldCharType="separate"/>
        </w:r>
        <w:r>
          <w:t>69</w:t>
        </w:r>
        <w:r>
          <w:fldChar w:fldCharType="end"/>
        </w:r>
      </w:hyperlink>
    </w:p>
    <w:p>
      <w:pPr>
        <w:pStyle w:val="TOC2"/>
        <w:tabs>
          <w:tab w:val="right" w:leader="dot" w:pos="8306"/>
        </w:tabs>
      </w:pPr>
      <w:hyperlink w:anchor="_Toc8664" w:history="1">
        <w:r>
          <w:rPr>
            <w:rFonts w:ascii="仿宋" w:eastAsia="仿宋" w:hAnsi="仿宋" w:cs="仿宋" w:hint="eastAsia"/>
            <w:lang w:eastAsia="zh-CN"/>
          </w:rPr>
          <w:t>(一)、未来市场定位与业务拓展</w:t>
        </w:r>
        <w:r>
          <w:tab/>
        </w:r>
        <w:r>
          <w:fldChar w:fldCharType="begin"/>
        </w:r>
        <w:r>
          <w:instrText xml:space="preserve"> PAGEREF _Toc8664 \h </w:instrText>
        </w:r>
        <w:r>
          <w:fldChar w:fldCharType="separate"/>
        </w:r>
        <w:r>
          <w:t>69</w:t>
        </w:r>
        <w:r>
          <w:fldChar w:fldCharType="end"/>
        </w:r>
      </w:hyperlink>
    </w:p>
    <w:p>
      <w:pPr>
        <w:pStyle w:val="TOC2"/>
        <w:tabs>
          <w:tab w:val="right" w:leader="dot" w:pos="8306"/>
        </w:tabs>
      </w:pPr>
      <w:hyperlink w:anchor="_Toc26679" w:history="1">
        <w:r>
          <w:rPr>
            <w:rFonts w:ascii="仿宋" w:eastAsia="仿宋" w:hAnsi="仿宋" w:cs="仿宋" w:hint="eastAsia"/>
            <w:lang w:eastAsia="zh-CN"/>
          </w:rPr>
          <w:t>(二)、技术创新与研发方向</w:t>
        </w:r>
        <w:r>
          <w:tab/>
        </w:r>
        <w:r>
          <w:fldChar w:fldCharType="begin"/>
        </w:r>
        <w:r>
          <w:instrText xml:space="preserve"> PAGEREF _Toc26679 \h </w:instrText>
        </w:r>
        <w:r>
          <w:fldChar w:fldCharType="separate"/>
        </w:r>
        <w:r>
          <w:t>71</w:t>
        </w:r>
        <w:r>
          <w:fldChar w:fldCharType="end"/>
        </w:r>
      </w:hyperlink>
    </w:p>
    <w:p>
      <w:pPr>
        <w:pStyle w:val="TOC2"/>
        <w:tabs>
          <w:tab w:val="right" w:leader="dot" w:pos="8306"/>
        </w:tabs>
      </w:pPr>
      <w:hyperlink w:anchor="_Toc31926" w:history="1">
        <w:r>
          <w:rPr>
            <w:rFonts w:ascii="仿宋" w:eastAsia="仿宋" w:hAnsi="仿宋" w:cs="仿宋" w:hint="eastAsia"/>
            <w:lang w:eastAsia="zh-CN"/>
          </w:rPr>
          <w:t>(三)、国际化战略与全球市场</w:t>
        </w:r>
        <w:r>
          <w:tab/>
        </w:r>
        <w:r>
          <w:fldChar w:fldCharType="begin"/>
        </w:r>
        <w:r>
          <w:instrText xml:space="preserve"> PAGEREF _Toc31926 \h </w:instrText>
        </w:r>
        <w:r>
          <w:fldChar w:fldCharType="separate"/>
        </w:r>
        <w:r>
          <w:t>73</w:t>
        </w:r>
        <w:r>
          <w:fldChar w:fldCharType="end"/>
        </w:r>
      </w:hyperlink>
    </w:p>
    <w:p>
      <w:pPr>
        <w:pStyle w:val="TOC2"/>
        <w:tabs>
          <w:tab w:val="right" w:leader="dot" w:pos="8306"/>
        </w:tabs>
      </w:pPr>
      <w:hyperlink w:anchor="_Toc13401" w:history="1">
        <w:r>
          <w:rPr>
            <w:rFonts w:ascii="仿宋" w:eastAsia="仿宋" w:hAnsi="仿宋" w:cs="仿宋" w:hint="eastAsia"/>
            <w:lang w:eastAsia="zh-CN"/>
          </w:rPr>
          <w:t>(四)、可持续发展战略</w:t>
        </w:r>
        <w:r>
          <w:tab/>
        </w:r>
        <w:r>
          <w:fldChar w:fldCharType="begin"/>
        </w:r>
        <w:r>
          <w:instrText xml:space="preserve"> PAGEREF _Toc13401 \h </w:instrText>
        </w:r>
        <w:r>
          <w:fldChar w:fldCharType="separate"/>
        </w:r>
        <w:r>
          <w:t>74</w:t>
        </w:r>
        <w:r>
          <w:fldChar w:fldCharType="end"/>
        </w:r>
      </w:hyperlink>
    </w:p>
    <w:p>
      <w:pPr>
        <w:pStyle w:val="TOC1"/>
        <w:tabs>
          <w:tab w:val="right" w:leader="dot" w:pos="8306"/>
        </w:tabs>
      </w:pPr>
      <w:hyperlink w:anchor="_Toc27196" w:history="1">
        <w:r>
          <w:rPr>
            <w:rFonts w:ascii="仿宋" w:eastAsia="仿宋" w:hAnsi="仿宋" w:cs="仿宋" w:hint="eastAsia"/>
            <w:lang w:eastAsia="zh-CN"/>
          </w:rPr>
          <w:t>十二、社会责任与可持续发展</w:t>
        </w:r>
        <w:r>
          <w:tab/>
        </w:r>
        <w:r>
          <w:fldChar w:fldCharType="begin"/>
        </w:r>
        <w:r>
          <w:instrText xml:space="preserve"> PAGEREF _Toc27196 \h </w:instrText>
        </w:r>
        <w:r>
          <w:fldChar w:fldCharType="separate"/>
        </w:r>
        <w:r>
          <w:t>77</w:t>
        </w:r>
        <w:r>
          <w:fldChar w:fldCharType="end"/>
        </w:r>
      </w:hyperlink>
    </w:p>
    <w:p>
      <w:pPr>
        <w:pStyle w:val="TOC2"/>
        <w:tabs>
          <w:tab w:val="right" w:leader="dot" w:pos="8306"/>
        </w:tabs>
      </w:pPr>
      <w:hyperlink w:anchor="_Toc15776" w:history="1">
        <w:r>
          <w:rPr>
            <w:rFonts w:ascii="仿宋" w:eastAsia="仿宋" w:hAnsi="仿宋" w:cs="仿宋" w:hint="eastAsia"/>
            <w:lang w:eastAsia="zh-CN"/>
          </w:rPr>
          <w:t>(一)、社会责任理念</w:t>
        </w:r>
        <w:r>
          <w:tab/>
        </w:r>
        <w:r>
          <w:fldChar w:fldCharType="begin"/>
        </w:r>
        <w:r>
          <w:instrText xml:space="preserve"> PAGEREF _Toc15776 \h </w:instrText>
        </w:r>
        <w:r>
          <w:fldChar w:fldCharType="separate"/>
        </w:r>
        <w:r>
          <w:t>77</w:t>
        </w:r>
        <w:r>
          <w:fldChar w:fldCharType="end"/>
        </w:r>
      </w:hyperlink>
    </w:p>
    <w:p>
      <w:pPr>
        <w:pStyle w:val="TOC2"/>
        <w:tabs>
          <w:tab w:val="right" w:leader="dot" w:pos="8306"/>
        </w:tabs>
      </w:pPr>
      <w:hyperlink w:anchor="_Toc513" w:history="1">
        <w:r>
          <w:rPr>
            <w:rFonts w:ascii="仿宋" w:eastAsia="仿宋" w:hAnsi="仿宋" w:cs="仿宋" w:hint="eastAsia"/>
            <w:lang w:eastAsia="zh-CN"/>
          </w:rPr>
          <w:t>(二)、公益活动与社区参与</w:t>
        </w:r>
        <w:r>
          <w:tab/>
        </w:r>
        <w:r>
          <w:fldChar w:fldCharType="begin"/>
        </w:r>
        <w:r>
          <w:instrText xml:space="preserve"> PAGEREF _Toc513 \h </w:instrText>
        </w:r>
        <w:r>
          <w:fldChar w:fldCharType="separate"/>
        </w:r>
        <w:r>
          <w:t>78</w:t>
        </w:r>
        <w:r>
          <w:fldChar w:fldCharType="end"/>
        </w:r>
      </w:hyperlink>
    </w:p>
    <w:p>
      <w:pPr>
        <w:pStyle w:val="TOC2"/>
        <w:tabs>
          <w:tab w:val="right" w:leader="dot" w:pos="8306"/>
        </w:tabs>
      </w:pPr>
      <w:hyperlink w:anchor="_Toc24614" w:history="1">
        <w:r>
          <w:rPr>
            <w:rFonts w:ascii="仿宋" w:eastAsia="仿宋" w:hAnsi="仿宋" w:cs="仿宋" w:hint="eastAsia"/>
            <w:lang w:eastAsia="zh-CN"/>
          </w:rPr>
          <w:t>(三)、可持续发展策略</w:t>
        </w:r>
        <w:r>
          <w:tab/>
        </w:r>
        <w:r>
          <w:fldChar w:fldCharType="begin"/>
        </w:r>
        <w:r>
          <w:instrText xml:space="preserve"> PAGEREF _Toc24614 \h </w:instrText>
        </w:r>
        <w:r>
          <w:fldChar w:fldCharType="separate"/>
        </w:r>
        <w:r>
          <w:t>80</w:t>
        </w:r>
        <w:r>
          <w:fldChar w:fldCharType="end"/>
        </w:r>
      </w:hyperlink>
    </w:p>
    <w:p>
      <w:pPr>
        <w:pStyle w:val="TOC2"/>
        <w:tabs>
          <w:tab w:val="right" w:leader="dot" w:pos="8306"/>
        </w:tabs>
      </w:pPr>
      <w:hyperlink w:anchor="_Toc20235" w:history="1">
        <w:r>
          <w:rPr>
            <w:rFonts w:ascii="仿宋" w:eastAsia="仿宋" w:hAnsi="仿宋" w:cs="仿宋" w:hint="eastAsia"/>
            <w:lang w:eastAsia="zh-CN"/>
          </w:rPr>
          <w:t>(四)、企业文化与价值观</w:t>
        </w:r>
        <w:r>
          <w:tab/>
        </w:r>
        <w:r>
          <w:fldChar w:fldCharType="begin"/>
        </w:r>
        <w:r>
          <w:instrText xml:space="preserve"> PAGEREF _Toc20235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水杨酸锌改性树脂(无碳复写纸显色剂)项目复杂性日益增加，全面而科学的水杨酸锌改性树脂(无碳复写纸显色剂)项目管理方法论对于确保水杨酸锌改性树脂(无碳复写纸显色剂)项目成功至关重要。本水杨酸锌改性树脂(无碳复写纸显色剂)项目报告系统阐述了水杨酸锌改性树脂(无碳复写纸显色剂)项目启动、规划、执行、监控与收尾的全过程，强调在动态环境中对策略的灵活调整与优化。报告旨在提供一套适应性强、实用性高的水杨酸锌改性树脂(无碳复写纸显色剂)项目管理框架，便于读者掌握和应用于实际工作中。在此，我们明确指出报告内容仅限于学习交流之目的，严禁用于任何商业用途，力求促进水杨酸锌改性树脂(无碳复写纸显色剂)项目管理知识的普及与提升。</w:t>
      </w:r>
    </w:p>
    <w:p>
      <w:pPr>
        <w:pStyle w:val="Heading1"/>
        <w:ind w:firstLine="560" w:firstLineChars="200"/>
        <w:rPr>
          <w:rFonts w:ascii="仿宋" w:eastAsia="仿宋" w:hAnsi="仿宋" w:cs="仿宋" w:hint="eastAsia"/>
          <w:sz w:val="28"/>
          <w:lang w:eastAsia="zh-CN"/>
        </w:rPr>
      </w:pPr>
      <w:bookmarkStart w:id="2" w:name="_Toc20655"/>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693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78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一级安全等级：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水杨酸锌改性树脂(无碳复写纸显色剂)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85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水杨酸锌改性树脂(无碳复写纸显色剂)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363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3494"/>
      <w:r>
        <w:rPr>
          <w:rFonts w:ascii="仿宋" w:eastAsia="仿宋" w:hAnsi="仿宋" w:cs="仿宋" w:hint="eastAsia"/>
          <w:sz w:val="28"/>
          <w:lang w:eastAsia="zh-CN"/>
        </w:rPr>
        <w:t>二、工艺分析</w:t>
      </w:r>
      <w:bookmarkEnd w:id="7"/>
    </w:p>
    <w:p>
      <w:pPr>
        <w:pStyle w:val="Heading2"/>
        <w:rPr>
          <w:rFonts w:ascii="仿宋" w:eastAsia="仿宋" w:hAnsi="仿宋" w:cs="仿宋" w:hint="eastAsia"/>
          <w:lang w:eastAsia="zh-CN"/>
        </w:rPr>
      </w:pPr>
      <w:bookmarkStart w:id="8" w:name="_Toc9723"/>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水杨酸锌改性树脂(无碳复写纸显色剂)项目中显现出多层面的复杂性和有机性。其系统性突显在对广泛技术领域的全面规划和整合，要求各技术要素相互协调，以确保水杨酸锌改性树脂(无碳复写纸显色剂)项目整体协同。这种系统性要求技术管理者在水杨酸锌改性树脂(无碳复写纸显色剂)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水杨酸锌改性树脂(无碳复写纸显色剂)项目进步的引擎。这种创新力使技术管理不仅仅是问题应对，更是水杨酸锌改性树脂(无碳复写纸显色剂)项目发展的推动力，促使团队在技术层面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水杨酸锌改性树脂(无碳复写纸显色剂)项目技术方案的综合有效性。</w:t>
      </w:r>
    </w:p>
    <w:p>
      <w:pPr>
        <w:pStyle w:val="Heading2"/>
        <w:ind w:firstLine="560" w:firstLineChars="200"/>
        <w:rPr>
          <w:rFonts w:ascii="仿宋" w:eastAsia="仿宋" w:hAnsi="仿宋" w:cs="仿宋" w:hint="eastAsia"/>
          <w:sz w:val="28"/>
          <w:lang w:eastAsia="zh-CN"/>
        </w:rPr>
      </w:pPr>
      <w:bookmarkStart w:id="9" w:name="_Toc24683"/>
      <w:r>
        <w:rPr>
          <w:rFonts w:ascii="仿宋" w:eastAsia="仿宋" w:hAnsi="仿宋" w:cs="仿宋" w:hint="eastAsia"/>
          <w:sz w:val="28"/>
          <w:lang w:eastAsia="zh-CN"/>
        </w:rPr>
        <w:t>(二)、水杨酸锌改性树脂(无碳复写纸显色剂)项目工艺技术设计方案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水杨酸锌改性树脂(无碳复写纸显色剂)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水杨酸锌改性树脂(无碳复写纸显色剂)项目的实际需求，并与整个生产流程协同工作，确保设备的使用不成为水杨酸锌改性树脂(无碳复写纸显色剂)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0" w:name="_Toc422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水杨酸锌改性树脂(无碳复写纸显色剂)项目投资风险，最大限度地减少总体水杨酸锌改性树脂(无碳复写纸显色剂)项目成本。在投资水杨酸锌改性树脂(无碳复写纸显色剂)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以“先进、高效、实用、节能、可靠”为准则，特别关注水杨酸锌改性树脂(无碳复写纸显色剂)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水杨酸锌改性树脂(无碳复写纸显色剂)项目的生产设备具备最佳性能和效益，以满足水杨酸锌改性树脂(无碳复写纸显色剂)项目长期的发展需求。</w:t>
      </w:r>
    </w:p>
    <w:p>
      <w:pPr>
        <w:pStyle w:val="Heading1"/>
        <w:ind w:firstLine="560" w:firstLineChars="200"/>
        <w:rPr>
          <w:rFonts w:ascii="仿宋" w:eastAsia="仿宋" w:hAnsi="仿宋" w:cs="仿宋" w:hint="eastAsia"/>
          <w:sz w:val="28"/>
          <w:lang w:eastAsia="zh-CN"/>
        </w:rPr>
      </w:pPr>
      <w:bookmarkStart w:id="11" w:name="_Toc25865"/>
      <w:r>
        <w:rPr>
          <w:rFonts w:ascii="仿宋" w:eastAsia="仿宋" w:hAnsi="仿宋" w:cs="仿宋" w:hint="eastAsia"/>
          <w:sz w:val="28"/>
          <w:lang w:eastAsia="zh-CN"/>
        </w:rPr>
        <w:t>三、建设单位基本信息</w:t>
      </w:r>
      <w:bookmarkEnd w:id="11"/>
    </w:p>
    <w:p>
      <w:pPr>
        <w:pStyle w:val="Heading2"/>
        <w:rPr>
          <w:rFonts w:ascii="仿宋" w:eastAsia="仿宋" w:hAnsi="仿宋" w:cs="仿宋" w:hint="eastAsia"/>
          <w:lang w:eastAsia="zh-CN"/>
        </w:rPr>
      </w:pPr>
      <w:bookmarkStart w:id="12" w:name="_Toc28751"/>
      <w:r>
        <w:rPr>
          <w:rFonts w:ascii="仿宋" w:eastAsia="仿宋" w:hAnsi="仿宋" w:cs="仿宋" w:hint="eastAsia"/>
          <w:lang w:eastAsia="zh-CN"/>
        </w:rPr>
        <w:t>(一)、水杨酸锌改性树脂(无碳复写纸显色剂)项目承办单位基本情况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一、水杨酸锌改性树脂(无碳复写纸显色剂)项目承办单位基本情况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3" w:name="_Toc2003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资产负债表：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公司的综合投资回报率为XX%，在水杨酸锌改性树脂(无碳复写纸显色剂)项目、市场推广和研发等方面的投资取得了良好的回报。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4" w:name="_Toc9679"/>
      <w:r>
        <w:rPr>
          <w:rFonts w:ascii="仿宋" w:eastAsia="仿宋" w:hAnsi="仿宋" w:cs="仿宋" w:hint="eastAsia"/>
          <w:sz w:val="28"/>
          <w:lang w:eastAsia="zh-CN"/>
        </w:rPr>
        <w:t>四、水杨酸锌改性树脂(无碳复写纸显色剂)项目选址说明</w:t>
      </w:r>
      <w:bookmarkEnd w:id="14"/>
    </w:p>
    <w:p>
      <w:pPr>
        <w:pStyle w:val="Heading2"/>
        <w:rPr>
          <w:rFonts w:ascii="仿宋" w:eastAsia="仿宋" w:hAnsi="仿宋" w:cs="仿宋" w:hint="eastAsia"/>
          <w:lang w:eastAsia="zh-CN"/>
        </w:rPr>
      </w:pPr>
      <w:bookmarkStart w:id="15" w:name="_Toc14569"/>
      <w:r>
        <w:rPr>
          <w:rFonts w:ascii="仿宋" w:eastAsia="仿宋" w:hAnsi="仿宋" w:cs="仿宋" w:hint="eastAsia"/>
          <w:lang w:eastAsia="zh-CN"/>
        </w:rPr>
        <w:t>(一)、水杨酸锌改性树脂(无碳复写纸显色剂)项目选址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选址位于XXXX市XXXX区XXXX街道XXXX路，地理位置优越，地势平坦，交通便利。附近有多条主要道路交汇，便于原材料的运输和成品的配送。地理位置的优越性将为水杨酸锌改性树脂(无碳复写纸显色剂)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水杨酸锌改性树脂(无碳复写纸显色剂)项目用地的合规性。经过详细的规划和评估，选址地区的用地性质、容积率、绿化率等指标将被科学确定，以满足水杨酸锌改性树脂(无碳复写纸显色剂)项目的发展需求并符合相关法规和环保要求。</w:t>
      </w:r>
    </w:p>
    <w:p>
      <w:pPr>
        <w:pStyle w:val="Heading2"/>
        <w:ind w:firstLine="560" w:firstLineChars="200"/>
        <w:rPr>
          <w:rFonts w:ascii="仿宋" w:eastAsia="仿宋" w:hAnsi="仿宋" w:cs="仿宋" w:hint="eastAsia"/>
          <w:sz w:val="28"/>
          <w:lang w:eastAsia="zh-CN"/>
        </w:rPr>
      </w:pPr>
      <w:bookmarkStart w:id="16" w:name="_Toc1035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选址地区的用地性质被确定为工业用地，以支持水杨酸锌改性树脂(无碳复写纸显色剂)项目的生产和运营。确保用地性质符合地方规划，并满足水杨酸锌改性树脂(无碳复写纸显色剂)项目的实际需求。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根据地区规划和建设标准，设定合理的容积率。容积率的设定要考虑水杨酸锌改性树脂(无碳复写纸显色剂)项目的建筑需求，确保建筑的布局紧凑，用地高效利用。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确保水杨酸锌改性树脂(无碳复写纸显色剂)项目选址地区的绿化率符合环保法规的要求。通过科学的绿化设计，提高绿化率，改善周边环境，为员工提供良好的工作生活环境。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7" w:name="_Toc1554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针对水杨酸锌改性树脂(无碳复写纸显色剂)项目的实际需求，考虑采用垂直建筑设计，提高建筑的层数，减小占地面积。这将有助于在有限的用地内实现更大的建筑容积。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8" w:name="_Toc3248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水杨酸锌改性树脂(无碳复写纸显色剂)项目的原材料运输和成品配送提供了便捷的通道。地理位置的优越性将成为总图布置方案的首要考虑因素，确保水杨酸锌改性树脂(无碳复写纸显色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水杨酸锌改性树脂(无碳复写纸显色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水杨酸锌改性树脂(无碳复写纸显色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水杨酸锌改性树脂(无碳复写纸显色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9" w:name="_Toc110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水杨酸锌改性树脂(无碳复写纸显色剂)项目的长期发展需求和可行性要求。</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水杨酸锌改性树脂(无碳复写纸显色剂)项目的成功实施提供战略优势。通过全面利用地理位置，确保水杨酸锌改性树脂(无碳复写纸显色剂)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水杨酸锌改性树脂(无碳复写纸显色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水杨酸锌改性树脂(无碳复写纸显色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水杨酸锌改性树脂(无碳复写纸显色剂)项目的空间布局合理有序。绿化空间、建筑布局、功能区域划分等因素将在总图布置中得到综合考虑，为水杨酸锌改性树脂(无碳复写纸显色剂)项目提供良好的空间环境。</w:t>
      </w:r>
    </w:p>
    <w:p>
      <w:pPr>
        <w:pStyle w:val="Heading1"/>
        <w:ind w:firstLine="560" w:firstLineChars="200"/>
        <w:rPr>
          <w:rFonts w:ascii="仿宋" w:eastAsia="仿宋" w:hAnsi="仿宋" w:cs="仿宋" w:hint="eastAsia"/>
          <w:sz w:val="28"/>
          <w:lang w:eastAsia="zh-CN"/>
        </w:rPr>
      </w:pPr>
      <w:bookmarkStart w:id="20" w:name="_Toc30055"/>
      <w:r>
        <w:rPr>
          <w:rFonts w:ascii="仿宋" w:eastAsia="仿宋" w:hAnsi="仿宋" w:cs="仿宋" w:hint="eastAsia"/>
          <w:sz w:val="28"/>
          <w:lang w:eastAsia="zh-CN"/>
        </w:rPr>
        <w:t>五、水杨酸锌改性树脂(无碳复写纸显色剂)项目实施进度计划</w:t>
      </w:r>
      <w:bookmarkEnd w:id="20"/>
    </w:p>
    <w:p>
      <w:pPr>
        <w:pStyle w:val="Heading2"/>
        <w:rPr>
          <w:rFonts w:ascii="仿宋" w:eastAsia="仿宋" w:hAnsi="仿宋" w:cs="仿宋" w:hint="eastAsia"/>
          <w:lang w:eastAsia="zh-CN"/>
        </w:rPr>
      </w:pPr>
      <w:bookmarkStart w:id="21" w:name="_Toc11954"/>
      <w:r>
        <w:rPr>
          <w:rFonts w:ascii="仿宋" w:eastAsia="仿宋" w:hAnsi="仿宋" w:cs="仿宋" w:hint="eastAsia"/>
          <w:lang w:eastAsia="zh-CN"/>
        </w:rPr>
        <w:t>(一)、建设周期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建设周期是水杨酸锌改性树脂(无碳复写纸显色剂)项目从规划到实际运作的全过程，分为多个关键阶段，每个阶段都有其独特的任务和挑战：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水杨酸锌改性树脂(无碳复写纸显色剂)项目前期准备阶段：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水杨酸锌改性树脂(无碳复写纸显色剂)项目团队进行水杨酸锌改性树脂(无碳复写纸显色剂)项目的可行性研究，明确水杨酸锌改性树脂(无碳复写纸显色剂)项目目标和规模，进行市场分析和资金计划。完成水杨酸锌改性树脂(无碳复写纸显色剂)项目的立项申请，确保水杨酸锌改性树脂(无碳复写纸显色剂)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进行水杨酸锌改性树脂(无碳复写纸显色剂)项目所在地的勘察工作，包括土地调查、地质勘探等，以获取对施工环境的全面了解。设计阶段涉及建筑设计、工艺设计、设备配置等，确保水杨酸锌改性树脂(无碳复写纸显色剂)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实施土建工程，包括地基处理、建筑施工、主体结构建设等。这是水杨酸锌改性树脂(无碳复写纸显色剂)项目实体建设的阶段，需要高效协调各项工程，确保施工质量和进度。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水杨酸锌改性树脂(无碳复写纸显色剂)项目所需设备的采购，包括设备的选择、供应商洽谈和合同签订。确保水杨酸锌改性树脂(无碳复写纸显色剂)项目所使用的设备符合质量标准，满足水杨酸锌改性树脂(无碳复写纸显色剂)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进行设备的安装和调试工作，确保设备能够正常运行。这个阶段是水杨酸锌改性树脂(无碳复写纸显色剂)项目顺利投产的关键，需要仔细调整设备，保证其稳定性和可靠性。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正式投入运营，进行实际生产和服务。在此阶段，水杨酸锌改性树脂(无碳复写纸显色剂)项目团队需要密切关注运营情况，及时处理可能出现的问题，确保水杨酸锌改性树脂(无碳复写纸显色剂)项目平稳运行。</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水杨酸锌改性树脂(无碳复写纸显色剂)项目管理，确保每个建设阶段都按时、按质完成，最终实现水杨酸锌改性树脂(无碳复写纸显色剂)项目的成功建设和投产使用。水杨酸锌改性树脂(无碳复写纸显色剂)项目建设周期的顺利进行对于水杨酸锌改性树脂(无碳复写纸显色剂)项目的整体成功至关重要。</w:t>
      </w:r>
    </w:p>
    <w:p>
      <w:pPr>
        <w:pStyle w:val="Heading2"/>
        <w:ind w:firstLine="560" w:firstLineChars="200"/>
        <w:rPr>
          <w:rFonts w:ascii="仿宋" w:eastAsia="仿宋" w:hAnsi="仿宋" w:cs="仿宋" w:hint="eastAsia"/>
          <w:sz w:val="28"/>
          <w:lang w:eastAsia="zh-CN"/>
        </w:rPr>
      </w:pPr>
      <w:bookmarkStart w:id="22" w:name="_Toc27590"/>
      <w:r>
        <w:rPr>
          <w:rFonts w:ascii="仿宋" w:eastAsia="仿宋" w:hAnsi="仿宋" w:cs="仿宋" w:hint="eastAsia"/>
          <w:sz w:val="28"/>
          <w:lang w:eastAsia="zh-CN"/>
        </w:rPr>
        <w:t>(二)、建设进度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水杨酸锌改性树脂(无碳复写纸显色剂)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水杨酸锌改性树脂(无碳复写纸显色剂)项目中的重要组成部分，包括土建工程、设备采购等。已经完成的XXXX万元投资表明在这方面水杨酸锌改性树脂(无碳复写纸显色剂)项目取得了良好的进展。这部分资金的使用应当符合水杨酸锌改性树脂(无碳复写纸显色剂)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水杨酸锌改性树脂(无碳复写纸显色剂)项目运营过程中的各项费用，如人员工资、原材料采购等。已经完成XXXX万元的流动资金投资表明水杨酸锌改性树脂(无碳复写纸显色剂)项目在运营准备方面也取得了一定的进展。这部分资金的使用需要合理规划，确保水杨酸锌改性树脂(无碳复写纸显色剂)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实际完成投资占计划投资的XX%，这反映了水杨酸锌改性树脂(无碳复写纸显色剂)项目在资金使用方面的较好掌控。投资完成比例的合理性直接关系到水杨酸锌改性树脂(无碳复写纸显色剂)项目后续的资金需求和进度计划。通过对比已完成和计划的投资比例，可以更准确地评估水杨酸锌改性树脂(无碳复写纸显色剂)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随着水杨酸锌改性树脂(无碳复写纸显色剂)项目不断推进，风险的变化也需要得到及时的识别和应对。定期对已完成投资的使用情况进行审查，及时发现潜在的财务风险，并制定相应的应对策略。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3" w:name="_Toc3486"/>
      <w:r>
        <w:rPr>
          <w:rFonts w:ascii="仿宋" w:eastAsia="仿宋" w:hAnsi="仿宋" w:cs="仿宋" w:hint="eastAsia"/>
          <w:sz w:val="28"/>
          <w:lang w:eastAsia="zh-CN"/>
        </w:rPr>
        <w:t>(三)、进度安排注意事项</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根据水杨酸锌改性树脂(无碳复写纸显色剂)项目的性质和规模，制定详细的水杨酸锌改性树脂(无碳复写纸显色剂)项目计划，包括各个阶段的任务和时间表。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确定水杨酸锌改性树脂(无碳复写纸显色剂)项目的主要目标和优先级，以便更好地分配资源和关注关键任务。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明确哪些任务对水杨酸锌改性树脂(无碳复写纸显色剂)项目成功至关重要，优先安排这些任务。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实时监控水杨酸锌改性树脂(无碳复写纸显色剂)项目进度，及时发现和解决可能的延误或问题。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定期更新水杨酸锌改性树脂(无碳复写纸显色剂)项目计划，确保计划与实际进展一致。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确保水杨酸锌改性树脂(无碳复写纸显色剂)项目所需的各种资源，包括人力、物力、财力等，得到合理分配和利用。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定期进行水杨酸锌改性树脂(无碳复写纸显色剂)项目进度的评估和审查，确保水杨酸锌改性树脂(无碳复写纸显色剂)项目仍然符合预期目标。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4" w:name="_Toc8460"/>
      <w:r>
        <w:rPr>
          <w:rFonts w:ascii="仿宋" w:eastAsia="仿宋" w:hAnsi="仿宋" w:cs="仿宋" w:hint="eastAsia"/>
          <w:sz w:val="28"/>
          <w:lang w:eastAsia="zh-CN"/>
        </w:rPr>
        <w:t>(四)、人力资源配置</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水杨酸锌改性树脂(无碳复写纸显色剂)项目的性质、规模和需求，以确保合理、高效地配置人力资源。水杨酸锌改性树脂(无碳复写纸显色剂)项目的成功与否很大程度上取决于人力的贡献和团队的协作。因此，科学合理的人力资源配置是水杨酸锌改性树脂(无碳复写纸显色剂)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杨酸锌改性树脂(无碳复写纸显色剂)项目启动阶段，需要进行全面的人力需求分析。这包括确定水杨酸锌改性树脂(无碳复写纸显色剂)项目的规模、工作内容、所需技能等方面的要求。通过对水杨酸锌改性树脂(无碳复写纸显色剂)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根据水杨酸锌改性树脂(无碳复写纸显色剂)项目的特点和需要，明确各个岗位的设置以及每个岗位的具体职责。这需要考虑到团队的协作关系，确保各个岗位之间的职责清晰划分，避免冲突和混淆。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水杨酸锌改性树脂(无碳复写纸显色剂)项目的需求，需要进行有效的人才招募和选拔。这包括发布招聘信息、面试候选人、评估其技能和适应能力等。确保招聘到的人才与水杨酸锌改性树脂(无碳复写纸显色剂)项目的要求相匹配，有利于水杨酸锌改性树脂(无碳复写纸显色剂)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一旦团队成员入职，需要提供必要的培训，以确保他们熟悉水杨酸锌改性树脂(无碳复写纸显色剂)项目的流程和工作要求。同时，还需要注重团队成员的技能提升，通过培训计划和学习机会，使团队保持竞争力。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建设一个协作高效的团队是水杨酸锌改性树脂(无碳复写纸显色剂)项目成功的基石。通过组织团队建设活动、搭建良好的沟通渠道、塑造积极向上的团队文化，可以提高团队的凝聚力和战斗力。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5" w:name="_Toc12113"/>
      <w:r>
        <w:rPr>
          <w:rFonts w:ascii="仿宋" w:eastAsia="仿宋" w:hAnsi="仿宋" w:cs="仿宋" w:hint="eastAsia"/>
          <w:sz w:val="28"/>
          <w:lang w:eastAsia="zh-CN"/>
        </w:rPr>
        <w:t>(五)、员工培训</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水杨酸锌改性树脂(无碳复写纸显色剂)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水杨酸锌改性树脂(无碳复写纸显色剂)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水杨酸锌改性树脂(无碳复写纸显色剂)项目的实际情况，以提高培训效果。</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水杨酸锌改性树脂(无碳复写纸显色剂)项目所需的技能和理念。同时，也可以考虑邀请水杨酸锌改性树脂(无碳复写纸显色剂)项目内部专家担任培训讲师，更符合水杨酸锌改性树脂(无碳复写纸显色剂)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6" w:name="_Toc20617"/>
      <w:r>
        <w:rPr>
          <w:rFonts w:ascii="仿宋" w:eastAsia="仿宋" w:hAnsi="仿宋" w:cs="仿宋" w:hint="eastAsia"/>
          <w:sz w:val="28"/>
          <w:lang w:eastAsia="zh-CN"/>
        </w:rPr>
        <w:t>(六)、水杨酸锌改性树脂(无碳复写纸显色剂)项目实施保障</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水杨酸锌改性树脂(无碳复写纸显色剂)项目团队是水杨酸锌改性树脂(无碳复写纸显色剂)项目实施保障的基础。通过定期的团队建设活动、培训和沟通机制的建立，确保团队成员之间的合作顺畅，共同追求水杨酸锌改性树脂(无碳复写纸显色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水杨酸锌改性树脂(无碳复写纸显色剂)项目计划与进度管理：</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水杨酸锌改性树脂(无碳复写纸显色剂)项目计划，明确水杨酸锌改性树脂(无碳复写纸显色剂)项目的工作分解结构、任务分配和时间节点。通过水杨酸锌改性树脂(无碳复写纸显色剂)项目管理工具对水杨酸锌改性树脂(无碳复写纸显色剂)项目进度进行全程跟踪和管理，及时发现问题并采取相应措施，确保水杨酸锌改性树脂(无碳复写纸显色剂)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水杨酸锌改性树脂(无碳复写纸显色剂)项目所需的资源，包括人力、物力、财力等。确保水杨酸锌改性树脂(无碳复写纸显色剂)项目中各项资源的充分利用，避免资源的浪费。通过合理的资源管理，提高水杨酸锌改性树脂(无碳复写纸显色剂)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水杨酸锌改性树脂(无碳复写纸显色剂)项目可能面临的风险进行全面评估，并制定相应的风险应对策略。定期进行风险评估和监控，确保水杨酸锌改性树脂(无碳复写纸显色剂)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实施中，技术支持是不可或缺的一环。确保水杨酸锌改性树脂(无碳复写纸显色剂)项目团队具备必要的技术能力，及时解决技术难题。同时，鼓励团队成员提出创新性的解决方案，推动水杨酸锌改性树脂(无碳复写纸显色剂)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水杨酸锌改性树脂(无碳复写纸显色剂)项目的每个阶段都能达到预定的质量标准。设立清晰的验收标准，对水杨酸锌改性树脂(无碳复写纸显色剂)项目成果进行全面的检查和评估。通过质量管理，保障水杨酸锌改性树脂(无碳复写纸显色剂)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水杨酸锌改性树脂(无碳复写纸显色剂)项目团队内外的信息传递及时准确。定期组织会议、报告水杨酸锌改性树脂(无碳复写纸显色剂)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7" w:name="_Toc22460"/>
      <w:r>
        <w:rPr>
          <w:rFonts w:ascii="仿宋" w:eastAsia="仿宋" w:hAnsi="仿宋" w:cs="仿宋" w:hint="eastAsia"/>
          <w:sz w:val="28"/>
          <w:lang w:eastAsia="zh-CN"/>
        </w:rPr>
        <w:t>六、危机管理与应急预案</w:t>
      </w:r>
      <w:bookmarkEnd w:id="27"/>
    </w:p>
    <w:p>
      <w:pPr>
        <w:pStyle w:val="Heading2"/>
        <w:rPr>
          <w:rFonts w:ascii="仿宋" w:eastAsia="仿宋" w:hAnsi="仿宋" w:cs="仿宋" w:hint="eastAsia"/>
          <w:lang w:eastAsia="zh-CN"/>
        </w:rPr>
      </w:pPr>
      <w:bookmarkStart w:id="28" w:name="_Toc21698"/>
      <w:r>
        <w:rPr>
          <w:rFonts w:ascii="仿宋" w:eastAsia="仿宋" w:hAnsi="仿宋" w:cs="仿宋" w:hint="eastAsia"/>
          <w:lang w:eastAsia="zh-CN"/>
        </w:rPr>
        <w:t>(一)、危机预警与监测</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9" w:name="_Toc27716"/>
      <w:r>
        <w:rPr>
          <w:rFonts w:ascii="仿宋" w:eastAsia="仿宋" w:hAnsi="仿宋" w:cs="仿宋" w:hint="eastAsia"/>
          <w:sz w:val="28"/>
          <w:lang w:eastAsia="zh-CN"/>
        </w:rPr>
        <w:t>(二)、应急预案与危机响应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0" w:name="_Toc26292"/>
      <w:r>
        <w:rPr>
          <w:rFonts w:ascii="仿宋" w:eastAsia="仿宋" w:hAnsi="仿宋" w:cs="仿宋" w:hint="eastAsia"/>
          <w:sz w:val="28"/>
          <w:lang w:eastAsia="zh-CN"/>
        </w:rPr>
        <w:t>(三)、危机沟通与舆情控制</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接受采访和回应：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https://d.book118.com/558052021026006044</w:t>
        </w:r>
      </w:hyperlink>
    </w:p>
    <w:p>
      <w:pPr>
        <w:ind w:firstLine="560" w:firstLineChars="200"/>
        <w:rPr>
          <w:rFonts w:ascii="仿宋" w:eastAsia="仿宋" w:hAnsi="仿宋" w:cs="仿宋" w:hint="eastAsia"/>
          <w:sz w:val="28"/>
        </w:rPr>
      </w:pPr>
    </w:p>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65E7B"/>
    <w:rsid w:val="0B465E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yperlink" Target="https://d.book118.com/558052021026006044" TargetMode="Externa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theme" Target="theme/theme1.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2024-01-20T08:08:00Z</dcterms:created>
  <dcterms:modified xsi:type="dcterms:W3CDTF">2024-01-20T08:09:01Z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11C39AAAD6864F14B7563E432E9E99FC_11</vt:lpwstr>
  </property>
  <property fmtid="{D5CDD505-2E9C-101B-9397-08002B2CF9AE}" pid="3" name="KSOProductBuildVer">
    <vt:lpwstr>2052-12.1.0.16120</vt:lpwstr>
  </property>
</Properties>
</file>