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53" w:line="334" w:lineRule="exac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12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6"/>
          <w:position w:val="12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2"/>
          <w:position w:val="12"/>
          <w:sz w:val="21"/>
          <w:szCs w:val="21"/>
        </w:rPr>
        <w:t>01.040.03</w:t>
      </w:r>
    </w:p>
    <w:p>
      <w:pPr>
        <w:spacing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CCS</w:t>
      </w:r>
      <w:r>
        <w:rPr>
          <w:rFonts w:ascii="Times New Roman" w:eastAsia="Times New Roman" w:hAnsi="Times New Roman" w:cs="Times New Roman"/>
          <w:spacing w:val="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4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00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52" w:line="187" w:lineRule="auto"/>
        <w:ind w:left="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36"/>
          <w:sz w:val="47"/>
          <w:szCs w:val="47"/>
        </w:rPr>
        <w:t>宁</w:t>
      </w:r>
      <w:r>
        <w:rPr>
          <w:rFonts w:ascii="SimHei" w:eastAsia="SimHei" w:hAnsi="SimHei" w:cs="SimHei"/>
          <w:spacing w:val="217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6"/>
          <w:sz w:val="47"/>
          <w:szCs w:val="47"/>
        </w:rPr>
        <w:t>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316" w:line="1308" w:lineRule="exact"/>
        <w:ind w:left="4443"/>
        <w:rPr>
          <w:rFonts w:ascii="Times New Roman" w:eastAsia="Times New Roman" w:hAnsi="Times New Roman" w:cs="Times New Roman"/>
          <w:sz w:val="110"/>
          <w:szCs w:val="110"/>
        </w:rPr>
      </w:pPr>
      <w:r>
        <w:rPr>
          <w:rFonts w:ascii="Times New Roman" w:eastAsia="Times New Roman" w:hAnsi="Times New Roman" w:cs="Times New Roman"/>
          <w:b/>
          <w:bCs/>
          <w:spacing w:val="-4"/>
          <w:position w:val="30"/>
          <w:sz w:val="110"/>
          <w:szCs w:val="110"/>
        </w:rPr>
        <w:t>DB64</w:t>
      </w:r>
    </w:p>
    <w:p>
      <w:pPr>
        <w:spacing w:line="187" w:lineRule="auto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35"/>
          <w:sz w:val="47"/>
          <w:szCs w:val="47"/>
        </w:rPr>
        <w:t>回</w:t>
      </w:r>
      <w:r>
        <w:rPr>
          <w:rFonts w:ascii="SimHei" w:eastAsia="SimHei" w:hAnsi="SimHei" w:cs="SimHei"/>
          <w:spacing w:val="226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47"/>
          <w:szCs w:val="47"/>
        </w:rPr>
        <w:t>族</w:t>
      </w:r>
      <w:r>
        <w:rPr>
          <w:rFonts w:ascii="SimHei" w:eastAsia="SimHei" w:hAnsi="SimHei" w:cs="SimHei"/>
          <w:spacing w:val="199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47"/>
          <w:szCs w:val="47"/>
        </w:rPr>
        <w:t>自</w:t>
      </w:r>
      <w:r>
        <w:rPr>
          <w:rFonts w:ascii="SimHei" w:eastAsia="SimHei" w:hAnsi="SimHei" w:cs="SimHei"/>
          <w:spacing w:val="23"/>
          <w:sz w:val="47"/>
          <w:szCs w:val="47"/>
        </w:rPr>
        <w:t xml:space="preserve">  </w:t>
      </w:r>
      <w:r>
        <w:rPr>
          <w:rFonts w:ascii="SimHei" w:eastAsia="SimHei" w:hAnsi="SimHei" w:cs="SimHei"/>
          <w:b/>
          <w:bCs/>
          <w:spacing w:val="-35"/>
          <w:sz w:val="47"/>
          <w:szCs w:val="47"/>
        </w:rPr>
        <w:t>治</w:t>
      </w:r>
      <w:r>
        <w:rPr>
          <w:rFonts w:ascii="SimHei" w:eastAsia="SimHei" w:hAnsi="SimHei" w:cs="SimHei"/>
          <w:spacing w:val="2"/>
          <w:sz w:val="47"/>
          <w:szCs w:val="47"/>
        </w:rPr>
        <w:t xml:space="preserve">  </w:t>
      </w:r>
      <w:r>
        <w:rPr>
          <w:rFonts w:ascii="SimHei" w:eastAsia="SimHei" w:hAnsi="SimHei" w:cs="SimHei"/>
          <w:b/>
          <w:bCs/>
          <w:spacing w:val="-35"/>
          <w:sz w:val="47"/>
          <w:szCs w:val="47"/>
        </w:rPr>
        <w:t>区</w:t>
      </w:r>
      <w:r>
        <w:rPr>
          <w:rFonts w:ascii="SimHei" w:eastAsia="SimHei" w:hAnsi="SimHei" w:cs="SimHei"/>
          <w:spacing w:val="232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47"/>
          <w:szCs w:val="47"/>
        </w:rPr>
        <w:t>地</w:t>
      </w:r>
      <w:r>
        <w:rPr>
          <w:rFonts w:ascii="SimHei" w:eastAsia="SimHei" w:hAnsi="SimHei" w:cs="SimHei"/>
          <w:spacing w:val="225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47"/>
          <w:szCs w:val="47"/>
        </w:rPr>
        <w:t>方</w:t>
      </w:r>
      <w:r>
        <w:rPr>
          <w:rFonts w:ascii="SimHei" w:eastAsia="SimHei" w:hAnsi="SimHei" w:cs="SimHei"/>
          <w:spacing w:val="223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47"/>
          <w:szCs w:val="47"/>
        </w:rPr>
        <w:t>标</w:t>
      </w:r>
      <w:r>
        <w:rPr>
          <w:rFonts w:ascii="SimHei" w:eastAsia="SimHei" w:hAnsi="SimHei" w:cs="SimHei"/>
          <w:spacing w:val="224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5"/>
          <w:sz w:val="47"/>
          <w:szCs w:val="47"/>
        </w:rPr>
        <w:t>准</w:t>
      </w:r>
    </w:p>
    <w:p>
      <w:pPr>
        <w:sectPr>
          <w:pgSz w:w="11910" w:h="16840"/>
          <w:pgMar w:top="435" w:right="840" w:bottom="0" w:left="1309" w:header="0" w:footer="0" w:gutter="0"/>
          <w:cols w:num="2" w:space="708" w:equalWidth="0">
            <w:col w:w="1727" w:space="100"/>
            <w:col w:w="7934" w:space="0"/>
          </w:cols>
        </w:sectPr>
      </w:pPr>
    </w:p>
    <w:p>
      <w:pPr>
        <w:spacing w:line="385" w:lineRule="auto"/>
        <w:rPr>
          <w:rFonts w:ascii="Arial"/>
          <w:sz w:val="21"/>
        </w:rPr>
      </w:pPr>
    </w:p>
    <w:p>
      <w:pPr>
        <w:spacing w:before="84" w:line="188" w:lineRule="auto"/>
        <w:ind w:right="370"/>
        <w:jc w:val="right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10"/>
          <w:sz w:val="29"/>
          <w:szCs w:val="29"/>
        </w:rPr>
        <w:t>DB</w:t>
      </w:r>
      <w:r>
        <w:rPr>
          <w:rFonts w:ascii="Times New Roman" w:eastAsia="Times New Roman" w:hAnsi="Times New Roman" w:cs="Times New Roman"/>
          <w:spacing w:val="1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sz w:val="29"/>
          <w:szCs w:val="29"/>
        </w:rPr>
        <w:t>64/T</w:t>
      </w:r>
      <w:r>
        <w:rPr>
          <w:rFonts w:ascii="Times New Roman" w:eastAsia="Times New Roman" w:hAnsi="Times New Roman" w:cs="Times New Roman"/>
          <w:spacing w:val="15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sz w:val="29"/>
          <w:szCs w:val="29"/>
        </w:rPr>
        <w:t>1773—2021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spacing w:line="20" w:lineRule="exact"/>
        <w:ind w:firstLine="60"/>
        <w:textAlignment w:val="center"/>
      </w:pPr>
      <w:r>
        <w:drawing>
          <wp:inline distT="0" distB="0" distL="0" distR="0">
            <wp:extent cx="6134077" cy="1272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4077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66" w:line="221" w:lineRule="auto"/>
        <w:ind w:left="2847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-4"/>
          <w:sz w:val="51"/>
          <w:szCs w:val="51"/>
        </w:rPr>
        <w:t>机关事务标准体系</w:t>
      </w:r>
    </w:p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10" w:h="16840"/>
          <w:pgMar w:top="435" w:right="840" w:bottom="0" w:left="1309" w:header="0" w:footer="0" w:gutter="0"/>
          <w:pgNumType w:start="2"/>
          <w:cols w:num="1" w:space="708" w:equalWidth="0">
            <w:col w:w="9761" w:space="0"/>
          </w:cols>
        </w:sectPr>
      </w:pPr>
    </w:p>
    <w:p/>
    <w:p/>
    <w:p/>
    <w:p/>
    <w:p/>
    <w:p/>
    <w:p/>
    <w:p/>
    <w:p/>
    <w:p/>
    <w:p/>
    <w:p/>
    <w:p>
      <w:pPr>
        <w:spacing w:line="15" w:lineRule="exact"/>
      </w:pPr>
    </w:p>
    <w:p>
      <w:pPr>
        <w:sectPr>
          <w:type w:val="nextPage"/>
          <w:pgSz w:w="11910" w:h="16840"/>
          <w:pgMar w:top="435" w:right="840" w:bottom="0" w:left="1309" w:header="0" w:footer="0" w:gutter="0"/>
          <w:pgNumType w:start="3"/>
          <w:cols w:num="1" w:space="708" w:equalWidth="0">
            <w:col w:w="9761" w:space="0"/>
          </w:cols>
          <w:titlePg w:val="0"/>
        </w:sectPr>
      </w:pPr>
    </w:p>
    <w:p>
      <w:pPr>
        <w:spacing w:before="78" w:line="187" w:lineRule="auto"/>
        <w:ind w:left="10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21"/>
          <w:sz w:val="29"/>
          <w:szCs w:val="29"/>
        </w:rPr>
        <w:t>2021-08-13发布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199" w:lineRule="auto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20"/>
          <w:sz w:val="29"/>
          <w:szCs w:val="29"/>
        </w:rPr>
        <w:t>2021-11-13实施</w:t>
      </w:r>
    </w:p>
    <w:p>
      <w:pPr>
        <w:sectPr>
          <w:type w:val="continuous"/>
          <w:pgSz w:w="11910" w:h="16840"/>
          <w:pgMar w:top="435" w:right="840" w:bottom="0" w:left="1309" w:header="0" w:footer="0" w:gutter="0"/>
          <w:pgNumType w:start="4"/>
          <w:cols w:num="2" w:space="708" w:equalWidth="0">
            <w:col w:w="7345" w:space="100"/>
            <w:col w:w="2316" w:space="0"/>
          </w:cols>
        </w:sectPr>
      </w:pPr>
    </w:p>
    <w:p>
      <w:pPr>
        <w:spacing w:before="70" w:line="20" w:lineRule="exact"/>
        <w:ind w:firstLine="100"/>
        <w:textAlignment w:val="center"/>
      </w:pPr>
      <w:r>
        <w:drawing>
          <wp:inline distT="0" distB="0" distL="0" distR="0">
            <wp:extent cx="6134075" cy="1272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34075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95" w:line="187" w:lineRule="auto"/>
        <w:ind w:left="221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14"/>
          <w:sz w:val="29"/>
          <w:szCs w:val="29"/>
        </w:rPr>
        <w:t>宁夏回族自治区市场监督管理厅</w:t>
      </w:r>
      <w:r>
        <w:rPr>
          <w:rFonts w:ascii="SimHei" w:eastAsia="SimHei" w:hAnsi="SimHei" w:cs="SimHei"/>
          <w:spacing w:val="38"/>
          <w:sz w:val="29"/>
          <w:szCs w:val="29"/>
        </w:rPr>
        <w:t xml:space="preserve">   </w:t>
      </w:r>
      <w:r>
        <w:rPr>
          <w:rFonts w:ascii="SimHei" w:eastAsia="SimHei" w:hAnsi="SimHei" w:cs="SimHei"/>
          <w:b/>
          <w:bCs/>
          <w:spacing w:val="-14"/>
          <w:sz w:val="29"/>
          <w:szCs w:val="29"/>
        </w:rPr>
        <w:t>发</w:t>
      </w:r>
      <w:r>
        <w:rPr>
          <w:rFonts w:ascii="SimHei" w:eastAsia="SimHei" w:hAnsi="SimHei" w:cs="SimHei"/>
          <w:spacing w:val="18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9"/>
          <w:szCs w:val="29"/>
        </w:rPr>
        <w:t>布</w:t>
      </w:r>
    </w:p>
    <w:p>
      <w:pPr>
        <w:sectPr>
          <w:type w:val="continuous"/>
          <w:pgSz w:w="11910" w:h="16840"/>
          <w:pgMar w:top="435" w:right="840" w:bottom="0" w:left="1309" w:header="0" w:footer="0" w:gutter="0"/>
          <w:pgNumType w:start="5"/>
          <w:cols w:num="1" w:space="708" w:equalWidth="0">
            <w:col w:w="9761" w:space="0"/>
          </w:cols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pgSz w:w="11910" w:h="16840"/>
          <w:pgMar w:top="0" w:right="0" w:bottom="0" w:left="0" w:header="0" w:footer="0" w:gutter="0"/>
          <w:pgNumType w:start="6"/>
          <w:cols w:space="708"/>
        </w:sect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58" w:line="198" w:lineRule="auto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4"/>
          <w:sz w:val="20"/>
          <w:szCs w:val="20"/>
        </w:rPr>
        <w:t>DB</w:t>
      </w:r>
      <w:r>
        <w:rPr>
          <w:rFonts w:ascii="Arial" w:eastAsia="Arial" w:hAnsi="Arial" w:cs="Arial"/>
          <w:spacing w:val="37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64/T</w:t>
      </w:r>
      <w:r>
        <w:rPr>
          <w:rFonts w:ascii="Arial" w:eastAsia="Arial" w:hAnsi="Arial" w:cs="Arial"/>
          <w:spacing w:val="3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1773—2021</w:t>
      </w:r>
    </w:p>
    <w:p>
      <w:pPr>
        <w:spacing w:before="294" w:line="222" w:lineRule="auto"/>
        <w:ind w:left="4209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spacing w:val="-7"/>
          <w:sz w:val="34"/>
          <w:szCs w:val="34"/>
        </w:rPr>
        <w:t>前</w:t>
      </w:r>
      <w:r>
        <w:rPr>
          <w:rFonts w:ascii="SimHei" w:eastAsia="SimHei" w:hAnsi="SimHei" w:cs="SimHei"/>
          <w:spacing w:val="41"/>
          <w:sz w:val="34"/>
          <w:szCs w:val="34"/>
        </w:rPr>
        <w:t xml:space="preserve">   </w:t>
      </w:r>
      <w:r>
        <w:rPr>
          <w:rFonts w:ascii="SimHei" w:eastAsia="SimHei" w:hAnsi="SimHei" w:cs="SimHei"/>
          <w:spacing w:val="-7"/>
          <w:sz w:val="34"/>
          <w:szCs w:val="34"/>
        </w:rPr>
        <w:t>言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65" w:line="271" w:lineRule="auto"/>
        <w:ind w:right="6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本文件按照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7"/>
          <w:sz w:val="20"/>
          <w:szCs w:val="20"/>
        </w:rPr>
        <w:t>/T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1.1-2020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《标准化工作导则第1</w:t>
      </w:r>
      <w:r>
        <w:rPr>
          <w:rFonts w:ascii="SimSun" w:eastAsia="SimSun" w:hAnsi="SimSun" w:cs="SimSun"/>
          <w:spacing w:val="6"/>
          <w:sz w:val="20"/>
          <w:szCs w:val="20"/>
        </w:rPr>
        <w:t>部分：标准化文件的结构和起草规则》的规定起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草。</w:t>
      </w:r>
    </w:p>
    <w:p>
      <w:pPr>
        <w:spacing w:before="41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请注意本文件的某些内容可能涉及专利。本文件的发布机构不承担识别</w:t>
      </w:r>
      <w:r>
        <w:rPr>
          <w:rFonts w:ascii="SimSun" w:eastAsia="SimSun" w:hAnsi="SimSun" w:cs="SimSun"/>
          <w:spacing w:val="7"/>
          <w:sz w:val="20"/>
          <w:szCs w:val="20"/>
        </w:rPr>
        <w:t>专利的责任。</w:t>
      </w:r>
    </w:p>
    <w:p>
      <w:pPr>
        <w:spacing w:before="102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本文件由宁夏回族自治区机关事务管理局提出、归口并实施。</w:t>
      </w:r>
    </w:p>
    <w:p>
      <w:pPr>
        <w:spacing w:before="62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本文件起草单位：宁夏回族自治区机关事务管理局、宁夏回族自治区标准化研究院。</w:t>
      </w:r>
    </w:p>
    <w:p>
      <w:pPr>
        <w:spacing w:before="62" w:line="262" w:lineRule="auto"/>
        <w:ind w:left="10" w:right="36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本文件主要起草人：潘明生、王永成、沈涛、范学锋、彭永华、梁建斌、刘继强、吴秉凯</w:t>
      </w:r>
      <w:r>
        <w:rPr>
          <w:rFonts w:ascii="SimSun" w:eastAsia="SimSun" w:hAnsi="SimSun" w:cs="SimSun"/>
          <w:sz w:val="20"/>
          <w:szCs w:val="20"/>
        </w:rPr>
        <w:t>、张惠军、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王润林、刘建军、郝志忠、戴世玉、马中华、岑国锋、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5"/>
          <w:sz w:val="20"/>
          <w:szCs w:val="20"/>
        </w:rPr>
        <w:t>高媛、文明峰、张军、沈红江、塔娜、路敏。</w:t>
      </w:r>
    </w:p>
    <w:p>
      <w:pPr>
        <w:sectPr>
          <w:headerReference w:type="default" r:id="rId8"/>
          <w:footerReference w:type="default" r:id="rId9"/>
          <w:pgSz w:w="11910" w:h="16840"/>
          <w:pgMar w:top="400" w:right="1203" w:bottom="1354" w:left="1410" w:header="0" w:footer="1176" w:gutter="0"/>
          <w:pgNumType w:start="7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10"/>
          <w:footerReference w:type="default" r:id="rId11"/>
          <w:pgSz w:w="11910" w:h="16840"/>
          <w:pgMar w:top="0" w:right="0" w:bottom="0" w:left="0" w:header="0" w:footer="0" w:gutter="0"/>
          <w:pgNumType w:start="8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55" w:line="198" w:lineRule="auto"/>
        <w:ind w:right="60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sz w:val="19"/>
          <w:szCs w:val="19"/>
        </w:rPr>
        <w:t>DB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 </w:t>
      </w:r>
      <w:r>
        <w:rPr>
          <w:rFonts w:ascii="Arial" w:eastAsia="Arial" w:hAnsi="Arial" w:cs="Arial"/>
          <w:spacing w:val="-3"/>
          <w:sz w:val="19"/>
          <w:szCs w:val="19"/>
        </w:rPr>
        <w:t>64/T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 </w:t>
      </w:r>
      <w:r>
        <w:rPr>
          <w:rFonts w:ascii="Arial" w:eastAsia="Arial" w:hAnsi="Arial" w:cs="Arial"/>
          <w:spacing w:val="-3"/>
          <w:sz w:val="19"/>
          <w:szCs w:val="19"/>
        </w:rPr>
        <w:t>1773—2021</w:t>
      </w:r>
    </w:p>
    <w:p>
      <w:pPr>
        <w:spacing w:before="227" w:line="221" w:lineRule="auto"/>
        <w:ind w:left="340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7"/>
          <w:sz w:val="32"/>
          <w:szCs w:val="32"/>
        </w:rPr>
        <w:t>机关事务标准体系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75" w:line="223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10"/>
          <w:sz w:val="23"/>
          <w:szCs w:val="23"/>
        </w:rPr>
        <w:t>1</w:t>
      </w:r>
      <w:r>
        <w:rPr>
          <w:rFonts w:ascii="SimHei" w:eastAsia="SimHei" w:hAnsi="SimHei" w:cs="SimHei"/>
          <w:spacing w:val="102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10"/>
          <w:sz w:val="23"/>
          <w:szCs w:val="23"/>
        </w:rPr>
        <w:t>范围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75" w:line="242" w:lineRule="auto"/>
        <w:ind w:right="55" w:firstLine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3"/>
          <w:sz w:val="23"/>
          <w:szCs w:val="23"/>
        </w:rPr>
        <w:t>本文件规定了宁夏机关事务标准体系的术语和定义、总体原则、标准体系结构、标准体系明细</w:t>
      </w:r>
      <w:r>
        <w:rPr>
          <w:rFonts w:ascii="SimSun" w:eastAsia="SimSun" w:hAnsi="SimSun" w:cs="SimSun"/>
          <w:spacing w:val="-24"/>
          <w:sz w:val="23"/>
          <w:szCs w:val="23"/>
        </w:rPr>
        <w:t>表等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内容。</w:t>
      </w:r>
    </w:p>
    <w:p>
      <w:pPr>
        <w:spacing w:before="45" w:line="219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0"/>
          <w:sz w:val="23"/>
          <w:szCs w:val="23"/>
        </w:rPr>
        <w:t>本文件适用于指导各级机关事务部门标准化工</w:t>
      </w:r>
      <w:r>
        <w:rPr>
          <w:rFonts w:ascii="SimSun" w:eastAsia="SimSun" w:hAnsi="SimSun" w:cs="SimSun"/>
          <w:spacing w:val="-21"/>
          <w:sz w:val="23"/>
          <w:szCs w:val="23"/>
        </w:rPr>
        <w:t>作的开展。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75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7"/>
          <w:sz w:val="23"/>
          <w:szCs w:val="23"/>
        </w:rPr>
        <w:t>2</w:t>
      </w:r>
      <w:r>
        <w:rPr>
          <w:rFonts w:ascii="SimHei" w:eastAsia="SimHei" w:hAnsi="SimHei" w:cs="SimHei"/>
          <w:spacing w:val="97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3"/>
          <w:szCs w:val="23"/>
        </w:rPr>
        <w:t>规范性引用文件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75" w:line="245" w:lineRule="auto"/>
        <w:ind w:firstLine="429"/>
        <w:jc w:val="both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6"/>
          <w:sz w:val="23"/>
          <w:szCs w:val="23"/>
        </w:rPr>
        <w:t>下列文件中的内容通过文中的规范性引用而构成本文</w:t>
      </w:r>
      <w:r>
        <w:rPr>
          <w:rFonts w:ascii="SimSun" w:eastAsia="SimSun" w:hAnsi="SimSun" w:cs="SimSun"/>
          <w:spacing w:val="-27"/>
          <w:sz w:val="23"/>
          <w:szCs w:val="23"/>
        </w:rPr>
        <w:t>件必不可少的条款。其中，注日期的引用文件，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8"/>
          <w:sz w:val="23"/>
          <w:szCs w:val="23"/>
        </w:rPr>
        <w:t>仅该日期对应的版本适用于本文件；不注日期的引用文件，其最新版本(包括所有的修改单)适用于本</w:t>
      </w:r>
      <w:r>
        <w:rPr>
          <w:rFonts w:ascii="SimSun" w:eastAsia="SimSun" w:hAnsi="SimSun" w:cs="SimSun"/>
          <w:spacing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0"/>
          <w:sz w:val="23"/>
          <w:szCs w:val="23"/>
        </w:rPr>
        <w:t>文件。</w:t>
      </w:r>
    </w:p>
    <w:p>
      <w:pPr>
        <w:spacing w:before="38" w:line="220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5"/>
          <w:sz w:val="23"/>
          <w:szCs w:val="23"/>
        </w:rPr>
        <w:t>GB/T</w:t>
      </w:r>
      <w:r>
        <w:rPr>
          <w:rFonts w:ascii="SimSun" w:eastAsia="SimSun" w:hAnsi="SimSun" w:cs="SimSun"/>
          <w:spacing w:val="2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13016-2018</w:t>
      </w:r>
      <w:r>
        <w:rPr>
          <w:rFonts w:ascii="SimSun" w:eastAsia="SimSun" w:hAnsi="SimSun" w:cs="SimSun"/>
          <w:spacing w:val="-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标准体系构建原则和要求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75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4"/>
          <w:sz w:val="23"/>
          <w:szCs w:val="23"/>
        </w:rPr>
        <w:t>3</w:t>
      </w:r>
      <w:r>
        <w:rPr>
          <w:rFonts w:ascii="SimHei" w:eastAsia="SimHei" w:hAnsi="SimHei" w:cs="SimHei"/>
          <w:spacing w:val="99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3"/>
          <w:szCs w:val="23"/>
        </w:rPr>
        <w:t>术语和定义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75" w:line="219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8"/>
          <w:sz w:val="23"/>
          <w:szCs w:val="23"/>
        </w:rPr>
        <w:t>GB/T</w:t>
      </w:r>
      <w:r>
        <w:rPr>
          <w:rFonts w:ascii="SimSun" w:eastAsia="SimSun" w:hAnsi="SimSun" w:cs="SimSun"/>
          <w:spacing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8"/>
          <w:sz w:val="23"/>
          <w:szCs w:val="23"/>
        </w:rPr>
        <w:t>13016界定的术语和定义适用于本文件。</w:t>
      </w:r>
    </w:p>
    <w:p>
      <w:pPr>
        <w:spacing w:before="235" w:line="184" w:lineRule="auto"/>
        <w:ind w:left="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6"/>
          <w:sz w:val="23"/>
          <w:szCs w:val="23"/>
        </w:rPr>
        <w:t>3.1</w:t>
      </w:r>
    </w:p>
    <w:p>
      <w:pPr>
        <w:spacing w:before="196" w:line="215" w:lineRule="auto"/>
        <w:ind w:left="43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16"/>
          <w:sz w:val="23"/>
          <w:szCs w:val="23"/>
        </w:rPr>
        <w:t>标准体系</w:t>
      </w:r>
      <w:r>
        <w:rPr>
          <w:rFonts w:ascii="SimSun" w:eastAsia="SimSun" w:hAnsi="SimSun" w:cs="SimSun"/>
          <w:spacing w:val="103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6"/>
          <w:sz w:val="23"/>
          <w:szCs w:val="23"/>
        </w:rPr>
        <w:t>standard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spacing w:val="-16"/>
          <w:sz w:val="23"/>
          <w:szCs w:val="23"/>
        </w:rPr>
        <w:t>system</w:t>
      </w:r>
    </w:p>
    <w:p>
      <w:pPr>
        <w:spacing w:before="50" w:line="307" w:lineRule="exact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0"/>
          <w:position w:val="5"/>
          <w:sz w:val="23"/>
          <w:szCs w:val="23"/>
        </w:rPr>
        <w:t>一定范围的标准按其内在联系形成的科学的有机整体。</w:t>
      </w:r>
    </w:p>
    <w:p>
      <w:pPr>
        <w:spacing w:before="1" w:line="216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2"/>
          <w:sz w:val="23"/>
          <w:szCs w:val="23"/>
        </w:rPr>
        <w:t>[来源：</w:t>
      </w:r>
      <w:r>
        <w:rPr>
          <w:rFonts w:ascii="SimSun" w:eastAsia="SimSun" w:hAnsi="SimSun" w:cs="SimSun"/>
          <w:spacing w:val="-4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sz w:val="23"/>
          <w:szCs w:val="23"/>
        </w:rPr>
        <w:t>GB/T</w:t>
      </w:r>
      <w:r>
        <w:rPr>
          <w:rFonts w:ascii="SimSun" w:eastAsia="SimSun" w:hAnsi="SimSun" w:cs="SimSun"/>
          <w:spacing w:val="2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sz w:val="23"/>
          <w:szCs w:val="23"/>
        </w:rPr>
        <w:t>13016-2018,2.4]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75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4</w:t>
      </w:r>
      <w:r>
        <w:rPr>
          <w:rFonts w:ascii="SimHei" w:eastAsia="SimHei" w:hAnsi="SimHei" w:cs="SimHei"/>
          <w:spacing w:val="95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总体原则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76" w:line="222" w:lineRule="auto"/>
        <w:ind w:left="3"/>
        <w:outlineLvl w:val="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4.1</w:t>
      </w:r>
      <w:r>
        <w:rPr>
          <w:rFonts w:ascii="SimHei" w:eastAsia="SimHei" w:hAnsi="SimHei" w:cs="SimHei"/>
          <w:spacing w:val="77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合法性原则</w:t>
      </w:r>
    </w:p>
    <w:p>
      <w:pPr>
        <w:spacing w:before="198" w:line="219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1"/>
          <w:sz w:val="23"/>
          <w:szCs w:val="23"/>
        </w:rPr>
        <w:t>遵守现行相关法律法规、政策规定。</w:t>
      </w:r>
    </w:p>
    <w:p>
      <w:pPr>
        <w:spacing w:before="193" w:line="222" w:lineRule="auto"/>
        <w:ind w:left="3"/>
        <w:outlineLvl w:val="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4.2</w:t>
      </w:r>
      <w:r>
        <w:rPr>
          <w:rFonts w:ascii="SimHei" w:eastAsia="SimHei" w:hAnsi="SimHei" w:cs="SimHei"/>
          <w:spacing w:val="75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可操作性原则</w:t>
      </w:r>
    </w:p>
    <w:p>
      <w:pPr>
        <w:spacing w:before="178" w:line="219" w:lineRule="auto"/>
        <w:ind w:left="429"/>
        <w:rPr>
          <w:rFonts w:ascii="SimSun" w:eastAsia="SimSun" w:hAnsi="SimSun" w:cs="SimSun"/>
          <w:sz w:val="23"/>
          <w:szCs w:val="23"/>
        </w:rPr>
        <w:sectPr>
          <w:headerReference w:type="default" r:id="rId12"/>
          <w:footerReference w:type="default" r:id="rId13"/>
          <w:pgSz w:w="11910" w:h="16840"/>
          <w:pgMar w:top="400" w:right="1114" w:bottom="1278" w:left="1410" w:header="0" w:footer="1139" w:gutter="0"/>
          <w:pgNumType w:start="9"/>
          <w:cols w:space="708"/>
        </w:sectPr>
      </w:pPr>
      <w:r>
        <w:rPr>
          <w:rFonts w:ascii="SimSun" w:eastAsia="SimSun" w:hAnsi="SimSun" w:cs="SimSun"/>
          <w:spacing w:val="-21"/>
          <w:sz w:val="23"/>
          <w:szCs w:val="23"/>
        </w:rPr>
        <w:t>以提高实用性和满意度为主要目标，以需求和问</w:t>
      </w:r>
      <w:r>
        <w:rPr>
          <w:rFonts w:ascii="SimSun" w:eastAsia="SimSun" w:hAnsi="SimSun" w:cs="SimSun"/>
          <w:spacing w:val="-22"/>
          <w:sz w:val="23"/>
          <w:szCs w:val="23"/>
        </w:rPr>
        <w:t>题为导向，立足提升保障管理质效。</w:t>
      </w:r>
    </w:p>
    <w:p>
      <w:pPr>
        <w:spacing w:before="212" w:line="222" w:lineRule="auto"/>
        <w:ind w:left="3"/>
        <w:outlineLvl w:val="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4"/>
          <w:sz w:val="23"/>
          <w:szCs w:val="23"/>
        </w:rPr>
        <w:t>4.3</w:t>
      </w:r>
      <w:r>
        <w:rPr>
          <w:rFonts w:ascii="SimHei" w:eastAsia="SimHei" w:hAnsi="SimHei" w:cs="SimHei"/>
          <w:spacing w:val="97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3"/>
          <w:szCs w:val="23"/>
        </w:rPr>
        <w:t>先进性原则</w:t>
      </w:r>
    </w:p>
    <w:p>
      <w:pPr>
        <w:spacing w:before="167" w:line="246" w:lineRule="auto"/>
        <w:ind w:right="57" w:firstLine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3"/>
          <w:sz w:val="23"/>
          <w:szCs w:val="23"/>
        </w:rPr>
        <w:t>运用系统理论和方法，综合考虑和系统分析经费、资产、服务等要素，以系统整体效益最佳</w:t>
      </w:r>
      <w:r>
        <w:rPr>
          <w:rFonts w:ascii="SimSun" w:eastAsia="SimSun" w:hAnsi="SimSun" w:cs="SimSun"/>
          <w:spacing w:val="-24"/>
          <w:sz w:val="23"/>
          <w:szCs w:val="23"/>
        </w:rPr>
        <w:t>为目标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8"/>
          <w:sz w:val="23"/>
          <w:szCs w:val="23"/>
        </w:rPr>
        <w:t>寻求最佳方案。</w:t>
      </w:r>
    </w:p>
    <w:p>
      <w:pPr>
        <w:spacing w:before="194" w:line="222" w:lineRule="auto"/>
        <w:ind w:left="3"/>
        <w:outlineLvl w:val="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4.4</w:t>
      </w:r>
      <w:r>
        <w:rPr>
          <w:rFonts w:ascii="SimHei" w:eastAsia="SimHei" w:hAnsi="SimHei" w:cs="SimHei"/>
          <w:spacing w:val="77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3"/>
          <w:szCs w:val="23"/>
        </w:rPr>
        <w:t>协调性原则</w:t>
      </w:r>
    </w:p>
    <w:p>
      <w:pPr>
        <w:spacing w:before="166" w:line="246" w:lineRule="auto"/>
        <w:ind w:right="57" w:firstLine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3"/>
          <w:sz w:val="23"/>
          <w:szCs w:val="23"/>
        </w:rPr>
        <w:t>综合协调对象、要素、指标之间的相互关系，合理调整机关事务工作对象及要素的相关内容</w:t>
      </w:r>
      <w:r>
        <w:rPr>
          <w:rFonts w:ascii="SimSun" w:eastAsia="SimSun" w:hAnsi="SimSun" w:cs="SimSun"/>
          <w:spacing w:val="-24"/>
          <w:sz w:val="23"/>
          <w:szCs w:val="23"/>
        </w:rPr>
        <w:t>和指标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0"/>
          <w:sz w:val="23"/>
          <w:szCs w:val="23"/>
        </w:rPr>
        <w:t>参数，确保机关事务标准体系内部之间协调统一。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75" w:line="224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5"/>
          <w:sz w:val="23"/>
          <w:szCs w:val="23"/>
        </w:rPr>
        <w:t>5</w:t>
      </w:r>
      <w:r>
        <w:rPr>
          <w:rFonts w:ascii="SimHei" w:eastAsia="SimHei" w:hAnsi="SimHei" w:cs="SimHei"/>
          <w:spacing w:val="11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23"/>
          <w:szCs w:val="23"/>
        </w:rPr>
        <w:t>标准体系结构</w:t>
      </w:r>
    </w:p>
    <w:p>
      <w:pPr>
        <w:sectPr>
          <w:headerReference w:type="default" r:id="rId14"/>
          <w:footerReference w:type="default" r:id="rId15"/>
          <w:type w:val="nextPage"/>
          <w:pgSz w:w="11910" w:h="16840"/>
          <w:pgMar w:top="400" w:right="1114" w:bottom="1278" w:left="1410" w:header="0" w:footer="1139" w:gutter="0"/>
          <w:pgNumType w:start="10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64" w:line="188" w:lineRule="auto"/>
        <w:ind w:left="4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2"/>
          <w:szCs w:val="22"/>
        </w:rPr>
        <w:t>DB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2"/>
          <w:szCs w:val="22"/>
        </w:rPr>
        <w:t>64/T</w:t>
      </w:r>
      <w:r>
        <w:rPr>
          <w:rFonts w:ascii="Times New Roman" w:eastAsia="Times New Roman" w:hAnsi="Times New Roman" w:cs="Times New Roman"/>
          <w:spacing w:val="1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2"/>
          <w:szCs w:val="22"/>
        </w:rPr>
        <w:t>1773—2021</w:t>
      </w:r>
    </w:p>
    <w:p>
      <w:pPr>
        <w:spacing w:before="181" w:line="222" w:lineRule="auto"/>
        <w:ind w:left="4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5.1</w:t>
      </w:r>
      <w:r>
        <w:rPr>
          <w:rFonts w:ascii="SimHei" w:eastAsia="SimHei" w:hAnsi="SimHei" w:cs="SimHei"/>
          <w:spacing w:val="7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标准体系结构框架图</w:t>
      </w:r>
    </w:p>
    <w:p>
      <w:pPr>
        <w:spacing w:before="197" w:line="248" w:lineRule="auto"/>
        <w:ind w:left="40" w:right="12" w:firstLine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机关事务标准体系结构框架图见图1。机关事务管理标准体系包括通用基础、</w:t>
      </w:r>
      <w:r>
        <w:rPr>
          <w:rFonts w:ascii="SimSun" w:eastAsia="SimSun" w:hAnsi="SimSun" w:cs="SimSun"/>
          <w:spacing w:val="-9"/>
          <w:sz w:val="22"/>
          <w:szCs w:val="22"/>
        </w:rPr>
        <w:t>服务保障、服务管理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与提供三个子体系。标准体系相关法律、法规及规章见附录A。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9020" w:lineRule="exact"/>
        <w:textAlignment w:val="center"/>
      </w:pPr>
      <w:r>
        <w:pict>
          <v:group id="_x0000_i1025" style="width:473.5pt;height:451.05pt;mso-position-horizontal-relative:char;mso-position-vertical-relative:line" coordorigin="0,0" coordsize="9470,902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470;height:9020;position:absolute" filled="f" stroked="f">
              <v:imagedata r:id="rId1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639;height:7915;left:518;position:absolute;top:566" filled="f" stroked="f">
              <o:lock v:ext="edit" aspectratio="f"/>
              <v:textbox inset="0,0,0,0">
                <w:txbxContent>
                  <w:p>
                    <w:pPr>
                      <w:spacing w:before="19" w:line="229" w:lineRule="auto"/>
                      <w:ind w:left="381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position w:val="1"/>
                        <w:sz w:val="18"/>
                        <w:szCs w:val="18"/>
                      </w:rPr>
                      <w:t>相关法律、法规和规章</w:t>
                    </w:r>
                    <w:r>
                      <w:rPr>
                        <w:rFonts w:ascii="SimSun" w:eastAsia="SimSun" w:hAnsi="SimSun" w:cs="SimSun"/>
                        <w:position w:val="1"/>
                        <w:sz w:val="18"/>
                        <w:szCs w:val="18"/>
                      </w:rPr>
                      <w:t xml:space="preserve">                                       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18"/>
                        <w:szCs w:val="18"/>
                      </w:rPr>
                      <w:t>机关事务管理相关政策、</w:t>
                    </w:r>
                    <w:r>
                      <w:rPr>
                        <w:rFonts w:ascii="SimSun" w:eastAsia="SimSun" w:hAnsi="SimSun" w:cs="SimSun"/>
                        <w:spacing w:val="-3"/>
                        <w:sz w:val="18"/>
                        <w:szCs w:val="18"/>
                      </w:rPr>
                      <w:t>方针和目标</w:t>
                    </w: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9" w:line="221" w:lineRule="auto"/>
                      <w:ind w:left="3791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18"/>
                        <w:szCs w:val="18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6"/>
                        <w:sz w:val="18"/>
                        <w:szCs w:val="18"/>
                      </w:rPr>
                      <w:t>基础通用</w:t>
                    </w:r>
                  </w:p>
                  <w:p>
                    <w:pPr>
                      <w:spacing w:line="29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9" w:line="219" w:lineRule="auto"/>
                      <w:ind w:left="6091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18"/>
                        <w:szCs w:val="18"/>
                      </w:rPr>
                      <w:t>3</w:t>
                    </w:r>
                    <w:r>
                      <w:rPr>
                        <w:rFonts w:ascii="SimSun" w:eastAsia="SimSun" w:hAnsi="SimSun" w:cs="SimSun"/>
                        <w:spacing w:val="74"/>
                        <w:w w:val="10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18"/>
                        <w:szCs w:val="18"/>
                      </w:rPr>
                      <w:t>服务管理与提供</w:t>
                    </w:r>
                  </w:p>
                  <w:p/>
                  <w:p/>
                  <w:p/>
                  <w:p>
                    <w:pPr>
                      <w:spacing w:line="103" w:lineRule="exact"/>
                    </w:pPr>
                  </w:p>
                  <w:tbl>
                    <w:tblPr>
                      <w:tblStyle w:val="TableNormal0"/>
                      <w:tblW w:w="8215" w:type="dxa"/>
                      <w:tblInd w:w="20" w:type="dxa"/>
                      <w:tblLayout w:type="fixed"/>
                    </w:tblPr>
                    <w:tblGrid>
                      <w:gridCol w:w="412"/>
                      <w:gridCol w:w="526"/>
                      <w:gridCol w:w="568"/>
                      <w:gridCol w:w="560"/>
                      <w:gridCol w:w="1594"/>
                      <w:gridCol w:w="1616"/>
                      <w:gridCol w:w="2939"/>
                    </w:tblGrid>
                    <w:tr>
                      <w:tblPrEx>
                        <w:tblW w:w="8215" w:type="dxa"/>
                        <w:tblInd w:w="20" w:type="dxa"/>
                        <w:tblLayout w:type="fixed"/>
                      </w:tblPrEx>
                      <w:trPr>
                        <w:trHeight w:val="2234"/>
                      </w:trPr>
                      <w:tc>
                        <w:tcPr>
                          <w:tcW w:w="412" w:type="dxa"/>
                          <w:textDirection w:val="tbRlV"/>
                          <w:vAlign w:val="top"/>
                        </w:tcPr>
                        <w:p>
                          <w:pPr>
                            <w:spacing w:before="160" w:line="215" w:lineRule="auto"/>
                            <w:ind w:left="1"/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2"/>
                              <w:sz w:val="25"/>
                              <w:szCs w:val="25"/>
                            </w:rPr>
                            <w:t>机关运行标准</w:t>
                          </w:r>
                        </w:p>
                      </w:tc>
                      <w:tc>
                        <w:tcPr>
                          <w:tcW w:w="526" w:type="dxa"/>
                          <w:textDirection w:val="tbRlV"/>
                          <w:vAlign w:val="top"/>
                        </w:tcPr>
                        <w:p>
                          <w:pPr>
                            <w:spacing w:before="171" w:line="216" w:lineRule="auto"/>
                            <w:ind w:left="21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9"/>
                              <w:sz w:val="18"/>
                              <w:szCs w:val="18"/>
                            </w:rPr>
                            <w:t>通用资产标准</w:t>
                          </w:r>
                        </w:p>
                      </w:tc>
                      <w:tc>
                        <w:tcPr>
                          <w:tcW w:w="568" w:type="dxa"/>
                          <w:textDirection w:val="tbRlV"/>
                          <w:vAlign w:val="top"/>
                        </w:tcPr>
                        <w:p>
                          <w:pPr>
                            <w:spacing w:before="144" w:line="217" w:lineRule="auto"/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3"/>
                              <w:sz w:val="25"/>
                              <w:szCs w:val="25"/>
                            </w:rPr>
                            <w:t>安全应急标准</w:t>
                          </w:r>
                        </w:p>
                      </w:tc>
                      <w:tc>
                        <w:tcPr>
                          <w:tcW w:w="560" w:type="dxa"/>
                          <w:vAlign w:val="top"/>
                        </w:tcPr>
                        <w:p>
                          <w:pPr>
                            <w:spacing w:before="75" w:line="126" w:lineRule="exact"/>
                            <w:ind w:left="145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position w:val="-3"/>
                              <w:sz w:val="18"/>
                              <w:szCs w:val="18"/>
                            </w:rPr>
                            <w:t>204</w:t>
                          </w:r>
                        </w:p>
                        <w:p>
                          <w:pPr>
                            <w:spacing w:line="190" w:lineRule="auto"/>
                            <w:ind w:left="145"/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  <w:t>信</w:t>
                          </w:r>
                        </w:p>
                        <w:p>
                          <w:pPr>
                            <w:spacing w:line="175" w:lineRule="auto"/>
                            <w:ind w:left="145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  <w:t>息</w:t>
                          </w:r>
                        </w:p>
                        <w:p>
                          <w:pPr>
                            <w:spacing w:before="1" w:line="161" w:lineRule="auto"/>
                            <w:ind w:left="145"/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  <w:t>标</w:t>
                          </w:r>
                        </w:p>
                        <w:p>
                          <w:pPr>
                            <w:spacing w:before="1" w:line="220" w:lineRule="auto"/>
                            <w:ind w:left="145"/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  <w:t>准</w:t>
                          </w:r>
                        </w:p>
                      </w:tc>
                      <w:tc>
                        <w:tcPr>
                          <w:tcW w:w="1594" w:type="dxa"/>
                          <w:textDirection w:val="tbRlV"/>
                          <w:vAlign w:val="top"/>
                        </w:tcPr>
                        <w:p>
                          <w:pPr>
                            <w:spacing w:line="28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0" w:line="216" w:lineRule="auto"/>
                            <w:ind w:left="223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7"/>
                              <w:w w:val="121"/>
                              <w:sz w:val="18"/>
                              <w:szCs w:val="18"/>
                            </w:rPr>
                            <w:t>财务管理标准</w:t>
                          </w:r>
                        </w:p>
                      </w:tc>
                      <w:tc>
                        <w:tcPr>
                          <w:tcW w:w="1616" w:type="dxa"/>
                          <w:vAlign w:val="top"/>
                        </w:tcPr>
                        <w:p>
                          <w:pPr>
                            <w:spacing w:before="39" w:line="188" w:lineRule="auto"/>
                            <w:ind w:left="1250" w:right="85"/>
                            <w:jc w:val="both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2"/>
                              <w:sz w:val="25"/>
                              <w:szCs w:val="25"/>
                            </w:rPr>
                            <w:t>301</w:t>
                          </w:r>
                          <w:r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5"/>
                              <w:sz w:val="24"/>
                              <w:szCs w:val="24"/>
                            </w:rPr>
                            <w:t>办</w:t>
                          </w:r>
                          <w:r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8"/>
                              <w:sz w:val="25"/>
                              <w:szCs w:val="25"/>
                            </w:rPr>
                            <w:t>公</w:t>
                          </w:r>
                          <w:r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0"/>
                              <w:sz w:val="21"/>
                              <w:szCs w:val="21"/>
                            </w:rPr>
                            <w:t>用</w:t>
                          </w:r>
                          <w:r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1"/>
                              <w:sz w:val="24"/>
                              <w:szCs w:val="24"/>
                            </w:rPr>
                            <w:t>房</w:t>
                          </w:r>
                          <w:r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1"/>
                              <w:sz w:val="24"/>
                              <w:szCs w:val="24"/>
                            </w:rPr>
                            <w:t>标</w:t>
                          </w:r>
                          <w:r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  <w:t>准</w:t>
                          </w:r>
                        </w:p>
                      </w:tc>
                      <w:tc>
                        <w:tcPr>
                          <w:tcW w:w="2939" w:type="dxa"/>
                          <w:vAlign w:val="top"/>
                        </w:tcPr>
                        <w:p>
                          <w:pPr>
                            <w:spacing w:before="61" w:line="163" w:lineRule="auto"/>
                            <w:ind w:left="1375"/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1"/>
                              <w:sz w:val="24"/>
                              <w:szCs w:val="24"/>
                            </w:rPr>
                            <w:t>305</w:t>
                          </w:r>
                          <w:r>
                            <w:rPr>
                              <w:rFonts w:ascii="SimSun" w:eastAsia="SimSun" w:hAnsi="SimSun" w:cs="SimSun"/>
                              <w:spacing w:val="18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1"/>
                              <w:sz w:val="24"/>
                              <w:szCs w:val="24"/>
                            </w:rPr>
                            <w:t>306</w:t>
                          </w:r>
                          <w:r>
                            <w:rPr>
                              <w:rFonts w:ascii="SimSun" w:eastAsia="SimSun" w:hAnsi="SimSun" w:cs="SimSun"/>
                              <w:spacing w:val="19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1"/>
                              <w:sz w:val="24"/>
                              <w:szCs w:val="24"/>
                            </w:rPr>
                            <w:t>307</w:t>
                          </w:r>
                          <w:r>
                            <w:rPr>
                              <w:rFonts w:ascii="SimSun" w:eastAsia="SimSun" w:hAnsi="SimSun" w:cs="SimSun"/>
                              <w:spacing w:val="18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1"/>
                              <w:position w:val="1"/>
                              <w:sz w:val="17"/>
                              <w:szCs w:val="17"/>
                            </w:rPr>
                            <w:t>308|</w:t>
                          </w:r>
                          <w:r>
                            <w:rPr>
                              <w:rFonts w:ascii="SimSun" w:eastAsia="SimSun" w:hAnsi="SimSun" w:cs="SimSun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  <w:t>会</w:t>
                          </w:r>
                          <w:r>
                            <w:rPr>
                              <w:rFonts w:ascii="SimSun" w:eastAsia="SimSun" w:hAnsi="SimSun" w:cs="SimSun"/>
                              <w:spacing w:val="73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  <w:t>餐</w:t>
                          </w:r>
                          <w:r>
                            <w:rPr>
                              <w:rFonts w:ascii="SimSun" w:eastAsia="SimSun" w:hAnsi="SimSun" w:cs="SimSun"/>
                              <w:spacing w:val="96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z w:val="23"/>
                              <w:szCs w:val="23"/>
                            </w:rPr>
                            <w:t>物</w:t>
                          </w:r>
                        </w:p>
                        <w:p>
                          <w:pPr>
                            <w:spacing w:line="193" w:lineRule="auto"/>
                            <w:ind w:left="1375" w:right="443"/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23"/>
                              <w:szCs w:val="23"/>
                            </w:rPr>
                            <w:t>务</w:t>
                          </w:r>
                          <w:r>
                            <w:rPr>
                              <w:rFonts w:ascii="SimSun" w:eastAsia="SimSun" w:hAnsi="SimSun" w:cs="SimSun"/>
                              <w:spacing w:val="77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5"/>
                              <w:szCs w:val="25"/>
                            </w:rPr>
                            <w:t>饮</w:t>
                          </w:r>
                          <w:r>
                            <w:rPr>
                              <w:rFonts w:ascii="SimSun" w:eastAsia="SimSun" w:hAnsi="SimSun" w:cs="SimSun"/>
                              <w:spacing w:val="65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6"/>
                              <w:szCs w:val="26"/>
                            </w:rPr>
                            <w:t>业</w:t>
                          </w:r>
                          <w:r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4"/>
                              <w:szCs w:val="24"/>
                            </w:rPr>
                            <w:t>服</w:t>
                          </w:r>
                          <w:r>
                            <w:rPr>
                              <w:rFonts w:ascii="SimSun" w:eastAsia="SimSun" w:hAnsi="SimSun" w:cs="SimSun"/>
                              <w:spacing w:val="6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position w:val="1"/>
                              <w:sz w:val="24"/>
                              <w:szCs w:val="24"/>
                            </w:rPr>
                            <w:t>服</w:t>
                          </w:r>
                          <w:r>
                            <w:rPr>
                              <w:rFonts w:ascii="SimSun" w:eastAsia="SimSun" w:hAnsi="SimSun" w:cs="SimSun"/>
                              <w:spacing w:val="80"/>
                              <w:position w:val="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6"/>
                              <w:szCs w:val="26"/>
                            </w:rPr>
                            <w:t>服</w:t>
                          </w:r>
                          <w:r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3"/>
                              <w:szCs w:val="23"/>
                            </w:rPr>
                            <w:t>务</w:t>
                          </w:r>
                          <w:r>
                            <w:rPr>
                              <w:rFonts w:ascii="SimSun" w:eastAsia="SimSun" w:hAnsi="SimSun" w:cs="SimSun"/>
                              <w:spacing w:val="76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4"/>
                              <w:szCs w:val="24"/>
                            </w:rPr>
                            <w:t>务</w:t>
                          </w:r>
                          <w:r>
                            <w:rPr>
                              <w:rFonts w:ascii="SimSun" w:eastAsia="SimSun" w:hAnsi="SimSun" w:cs="SimSun"/>
                              <w:spacing w:val="8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4"/>
                              <w:szCs w:val="24"/>
                            </w:rPr>
                            <w:t>务</w:t>
                          </w:r>
                          <w:r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3"/>
                              <w:szCs w:val="23"/>
                            </w:rPr>
                            <w:t>标</w:t>
                          </w:r>
                          <w:r>
                            <w:rPr>
                              <w:rFonts w:ascii="SimSun" w:eastAsia="SimSun" w:hAnsi="SimSun" w:cs="SimSun"/>
                              <w:spacing w:val="75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4"/>
                              <w:szCs w:val="24"/>
                            </w:rPr>
                            <w:t>标</w:t>
                          </w:r>
                          <w:r>
                            <w:rPr>
                              <w:rFonts w:ascii="SimSun" w:eastAsia="SimSun" w:hAnsi="SimSun" w:cs="SimSun"/>
                              <w:spacing w:val="8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position w:val="-1"/>
                              <w:sz w:val="24"/>
                              <w:szCs w:val="24"/>
                            </w:rPr>
                            <w:t>标</w:t>
                          </w:r>
                          <w:r>
                            <w:rPr>
                              <w:rFonts w:ascii="SimSun" w:eastAsia="SimSun" w:hAnsi="SimSun" w:cs="SimSun"/>
                              <w:position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3"/>
                              <w:szCs w:val="23"/>
                            </w:rPr>
                            <w:t>准</w:t>
                          </w:r>
                          <w:r>
                            <w:rPr>
                              <w:rFonts w:ascii="SimSun" w:eastAsia="SimSun" w:hAnsi="SimSun" w:cs="SimSun"/>
                              <w:spacing w:val="77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5"/>
                              <w:szCs w:val="25"/>
                            </w:rPr>
                            <w:t>准</w:t>
                          </w:r>
                          <w:r>
                            <w:rPr>
                              <w:rFonts w:ascii="SimSun" w:eastAsia="SimSun" w:hAnsi="SimSun" w:cs="SimSun"/>
                              <w:spacing w:val="68"/>
                              <w:sz w:val="25"/>
                              <w:szCs w:val="2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5"/>
                              <w:szCs w:val="25"/>
                            </w:rPr>
                            <w:t>准</w:t>
                          </w:r>
                        </w:p>
                      </w:tc>
                    </w:tr>
                  </w:tbl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9" w:line="220" w:lineRule="auto"/>
                      <w:ind w:left="3591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18"/>
                        <w:szCs w:val="18"/>
                      </w:rPr>
                      <w:t>4</w:t>
                    </w:r>
                    <w:r>
                      <w:rPr>
                        <w:rFonts w:ascii="SimSun" w:eastAsia="SimSun" w:hAnsi="SimSun" w:cs="SimSun"/>
                        <w:spacing w:val="2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18"/>
                        <w:szCs w:val="18"/>
                      </w:rPr>
                      <w:t>岗位工作标准</w:t>
                    </w:r>
                  </w:p>
                </w:txbxContent>
              </v:textbox>
            </v:shape>
            <v:shape id="_x0000_s1028" type="#_x0000_t202" style="width:743;height:2238;left:5880;position:absolute;top:5474" filled="f" stroked="f">
              <o:lock v:ext="edit" aspectratio="f"/>
              <v:textbox inset="0,0,0,0">
                <w:txbxContent>
                  <w:p>
                    <w:pPr>
                      <w:spacing w:before="24" w:line="180" w:lineRule="auto"/>
                      <w:ind w:left="439" w:right="20" w:hanging="419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position w:val="1"/>
                        <w:sz w:val="18"/>
                        <w:szCs w:val="18"/>
                      </w:rPr>
                      <w:t>302</w:t>
                    </w:r>
                    <w:r>
                      <w:rPr>
                        <w:rFonts w:ascii="SimSun" w:eastAsia="SimSun" w:hAnsi="SimSun" w:cs="SimSun"/>
                        <w:spacing w:val="74"/>
                        <w:position w:val="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8"/>
                        <w:position w:val="-1"/>
                        <w:sz w:val="25"/>
                        <w:szCs w:val="25"/>
                      </w:rPr>
                      <w:t>303</w:t>
                    </w:r>
                    <w:r>
                      <w:rPr>
                        <w:rFonts w:ascii="SimSun" w:eastAsia="SimSun" w:hAnsi="SimSun" w:cs="SimSun"/>
                        <w:position w:val="-1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23"/>
                        <w:szCs w:val="23"/>
                      </w:rPr>
                      <w:t>公</w:t>
                    </w:r>
                    <w:r>
                      <w:rPr>
                        <w:rFonts w:ascii="SimSun" w:eastAsia="SimSun" w:hAnsi="SimSun" w:cs="SimSun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25"/>
                        <w:szCs w:val="25"/>
                      </w:rPr>
                      <w:t>共</w:t>
                    </w:r>
                    <w:r>
                      <w:rPr>
                        <w:rFonts w:ascii="SimSun" w:eastAsia="SimSun" w:hAnsi="SimSun" w:cs="SimSun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25"/>
                        <w:szCs w:val="25"/>
                      </w:rPr>
                      <w:t>机</w:t>
                    </w:r>
                    <w:r>
                      <w:rPr>
                        <w:rFonts w:ascii="SimSun" w:eastAsia="SimSun" w:hAnsi="SimSun" w:cs="SimSun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25"/>
                        <w:szCs w:val="25"/>
                      </w:rPr>
                      <w:t>构</w:t>
                    </w:r>
                    <w:r>
                      <w:rPr>
                        <w:rFonts w:ascii="SimSun" w:eastAsia="SimSun" w:hAnsi="SimSun" w:cs="SimSun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26"/>
                        <w:szCs w:val="26"/>
                      </w:rPr>
                      <w:t>节</w:t>
                    </w:r>
                    <w:r>
                      <w:rPr>
                        <w:rFonts w:ascii="SimSun" w:eastAsia="SimSun" w:hAnsi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25"/>
                        <w:szCs w:val="25"/>
                      </w:rPr>
                      <w:t>能</w:t>
                    </w:r>
                    <w:r>
                      <w:rPr>
                        <w:rFonts w:ascii="SimSun" w:eastAsia="SimSun" w:hAnsi="SimSun" w:cs="SimSun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25"/>
                        <w:szCs w:val="25"/>
                      </w:rPr>
                      <w:t>标</w:t>
                    </w:r>
                    <w:r>
                      <w:rPr>
                        <w:rFonts w:ascii="SimSun" w:eastAsia="SimSun" w:hAnsi="SimSun" w:cs="SimSun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26"/>
                        <w:szCs w:val="26"/>
                      </w:rPr>
                      <w:t>准</w:t>
                    </w:r>
                  </w:p>
                </w:txbxContent>
              </v:textbox>
            </v:shape>
            <v:shape id="_x0000_s1029" type="#_x0000_t202" style="width:342;height:1691;left:6688;position:absolute;top:5435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6" w:lineRule="auto"/>
                      <w:ind w:left="2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25"/>
                        <w:sz w:val="25"/>
                        <w:szCs w:val="25"/>
                      </w:rPr>
                      <w:t>公务接待标准</w:t>
                    </w:r>
                  </w:p>
                </w:txbxContent>
              </v:textbox>
            </v:shape>
            <v:shape id="_x0000_s1030" type="#_x0000_t202" style="width:257;height:1466;left:5858;position:absolute;top:5649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6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16"/>
                        <w:w w:val="123"/>
                        <w:sz w:val="18"/>
                        <w:szCs w:val="18"/>
                      </w:rPr>
                      <w:t>公务用车标准</w:t>
                    </w:r>
                  </w:p>
                </w:txbxContent>
              </v:textbox>
            </v:shape>
            <v:shape id="_x0000_s1031" type="#_x0000_t202" style="width:257;height:964;left:8463;position:absolute;top:5674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6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16"/>
                        <w:w w:val="119"/>
                        <w:sz w:val="18"/>
                        <w:szCs w:val="18"/>
                      </w:rPr>
                      <w:t>服务规范</w:t>
                    </w:r>
                  </w:p>
                </w:txbxContent>
              </v:textbox>
            </v:shape>
            <v:shape id="_x0000_s1032" type="#_x0000_t202" style="width:928;height:253;left:1560;position:absolute;top:4337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18"/>
                        <w:szCs w:val="18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spacing w:val="2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7"/>
                        <w:sz w:val="18"/>
                        <w:szCs w:val="18"/>
                      </w:rPr>
                      <w:t>服务保障</w:t>
                    </w:r>
                  </w:p>
                </w:txbxContent>
              </v:textbox>
            </v:shape>
            <v:shape id="_x0000_s1033" type="#_x0000_t202" style="width:228;height:168;left:1090;position:absolute;top:5438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3"/>
                        <w:szCs w:val="13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3"/>
                        <w:szCs w:val="13"/>
                      </w:rPr>
                      <w:t>202</w:t>
                    </w:r>
                  </w:p>
                </w:txbxContent>
              </v:textbox>
            </v:shape>
            <v:shape id="_x0000_s1034" type="#_x0000_t202" style="width:228;height:168;left:2740;position:absolute;top:5438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3"/>
                        <w:szCs w:val="13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3"/>
                        <w:szCs w:val="13"/>
                      </w:rPr>
                      <w:t>205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67" w:line="319" w:lineRule="exact"/>
        <w:ind w:left="40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7"/>
          <w:position w:val="10"/>
          <w:sz w:val="18"/>
          <w:szCs w:val="18"/>
        </w:rPr>
        <w:t>注1:=—-指导关系连线，</w:t>
      </w:r>
      <w:r>
        <w:rPr>
          <w:rFonts w:ascii="SimSun" w:eastAsia="SimSun" w:hAnsi="SimSun" w:cs="SimSun"/>
          <w:spacing w:val="50"/>
          <w:position w:val="10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7"/>
          <w:position w:val="10"/>
          <w:sz w:val="18"/>
          <w:szCs w:val="18"/>
        </w:rPr>
        <w:t>—</w:t>
      </w:r>
      <w:r>
        <w:rPr>
          <w:rFonts w:ascii="SimSun" w:eastAsia="SimSun" w:hAnsi="SimSun" w:cs="SimSun"/>
          <w:spacing w:val="-51"/>
          <w:position w:val="10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7"/>
          <w:position w:val="10"/>
          <w:sz w:val="18"/>
          <w:szCs w:val="18"/>
        </w:rPr>
        <w:t>:=</w:t>
      </w:r>
      <w:r>
        <w:rPr>
          <w:rFonts w:ascii="SimSun" w:eastAsia="SimSun" w:hAnsi="SimSun" w:cs="SimSun"/>
          <w:spacing w:val="-16"/>
          <w:position w:val="10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7"/>
          <w:position w:val="10"/>
          <w:sz w:val="18"/>
          <w:szCs w:val="18"/>
        </w:rPr>
        <w:t>·标准体系范围，</w:t>
      </w:r>
      <w:r>
        <w:rPr>
          <w:rFonts w:ascii="SimSun" w:eastAsia="SimSun" w:hAnsi="SimSun" w:cs="SimSun"/>
          <w:spacing w:val="50"/>
          <w:position w:val="10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7"/>
          <w:position w:val="10"/>
          <w:sz w:val="18"/>
          <w:szCs w:val="18"/>
        </w:rPr>
        <w:t>———直接作用关系</w:t>
      </w:r>
      <w:r>
        <w:rPr>
          <w:rFonts w:ascii="SimSun" w:eastAsia="SimSun" w:hAnsi="SimSun" w:cs="SimSun"/>
          <w:spacing w:val="-8"/>
          <w:position w:val="10"/>
          <w:sz w:val="18"/>
          <w:szCs w:val="18"/>
        </w:rPr>
        <w:t>连线。</w:t>
      </w:r>
    </w:p>
    <w:p>
      <w:pPr>
        <w:spacing w:line="218" w:lineRule="auto"/>
        <w:ind w:left="40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3"/>
          <w:sz w:val="18"/>
          <w:szCs w:val="18"/>
        </w:rPr>
        <w:t>注2:体系中205财务管理标准、304公务接待标准各市</w:t>
      </w:r>
      <w:r>
        <w:rPr>
          <w:rFonts w:ascii="SimSun" w:eastAsia="SimSun" w:hAnsi="SimSun" w:cs="SimSun"/>
          <w:spacing w:val="2"/>
          <w:sz w:val="18"/>
          <w:szCs w:val="18"/>
        </w:rPr>
        <w:t>县可依据实际制定。</w:t>
      </w:r>
    </w:p>
    <w:p>
      <w:pPr>
        <w:spacing w:before="235" w:line="470" w:lineRule="exact"/>
        <w:ind w:left="3132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2"/>
          <w:position w:val="19"/>
          <w:sz w:val="22"/>
          <w:szCs w:val="22"/>
        </w:rPr>
        <w:t>图1</w:t>
      </w:r>
      <w:r>
        <w:rPr>
          <w:rFonts w:ascii="SimHei" w:eastAsia="SimHei" w:hAnsi="SimHei" w:cs="SimHei"/>
          <w:spacing w:val="96"/>
          <w:position w:val="1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2"/>
          <w:position w:val="19"/>
          <w:sz w:val="22"/>
          <w:szCs w:val="22"/>
        </w:rPr>
        <w:t>机关事务标准体系结构框架图</w:t>
      </w:r>
    </w:p>
    <w:p>
      <w:pPr>
        <w:spacing w:before="1" w:line="220" w:lineRule="auto"/>
        <w:ind w:left="43"/>
        <w:rPr>
          <w:rFonts w:ascii="SimHei" w:eastAsia="SimHei" w:hAnsi="SimHei" w:cs="SimHei"/>
          <w:sz w:val="22"/>
          <w:szCs w:val="22"/>
        </w:rPr>
        <w:sectPr>
          <w:headerReference w:type="default" r:id="rId17"/>
          <w:footerReference w:type="default" r:id="rId18"/>
          <w:pgSz w:w="11910" w:h="16840"/>
          <w:pgMar w:top="400" w:right="1460" w:bottom="1261" w:left="979" w:header="0" w:footer="1132" w:gutter="0"/>
          <w:pgNumType w:start="11"/>
          <w:cols w:space="708"/>
        </w:sect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5.2</w:t>
      </w:r>
      <w:r>
        <w:rPr>
          <w:rFonts w:ascii="SimHei" w:eastAsia="SimHei" w:hAnsi="SimHei" w:cs="SimHei"/>
          <w:spacing w:val="8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机关事务基础通用标准子体系</w:t>
      </w:r>
    </w:p>
    <w:p>
      <w:pPr>
        <w:spacing w:before="210" w:line="219" w:lineRule="auto"/>
        <w:ind w:left="47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由机关事务服务领域的框架性、原则性、通用性的标准组成。</w:t>
      </w:r>
    </w:p>
    <w:p>
      <w:pPr>
        <w:spacing w:before="205" w:line="221" w:lineRule="auto"/>
        <w:ind w:left="42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5.3</w:t>
      </w:r>
      <w:r>
        <w:rPr>
          <w:rFonts w:ascii="SimHei" w:eastAsia="SimHei" w:hAnsi="SimHei" w:cs="SimHei"/>
          <w:spacing w:val="8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机关事务服务保障标准子体系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https://d.book118.com/558054054127006027</w:t>
        </w:r>
      </w:hyperlink>
    </w:p>
    <w:p/>
    <w:sectPr>
      <w:headerReference w:type="default" r:id="rId20"/>
      <w:footerReference w:type="default" r:id="rId21"/>
      <w:type w:val="nextPage"/>
      <w:pgSz w:w="11910" w:h="16840"/>
      <w:pgMar w:top="400" w:right="1460" w:bottom="1261" w:left="979" w:header="0" w:footer="1132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70"/>
      <w:jc w:val="right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45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45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210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210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image" Target="media/image3.jpeg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yperlink" Target="https://d.book118.com/558054054127006027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2023-05-15T23:41:43Z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2023-05-15T23:41:48Z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646252a9a2d7b000150075de</vt:lpwstr>
  </property>
</Properties>
</file>