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73" w:line="188" w:lineRule="auto"/>
        <w:ind w:left="7699"/>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TD/T</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XXXXX—XXXX</w:t>
      </w:r>
    </w:p>
    <w:p>
      <w:pPr>
        <w:spacing w:line="263" w:lineRule="auto"/>
        <w:rPr>
          <w:rFonts w:ascii="Arial"/>
          <w:sz w:val="21"/>
        </w:rPr>
      </w:pPr>
    </w:p>
    <w:p>
      <w:pPr>
        <w:spacing w:before="101" w:line="222" w:lineRule="auto"/>
        <w:ind w:left="3754"/>
        <w:outlineLvl w:val="0"/>
        <w:rPr>
          <w:rFonts w:ascii="SimHei" w:eastAsia="SimHei" w:hAnsi="SimHei" w:cs="SimHei"/>
          <w:sz w:val="31"/>
          <w:szCs w:val="31"/>
        </w:rPr>
      </w:pPr>
      <w:r>
        <w:rPr>
          <w:rFonts w:ascii="SimHei" w:eastAsia="SimHei" w:hAnsi="SimHei" w:cs="SimHei"/>
          <w:b/>
          <w:bCs/>
          <w:spacing w:val="2"/>
          <w:sz w:val="31"/>
          <w:szCs w:val="31"/>
        </w:rPr>
        <w:t>园地估价规程</w:t>
      </w:r>
    </w:p>
    <w:p>
      <w:pPr>
        <w:spacing w:line="466" w:lineRule="auto"/>
        <w:rPr>
          <w:rFonts w:ascii="Arial"/>
          <w:sz w:val="21"/>
        </w:rPr>
      </w:pPr>
    </w:p>
    <w:p>
      <w:pPr>
        <w:spacing w:before="68" w:line="223" w:lineRule="auto"/>
        <w:ind w:left="3"/>
        <w:rPr>
          <w:rFonts w:ascii="SimHei" w:eastAsia="SimHei" w:hAnsi="SimHei" w:cs="SimHei"/>
          <w:sz w:val="21"/>
          <w:szCs w:val="21"/>
        </w:rPr>
      </w:pPr>
      <w:r>
        <w:rPr>
          <w:rFonts w:ascii="SimHei" w:eastAsia="SimHei" w:hAnsi="SimHei" w:cs="SimHei"/>
          <w:b/>
          <w:bCs/>
          <w:spacing w:val="-11"/>
          <w:sz w:val="21"/>
          <w:szCs w:val="21"/>
        </w:rPr>
        <w:t>1</w:t>
      </w:r>
      <w:r>
        <w:rPr>
          <w:rFonts w:ascii="SimHei" w:eastAsia="SimHei" w:hAnsi="SimHei" w:cs="SimHei"/>
          <w:spacing w:val="2"/>
          <w:sz w:val="21"/>
          <w:szCs w:val="21"/>
        </w:rPr>
        <w:t xml:space="preserve">  </w:t>
      </w:r>
      <w:r>
        <w:rPr>
          <w:rFonts w:ascii="SimHei" w:eastAsia="SimHei" w:hAnsi="SimHei" w:cs="SimHei"/>
          <w:b/>
          <w:bCs/>
          <w:spacing w:val="-11"/>
          <w:sz w:val="21"/>
          <w:szCs w:val="21"/>
        </w:rPr>
        <w:t>范围</w:t>
      </w:r>
    </w:p>
    <w:p>
      <w:pPr>
        <w:pStyle w:val="BodyText"/>
        <w:spacing w:before="276" w:line="219" w:lineRule="auto"/>
        <w:ind w:right="96" w:firstLine="409"/>
      </w:pPr>
      <w:r>
        <w:rPr>
          <w:spacing w:val="-3"/>
        </w:rPr>
        <w:t>本文件规定了园地价格评估的术语和定义、总则、价格影响因素、园地基准地价和园地宗地地价评</w:t>
      </w:r>
      <w:r>
        <w:rPr>
          <w:spacing w:val="6"/>
        </w:rPr>
        <w:t xml:space="preserve"> </w:t>
      </w:r>
      <w:r>
        <w:rPr>
          <w:spacing w:val="-5"/>
        </w:rPr>
        <w:t>估的程序和方法。</w:t>
      </w:r>
    </w:p>
    <w:p>
      <w:pPr>
        <w:pStyle w:val="BodyText"/>
        <w:spacing w:before="32" w:line="218" w:lineRule="auto"/>
        <w:ind w:left="409"/>
      </w:pPr>
      <w:r>
        <w:rPr>
          <w:spacing w:val="-1"/>
        </w:rPr>
        <w:t>本文件适用于果园、茶园、其他园地的价格评</w:t>
      </w:r>
      <w:r>
        <w:rPr>
          <w:spacing w:val="-2"/>
        </w:rPr>
        <w:t>估，也适用于橡胶园。</w:t>
      </w:r>
    </w:p>
    <w:p>
      <w:pPr>
        <w:spacing w:before="269" w:line="222" w:lineRule="auto"/>
        <w:ind w:left="3"/>
        <w:rPr>
          <w:rFonts w:ascii="SimHei" w:eastAsia="SimHei" w:hAnsi="SimHei" w:cs="SimHei"/>
          <w:sz w:val="21"/>
          <w:szCs w:val="21"/>
        </w:rPr>
      </w:pPr>
      <w:r>
        <w:rPr>
          <w:rFonts w:ascii="SimHei" w:eastAsia="SimHei" w:hAnsi="SimHei" w:cs="SimHei"/>
          <w:b/>
          <w:bCs/>
          <w:spacing w:val="-3"/>
          <w:sz w:val="21"/>
          <w:szCs w:val="21"/>
        </w:rPr>
        <w:t>2</w:t>
      </w:r>
      <w:r>
        <w:rPr>
          <w:rFonts w:ascii="SimHei" w:eastAsia="SimHei" w:hAnsi="SimHei" w:cs="SimHei"/>
          <w:spacing w:val="-3"/>
          <w:sz w:val="21"/>
          <w:szCs w:val="21"/>
        </w:rPr>
        <w:t xml:space="preserve">  </w:t>
      </w:r>
      <w:r>
        <w:rPr>
          <w:rFonts w:ascii="SimHei" w:eastAsia="SimHei" w:hAnsi="SimHei" w:cs="SimHei"/>
          <w:b/>
          <w:bCs/>
          <w:spacing w:val="-3"/>
          <w:sz w:val="21"/>
          <w:szCs w:val="21"/>
        </w:rPr>
        <w:t>规范性引用文件</w:t>
      </w:r>
    </w:p>
    <w:p>
      <w:pPr>
        <w:pStyle w:val="BodyText"/>
        <w:spacing w:before="269" w:line="232" w:lineRule="auto"/>
        <w:ind w:right="19" w:firstLine="409"/>
        <w:jc w:val="both"/>
      </w:pPr>
      <w:r>
        <w:rPr>
          <w:spacing w:val="-6"/>
        </w:rPr>
        <w:t>下列文件中的内容通过文中的规范性引用而构成本文件必不可少的条款。其中，注日期的引用文件，</w:t>
      </w:r>
      <w:r>
        <w:rPr>
          <w:spacing w:val="8"/>
        </w:rPr>
        <w:t xml:space="preserve"> </w:t>
      </w:r>
      <w:r>
        <w:rPr>
          <w:spacing w:val="2"/>
        </w:rPr>
        <w:t>仅该日期对应的版本适用于本文件；不注日期的引用</w:t>
      </w:r>
      <w:r>
        <w:rPr>
          <w:spacing w:val="1"/>
        </w:rPr>
        <w:t xml:space="preserve">文件，其最新版本(包括所有的修改单)适用于本 </w:t>
      </w:r>
      <w:r>
        <w:rPr>
          <w:spacing w:val="-9"/>
        </w:rPr>
        <w:t>文件。</w:t>
      </w:r>
    </w:p>
    <w:p>
      <w:pPr>
        <w:pStyle w:val="BodyText"/>
        <w:spacing w:before="9" w:line="218" w:lineRule="auto"/>
        <w:ind w:left="409"/>
      </w:pPr>
      <w:r>
        <w:rPr>
          <w:spacing w:val="-1"/>
        </w:rPr>
        <w:t>GB/T 28406  农用地估价规程</w:t>
      </w:r>
    </w:p>
    <w:p>
      <w:pPr>
        <w:pStyle w:val="BodyText"/>
        <w:spacing w:before="22" w:line="239" w:lineRule="auto"/>
        <w:ind w:left="409"/>
      </w:pPr>
      <w:r>
        <w:rPr>
          <w:spacing w:val="-1"/>
        </w:rPr>
        <w:t>TD/T 1061  自然资源价格评估通则</w:t>
      </w:r>
    </w:p>
    <w:p>
      <w:pPr>
        <w:pStyle w:val="BodyText"/>
        <w:spacing w:before="1" w:line="219" w:lineRule="auto"/>
        <w:ind w:left="409"/>
      </w:pPr>
      <w:r>
        <w:rPr>
          <w:spacing w:val="-1"/>
        </w:rPr>
        <w:t>TD/T</w:t>
      </w:r>
      <w:r>
        <w:rPr>
          <w:spacing w:val="26"/>
        </w:rPr>
        <w:t xml:space="preserve"> </w:t>
      </w:r>
      <w:r>
        <w:rPr>
          <w:spacing w:val="-1"/>
        </w:rPr>
        <w:t>1071</w:t>
      </w:r>
      <w:r>
        <w:rPr>
          <w:spacing w:val="86"/>
        </w:rPr>
        <w:t xml:space="preserve"> </w:t>
      </w:r>
      <w:r>
        <w:rPr>
          <w:spacing w:val="-1"/>
        </w:rPr>
        <w:t>园地分等定级规程</w:t>
      </w:r>
    </w:p>
    <w:p>
      <w:pPr>
        <w:spacing w:before="267" w:line="222" w:lineRule="auto"/>
        <w:ind w:left="3"/>
        <w:rPr>
          <w:rFonts w:ascii="SimHei" w:eastAsia="SimHei" w:hAnsi="SimHei" w:cs="SimHei"/>
          <w:sz w:val="21"/>
          <w:szCs w:val="21"/>
        </w:rPr>
      </w:pPr>
      <w:r>
        <w:rPr>
          <w:rFonts w:ascii="SimHei" w:eastAsia="SimHei" w:hAnsi="SimHei" w:cs="SimHei"/>
          <w:b/>
          <w:bCs/>
          <w:spacing w:val="-5"/>
          <w:sz w:val="21"/>
          <w:szCs w:val="21"/>
        </w:rPr>
        <w:t>3</w:t>
      </w:r>
      <w:r>
        <w:rPr>
          <w:rFonts w:ascii="SimHei" w:eastAsia="SimHei" w:hAnsi="SimHei" w:cs="SimHei"/>
          <w:spacing w:val="99"/>
          <w:sz w:val="21"/>
          <w:szCs w:val="21"/>
        </w:rPr>
        <w:t xml:space="preserve"> </w:t>
      </w:r>
      <w:r>
        <w:rPr>
          <w:rFonts w:ascii="SimHei" w:eastAsia="SimHei" w:hAnsi="SimHei" w:cs="SimHei"/>
          <w:b/>
          <w:bCs/>
          <w:spacing w:val="-5"/>
          <w:sz w:val="21"/>
          <w:szCs w:val="21"/>
        </w:rPr>
        <w:t>术语和定义</w:t>
      </w:r>
    </w:p>
    <w:p>
      <w:pPr>
        <w:pStyle w:val="BodyText"/>
        <w:spacing w:before="270" w:line="219" w:lineRule="auto"/>
        <w:ind w:left="409"/>
      </w:pPr>
      <w:r>
        <w:rPr>
          <w:spacing w:val="-3"/>
        </w:rPr>
        <w:t>下列术语和定义适用于本文件。</w:t>
      </w:r>
    </w:p>
    <w:p>
      <w:pPr>
        <w:pStyle w:val="BodyText"/>
        <w:spacing w:before="96" w:line="184" w:lineRule="auto"/>
        <w:ind w:left="2"/>
        <w:rPr>
          <w:sz w:val="15"/>
          <w:szCs w:val="15"/>
        </w:rPr>
      </w:pPr>
      <w:r>
        <w:rPr>
          <w:b/>
          <w:bCs/>
          <w:spacing w:val="-4"/>
          <w:sz w:val="15"/>
          <w:szCs w:val="15"/>
        </w:rPr>
        <w:t>3.1</w:t>
      </w:r>
    </w:p>
    <w:p>
      <w:pPr>
        <w:pStyle w:val="BodyText"/>
        <w:spacing w:before="33" w:line="212" w:lineRule="auto"/>
        <w:ind w:left="412"/>
        <w:rPr>
          <w:rFonts w:ascii="Times New Roman" w:eastAsia="Times New Roman" w:hAnsi="Times New Roman" w:cs="Times New Roman"/>
        </w:rPr>
      </w:pPr>
      <w:r>
        <w:rPr>
          <w:b/>
          <w:bCs/>
          <w:spacing w:val="-1"/>
        </w:rPr>
        <w:t>园地</w:t>
      </w:r>
      <w:r>
        <w:rPr>
          <w:spacing w:val="95"/>
        </w:rPr>
        <w:t xml:space="preserve"> </w:t>
      </w:r>
      <w:r>
        <w:rPr>
          <w:rFonts w:ascii="Times New Roman" w:eastAsia="Times New Roman" w:hAnsi="Times New Roman" w:cs="Times New Roman"/>
          <w:spacing w:val="-1"/>
        </w:rPr>
        <w:t>orchard</w:t>
      </w:r>
      <w:r>
        <w:rPr>
          <w:rFonts w:ascii="Times New Roman" w:eastAsia="Times New Roman" w:hAnsi="Times New Roman" w:cs="Times New Roman"/>
          <w:spacing w:val="18"/>
        </w:rPr>
        <w:t xml:space="preserve"> </w:t>
      </w:r>
      <w:r>
        <w:rPr>
          <w:rFonts w:ascii="Times New Roman" w:eastAsia="Times New Roman" w:hAnsi="Times New Roman" w:cs="Times New Roman"/>
          <w:spacing w:val="-1"/>
        </w:rPr>
        <w:t>and perennial plantations</w:t>
      </w:r>
    </w:p>
    <w:p>
      <w:pPr>
        <w:pStyle w:val="BodyText"/>
        <w:spacing w:before="40" w:line="229" w:lineRule="auto"/>
        <w:ind w:right="88" w:firstLine="409"/>
      </w:pPr>
      <w:r>
        <w:t>种植以采集果、叶、根、茎、汁等为主的集约经营的多年生作物，覆盖度大于</w:t>
      </w:r>
      <w:r>
        <w:rPr>
          <w:spacing w:val="-1"/>
        </w:rPr>
        <w:t>50%或每亩株数大于</w:t>
      </w:r>
      <w:r>
        <w:t xml:space="preserve"> </w:t>
      </w:r>
      <w:r>
        <w:rPr>
          <w:spacing w:val="-2"/>
        </w:rPr>
        <w:t>合理株树70%的土地，包括用于育苗的土地。</w:t>
      </w:r>
    </w:p>
    <w:p>
      <w:pPr>
        <w:spacing w:line="272" w:lineRule="auto"/>
        <w:rPr>
          <w:rFonts w:ascii="Arial"/>
          <w:sz w:val="21"/>
        </w:rPr>
      </w:pPr>
    </w:p>
    <w:p>
      <w:pPr>
        <w:pStyle w:val="BodyText"/>
        <w:spacing w:before="69" w:line="183" w:lineRule="auto"/>
        <w:ind w:left="3"/>
      </w:pPr>
      <w:r>
        <w:rPr>
          <w:b/>
          <w:bCs/>
          <w:spacing w:val="-5"/>
        </w:rPr>
        <w:t>3.2</w:t>
      </w:r>
    </w:p>
    <w:p>
      <w:pPr>
        <w:spacing w:before="6" w:line="212" w:lineRule="auto"/>
        <w:ind w:left="412"/>
        <w:rPr>
          <w:rFonts w:ascii="Times New Roman" w:eastAsia="Times New Roman" w:hAnsi="Times New Roman" w:cs="Times New Roman"/>
          <w:sz w:val="21"/>
          <w:szCs w:val="21"/>
        </w:rPr>
      </w:pPr>
      <w:r>
        <w:rPr>
          <w:rFonts w:ascii="SimHei" w:eastAsia="SimHei" w:hAnsi="SimHei" w:cs="SimHei"/>
          <w:b/>
          <w:bCs/>
          <w:spacing w:val="-1"/>
          <w:sz w:val="21"/>
          <w:szCs w:val="21"/>
        </w:rPr>
        <w:t>均质地域</w:t>
      </w:r>
      <w:r>
        <w:rPr>
          <w:rFonts w:ascii="SimHei" w:eastAsia="SimHei" w:hAnsi="SimHei" w:cs="SimHei"/>
          <w:spacing w:val="-1"/>
          <w:sz w:val="21"/>
          <w:szCs w:val="21"/>
        </w:rPr>
        <w:t xml:space="preserve">  </w:t>
      </w:r>
      <w:r>
        <w:rPr>
          <w:rFonts w:ascii="Times New Roman" w:eastAsia="Times New Roman" w:hAnsi="Times New Roman" w:cs="Times New Roman"/>
          <w:spacing w:val="-1"/>
          <w:sz w:val="21"/>
          <w:szCs w:val="21"/>
        </w:rPr>
        <w:t>homogenous region</w:t>
      </w:r>
    </w:p>
    <w:p>
      <w:pPr>
        <w:pStyle w:val="BodyText"/>
        <w:spacing w:before="42" w:line="277" w:lineRule="exact"/>
        <w:ind w:left="409"/>
      </w:pPr>
      <w:r>
        <w:rPr>
          <w:spacing w:val="-3"/>
          <w:position w:val="4"/>
        </w:rPr>
        <w:t>自然条件、社会经济条件和园地利用类型基本一致的区域。</w:t>
      </w:r>
    </w:p>
    <w:p>
      <w:pPr>
        <w:pStyle w:val="BodyText"/>
        <w:spacing w:before="1" w:line="217" w:lineRule="auto"/>
        <w:ind w:left="312"/>
        <w:rPr>
          <w:sz w:val="15"/>
          <w:szCs w:val="15"/>
        </w:rPr>
      </w:pPr>
      <w:r>
        <w:rPr>
          <w:b/>
          <w:bCs/>
          <w:spacing w:val="-2"/>
          <w:sz w:val="15"/>
          <w:szCs w:val="15"/>
        </w:rPr>
        <w:t>注：</w:t>
      </w:r>
      <w:r>
        <w:rPr>
          <w:spacing w:val="-35"/>
          <w:sz w:val="15"/>
          <w:szCs w:val="15"/>
        </w:rPr>
        <w:t xml:space="preserve"> </w:t>
      </w:r>
      <w:r>
        <w:rPr>
          <w:spacing w:val="-2"/>
          <w:sz w:val="15"/>
          <w:szCs w:val="15"/>
        </w:rPr>
        <w:t>采用均质地域分析划分的均质区可作为基准地价评估的基本单位。</w:t>
      </w:r>
    </w:p>
    <w:p>
      <w:pPr>
        <w:pStyle w:val="BodyText"/>
        <w:spacing w:before="49" w:line="183" w:lineRule="auto"/>
        <w:ind w:left="3"/>
      </w:pPr>
      <w:r>
        <w:rPr>
          <w:b/>
          <w:bCs/>
          <w:spacing w:val="-5"/>
        </w:rPr>
        <w:t>3.3</w:t>
      </w:r>
    </w:p>
    <w:p>
      <w:pPr>
        <w:pStyle w:val="BodyText"/>
        <w:spacing w:before="25" w:line="222" w:lineRule="auto"/>
        <w:ind w:left="412"/>
      </w:pPr>
      <w:r>
        <w:rPr>
          <w:rFonts w:ascii="SimHei" w:eastAsia="SimHei" w:hAnsi="SimHei" w:cs="SimHei"/>
          <w:b/>
          <w:bCs/>
          <w:spacing w:val="-11"/>
        </w:rPr>
        <w:t>基准地块</w:t>
      </w:r>
      <w:r>
        <w:rPr>
          <w:rFonts w:ascii="SimHei" w:eastAsia="SimHei" w:hAnsi="SimHei" w:cs="SimHei"/>
          <w:spacing w:val="73"/>
        </w:rPr>
        <w:t xml:space="preserve"> </w:t>
      </w:r>
      <w:r>
        <w:rPr>
          <w:b/>
          <w:bCs/>
          <w:spacing w:val="-11"/>
        </w:rPr>
        <w:t>base</w:t>
      </w:r>
      <w:r>
        <w:rPr>
          <w:spacing w:val="-11"/>
        </w:rPr>
        <w:t xml:space="preserve"> </w:t>
      </w:r>
      <w:r>
        <w:rPr>
          <w:b/>
          <w:bCs/>
          <w:spacing w:val="-11"/>
        </w:rPr>
        <w:t>block</w:t>
      </w:r>
    </w:p>
    <w:p>
      <w:pPr>
        <w:pStyle w:val="BodyText"/>
        <w:spacing w:before="21" w:line="233" w:lineRule="auto"/>
        <w:ind w:right="96" w:firstLine="409"/>
      </w:pPr>
      <w:r>
        <w:rPr>
          <w:spacing w:val="-3"/>
        </w:rPr>
        <w:t>在园地均质地域内设定的，其园地利用类型、自然和社会经济条件在该区域内具有代表性，使用状</w:t>
      </w:r>
      <w:r>
        <w:rPr>
          <w:spacing w:val="6"/>
        </w:rPr>
        <w:t xml:space="preserve"> </w:t>
      </w:r>
      <w:r>
        <w:rPr>
          <w:spacing w:val="-4"/>
        </w:rPr>
        <w:t>况相对稳定的地块。</w:t>
      </w:r>
    </w:p>
    <w:p>
      <w:pPr>
        <w:pStyle w:val="BodyText"/>
        <w:spacing w:before="63" w:line="183" w:lineRule="auto"/>
        <w:ind w:left="3"/>
      </w:pPr>
      <w:r>
        <w:rPr>
          <w:b/>
          <w:bCs/>
          <w:spacing w:val="-5"/>
        </w:rPr>
        <w:t>3.4</w:t>
      </w:r>
    </w:p>
    <w:p>
      <w:pPr>
        <w:spacing w:before="16" w:line="212" w:lineRule="auto"/>
        <w:ind w:left="412"/>
        <w:rPr>
          <w:rFonts w:ascii="Times New Roman" w:eastAsia="Times New Roman" w:hAnsi="Times New Roman" w:cs="Times New Roman"/>
          <w:sz w:val="21"/>
          <w:szCs w:val="21"/>
        </w:rPr>
      </w:pPr>
      <w:r>
        <w:rPr>
          <w:rFonts w:ascii="SimHei" w:eastAsia="SimHei" w:hAnsi="SimHei" w:cs="SimHei"/>
          <w:b/>
          <w:bCs/>
          <w:spacing w:val="-4"/>
          <w:sz w:val="21"/>
          <w:szCs w:val="21"/>
        </w:rPr>
        <w:t>园地基准地价</w:t>
      </w:r>
      <w:r>
        <w:rPr>
          <w:rFonts w:ascii="SimHei" w:eastAsia="SimHei" w:hAnsi="SimHei" w:cs="SimHei"/>
          <w:spacing w:val="-4"/>
          <w:sz w:val="21"/>
          <w:szCs w:val="21"/>
        </w:rPr>
        <w:t xml:space="preserve">  </w:t>
      </w:r>
      <w:r>
        <w:rPr>
          <w:rFonts w:ascii="Times New Roman" w:eastAsia="Times New Roman" w:hAnsi="Times New Roman" w:cs="Times New Roman"/>
          <w:b/>
          <w:bCs/>
          <w:spacing w:val="-4"/>
          <w:sz w:val="21"/>
          <w:szCs w:val="21"/>
        </w:rPr>
        <w:t>basic price of</w:t>
      </w:r>
      <w:r>
        <w:rPr>
          <w:rFonts w:ascii="Times New Roman" w:eastAsia="Times New Roman" w:hAnsi="Times New Roman" w:cs="Times New Roman"/>
          <w:b/>
          <w:bCs/>
          <w:spacing w:val="-14"/>
          <w:sz w:val="21"/>
          <w:szCs w:val="21"/>
        </w:rPr>
        <w:t xml:space="preserve"> </w:t>
      </w:r>
      <w:r>
        <w:rPr>
          <w:rFonts w:ascii="Times New Roman" w:eastAsia="Times New Roman" w:hAnsi="Times New Roman" w:cs="Times New Roman"/>
          <w:b/>
          <w:bCs/>
          <w:spacing w:val="-4"/>
          <w:sz w:val="21"/>
          <w:szCs w:val="21"/>
        </w:rPr>
        <w:t>plant</w:t>
      </w:r>
      <w:r>
        <w:rPr>
          <w:rFonts w:ascii="Times New Roman" w:eastAsia="Times New Roman" w:hAnsi="Times New Roman" w:cs="Times New Roman"/>
          <w:b/>
          <w:bCs/>
          <w:spacing w:val="-5"/>
          <w:sz w:val="21"/>
          <w:szCs w:val="21"/>
        </w:rPr>
        <w:t>ations</w:t>
      </w:r>
    </w:p>
    <w:p>
      <w:pPr>
        <w:pStyle w:val="BodyText"/>
        <w:spacing w:before="32" w:line="227" w:lineRule="auto"/>
        <w:ind w:firstLine="409"/>
      </w:pPr>
      <w:r>
        <w:rPr>
          <w:spacing w:val="-5"/>
        </w:rPr>
        <w:t>在公开市场水平及平均基础设施条件下，以园地级别或均质区为</w:t>
      </w:r>
      <w:r>
        <w:rPr>
          <w:spacing w:val="-6"/>
        </w:rPr>
        <w:t>基本单位，按照不同园地利用类型，</w:t>
      </w:r>
      <w:r>
        <w:t xml:space="preserve"> </w:t>
      </w:r>
      <w:r>
        <w:rPr>
          <w:spacing w:val="-1"/>
        </w:rPr>
        <w:t>评估测算平均稳定收益水平条件下于某一估价期日一定权利下的平均</w:t>
      </w:r>
      <w:r>
        <w:rPr>
          <w:spacing w:val="-2"/>
        </w:rPr>
        <w:t>价格。</w:t>
      </w:r>
    </w:p>
    <w:p>
      <w:pPr>
        <w:pStyle w:val="BodyText"/>
        <w:spacing w:before="77" w:line="179" w:lineRule="auto"/>
        <w:ind w:left="3"/>
        <w:sectPr>
          <w:footerReference w:type="default" r:id="rId4"/>
          <w:pgSz w:w="11910" w:h="16840"/>
          <w:pgMar w:top="1431" w:right="1095" w:bottom="1285" w:left="1400" w:header="0" w:footer="1136" w:gutter="0"/>
          <w:cols w:space="708"/>
        </w:sectPr>
      </w:pPr>
      <w:r>
        <w:rPr>
          <w:b/>
          <w:bCs/>
          <w:spacing w:val="-5"/>
        </w:rPr>
        <w:t>3.5</w:t>
      </w:r>
    </w:p>
    <w:p>
      <w:pPr>
        <w:spacing w:line="212" w:lineRule="auto"/>
        <w:ind w:left="409"/>
        <w:rPr>
          <w:rFonts w:ascii="Times New Roman" w:eastAsia="Times New Roman" w:hAnsi="Times New Roman" w:cs="Times New Roman"/>
          <w:sz w:val="21"/>
          <w:szCs w:val="21"/>
        </w:rPr>
      </w:pPr>
      <w:r>
        <w:rPr>
          <w:rFonts w:ascii="SimHei" w:eastAsia="SimHei" w:hAnsi="SimHei" w:cs="SimHei"/>
          <w:spacing w:val="2"/>
          <w:sz w:val="21"/>
          <w:szCs w:val="21"/>
        </w:rPr>
        <w:t>园地宗地地价</w:t>
      </w:r>
      <w:r>
        <w:rPr>
          <w:rFonts w:ascii="SimHei" w:eastAsia="SimHei" w:hAnsi="SimHei" w:cs="SimHei"/>
          <w:spacing w:val="2"/>
          <w:sz w:val="21"/>
          <w:szCs w:val="21"/>
        </w:rPr>
        <w:t xml:space="preserve"> </w:t>
      </w:r>
      <w:r>
        <w:rPr>
          <w:rFonts w:ascii="Times New Roman" w:eastAsia="Times New Roman" w:hAnsi="Times New Roman" w:cs="Times New Roman"/>
          <w:sz w:val="21"/>
          <w:szCs w:val="21"/>
        </w:rPr>
        <w:t>lot</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price</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z w:val="21"/>
          <w:szCs w:val="21"/>
        </w:rPr>
        <w:t>of</w:t>
      </w:r>
      <w:r>
        <w:rPr>
          <w:rFonts w:ascii="Times New Roman" w:eastAsia="Times New Roman" w:hAnsi="Times New Roman" w:cs="Times New Roman"/>
          <w:spacing w:val="-22"/>
          <w:sz w:val="21"/>
          <w:szCs w:val="21"/>
        </w:rPr>
        <w:t xml:space="preserve"> </w:t>
      </w:r>
      <w:r>
        <w:rPr>
          <w:rFonts w:ascii="Times New Roman" w:eastAsia="Times New Roman" w:hAnsi="Times New Roman" w:cs="Times New Roman"/>
          <w:sz w:val="21"/>
          <w:szCs w:val="21"/>
        </w:rPr>
        <w:t>plantations</w:t>
      </w:r>
    </w:p>
    <w:p>
      <w:pPr>
        <w:pStyle w:val="BodyText"/>
        <w:spacing w:before="71" w:line="218" w:lineRule="auto"/>
        <w:ind w:right="16"/>
        <w:jc w:val="right"/>
      </w:pPr>
      <w:r>
        <w:rPr>
          <w:spacing w:val="-1"/>
        </w:rPr>
        <w:t>具体某一宗园地在特定的利用方式下，针对一定权利状况，在公开市场条件下于特定期日的价格。</w:t>
      </w:r>
    </w:p>
    <w:p>
      <w:pPr>
        <w:spacing w:before="249" w:line="222" w:lineRule="auto"/>
        <w:ind w:left="3"/>
        <w:rPr>
          <w:rFonts w:ascii="SimHei" w:eastAsia="SimHei" w:hAnsi="SimHei" w:cs="SimHei"/>
          <w:sz w:val="21"/>
          <w:szCs w:val="21"/>
        </w:rPr>
      </w:pPr>
      <w:r>
        <w:rPr>
          <w:rFonts w:ascii="SimHei" w:eastAsia="SimHei" w:hAnsi="SimHei" w:cs="SimHei"/>
          <w:b/>
          <w:bCs/>
          <w:spacing w:val="-4"/>
          <w:sz w:val="21"/>
          <w:szCs w:val="21"/>
        </w:rPr>
        <w:t>4</w:t>
      </w:r>
      <w:r>
        <w:rPr>
          <w:rFonts w:ascii="SimHei" w:eastAsia="SimHei" w:hAnsi="SimHei" w:cs="SimHei"/>
          <w:spacing w:val="-4"/>
          <w:sz w:val="21"/>
          <w:szCs w:val="21"/>
        </w:rPr>
        <w:t xml:space="preserve">  </w:t>
      </w:r>
      <w:r>
        <w:rPr>
          <w:rFonts w:ascii="SimHei" w:eastAsia="SimHei" w:hAnsi="SimHei" w:cs="SimHei"/>
          <w:b/>
          <w:bCs/>
          <w:spacing w:val="-4"/>
          <w:sz w:val="21"/>
          <w:szCs w:val="21"/>
        </w:rPr>
        <w:t>总则</w:t>
      </w:r>
    </w:p>
    <w:p>
      <w:pPr>
        <w:spacing w:before="268" w:line="222" w:lineRule="auto"/>
        <w:ind w:left="3"/>
        <w:rPr>
          <w:rFonts w:ascii="SimHei" w:eastAsia="SimHei" w:hAnsi="SimHei" w:cs="SimHei"/>
          <w:sz w:val="21"/>
          <w:szCs w:val="21"/>
        </w:rPr>
      </w:pPr>
      <w:r>
        <w:rPr>
          <w:rFonts w:ascii="SimHei" w:eastAsia="SimHei" w:hAnsi="SimHei" w:cs="SimHei"/>
          <w:b/>
          <w:bCs/>
          <w:spacing w:val="-1"/>
          <w:sz w:val="21"/>
          <w:szCs w:val="21"/>
        </w:rPr>
        <w:t>4.1</w:t>
      </w:r>
      <w:r>
        <w:rPr>
          <w:rFonts w:ascii="SimHei" w:eastAsia="SimHei" w:hAnsi="SimHei" w:cs="SimHei"/>
          <w:spacing w:val="82"/>
          <w:sz w:val="21"/>
          <w:szCs w:val="21"/>
        </w:rPr>
        <w:t xml:space="preserve"> </w:t>
      </w:r>
      <w:r>
        <w:rPr>
          <w:rFonts w:ascii="SimHei" w:eastAsia="SimHei" w:hAnsi="SimHei" w:cs="SimHei"/>
          <w:b/>
          <w:bCs/>
          <w:spacing w:val="-1"/>
          <w:sz w:val="21"/>
          <w:szCs w:val="21"/>
        </w:rPr>
        <w:t>估价技术原则</w:t>
      </w:r>
    </w:p>
    <w:p>
      <w:pPr>
        <w:spacing w:before="127" w:line="222" w:lineRule="auto"/>
        <w:ind w:left="313"/>
        <w:rPr>
          <w:rFonts w:ascii="SimHei" w:eastAsia="SimHei" w:hAnsi="SimHei" w:cs="SimHei"/>
          <w:sz w:val="21"/>
          <w:szCs w:val="21"/>
        </w:rPr>
      </w:pPr>
      <w:r>
        <w:rPr>
          <w:rFonts w:ascii="SimHei" w:eastAsia="SimHei" w:hAnsi="SimHei" w:cs="SimHei"/>
          <w:b/>
          <w:bCs/>
          <w:spacing w:val="-1"/>
          <w:sz w:val="21"/>
          <w:szCs w:val="21"/>
        </w:rPr>
        <w:t>4.1.1</w:t>
      </w:r>
      <w:r>
        <w:rPr>
          <w:rFonts w:ascii="SimHei" w:eastAsia="SimHei" w:hAnsi="SimHei" w:cs="SimHei"/>
          <w:spacing w:val="82"/>
          <w:sz w:val="21"/>
          <w:szCs w:val="21"/>
        </w:rPr>
        <w:t xml:space="preserve"> </w:t>
      </w:r>
      <w:r>
        <w:rPr>
          <w:rFonts w:ascii="SimHei" w:eastAsia="SimHei" w:hAnsi="SimHei" w:cs="SimHei"/>
          <w:b/>
          <w:bCs/>
          <w:spacing w:val="-1"/>
          <w:sz w:val="21"/>
          <w:szCs w:val="21"/>
        </w:rPr>
        <w:t>替代原则</w:t>
      </w:r>
    </w:p>
    <w:p>
      <w:pPr>
        <w:pStyle w:val="BodyText"/>
        <w:spacing w:before="139" w:line="228" w:lineRule="auto"/>
        <w:ind w:right="96" w:firstLine="409"/>
      </w:pPr>
      <w:r>
        <w:rPr>
          <w:spacing w:val="-3"/>
        </w:rPr>
        <w:t>园地估价以相邻或类似区域的园地作物类型相同或相近、条件和内涵相似的园地价格为依据，园地</w:t>
      </w:r>
      <w:r>
        <w:rPr>
          <w:spacing w:val="6"/>
        </w:rPr>
        <w:t xml:space="preserve"> </w:t>
      </w:r>
      <w:r>
        <w:rPr>
          <w:spacing w:val="-1"/>
        </w:rPr>
        <w:t>估价结果不明显偏离具有替代性质、权益条件相同、同一期日的客观市场价</w:t>
      </w:r>
      <w:r>
        <w:rPr>
          <w:spacing w:val="-2"/>
        </w:rPr>
        <w:t>格。</w:t>
      </w:r>
    </w:p>
    <w:p>
      <w:pPr>
        <w:spacing w:line="228" w:lineRule="auto"/>
        <w:sectPr>
          <w:footerReference w:type="default" r:id="rId5"/>
          <w:type w:val="nextPage"/>
          <w:pgSz w:w="11910" w:h="16840"/>
          <w:pgMar w:top="1431" w:right="1095" w:bottom="1285" w:left="1400" w:header="0" w:footer="1136" w:gutter="0"/>
          <w:pgNumType w:start="2"/>
          <w:cols w:space="708"/>
          <w:titlePg w:val="0"/>
        </w:sectPr>
      </w:pPr>
    </w:p>
    <w:p>
      <w:pPr>
        <w:spacing w:before="73" w:line="188" w:lineRule="auto"/>
        <w:ind w:left="7699"/>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TD/T</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XXXXX—XXXX</w:t>
      </w:r>
    </w:p>
    <w:p>
      <w:pPr>
        <w:spacing w:before="303" w:line="221" w:lineRule="auto"/>
        <w:ind w:left="303"/>
        <w:outlineLvl w:val="0"/>
        <w:rPr>
          <w:rFonts w:ascii="SimHei" w:eastAsia="SimHei" w:hAnsi="SimHei" w:cs="SimHei"/>
          <w:sz w:val="21"/>
          <w:szCs w:val="21"/>
        </w:rPr>
      </w:pPr>
      <w:r>
        <w:rPr>
          <w:rFonts w:ascii="SimHei" w:eastAsia="SimHei" w:hAnsi="SimHei" w:cs="SimHei"/>
          <w:b/>
          <w:bCs/>
          <w:spacing w:val="-2"/>
          <w:sz w:val="21"/>
          <w:szCs w:val="21"/>
        </w:rPr>
        <w:t>4.1.2</w:t>
      </w:r>
      <w:r>
        <w:rPr>
          <w:rFonts w:ascii="SimHei" w:eastAsia="SimHei" w:hAnsi="SimHei" w:cs="SimHei"/>
          <w:spacing w:val="80"/>
          <w:sz w:val="21"/>
          <w:szCs w:val="21"/>
        </w:rPr>
        <w:t xml:space="preserve"> </w:t>
      </w:r>
      <w:r>
        <w:rPr>
          <w:rFonts w:ascii="SimHei" w:eastAsia="SimHei" w:hAnsi="SimHei" w:cs="SimHei"/>
          <w:b/>
          <w:bCs/>
          <w:spacing w:val="-2"/>
          <w:sz w:val="21"/>
          <w:szCs w:val="21"/>
        </w:rPr>
        <w:t>合理有效利用原则</w:t>
      </w:r>
    </w:p>
    <w:p>
      <w:pPr>
        <w:pStyle w:val="BodyText"/>
        <w:spacing w:before="160" w:line="226" w:lineRule="auto"/>
        <w:ind w:right="85" w:firstLine="419"/>
        <w:jc w:val="both"/>
      </w:pPr>
      <w:r>
        <w:rPr>
          <w:spacing w:val="-2"/>
        </w:rPr>
        <w:t>园地估价以待估园地在一定的社会经济条件下，最大程度满足合理有效的利用方式</w:t>
      </w:r>
      <w:r>
        <w:rPr>
          <w:spacing w:val="-3"/>
        </w:rPr>
        <w:t>为前提。判断园</w:t>
      </w:r>
      <w:r>
        <w:t xml:space="preserve"> </w:t>
      </w:r>
      <w:r>
        <w:rPr>
          <w:spacing w:val="-2"/>
        </w:rPr>
        <w:t>地利用方式是否合理有效通常以是否符合其自身利用条件、法律法规政策规定</w:t>
      </w:r>
      <w:r>
        <w:rPr>
          <w:spacing w:val="-3"/>
        </w:rPr>
        <w:t>、规划限制及生态保护要</w:t>
      </w:r>
      <w:r>
        <w:t xml:space="preserve"> </w:t>
      </w:r>
      <w:r>
        <w:rPr>
          <w:spacing w:val="-4"/>
        </w:rPr>
        <w:t>求、市场需求等为依据。</w:t>
      </w:r>
    </w:p>
    <w:p>
      <w:pPr>
        <w:spacing w:before="147" w:line="222" w:lineRule="auto"/>
        <w:ind w:left="303"/>
        <w:outlineLvl w:val="0"/>
        <w:rPr>
          <w:rFonts w:ascii="SimHei" w:eastAsia="SimHei" w:hAnsi="SimHei" w:cs="SimHei"/>
          <w:sz w:val="21"/>
          <w:szCs w:val="21"/>
        </w:rPr>
      </w:pPr>
      <w:r>
        <w:rPr>
          <w:rFonts w:ascii="SimHei" w:eastAsia="SimHei" w:hAnsi="SimHei" w:cs="SimHei"/>
          <w:b/>
          <w:bCs/>
          <w:spacing w:val="-2"/>
          <w:sz w:val="21"/>
          <w:szCs w:val="21"/>
        </w:rPr>
        <w:t>4.1.3</w:t>
      </w:r>
      <w:r>
        <w:rPr>
          <w:rFonts w:ascii="SimHei" w:eastAsia="SimHei" w:hAnsi="SimHei" w:cs="SimHei"/>
          <w:spacing w:val="81"/>
          <w:sz w:val="21"/>
          <w:szCs w:val="21"/>
        </w:rPr>
        <w:t xml:space="preserve"> </w:t>
      </w:r>
      <w:r>
        <w:rPr>
          <w:rFonts w:ascii="SimHei" w:eastAsia="SimHei" w:hAnsi="SimHei" w:cs="SimHei"/>
          <w:b/>
          <w:bCs/>
          <w:spacing w:val="-2"/>
          <w:sz w:val="21"/>
          <w:szCs w:val="21"/>
        </w:rPr>
        <w:t>预期收益原则</w:t>
      </w:r>
    </w:p>
    <w:p>
      <w:pPr>
        <w:pStyle w:val="BodyText"/>
        <w:spacing w:before="140" w:line="218" w:lineRule="auto"/>
        <w:ind w:left="419"/>
      </w:pPr>
      <w:r>
        <w:rPr>
          <w:spacing w:val="-2"/>
        </w:rPr>
        <w:t>园地估价以待估园地在正常利用条件下的未来客观有效的预期收益为依据。</w:t>
      </w:r>
    </w:p>
    <w:p>
      <w:pPr>
        <w:spacing w:before="139" w:line="222" w:lineRule="auto"/>
        <w:ind w:left="303"/>
        <w:outlineLvl w:val="0"/>
        <w:rPr>
          <w:rFonts w:ascii="SimHei" w:eastAsia="SimHei" w:hAnsi="SimHei" w:cs="SimHei"/>
          <w:sz w:val="21"/>
          <w:szCs w:val="21"/>
        </w:rPr>
      </w:pPr>
      <w:r>
        <w:rPr>
          <w:rFonts w:ascii="SimHei" w:eastAsia="SimHei" w:hAnsi="SimHei" w:cs="SimHei"/>
          <w:b/>
          <w:bCs/>
          <w:sz w:val="21"/>
          <w:szCs w:val="21"/>
        </w:rPr>
        <w:t>4.1.4</w:t>
      </w:r>
      <w:r>
        <w:rPr>
          <w:rFonts w:ascii="SimHei" w:eastAsia="SimHei" w:hAnsi="SimHei" w:cs="SimHei"/>
          <w:spacing w:val="73"/>
          <w:sz w:val="21"/>
          <w:szCs w:val="21"/>
        </w:rPr>
        <w:t xml:space="preserve"> </w:t>
      </w:r>
      <w:r>
        <w:rPr>
          <w:rFonts w:ascii="SimHei" w:eastAsia="SimHei" w:hAnsi="SimHei" w:cs="SimHei"/>
          <w:b/>
          <w:bCs/>
          <w:sz w:val="21"/>
          <w:szCs w:val="21"/>
        </w:rPr>
        <w:t>供需原则</w:t>
      </w:r>
    </w:p>
    <w:p>
      <w:pPr>
        <w:pStyle w:val="BodyText"/>
        <w:spacing w:before="171" w:line="220" w:lineRule="auto"/>
        <w:ind w:right="87" w:firstLine="419"/>
      </w:pPr>
      <w:r>
        <w:rPr>
          <w:spacing w:val="-2"/>
        </w:rPr>
        <w:t>在具备市场环境的情况下，园地估价以市场供需决定园地价格为依据，并充分考</w:t>
      </w:r>
      <w:r>
        <w:rPr>
          <w:spacing w:val="-3"/>
        </w:rPr>
        <w:t>虑供需的特殊性和</w:t>
      </w:r>
      <w:r>
        <w:t xml:space="preserve"> </w:t>
      </w:r>
      <w:r>
        <w:rPr>
          <w:spacing w:val="-6"/>
        </w:rPr>
        <w:t>市场的地域性。</w:t>
      </w:r>
    </w:p>
    <w:p>
      <w:pPr>
        <w:spacing w:before="146" w:line="222" w:lineRule="auto"/>
        <w:ind w:left="273"/>
        <w:outlineLvl w:val="0"/>
        <w:rPr>
          <w:rFonts w:ascii="SimHei" w:eastAsia="SimHei" w:hAnsi="SimHei" w:cs="SimHei"/>
          <w:sz w:val="21"/>
          <w:szCs w:val="21"/>
        </w:rPr>
      </w:pPr>
      <w:r>
        <w:rPr>
          <w:rFonts w:ascii="SimHei" w:eastAsia="SimHei" w:hAnsi="SimHei" w:cs="SimHei"/>
          <w:b/>
          <w:bCs/>
          <w:spacing w:val="-3"/>
          <w:sz w:val="21"/>
          <w:szCs w:val="21"/>
        </w:rPr>
        <w:t>4.1.5</w:t>
      </w:r>
      <w:r>
        <w:rPr>
          <w:rFonts w:ascii="SimHei" w:eastAsia="SimHei" w:hAnsi="SimHei" w:cs="SimHei"/>
          <w:spacing w:val="-3"/>
          <w:sz w:val="21"/>
          <w:szCs w:val="21"/>
        </w:rPr>
        <w:t xml:space="preserve">  </w:t>
      </w:r>
      <w:r>
        <w:rPr>
          <w:rFonts w:ascii="SimHei" w:eastAsia="SimHei" w:hAnsi="SimHei" w:cs="SimHei"/>
          <w:b/>
          <w:bCs/>
          <w:spacing w:val="-3"/>
          <w:sz w:val="21"/>
          <w:szCs w:val="21"/>
        </w:rPr>
        <w:t>贡献原则</w:t>
      </w:r>
    </w:p>
    <w:p>
      <w:pPr>
        <w:pStyle w:val="BodyText"/>
        <w:spacing w:before="130" w:line="232" w:lineRule="auto"/>
        <w:ind w:right="136" w:firstLine="419"/>
      </w:pPr>
      <w:r>
        <w:rPr>
          <w:spacing w:val="2"/>
        </w:rPr>
        <w:t>园地的总收益是由园地本身及其他投入要素共同作用的结</w:t>
      </w:r>
      <w:r>
        <w:rPr>
          <w:spacing w:val="1"/>
        </w:rPr>
        <w:t>果，园地估价时充分考虑各要素对总收</w:t>
      </w:r>
      <w:r>
        <w:t xml:space="preserve"> </w:t>
      </w:r>
      <w:r>
        <w:rPr>
          <w:spacing w:val="-4"/>
        </w:rPr>
        <w:t>益的实际贡献水平，客观确定园地价格。</w:t>
      </w:r>
    </w:p>
    <w:p>
      <w:pPr>
        <w:spacing w:before="140" w:line="222" w:lineRule="auto"/>
        <w:ind w:left="303"/>
        <w:outlineLvl w:val="0"/>
        <w:rPr>
          <w:rFonts w:ascii="SimHei" w:eastAsia="SimHei" w:hAnsi="SimHei" w:cs="SimHei"/>
          <w:sz w:val="21"/>
          <w:szCs w:val="21"/>
        </w:rPr>
      </w:pPr>
      <w:r>
        <w:rPr>
          <w:rFonts w:ascii="SimHei" w:eastAsia="SimHei" w:hAnsi="SimHei" w:cs="SimHei"/>
          <w:b/>
          <w:bCs/>
          <w:sz w:val="21"/>
          <w:szCs w:val="21"/>
        </w:rPr>
        <w:t>4.1.6</w:t>
      </w:r>
      <w:r>
        <w:rPr>
          <w:rFonts w:ascii="SimHei" w:eastAsia="SimHei" w:hAnsi="SimHei" w:cs="SimHei"/>
          <w:spacing w:val="73"/>
          <w:sz w:val="21"/>
          <w:szCs w:val="21"/>
        </w:rPr>
        <w:t xml:space="preserve"> </w:t>
      </w:r>
      <w:r>
        <w:rPr>
          <w:rFonts w:ascii="SimHei" w:eastAsia="SimHei" w:hAnsi="SimHei" w:cs="SimHei"/>
          <w:b/>
          <w:bCs/>
          <w:sz w:val="21"/>
          <w:szCs w:val="21"/>
        </w:rPr>
        <w:t>变动原则</w:t>
      </w:r>
    </w:p>
    <w:p>
      <w:pPr>
        <w:pStyle w:val="BodyText"/>
        <w:spacing w:before="139" w:line="228" w:lineRule="auto"/>
        <w:ind w:right="123" w:firstLine="419"/>
      </w:pPr>
      <w:r>
        <w:rPr>
          <w:spacing w:val="2"/>
        </w:rPr>
        <w:t>园地价格是由各种处于不断变化之中的价格影响因素相互作用形成的，评估中要把握价</w:t>
      </w:r>
      <w:r>
        <w:rPr>
          <w:spacing w:val="1"/>
        </w:rPr>
        <w:t>格影响因</w:t>
      </w:r>
      <w:r>
        <w:t xml:space="preserve"> </w:t>
      </w:r>
      <w:r>
        <w:rPr>
          <w:spacing w:val="-5"/>
        </w:rPr>
        <w:t>素及价格变动规律。</w:t>
      </w:r>
    </w:p>
    <w:p>
      <w:pPr>
        <w:spacing w:before="159" w:line="221" w:lineRule="auto"/>
        <w:ind w:left="3"/>
        <w:outlineLvl w:val="0"/>
        <w:rPr>
          <w:rFonts w:ascii="SimHei" w:eastAsia="SimHei" w:hAnsi="SimHei" w:cs="SimHei"/>
          <w:sz w:val="21"/>
          <w:szCs w:val="21"/>
        </w:rPr>
      </w:pPr>
      <w:r>
        <w:rPr>
          <w:rFonts w:ascii="SimHei" w:eastAsia="SimHei" w:hAnsi="SimHei" w:cs="SimHei"/>
          <w:b/>
          <w:bCs/>
          <w:spacing w:val="-5"/>
          <w:sz w:val="21"/>
          <w:szCs w:val="21"/>
        </w:rPr>
        <w:t>4.2</w:t>
      </w:r>
      <w:r>
        <w:rPr>
          <w:rFonts w:ascii="SimHei" w:eastAsia="SimHei" w:hAnsi="SimHei" w:cs="SimHei"/>
          <w:spacing w:val="-5"/>
          <w:sz w:val="21"/>
          <w:szCs w:val="21"/>
        </w:rPr>
        <w:t xml:space="preserve">  </w:t>
      </w:r>
      <w:r>
        <w:rPr>
          <w:rFonts w:ascii="SimHei" w:eastAsia="SimHei" w:hAnsi="SimHei" w:cs="SimHei"/>
          <w:b/>
          <w:bCs/>
          <w:spacing w:val="-5"/>
          <w:sz w:val="21"/>
          <w:szCs w:val="21"/>
        </w:rPr>
        <w:t>估价技术方法</w:t>
      </w:r>
    </w:p>
    <w:p>
      <w:pPr>
        <w:spacing w:before="129" w:line="222" w:lineRule="auto"/>
        <w:ind w:left="303"/>
        <w:outlineLvl w:val="0"/>
        <w:rPr>
          <w:rFonts w:ascii="SimHei" w:eastAsia="SimHei" w:hAnsi="SimHei" w:cs="SimHei"/>
          <w:sz w:val="21"/>
          <w:szCs w:val="21"/>
        </w:rPr>
      </w:pPr>
      <w:r>
        <w:rPr>
          <w:rFonts w:ascii="SimHei" w:eastAsia="SimHei" w:hAnsi="SimHei" w:cs="SimHei"/>
          <w:b/>
          <w:bCs/>
          <w:spacing w:val="-4"/>
          <w:sz w:val="21"/>
          <w:szCs w:val="21"/>
        </w:rPr>
        <w:t>4.2.1</w:t>
      </w:r>
      <w:r>
        <w:rPr>
          <w:rFonts w:ascii="SimHei" w:eastAsia="SimHei" w:hAnsi="SimHei" w:cs="SimHei"/>
          <w:spacing w:val="85"/>
          <w:sz w:val="21"/>
          <w:szCs w:val="21"/>
        </w:rPr>
        <w:t xml:space="preserve"> </w:t>
      </w:r>
      <w:r>
        <w:rPr>
          <w:rFonts w:ascii="SimHei" w:eastAsia="SimHei" w:hAnsi="SimHei" w:cs="SimHei"/>
          <w:b/>
          <w:bCs/>
          <w:spacing w:val="-4"/>
          <w:sz w:val="21"/>
          <w:szCs w:val="21"/>
        </w:rPr>
        <w:t>园地基准地价评估</w:t>
      </w:r>
    </w:p>
    <w:p>
      <w:pPr>
        <w:pStyle w:val="BodyText"/>
        <w:spacing w:before="140" w:line="232" w:lineRule="auto"/>
        <w:ind w:right="105" w:firstLine="419"/>
      </w:pPr>
      <w:r>
        <w:t>园地基准地价的评估，可根据本地市场状况、基础资料和技术条件，按照GB/T 28406-20</w:t>
      </w:r>
      <w:r>
        <w:rPr>
          <w:spacing w:val="-1"/>
        </w:rPr>
        <w:t>12、TD/T</w:t>
      </w:r>
      <w:r>
        <w:t xml:space="preserve"> </w:t>
      </w:r>
      <w:r>
        <w:rPr>
          <w:spacing w:val="-1"/>
        </w:rPr>
        <w:t>1061的有关要求，选择样点地价平均法、定级指数模型法、基准地块评估法中的一种方</w:t>
      </w:r>
      <w:r>
        <w:rPr>
          <w:spacing w:val="-2"/>
        </w:rPr>
        <w:t>法进行评估。</w:t>
      </w:r>
    </w:p>
    <w:p>
      <w:pPr>
        <w:spacing w:before="140" w:line="222" w:lineRule="auto"/>
        <w:ind w:left="303"/>
        <w:outlineLvl w:val="0"/>
        <w:rPr>
          <w:rFonts w:ascii="SimHei" w:eastAsia="SimHei" w:hAnsi="SimHei" w:cs="SimHei"/>
          <w:sz w:val="21"/>
          <w:szCs w:val="21"/>
        </w:rPr>
      </w:pPr>
      <w:r>
        <w:rPr>
          <w:rFonts w:ascii="SimHei" w:eastAsia="SimHei" w:hAnsi="SimHei" w:cs="SimHei"/>
          <w:b/>
          <w:bCs/>
          <w:spacing w:val="-4"/>
          <w:sz w:val="21"/>
          <w:szCs w:val="21"/>
        </w:rPr>
        <w:t>4.2.2</w:t>
      </w:r>
      <w:r>
        <w:rPr>
          <w:rFonts w:ascii="SimHei" w:eastAsia="SimHei" w:hAnsi="SimHei" w:cs="SimHei"/>
          <w:spacing w:val="85"/>
          <w:sz w:val="21"/>
          <w:szCs w:val="21"/>
        </w:rPr>
        <w:t xml:space="preserve"> </w:t>
      </w:r>
      <w:r>
        <w:rPr>
          <w:rFonts w:ascii="SimHei" w:eastAsia="SimHei" w:hAnsi="SimHei" w:cs="SimHei"/>
          <w:b/>
          <w:bCs/>
          <w:spacing w:val="-4"/>
          <w:sz w:val="21"/>
          <w:szCs w:val="21"/>
        </w:rPr>
        <w:t>园地宗地地价评估</w:t>
      </w:r>
    </w:p>
    <w:p>
      <w:pPr>
        <w:pStyle w:val="BodyText"/>
        <w:spacing w:before="160" w:line="219" w:lineRule="auto"/>
        <w:ind w:right="97" w:firstLine="419"/>
      </w:pPr>
      <w:r>
        <w:rPr>
          <w:spacing w:val="-4"/>
        </w:rPr>
        <w:t>园地宗地地价评估，根据调查的相关资料，考虑评估对象的具体情况，按照GB/T 28406-2012、TD/T</w:t>
      </w:r>
      <w:r>
        <w:rPr>
          <w:spacing w:val="3"/>
        </w:rPr>
        <w:t xml:space="preserve"> </w:t>
      </w:r>
      <w:r>
        <w:rPr>
          <w:spacing w:val="-1"/>
        </w:rPr>
        <w:t>1061的有关要求，选择市场比较法、收益还原法、成本逼近法、公示地价系数修正</w:t>
      </w:r>
      <w:r>
        <w:rPr>
          <w:spacing w:val="-2"/>
        </w:rPr>
        <w:t>等方法进行评估。</w:t>
      </w:r>
    </w:p>
    <w:p>
      <w:pPr>
        <w:spacing w:before="259" w:line="222" w:lineRule="auto"/>
        <w:ind w:left="3"/>
        <w:rPr>
          <w:rFonts w:ascii="SimHei" w:eastAsia="SimHei" w:hAnsi="SimHei" w:cs="SimHei"/>
          <w:sz w:val="21"/>
          <w:szCs w:val="21"/>
        </w:rPr>
      </w:pPr>
      <w:r>
        <w:rPr>
          <w:rFonts w:ascii="SimHei" w:eastAsia="SimHei" w:hAnsi="SimHei" w:cs="SimHei"/>
          <w:b/>
          <w:bCs/>
          <w:spacing w:val="-2"/>
          <w:sz w:val="21"/>
          <w:szCs w:val="21"/>
        </w:rPr>
        <w:t>5</w:t>
      </w:r>
      <w:r>
        <w:rPr>
          <w:rFonts w:ascii="SimHei" w:eastAsia="SimHei" w:hAnsi="SimHei" w:cs="SimHei"/>
          <w:spacing w:val="105"/>
          <w:sz w:val="21"/>
          <w:szCs w:val="21"/>
        </w:rPr>
        <w:t xml:space="preserve"> </w:t>
      </w:r>
      <w:r>
        <w:rPr>
          <w:rFonts w:ascii="SimHei" w:eastAsia="SimHei" w:hAnsi="SimHei" w:cs="SimHei"/>
          <w:b/>
          <w:bCs/>
          <w:spacing w:val="-2"/>
          <w:sz w:val="21"/>
          <w:szCs w:val="21"/>
        </w:rPr>
        <w:t>园地价格影响因素</w:t>
      </w:r>
    </w:p>
    <w:p>
      <w:pPr>
        <w:pStyle w:val="BodyText"/>
        <w:spacing w:before="260" w:line="218" w:lineRule="auto"/>
        <w:ind w:left="419"/>
      </w:pPr>
      <w:r>
        <w:rPr>
          <w:spacing w:val="-2"/>
        </w:rPr>
        <w:t>影响园地价格的因素包括自然因素、社会经济因素和特定因素。</w:t>
      </w:r>
    </w:p>
    <w:p>
      <w:pPr>
        <w:pStyle w:val="BodyText"/>
        <w:spacing w:before="34" w:line="228" w:lineRule="auto"/>
        <w:ind w:left="859" w:right="95" w:hanging="440"/>
      </w:pPr>
      <w:r>
        <w:rPr>
          <w:spacing w:val="-2"/>
        </w:rPr>
        <w:t>a)  自然因素指影响园地生产力的各种自然条件，包括气候条件、地</w:t>
      </w:r>
      <w:r>
        <w:rPr>
          <w:spacing w:val="-3"/>
        </w:rPr>
        <w:t>形条件、土壤条件、水文条件</w:t>
      </w:r>
      <w:r>
        <w:t xml:space="preserve"> </w:t>
      </w:r>
      <w:r>
        <w:rPr>
          <w:spacing w:val="-8"/>
        </w:rPr>
        <w:t>等因子。</w:t>
      </w:r>
    </w:p>
    <w:p>
      <w:pPr>
        <w:pStyle w:val="BodyText"/>
        <w:spacing w:before="17" w:line="217" w:lineRule="auto"/>
        <w:ind w:left="859" w:right="95" w:hanging="440"/>
      </w:pPr>
      <w:r>
        <w:rPr>
          <w:rFonts w:ascii="Times New Roman" w:eastAsia="Times New Roman" w:hAnsi="Times New Roman" w:cs="Times New Roman"/>
          <w:spacing w:val="-1"/>
        </w:rPr>
        <w:t xml:space="preserve">b)    </w:t>
      </w:r>
      <w:r>
        <w:rPr>
          <w:spacing w:val="-1"/>
        </w:rPr>
        <w:t>社会经济因素指影响园地收益的各种社会经济条</w:t>
      </w:r>
      <w:r>
        <w:rPr>
          <w:spacing w:val="-2"/>
        </w:rPr>
        <w:t>件，包括社会经济发展条件、区位条件、种植</w:t>
      </w:r>
      <w:r>
        <w:t xml:space="preserve"> </w:t>
      </w:r>
      <w:r>
        <w:rPr>
          <w:spacing w:val="-3"/>
        </w:rPr>
        <w:t>管理条件、劳作便利条件等因子。</w:t>
      </w:r>
    </w:p>
    <w:p>
      <w:pPr>
        <w:pStyle w:val="BodyText"/>
        <w:spacing w:line="286" w:lineRule="exact"/>
        <w:jc w:val="right"/>
      </w:pPr>
      <w:r>
        <w:rPr>
          <w:rFonts w:ascii="Arial" w:eastAsia="Arial" w:hAnsi="Arial" w:cs="Arial"/>
          <w:position w:val="2"/>
        </w:rPr>
        <w:t xml:space="preserve">c)    </w:t>
      </w:r>
      <w:r>
        <w:rPr>
          <w:position w:val="2"/>
        </w:rPr>
        <w:t>特定因素指影响园地生产力和收益所特有的条件，包括作物特定条件和其他特定条件等因子。</w:t>
      </w:r>
    </w:p>
    <w:p>
      <w:pPr>
        <w:pStyle w:val="BodyText"/>
        <w:spacing w:before="153" w:line="219" w:lineRule="auto"/>
        <w:ind w:left="419"/>
      </w:pPr>
      <w:r>
        <w:rPr>
          <w:spacing w:val="-2"/>
        </w:rPr>
        <w:t>具体影响因子及指标见附录A。</w:t>
      </w:r>
    </w:p>
    <w:p>
      <w:pPr>
        <w:spacing w:before="278" w:line="222" w:lineRule="auto"/>
        <w:ind w:left="3"/>
        <w:rPr>
          <w:rFonts w:ascii="SimHei" w:eastAsia="SimHei" w:hAnsi="SimHei" w:cs="SimHei"/>
          <w:sz w:val="21"/>
          <w:szCs w:val="21"/>
        </w:rPr>
      </w:pPr>
      <w:r>
        <w:rPr>
          <w:rFonts w:ascii="SimHei" w:eastAsia="SimHei" w:hAnsi="SimHei" w:cs="SimHei"/>
          <w:b/>
          <w:bCs/>
          <w:spacing w:val="-5"/>
          <w:sz w:val="21"/>
          <w:szCs w:val="21"/>
        </w:rPr>
        <w:t>6</w:t>
      </w:r>
      <w:r>
        <w:rPr>
          <w:rFonts w:ascii="SimHei" w:eastAsia="SimHei" w:hAnsi="SimHei" w:cs="SimHei"/>
          <w:spacing w:val="97"/>
          <w:sz w:val="21"/>
          <w:szCs w:val="21"/>
        </w:rPr>
        <w:t xml:space="preserve"> </w:t>
      </w:r>
      <w:r>
        <w:rPr>
          <w:rFonts w:ascii="SimHei" w:eastAsia="SimHei" w:hAnsi="SimHei" w:cs="SimHei"/>
          <w:b/>
          <w:bCs/>
          <w:spacing w:val="-5"/>
          <w:sz w:val="21"/>
          <w:szCs w:val="21"/>
        </w:rPr>
        <w:t>园地基准地价评估</w:t>
      </w:r>
    </w:p>
    <w:p>
      <w:pPr>
        <w:spacing w:before="258" w:line="222" w:lineRule="auto"/>
        <w:ind w:left="3"/>
        <w:outlineLvl w:val="0"/>
        <w:rPr>
          <w:rFonts w:ascii="SimHei" w:eastAsia="SimHei" w:hAnsi="SimHei" w:cs="SimHei"/>
          <w:sz w:val="21"/>
          <w:szCs w:val="21"/>
        </w:rPr>
      </w:pPr>
      <w:r>
        <w:rPr>
          <w:rFonts w:ascii="SimHei" w:eastAsia="SimHei" w:hAnsi="SimHei" w:cs="SimHei"/>
          <w:b/>
          <w:bCs/>
          <w:spacing w:val="-5"/>
          <w:sz w:val="21"/>
          <w:szCs w:val="21"/>
        </w:rPr>
        <w:t>6.1</w:t>
      </w:r>
      <w:r>
        <w:rPr>
          <w:rFonts w:ascii="SimHei" w:eastAsia="SimHei" w:hAnsi="SimHei" w:cs="SimHei"/>
          <w:spacing w:val="83"/>
          <w:sz w:val="21"/>
          <w:szCs w:val="21"/>
        </w:rPr>
        <w:t xml:space="preserve"> </w:t>
      </w:r>
      <w:r>
        <w:rPr>
          <w:rFonts w:ascii="SimHei" w:eastAsia="SimHei" w:hAnsi="SimHei" w:cs="SimHei"/>
          <w:b/>
          <w:bCs/>
          <w:spacing w:val="-5"/>
          <w:sz w:val="21"/>
          <w:szCs w:val="21"/>
        </w:rPr>
        <w:t>评估对象</w:t>
      </w:r>
    </w:p>
    <w:p>
      <w:pPr>
        <w:pStyle w:val="BodyText"/>
        <w:spacing w:before="170" w:line="220" w:lineRule="auto"/>
        <w:ind w:right="95" w:firstLine="419"/>
      </w:pPr>
      <w:r>
        <w:rPr>
          <w:spacing w:val="3"/>
        </w:rPr>
        <w:t>园地基准地价评估以县(市、区)级行政区为单</w:t>
      </w:r>
      <w:r>
        <w:rPr>
          <w:spacing w:val="2"/>
        </w:rPr>
        <w:t>位开展，评估对象为估价期日的全国国土调查或年</w:t>
      </w:r>
      <w:r>
        <w:t xml:space="preserve"> </w:t>
      </w:r>
      <w:r>
        <w:rPr>
          <w:spacing w:val="-3"/>
        </w:rPr>
        <w:t>度国土变更调查的现状园地。</w:t>
      </w:r>
    </w:p>
    <w:p>
      <w:pPr>
        <w:spacing w:before="136" w:line="221" w:lineRule="auto"/>
        <w:ind w:left="3"/>
        <w:outlineLvl w:val="0"/>
        <w:rPr>
          <w:rFonts w:ascii="SimHei" w:eastAsia="SimHei" w:hAnsi="SimHei" w:cs="SimHei"/>
          <w:sz w:val="21"/>
          <w:szCs w:val="21"/>
        </w:rPr>
        <w:sectPr>
          <w:footerReference w:type="default" r:id="rId6"/>
          <w:pgSz w:w="11910" w:h="16840"/>
          <w:pgMar w:top="1431" w:right="1065" w:bottom="1295" w:left="1400" w:header="0" w:footer="1146" w:gutter="0"/>
          <w:pgNumType w:start="3"/>
          <w:cols w:space="708"/>
        </w:sectPr>
      </w:pPr>
      <w:r>
        <w:rPr>
          <w:rFonts w:ascii="SimHei" w:eastAsia="SimHei" w:hAnsi="SimHei" w:cs="SimHei"/>
          <w:b/>
          <w:bCs/>
          <w:spacing w:val="-5"/>
          <w:sz w:val="21"/>
          <w:szCs w:val="21"/>
        </w:rPr>
        <w:t>6.2</w:t>
      </w:r>
      <w:r>
        <w:rPr>
          <w:rFonts w:ascii="SimHei" w:eastAsia="SimHei" w:hAnsi="SimHei" w:cs="SimHei"/>
          <w:spacing w:val="92"/>
          <w:sz w:val="21"/>
          <w:szCs w:val="21"/>
        </w:rPr>
        <w:t xml:space="preserve"> </w:t>
      </w:r>
      <w:r>
        <w:rPr>
          <w:rFonts w:ascii="SimHei" w:eastAsia="SimHei" w:hAnsi="SimHei" w:cs="SimHei"/>
          <w:b/>
          <w:bCs/>
          <w:spacing w:val="-5"/>
          <w:sz w:val="21"/>
          <w:szCs w:val="21"/>
        </w:rPr>
        <w:t>技术方法</w:t>
      </w:r>
    </w:p>
    <w:p>
      <w:pPr>
        <w:pStyle w:val="BodyText"/>
        <w:spacing w:before="142" w:line="218" w:lineRule="auto"/>
        <w:ind w:left="419"/>
      </w:pPr>
      <w:r>
        <w:rPr>
          <w:spacing w:val="-5"/>
        </w:rPr>
        <w:t>园地基准地价评估的技术方法如下：</w:t>
      </w:r>
    </w:p>
    <w:p>
      <w:pPr>
        <w:pStyle w:val="BodyText"/>
        <w:spacing w:before="10" w:line="237" w:lineRule="auto"/>
        <w:ind w:left="859" w:right="85" w:hanging="440"/>
      </w:pPr>
      <w:r>
        <w:rPr>
          <w:rFonts w:ascii="Times New Roman" w:eastAsia="Times New Roman" w:hAnsi="Times New Roman" w:cs="Times New Roman"/>
          <w:spacing w:val="-2"/>
        </w:rPr>
        <w:t xml:space="preserve">a)     </w:t>
      </w:r>
      <w:r>
        <w:rPr>
          <w:spacing w:val="-2"/>
        </w:rPr>
        <w:t>样点地价平均法：在园地定级或均质地域划分的基础上，用市场交易样点资料和投入产出</w:t>
      </w:r>
      <w:r>
        <w:rPr>
          <w:spacing w:val="-3"/>
        </w:rPr>
        <w:t>样点</w:t>
      </w:r>
      <w:r>
        <w:t xml:space="preserve"> </w:t>
      </w:r>
      <w:r>
        <w:rPr>
          <w:spacing w:val="-4"/>
        </w:rPr>
        <w:t>资料评估并确定级别或均质区基准地价；</w:t>
      </w:r>
    </w:p>
    <w:p>
      <w:pPr>
        <w:spacing w:line="237" w:lineRule="auto"/>
        <w:sectPr>
          <w:footerReference w:type="default" r:id="rId7"/>
          <w:type w:val="nextPage"/>
          <w:pgSz w:w="11910" w:h="16840"/>
          <w:pgMar w:top="1431" w:right="1065" w:bottom="1295" w:left="1400" w:header="0" w:footer="1146" w:gutter="0"/>
          <w:pgNumType w:start="4"/>
          <w:cols w:space="708"/>
          <w:titlePg w:val="0"/>
        </w:sectPr>
      </w:pPr>
    </w:p>
    <w:p>
      <w:pPr>
        <w:spacing w:before="73" w:line="188" w:lineRule="auto"/>
        <w:ind w:left="7689"/>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TD/T     XXXXX—XXXX</w:t>
      </w:r>
    </w:p>
    <w:p>
      <w:pPr>
        <w:pStyle w:val="BodyText"/>
        <w:spacing w:before="294" w:line="212" w:lineRule="auto"/>
        <w:jc w:val="right"/>
      </w:pPr>
      <w:r>
        <w:rPr>
          <w:rFonts w:ascii="Times New Roman" w:eastAsia="Times New Roman" w:hAnsi="Times New Roman" w:cs="Times New Roman"/>
          <w:spacing w:val="-4"/>
        </w:rPr>
        <w:t xml:space="preserve">b)    </w:t>
      </w:r>
      <w:r>
        <w:rPr>
          <w:spacing w:val="-4"/>
        </w:rPr>
        <w:t>定级指数模型法：在园地定级基础上，根据定级单元分值、市场交易资料和</w:t>
      </w:r>
      <w:r>
        <w:rPr>
          <w:spacing w:val="-5"/>
        </w:rPr>
        <w:t>投入产出收益资料，</w:t>
      </w:r>
    </w:p>
    <w:p>
      <w:pPr>
        <w:pStyle w:val="BodyText"/>
        <w:spacing w:before="51" w:line="200" w:lineRule="auto"/>
        <w:ind w:left="850"/>
      </w:pPr>
      <w:r>
        <w:rPr>
          <w:spacing w:val="-3"/>
        </w:rPr>
        <w:t>建立地价测算模型，评估确定级别基准地价；</w:t>
      </w:r>
    </w:p>
    <w:p>
      <w:pPr>
        <w:pStyle w:val="BodyText"/>
        <w:spacing w:line="212" w:lineRule="auto"/>
        <w:ind w:left="419"/>
      </w:pPr>
      <w:r>
        <w:rPr>
          <w:rFonts w:ascii="Times New Roman" w:eastAsia="Times New Roman" w:hAnsi="Times New Roman" w:cs="Times New Roman"/>
          <w:spacing w:val="-2"/>
        </w:rPr>
        <w:t xml:space="preserve">c)     </w:t>
      </w:r>
      <w:r>
        <w:rPr>
          <w:spacing w:val="-2"/>
        </w:rPr>
        <w:t>基准地块评估法：根据园地</w:t>
      </w:r>
      <w:r>
        <w:rPr>
          <w:spacing w:val="-3"/>
        </w:rPr>
        <w:t>质量条件划分均质区，并按均质区设置基准地块，测算基准地块价</w:t>
      </w:r>
    </w:p>
    <w:p>
      <w:pPr>
        <w:pStyle w:val="BodyText"/>
        <w:spacing w:before="80" w:line="218" w:lineRule="auto"/>
        <w:ind w:left="850"/>
      </w:pPr>
      <w:r>
        <w:rPr>
          <w:spacing w:val="-2"/>
        </w:rPr>
        <w:t>格，依据基准地块价格确定均质区基准地价。</w:t>
      </w:r>
    </w:p>
    <w:p>
      <w:pPr>
        <w:pStyle w:val="BodyText"/>
        <w:spacing w:before="2" w:line="232" w:lineRule="auto"/>
        <w:ind w:right="96" w:firstLine="419"/>
      </w:pPr>
      <w:r>
        <w:rPr>
          <w:spacing w:val="-3"/>
        </w:rPr>
        <w:t>市场发达、交易样点多的优先选择样点地价平均法；交易样点少、分布不均，定级成果完备的可选</w:t>
      </w:r>
      <w:r>
        <w:rPr>
          <w:spacing w:val="6"/>
        </w:rPr>
        <w:t xml:space="preserve"> </w:t>
      </w:r>
      <w:r>
        <w:rPr>
          <w:spacing w:val="-1"/>
        </w:rPr>
        <w:t>择定级指数模型法；交易样点少、没有定级成果的可选择</w:t>
      </w:r>
      <w:r>
        <w:rPr>
          <w:spacing w:val="-2"/>
        </w:rPr>
        <w:t>基准地块评估法。</w:t>
      </w:r>
    </w:p>
    <w:p>
      <w:pPr>
        <w:spacing w:before="150" w:line="222" w:lineRule="auto"/>
        <w:ind w:left="3"/>
        <w:outlineLvl w:val="0"/>
        <w:rPr>
          <w:rFonts w:ascii="SimHei" w:eastAsia="SimHei" w:hAnsi="SimHei" w:cs="SimHei"/>
          <w:sz w:val="21"/>
          <w:szCs w:val="21"/>
        </w:rPr>
      </w:pPr>
      <w:r>
        <w:rPr>
          <w:rFonts w:ascii="SimHei" w:eastAsia="SimHei" w:hAnsi="SimHei" w:cs="SimHei"/>
          <w:b/>
          <w:bCs/>
          <w:spacing w:val="-5"/>
          <w:sz w:val="21"/>
          <w:szCs w:val="21"/>
        </w:rPr>
        <w:t>6.3</w:t>
      </w:r>
      <w:r>
        <w:rPr>
          <w:rFonts w:ascii="SimHei" w:eastAsia="SimHei" w:hAnsi="SimHei" w:cs="SimHei"/>
          <w:spacing w:val="83"/>
          <w:sz w:val="21"/>
          <w:szCs w:val="21"/>
        </w:rPr>
        <w:t xml:space="preserve"> </w:t>
      </w:r>
      <w:r>
        <w:rPr>
          <w:rFonts w:ascii="SimHei" w:eastAsia="SimHei" w:hAnsi="SimHei" w:cs="SimHei"/>
          <w:b/>
          <w:bCs/>
          <w:spacing w:val="-5"/>
          <w:sz w:val="21"/>
          <w:szCs w:val="21"/>
        </w:rPr>
        <w:t>评估程序</w:t>
      </w:r>
    </w:p>
    <w:p>
      <w:pPr>
        <w:pStyle w:val="BodyText"/>
        <w:spacing w:before="140" w:line="227" w:lineRule="auto"/>
        <w:ind w:left="419"/>
      </w:pPr>
      <w:r>
        <w:rPr>
          <w:spacing w:val="-6"/>
        </w:rPr>
        <w:t>园地基准地价评估程序如下：</w:t>
      </w:r>
    </w:p>
    <w:p>
      <w:pPr>
        <w:pStyle w:val="BodyText"/>
        <w:spacing w:line="212" w:lineRule="auto"/>
        <w:ind w:left="419"/>
      </w:pPr>
      <w:r>
        <w:rPr>
          <w:rFonts w:ascii="Times New Roman" w:eastAsia="Times New Roman" w:hAnsi="Times New Roman" w:cs="Times New Roman"/>
          <w:spacing w:val="-8"/>
        </w:rPr>
        <w:t>a)</w:t>
      </w:r>
      <w:r>
        <w:rPr>
          <w:rFonts w:ascii="Times New Roman" w:eastAsia="Times New Roman" w:hAnsi="Times New Roman" w:cs="Times New Roman"/>
        </w:rPr>
        <w:t xml:space="preserve">     </w:t>
      </w:r>
      <w:r>
        <w:rPr>
          <w:spacing w:val="-8"/>
        </w:rPr>
        <w:t>准备工作；</w:t>
      </w:r>
    </w:p>
    <w:p>
      <w:pPr>
        <w:pStyle w:val="BodyText"/>
        <w:spacing w:before="18" w:line="280" w:lineRule="exact"/>
        <w:ind w:left="419"/>
      </w:pPr>
      <w:r>
        <w:rPr>
          <w:rFonts w:ascii="Times New Roman" w:eastAsia="Times New Roman" w:hAnsi="Times New Roman" w:cs="Times New Roman"/>
          <w:spacing w:val="-5"/>
          <w:position w:val="5"/>
        </w:rPr>
        <w:t>b)</w:t>
      </w:r>
      <w:r>
        <w:rPr>
          <w:rFonts w:ascii="Times New Roman" w:eastAsia="Times New Roman" w:hAnsi="Times New Roman" w:cs="Times New Roman"/>
          <w:spacing w:val="9"/>
          <w:position w:val="5"/>
        </w:rPr>
        <w:t xml:space="preserve">    </w:t>
      </w:r>
      <w:r>
        <w:rPr>
          <w:spacing w:val="-5"/>
          <w:position w:val="5"/>
        </w:rPr>
        <w:t>基准地价内涵界定；</w:t>
      </w:r>
    </w:p>
    <w:p>
      <w:pPr>
        <w:pStyle w:val="BodyText"/>
        <w:spacing w:before="1" w:line="212" w:lineRule="auto"/>
        <w:ind w:left="419"/>
      </w:pPr>
      <w:r>
        <w:rPr>
          <w:rFonts w:ascii="Times New Roman" w:eastAsia="Times New Roman" w:hAnsi="Times New Roman" w:cs="Times New Roman"/>
          <w:spacing w:val="-5"/>
        </w:rPr>
        <w:t>c)</w:t>
      </w:r>
      <w:r>
        <w:rPr>
          <w:rFonts w:ascii="Times New Roman" w:eastAsia="Times New Roman" w:hAnsi="Times New Roman" w:cs="Times New Roman"/>
          <w:spacing w:val="11"/>
        </w:rPr>
        <w:t xml:space="preserve">    </w:t>
      </w:r>
      <w:r>
        <w:rPr>
          <w:spacing w:val="-5"/>
        </w:rPr>
        <w:t>资料调查与整理；</w:t>
      </w:r>
    </w:p>
    <w:p>
      <w:pPr>
        <w:pStyle w:val="BodyText"/>
        <w:spacing w:before="50" w:line="218" w:lineRule="auto"/>
        <w:ind w:left="419"/>
      </w:pPr>
      <w:r>
        <w:t>d)</w:t>
      </w:r>
      <w:r>
        <w:rPr>
          <w:spacing w:val="97"/>
        </w:rPr>
        <w:t xml:space="preserve"> </w:t>
      </w:r>
      <w:r>
        <w:t>基准地价评估基本单位确定</w:t>
      </w:r>
    </w:p>
    <w:p>
      <w:pPr>
        <w:pStyle w:val="BodyText"/>
        <w:spacing w:before="33" w:line="237" w:lineRule="auto"/>
        <w:ind w:left="419"/>
      </w:pPr>
      <w:r>
        <w:rPr>
          <w:spacing w:val="-7"/>
        </w:rPr>
        <w:t>e)  基准地价评估；</w:t>
      </w:r>
    </w:p>
    <w:p>
      <w:pPr>
        <w:pStyle w:val="BodyText"/>
        <w:spacing w:before="1" w:line="217" w:lineRule="auto"/>
        <w:ind w:left="419"/>
      </w:pPr>
      <w:r>
        <w:rPr>
          <w:spacing w:val="-7"/>
        </w:rPr>
        <w:t>f)</w:t>
      </w:r>
      <w:r>
        <w:rPr>
          <w:spacing w:val="11"/>
        </w:rPr>
        <w:t xml:space="preserve">  </w:t>
      </w:r>
      <w:r>
        <w:rPr>
          <w:spacing w:val="-7"/>
        </w:rPr>
        <w:t>基准地价确定；</w:t>
      </w:r>
    </w:p>
    <w:p>
      <w:pPr>
        <w:pStyle w:val="BodyText"/>
        <w:spacing w:before="27" w:line="205" w:lineRule="auto"/>
        <w:ind w:left="419"/>
      </w:pPr>
      <w:r>
        <w:rPr>
          <w:spacing w:val="-5"/>
        </w:rPr>
        <w:t>g)  基准地价修正体系编制；</w:t>
      </w:r>
    </w:p>
    <w:p>
      <w:pPr>
        <w:pStyle w:val="BodyText"/>
        <w:spacing w:line="212" w:lineRule="auto"/>
        <w:ind w:left="419"/>
      </w:pPr>
      <w:r>
        <w:rPr>
          <w:rFonts w:ascii="Times New Roman" w:eastAsia="Times New Roman" w:hAnsi="Times New Roman" w:cs="Times New Roman"/>
          <w:spacing w:val="-4"/>
        </w:rPr>
        <w:t>h)</w:t>
      </w:r>
      <w:r>
        <w:rPr>
          <w:rFonts w:ascii="Times New Roman" w:eastAsia="Times New Roman" w:hAnsi="Times New Roman" w:cs="Times New Roman"/>
          <w:spacing w:val="10"/>
        </w:rPr>
        <w:t xml:space="preserve">    </w:t>
      </w:r>
      <w:r>
        <w:rPr>
          <w:spacing w:val="-4"/>
        </w:rPr>
        <w:t>成果编制与整理；</w:t>
      </w:r>
    </w:p>
    <w:p>
      <w:pPr>
        <w:pStyle w:val="BodyText"/>
        <w:spacing w:before="39" w:line="212" w:lineRule="auto"/>
        <w:ind w:left="419"/>
      </w:pPr>
      <w:r>
        <w:rPr>
          <w:rFonts w:ascii="Times New Roman" w:eastAsia="Times New Roman" w:hAnsi="Times New Roman" w:cs="Times New Roman"/>
          <w:spacing w:val="-3"/>
        </w:rPr>
        <w:t xml:space="preserve">i)     </w:t>
      </w:r>
      <w:r>
        <w:rPr>
          <w:spacing w:val="-3"/>
        </w:rPr>
        <w:t>成果验收、公布及备案。</w:t>
      </w:r>
    </w:p>
    <w:p>
      <w:pPr>
        <w:spacing w:before="168" w:line="222" w:lineRule="auto"/>
        <w:ind w:left="3"/>
        <w:outlineLvl w:val="0"/>
        <w:rPr>
          <w:rFonts w:ascii="SimHei" w:eastAsia="SimHei" w:hAnsi="SimHei" w:cs="SimHei"/>
          <w:sz w:val="21"/>
          <w:szCs w:val="21"/>
        </w:rPr>
      </w:pPr>
      <w:r>
        <w:rPr>
          <w:rFonts w:ascii="SimHei" w:eastAsia="SimHei" w:hAnsi="SimHei" w:cs="SimHei"/>
          <w:b/>
          <w:bCs/>
          <w:spacing w:val="-5"/>
          <w:sz w:val="21"/>
          <w:szCs w:val="21"/>
        </w:rPr>
        <w:t>6.4</w:t>
      </w:r>
      <w:r>
        <w:rPr>
          <w:rFonts w:ascii="SimHei" w:eastAsia="SimHei" w:hAnsi="SimHei" w:cs="SimHei"/>
          <w:spacing w:val="91"/>
          <w:sz w:val="21"/>
          <w:szCs w:val="21"/>
        </w:rPr>
        <w:t xml:space="preserve"> </w:t>
      </w:r>
      <w:r>
        <w:rPr>
          <w:rFonts w:ascii="SimHei" w:eastAsia="SimHei" w:hAnsi="SimHei" w:cs="SimHei"/>
          <w:b/>
          <w:bCs/>
          <w:spacing w:val="-5"/>
          <w:sz w:val="21"/>
          <w:szCs w:val="21"/>
        </w:rPr>
        <w:t>准备工作</w:t>
      </w:r>
    </w:p>
    <w:p>
      <w:pPr>
        <w:pStyle w:val="BodyText"/>
        <w:spacing w:before="150" w:line="218" w:lineRule="auto"/>
        <w:ind w:left="419"/>
      </w:pPr>
      <w:r>
        <w:rPr>
          <w:spacing w:val="-2"/>
        </w:rPr>
        <w:t>园地基准地价评估的准备工作主要包括如下内容：</w:t>
      </w:r>
    </w:p>
    <w:p>
      <w:pPr>
        <w:pStyle w:val="BodyText"/>
        <w:spacing w:before="1" w:line="238" w:lineRule="auto"/>
        <w:ind w:left="849" w:right="92" w:hanging="430"/>
      </w:pPr>
      <w:r>
        <w:rPr>
          <w:spacing w:val="-3"/>
        </w:rPr>
        <w:t>a)  编写园地基准地价评估任务书：包括区域基本情况、基准地价评估工作的领导与组织、时间安</w:t>
      </w:r>
      <w:r>
        <w:rPr>
          <w:spacing w:val="16"/>
        </w:rPr>
        <w:t xml:space="preserve"> </w:t>
      </w:r>
      <w:r>
        <w:rPr>
          <w:spacing w:val="-4"/>
        </w:rPr>
        <w:t>排和经费预算、技术方案、预期成果等；</w:t>
      </w:r>
    </w:p>
    <w:p>
      <w:pPr>
        <w:pStyle w:val="BodyText"/>
        <w:spacing w:before="29" w:line="211" w:lineRule="auto"/>
        <w:ind w:left="419"/>
      </w:pPr>
      <w:r>
        <w:t>b)  确定园地基准地价评估区域范围：包括确定基准地价评</w:t>
      </w:r>
      <w:r>
        <w:rPr>
          <w:spacing w:val="-1"/>
        </w:rPr>
        <w:t>估范围，确定园地的级别或均质区；</w:t>
      </w:r>
    </w:p>
    <w:p>
      <w:pPr>
        <w:pStyle w:val="BodyText"/>
        <w:spacing w:before="2" w:line="237" w:lineRule="auto"/>
        <w:ind w:left="849" w:right="96" w:hanging="430"/>
      </w:pPr>
      <w:r>
        <w:rPr>
          <w:spacing w:val="-3"/>
        </w:rPr>
        <w:t>c)  准备工作底图：工作底图应采用能覆盖园地基准价评估区域范围的相关国土利用现状图、园地</w:t>
      </w:r>
      <w:r>
        <w:rPr>
          <w:spacing w:val="12"/>
        </w:rPr>
        <w:t xml:space="preserve"> </w:t>
      </w:r>
      <w:r>
        <w:rPr>
          <w:spacing w:val="-5"/>
        </w:rPr>
        <w:t>级别图、地形图、规划图等；</w:t>
      </w:r>
    </w:p>
    <w:p>
      <w:pPr>
        <w:pStyle w:val="BodyText"/>
        <w:spacing w:before="40" w:line="223" w:lineRule="auto"/>
        <w:ind w:left="849" w:right="96" w:hanging="430"/>
      </w:pPr>
      <w:r>
        <w:rPr>
          <w:spacing w:val="-3"/>
        </w:rPr>
        <w:t>d)  制定园地基准地价调查表和工作表：根据园地利用类型、利用情况及实际需要制定基准地价评</w:t>
      </w:r>
      <w:r>
        <w:rPr>
          <w:spacing w:val="12"/>
        </w:rPr>
        <w:t xml:space="preserve"> </w:t>
      </w:r>
      <w:r>
        <w:rPr>
          <w:spacing w:val="-1"/>
        </w:rPr>
        <w:t>估用表，基本评估工作表见附录B。</w:t>
      </w:r>
    </w:p>
    <w:p>
      <w:pPr>
        <w:spacing w:before="139" w:line="221" w:lineRule="auto"/>
        <w:ind w:left="3"/>
        <w:outlineLvl w:val="0"/>
        <w:rPr>
          <w:rFonts w:ascii="SimHei" w:eastAsia="SimHei" w:hAnsi="SimHei" w:cs="SimHei"/>
          <w:sz w:val="21"/>
          <w:szCs w:val="21"/>
        </w:rPr>
      </w:pPr>
      <w:r>
        <w:rPr>
          <w:rFonts w:ascii="SimHei" w:eastAsia="SimHei" w:hAnsi="SimHei" w:cs="SimHei"/>
          <w:b/>
          <w:bCs/>
          <w:spacing w:val="-4"/>
          <w:sz w:val="21"/>
          <w:szCs w:val="21"/>
        </w:rPr>
        <w:t>6.5</w:t>
      </w:r>
      <w:r>
        <w:rPr>
          <w:rFonts w:ascii="SimHei" w:eastAsia="SimHei" w:hAnsi="SimHei" w:cs="SimHei"/>
          <w:spacing w:val="80"/>
          <w:sz w:val="21"/>
          <w:szCs w:val="21"/>
        </w:rPr>
        <w:t xml:space="preserve"> </w:t>
      </w:r>
      <w:r>
        <w:rPr>
          <w:rFonts w:ascii="SimHei" w:eastAsia="SimHei" w:hAnsi="SimHei" w:cs="SimHei"/>
          <w:b/>
          <w:bCs/>
          <w:spacing w:val="-4"/>
          <w:sz w:val="21"/>
          <w:szCs w:val="21"/>
        </w:rPr>
        <w:t>基准地价内涵界定</w:t>
      </w:r>
    </w:p>
    <w:p>
      <w:pPr>
        <w:pStyle w:val="BodyText"/>
        <w:spacing w:before="141" w:line="218" w:lineRule="auto"/>
        <w:ind w:left="419"/>
      </w:pPr>
      <w:r>
        <w:rPr>
          <w:spacing w:val="-5"/>
        </w:rPr>
        <w:t>园地基准地价内涵界定包括以下方面：</w:t>
      </w:r>
    </w:p>
    <w:p>
      <w:pPr>
        <w:pStyle w:val="BodyText"/>
        <w:spacing w:before="44" w:line="227" w:lineRule="auto"/>
        <w:ind w:left="849" w:right="87" w:hanging="430"/>
      </w:pPr>
      <w:r>
        <w:rPr>
          <w:spacing w:val="-2"/>
        </w:rPr>
        <w:t>a)  园地权利：根据当前园地交易主要情况</w:t>
      </w:r>
      <w:r>
        <w:rPr>
          <w:spacing w:val="-3"/>
        </w:rPr>
        <w:t>及管理需求，可以园地承包经营权为主；有条件的地区</w:t>
      </w:r>
      <w:r>
        <w:t xml:space="preserve"> </w:t>
      </w:r>
      <w:r>
        <w:rPr>
          <w:spacing w:val="-1"/>
        </w:rPr>
        <w:t>增加评估园地经营权基准地价；有需要的地区可分别评估国有、集体园地基准地价；</w:t>
      </w:r>
    </w:p>
    <w:p>
      <w:pPr>
        <w:pStyle w:val="BodyText"/>
        <w:spacing w:before="23" w:line="223" w:lineRule="auto"/>
        <w:ind w:left="419" w:right="309"/>
      </w:pPr>
      <w:r>
        <w:rPr>
          <w:spacing w:val="2"/>
        </w:rPr>
        <w:t>b)  园地权利年期：园地权利年期可设定为30年，园地经营权年期不得超过承包经营</w:t>
      </w:r>
      <w:r>
        <w:rPr>
          <w:spacing w:val="1"/>
        </w:rPr>
        <w:t>权年期；</w:t>
      </w:r>
      <w:r>
        <w:t xml:space="preserve"> </w:t>
      </w:r>
      <w:r>
        <w:rPr>
          <w:spacing w:val="-2"/>
        </w:rPr>
        <w:t>c)  园地利用类型：按果园、茶园、橡胶园和其他园地，分别评估园地基准地价；</w:t>
      </w:r>
    </w:p>
    <w:p>
      <w:pPr>
        <w:pStyle w:val="BodyText"/>
        <w:spacing w:before="43" w:line="224" w:lineRule="auto"/>
        <w:ind w:left="849" w:right="95" w:hanging="430"/>
      </w:pPr>
      <w:r>
        <w:rPr>
          <w:spacing w:val="-3"/>
        </w:rPr>
        <w:t>d)  园地基础设施条件：按照各级别或均质区园地基础设施的平均状况确定，包括道路、灌排设施</w:t>
      </w:r>
      <w:r>
        <w:rPr>
          <w:spacing w:val="13"/>
        </w:rPr>
        <w:t xml:space="preserve"> </w:t>
      </w:r>
      <w:r>
        <w:rPr>
          <w:spacing w:val="-9"/>
        </w:rPr>
        <w:t>等；</w:t>
      </w:r>
    </w:p>
    <w:p>
      <w:pPr>
        <w:pStyle w:val="BodyText"/>
        <w:spacing w:before="29" w:line="218" w:lineRule="auto"/>
        <w:ind w:left="419"/>
        <w:sectPr>
          <w:footerReference w:type="default" r:id="rId8"/>
          <w:pgSz w:w="11910" w:h="16840"/>
          <w:pgMar w:top="1431" w:right="1085" w:bottom="1295" w:left="1400" w:header="0" w:footer="1146" w:gutter="0"/>
          <w:pgNumType w:start="5"/>
          <w:cols w:space="708"/>
        </w:sectPr>
      </w:pPr>
      <w:r>
        <w:t>e)  估价期日：根据地方各级政府管理需要综合确定，</w:t>
      </w:r>
      <w:r>
        <w:rPr>
          <w:spacing w:val="79"/>
        </w:rPr>
        <w:t xml:space="preserve"> </w:t>
      </w:r>
      <w:r>
        <w:t>一般为1月1日。</w:t>
      </w:r>
    </w:p>
    <w:p>
      <w:pPr>
        <w:pStyle w:val="BodyText"/>
        <w:spacing w:before="12" w:line="218" w:lineRule="auto"/>
        <w:ind w:left="419"/>
      </w:pPr>
      <w:r>
        <w:rPr>
          <w:spacing w:val="-1"/>
        </w:rPr>
        <w:t>根据管理和应用需要，在基准地价内涵中宜设定不含地上附着园地</w:t>
      </w:r>
      <w:r>
        <w:rPr>
          <w:spacing w:val="-2"/>
        </w:rPr>
        <w:t>作物价值。</w:t>
      </w:r>
    </w:p>
    <w:p>
      <w:pPr>
        <w:spacing w:before="150" w:line="222" w:lineRule="auto"/>
        <w:ind w:left="3"/>
        <w:outlineLvl w:val="0"/>
        <w:rPr>
          <w:rFonts w:ascii="SimHei" w:eastAsia="SimHei" w:hAnsi="SimHei" w:cs="SimHei"/>
          <w:sz w:val="21"/>
          <w:szCs w:val="21"/>
        </w:rPr>
      </w:pPr>
      <w:r>
        <w:rPr>
          <w:rFonts w:ascii="SimHei" w:eastAsia="SimHei" w:hAnsi="SimHei" w:cs="SimHei"/>
          <w:b/>
          <w:bCs/>
          <w:spacing w:val="-5"/>
          <w:sz w:val="21"/>
          <w:szCs w:val="21"/>
        </w:rPr>
        <w:t>6.6</w:t>
      </w:r>
      <w:r>
        <w:rPr>
          <w:rFonts w:ascii="SimHei" w:eastAsia="SimHei" w:hAnsi="SimHei" w:cs="SimHei"/>
          <w:spacing w:val="93"/>
          <w:sz w:val="21"/>
          <w:szCs w:val="21"/>
        </w:rPr>
        <w:t xml:space="preserve"> </w:t>
      </w:r>
      <w:r>
        <w:rPr>
          <w:rFonts w:ascii="SimHei" w:eastAsia="SimHei" w:hAnsi="SimHei" w:cs="SimHei"/>
          <w:b/>
          <w:bCs/>
          <w:spacing w:val="-5"/>
          <w:sz w:val="21"/>
          <w:szCs w:val="21"/>
        </w:rPr>
        <w:t>资料调查与整理</w:t>
      </w:r>
    </w:p>
    <w:p>
      <w:pPr>
        <w:spacing w:before="137" w:line="222" w:lineRule="auto"/>
        <w:ind w:left="293"/>
        <w:outlineLvl w:val="0"/>
        <w:rPr>
          <w:rFonts w:ascii="SimHei" w:eastAsia="SimHei" w:hAnsi="SimHei" w:cs="SimHei"/>
          <w:sz w:val="21"/>
          <w:szCs w:val="21"/>
        </w:rPr>
      </w:pPr>
      <w:r>
        <w:rPr>
          <w:rFonts w:ascii="SimHei" w:eastAsia="SimHei" w:hAnsi="SimHei" w:cs="SimHei"/>
          <w:b/>
          <w:bCs/>
          <w:spacing w:val="-2"/>
          <w:sz w:val="21"/>
          <w:szCs w:val="21"/>
        </w:rPr>
        <w:t>6.6.1</w:t>
      </w:r>
      <w:r>
        <w:rPr>
          <w:rFonts w:ascii="SimHei" w:eastAsia="SimHei" w:hAnsi="SimHei" w:cs="SimHei"/>
          <w:spacing w:val="100"/>
          <w:sz w:val="21"/>
          <w:szCs w:val="21"/>
        </w:rPr>
        <w:t xml:space="preserve"> </w:t>
      </w:r>
      <w:r>
        <w:rPr>
          <w:rFonts w:ascii="SimHei" w:eastAsia="SimHei" w:hAnsi="SimHei" w:cs="SimHei"/>
          <w:b/>
          <w:bCs/>
          <w:spacing w:val="-2"/>
          <w:sz w:val="21"/>
          <w:szCs w:val="21"/>
        </w:rPr>
        <w:t>资料调查的内容</w:t>
      </w:r>
    </w:p>
    <w:p>
      <w:pPr>
        <w:pStyle w:val="BodyText"/>
        <w:spacing w:before="152" w:line="208" w:lineRule="auto"/>
        <w:ind w:left="419"/>
      </w:pPr>
      <w:r>
        <w:rPr>
          <w:spacing w:val="-5"/>
        </w:rPr>
        <w:t>资料调查的内容如下。</w:t>
      </w:r>
    </w:p>
    <w:p>
      <w:pPr>
        <w:pStyle w:val="BodyText"/>
        <w:spacing w:line="246" w:lineRule="auto"/>
        <w:ind w:left="419" w:right="20"/>
      </w:pPr>
      <w:r>
        <w:rPr>
          <w:rFonts w:ascii="Times New Roman" w:eastAsia="Times New Roman" w:hAnsi="Times New Roman" w:cs="Times New Roman"/>
          <w:spacing w:val="-5"/>
        </w:rPr>
        <w:t xml:space="preserve">a)     </w:t>
      </w:r>
      <w:r>
        <w:rPr>
          <w:spacing w:val="-5"/>
        </w:rPr>
        <w:t>园地定级成果资料：包括园地级别图、园地定级技术报告</w:t>
      </w:r>
      <w:r>
        <w:rPr>
          <w:spacing w:val="-6"/>
        </w:rPr>
        <w:t>、其他能用于园地估价的成果及资料。</w:t>
      </w:r>
      <w:r>
        <w:t xml:space="preserve"> </w:t>
      </w:r>
      <w:r>
        <w:rPr>
          <w:spacing w:val="5"/>
        </w:rPr>
        <w:t>b)</w:t>
      </w:r>
      <w:r>
        <w:rPr>
          <w:spacing w:val="2"/>
        </w:rPr>
        <w:t xml:space="preserve">  </w:t>
      </w:r>
      <w:r>
        <w:rPr>
          <w:spacing w:val="5"/>
        </w:rPr>
        <w:t>市场交易资料：包括园地承包、转让、出租、抵押、作价出资(入股)等交</w:t>
      </w:r>
      <w:r>
        <w:rPr>
          <w:spacing w:val="4"/>
        </w:rPr>
        <w:t>易方式资料。</w:t>
      </w:r>
    </w:p>
    <w:p>
      <w:pPr>
        <w:pStyle w:val="BodyText"/>
        <w:spacing w:line="212" w:lineRule="auto"/>
        <w:ind w:left="419"/>
      </w:pPr>
      <w:r>
        <w:rPr>
          <w:rFonts w:ascii="Times New Roman" w:eastAsia="Times New Roman" w:hAnsi="Times New Roman" w:cs="Times New Roman"/>
          <w:spacing w:val="-3"/>
        </w:rPr>
        <w:t xml:space="preserve">c)     </w:t>
      </w:r>
      <w:r>
        <w:rPr>
          <w:spacing w:val="-3"/>
        </w:rPr>
        <w:t>社会经济及土地利用资料：包括当地经济发展状况资料，种植园业和社会经济发展</w:t>
      </w:r>
      <w:r>
        <w:rPr>
          <w:spacing w:val="-4"/>
        </w:rPr>
        <w:t>统计资料，</w:t>
      </w:r>
    </w:p>
    <w:p>
      <w:pPr>
        <w:pStyle w:val="BodyText"/>
        <w:spacing w:before="53" w:line="219" w:lineRule="auto"/>
        <w:ind w:left="850"/>
      </w:pPr>
      <w:r>
        <w:rPr>
          <w:spacing w:val="-2"/>
        </w:rPr>
        <w:t>国土空间规划、年度国土变更调查资料等。</w:t>
      </w:r>
    </w:p>
    <w:p>
      <w:pPr>
        <w:pStyle w:val="BodyText"/>
        <w:spacing w:before="1" w:line="236" w:lineRule="auto"/>
        <w:ind w:left="849" w:right="95" w:hanging="430"/>
      </w:pPr>
      <w:r>
        <w:rPr>
          <w:spacing w:val="2"/>
        </w:rPr>
        <w:t>d)  园地作物基本资料：包括区域主栽作物品种、作物挂果期(生长期)、作物生长阶段、密</w:t>
      </w:r>
      <w:r>
        <w:rPr>
          <w:spacing w:val="1"/>
        </w:rPr>
        <w:t>植情</w:t>
      </w:r>
      <w:r>
        <w:t xml:space="preserve"> </w:t>
      </w:r>
      <w:r>
        <w:rPr>
          <w:spacing w:val="-2"/>
        </w:rPr>
        <w:t>况、园地经营管理投入与产出情况、采收情况、市场</w:t>
      </w:r>
      <w:r>
        <w:rPr>
          <w:spacing w:val="-3"/>
        </w:rPr>
        <w:t>销售情况等。</w:t>
      </w:r>
    </w:p>
    <w:p>
      <w:pPr>
        <w:spacing w:line="236" w:lineRule="auto"/>
        <w:sectPr>
          <w:footerReference w:type="default" r:id="rId9"/>
          <w:type w:val="nextPage"/>
          <w:pgSz w:w="11910" w:h="16840"/>
          <w:pgMar w:top="1431" w:right="1085" w:bottom="1295" w:left="1400" w:header="0" w:footer="1146" w:gutter="0"/>
          <w:pgNumType w:start="6"/>
          <w:cols w:space="708"/>
          <w:titlePg w:val="0"/>
        </w:sectPr>
      </w:pPr>
    </w:p>
    <w:p>
      <w:pPr>
        <w:pStyle w:val="BodyText"/>
        <w:spacing w:before="297" w:line="219" w:lineRule="auto"/>
        <w:ind w:left="436"/>
      </w:pPr>
      <w:r>
        <w:rPr>
          <w:spacing w:val="-2"/>
        </w:rPr>
        <w:t>e)  园地价格影响因素资料：</w:t>
      </w:r>
      <w:r>
        <w:rPr>
          <w:spacing w:val="-21"/>
        </w:rPr>
        <w:t xml:space="preserve"> </w:t>
      </w:r>
      <w:r>
        <w:rPr>
          <w:spacing w:val="-2"/>
        </w:rPr>
        <w:t>包括影响园地价格的自然因素</w:t>
      </w:r>
      <w:r>
        <w:rPr>
          <w:spacing w:val="-3"/>
        </w:rPr>
        <w:t>、社会经济因素和特定因素等。</w:t>
      </w:r>
    </w:p>
    <w:p>
      <w:pPr>
        <w:pStyle w:val="BodyText"/>
        <w:spacing w:before="24" w:line="219" w:lineRule="auto"/>
        <w:ind w:left="434"/>
      </w:pPr>
      <w:r>
        <w:rPr>
          <w:spacing w:val="-2"/>
        </w:rPr>
        <w:t>f)  其他资料：</w:t>
      </w:r>
      <w:r>
        <w:rPr>
          <w:spacing w:val="-17"/>
        </w:rPr>
        <w:t xml:space="preserve"> </w:t>
      </w:r>
      <w:r>
        <w:rPr>
          <w:spacing w:val="-2"/>
        </w:rPr>
        <w:t>如园地权利资料、园地历史地价资料、种植园地生产经营的产业政策资料等。</w:t>
      </w:r>
    </w:p>
    <w:p>
      <w:pPr>
        <w:spacing w:line="345" w:lineRule="auto"/>
        <w:rPr>
          <w:rFonts w:ascii="Arial"/>
          <w:sz w:val="21"/>
        </w:rPr>
      </w:pPr>
    </w:p>
    <w:p>
      <w:pPr>
        <w:spacing w:before="68" w:line="219" w:lineRule="auto"/>
        <w:ind w:left="288"/>
        <w:rPr>
          <w:rFonts w:ascii="SimHei" w:eastAsia="SimHei" w:hAnsi="SimHei" w:cs="SimHei"/>
          <w:sz w:val="21"/>
          <w:szCs w:val="21"/>
        </w:rPr>
      </w:pPr>
      <w:r>
        <w:rPr>
          <w:rFonts w:ascii="SimHei" w:eastAsia="SimHei" w:hAnsi="SimHei" w:cs="SimHei"/>
          <w:spacing w:val="-1"/>
          <w:sz w:val="21"/>
          <w:szCs w:val="21"/>
        </w:rPr>
        <w:t>6.6.2</w:t>
      </w:r>
      <w:r>
        <w:rPr>
          <w:rFonts w:ascii="SimHei" w:eastAsia="SimHei" w:hAnsi="SimHei" w:cs="SimHei"/>
          <w:spacing w:val="-1"/>
          <w:sz w:val="21"/>
          <w:szCs w:val="21"/>
        </w:rPr>
        <w:t xml:space="preserve">  </w:t>
      </w:r>
      <w:r>
        <w:rPr>
          <w:rFonts w:ascii="SimHei" w:eastAsia="SimHei" w:hAnsi="SimHei" w:cs="SimHei"/>
          <w:spacing w:val="-1"/>
          <w:sz w:val="21"/>
          <w:szCs w:val="21"/>
        </w:rPr>
        <w:t>资料调查的一般要求</w:t>
      </w:r>
    </w:p>
    <w:p>
      <w:pPr>
        <w:pStyle w:val="BodyText"/>
        <w:spacing w:before="142" w:line="221" w:lineRule="auto"/>
        <w:ind w:left="435"/>
      </w:pPr>
      <w:r>
        <w:rPr>
          <w:spacing w:val="-2"/>
        </w:rPr>
        <w:t>资料调查的一般要求如下：</w:t>
      </w:r>
    </w:p>
    <w:p>
      <w:pPr>
        <w:pStyle w:val="BodyText"/>
        <w:spacing w:before="21" w:line="220" w:lineRule="auto"/>
        <w:ind w:left="431"/>
      </w:pPr>
      <w:r>
        <w:t>a)  资料调查以园地级别或均质区为基本单位进行；</w:t>
      </w:r>
    </w:p>
    <w:p>
      <w:pPr>
        <w:pStyle w:val="BodyText"/>
        <w:spacing w:before="20" w:line="231" w:lineRule="auto"/>
        <w:ind w:left="858" w:right="74" w:hanging="431"/>
      </w:pPr>
      <w:r>
        <w:rPr>
          <w:spacing w:val="-2"/>
        </w:rPr>
        <w:t>b)  调查、收集资料中选择的样点地块要按实地位置标注到估价工作底</w:t>
      </w:r>
      <w:r>
        <w:rPr>
          <w:spacing w:val="-3"/>
        </w:rPr>
        <w:t>图上，并建立样点资料数据</w:t>
      </w:r>
      <w:r>
        <w:t xml:space="preserve"> </w:t>
      </w:r>
      <w:r>
        <w:rPr>
          <w:spacing w:val="-14"/>
        </w:rPr>
        <w:t>库；</w:t>
      </w:r>
    </w:p>
    <w:p>
      <w:pPr>
        <w:pStyle w:val="BodyText"/>
        <w:spacing w:before="21" w:line="220" w:lineRule="auto"/>
        <w:ind w:left="435"/>
      </w:pPr>
      <w:r>
        <w:rPr>
          <w:spacing w:val="-6"/>
        </w:rPr>
        <w:t>c)  样点应具有代表性， 宜均匀分布；</w:t>
      </w:r>
    </w:p>
    <w:p>
      <w:pPr>
        <w:pStyle w:val="BodyText"/>
        <w:spacing w:before="24" w:line="229" w:lineRule="auto"/>
        <w:ind w:left="858" w:right="74" w:hanging="423"/>
      </w:pPr>
      <w:r>
        <w:rPr>
          <w:spacing w:val="-2"/>
        </w:rPr>
        <w:t>d)  样点选取应采用分类不等比抽样，样本数应符合</w:t>
      </w:r>
      <w:r>
        <w:rPr>
          <w:spacing w:val="-3"/>
        </w:rPr>
        <w:t>数理统计要求；每级或每个均质区样本总数不</w:t>
      </w:r>
      <w:r>
        <w:t xml:space="preserve"> </w:t>
      </w:r>
      <w:r>
        <w:rPr>
          <w:spacing w:val="-3"/>
        </w:rPr>
        <w:t>少于</w:t>
      </w:r>
      <w:r>
        <w:rPr>
          <w:spacing w:val="-39"/>
        </w:rPr>
        <w:t xml:space="preserve"> </w:t>
      </w:r>
      <w:r>
        <w:rPr>
          <w:spacing w:val="-3"/>
        </w:rPr>
        <w:t>30</w:t>
      </w:r>
      <w:r>
        <w:rPr>
          <w:spacing w:val="-44"/>
        </w:rPr>
        <w:t xml:space="preserve"> </w:t>
      </w:r>
      <w:r>
        <w:rPr>
          <w:spacing w:val="-3"/>
        </w:rPr>
        <w:t>个；样本总数不足</w:t>
      </w:r>
      <w:r>
        <w:rPr>
          <w:spacing w:val="-40"/>
        </w:rPr>
        <w:t xml:space="preserve"> </w:t>
      </w:r>
      <w:r>
        <w:rPr>
          <w:spacing w:val="-3"/>
        </w:rPr>
        <w:t>30</w:t>
      </w:r>
      <w:r>
        <w:rPr>
          <w:spacing w:val="-46"/>
        </w:rPr>
        <w:t xml:space="preserve"> </w:t>
      </w:r>
      <w:r>
        <w:rPr>
          <w:spacing w:val="-3"/>
        </w:rPr>
        <w:t>个的，应进行全样本调</w:t>
      </w:r>
      <w:r>
        <w:rPr>
          <w:spacing w:val="-4"/>
        </w:rPr>
        <w:t>查；</w:t>
      </w:r>
    </w:p>
    <w:p>
      <w:pPr>
        <w:pStyle w:val="BodyText"/>
        <w:spacing w:before="25" w:line="229" w:lineRule="auto"/>
        <w:ind w:left="857" w:right="83" w:hanging="421"/>
      </w:pPr>
      <w:r>
        <w:rPr>
          <w:spacing w:val="2"/>
        </w:rPr>
        <w:t>e)  园地投入产出资料调查收集时，应以园地作物的经济寿命周期为单位调查不同生长阶段的投</w:t>
      </w:r>
      <w:r>
        <w:rPr>
          <w:spacing w:val="3"/>
        </w:rPr>
        <w:t xml:space="preserve"> </w:t>
      </w:r>
      <w:r>
        <w:rPr>
          <w:spacing w:val="-1"/>
        </w:rPr>
        <w:t>入产出数据；</w:t>
      </w:r>
    </w:p>
    <w:p>
      <w:pPr>
        <w:pStyle w:val="BodyText"/>
        <w:spacing w:before="23" w:line="229" w:lineRule="auto"/>
        <w:ind w:left="881" w:right="74" w:hanging="447"/>
      </w:pPr>
      <w:r>
        <w:rPr>
          <w:spacing w:val="-2"/>
        </w:rPr>
        <w:t>f)  园地承包、转让、出租、抵押、作价出资（入股）</w:t>
      </w:r>
      <w:r>
        <w:rPr>
          <w:spacing w:val="-3"/>
        </w:rPr>
        <w:t>等交易资料和园地收益资料中的价格指标均</w:t>
      </w:r>
      <w:r>
        <w:t xml:space="preserve"> </w:t>
      </w:r>
      <w:r>
        <w:rPr>
          <w:spacing w:val="-5"/>
        </w:rPr>
        <w:t>以人民币元为单位，</w:t>
      </w:r>
      <w:r>
        <w:rPr>
          <w:spacing w:val="-22"/>
        </w:rPr>
        <w:t xml:space="preserve"> </w:t>
      </w:r>
      <w:r>
        <w:rPr>
          <w:spacing w:val="-5"/>
        </w:rPr>
        <w:t>面积指标均以亩为单位，</w:t>
      </w:r>
      <w:r>
        <w:rPr>
          <w:spacing w:val="-21"/>
        </w:rPr>
        <w:t xml:space="preserve"> </w:t>
      </w:r>
      <w:r>
        <w:rPr>
          <w:spacing w:val="-5"/>
        </w:rPr>
        <w:t>指</w:t>
      </w:r>
      <w:r>
        <w:rPr>
          <w:spacing w:val="-6"/>
        </w:rPr>
        <w:t>标数值准确到小数点后两位有效数字。</w:t>
      </w:r>
    </w:p>
    <w:p>
      <w:pPr>
        <w:spacing w:before="141" w:line="220" w:lineRule="auto"/>
        <w:ind w:left="288"/>
        <w:rPr>
          <w:rFonts w:ascii="SimHei" w:eastAsia="SimHei" w:hAnsi="SimHei" w:cs="SimHei"/>
          <w:sz w:val="21"/>
          <w:szCs w:val="21"/>
        </w:rPr>
      </w:pPr>
      <w:r>
        <w:rPr>
          <w:rFonts w:ascii="SimHei" w:eastAsia="SimHei" w:hAnsi="SimHei" w:cs="SimHei"/>
          <w:spacing w:val="-2"/>
          <w:sz w:val="21"/>
          <w:szCs w:val="21"/>
        </w:rPr>
        <w:t>6.6.3</w:t>
      </w:r>
      <w:r>
        <w:rPr>
          <w:rFonts w:ascii="SimHei" w:eastAsia="SimHei" w:hAnsi="SimHei" w:cs="SimHei"/>
          <w:spacing w:val="6"/>
          <w:sz w:val="21"/>
          <w:szCs w:val="21"/>
        </w:rPr>
        <w:t xml:space="preserve">  </w:t>
      </w:r>
      <w:r>
        <w:rPr>
          <w:rFonts w:ascii="SimHei" w:eastAsia="SimHei" w:hAnsi="SimHei" w:cs="SimHei"/>
          <w:spacing w:val="-2"/>
          <w:sz w:val="21"/>
          <w:szCs w:val="21"/>
        </w:rPr>
        <w:t>资料整理</w:t>
      </w:r>
    </w:p>
    <w:p>
      <w:pPr>
        <w:pStyle w:val="BodyText"/>
        <w:spacing w:before="143" w:line="221" w:lineRule="auto"/>
        <w:ind w:left="435"/>
      </w:pPr>
      <w:r>
        <w:rPr>
          <w:spacing w:val="-2"/>
        </w:rPr>
        <w:t>资料整理的要求如下：</w:t>
      </w:r>
    </w:p>
    <w:p>
      <w:pPr>
        <w:pStyle w:val="BodyText"/>
        <w:spacing w:before="19" w:line="221" w:lineRule="auto"/>
        <w:ind w:left="431"/>
      </w:pPr>
      <w:r>
        <w:t>a)  对明显不符合填报要求或特殊极值的样点予以剔除；</w:t>
      </w:r>
    </w:p>
    <w:p>
      <w:pPr>
        <w:pStyle w:val="BodyText"/>
        <w:spacing w:before="24" w:line="229" w:lineRule="auto"/>
        <w:ind w:left="861" w:right="74" w:hanging="434"/>
      </w:pPr>
      <w:r>
        <w:rPr>
          <w:spacing w:val="-3"/>
        </w:rPr>
        <w:t>b)  将初步审查合格的样点资料，</w:t>
      </w:r>
      <w:r>
        <w:rPr>
          <w:spacing w:val="-48"/>
        </w:rPr>
        <w:t xml:space="preserve"> </w:t>
      </w:r>
      <w:r>
        <w:rPr>
          <w:spacing w:val="-3"/>
        </w:rPr>
        <w:t>分别按照</w:t>
      </w:r>
      <w:r>
        <w:rPr>
          <w:spacing w:val="-4"/>
        </w:rPr>
        <w:t>级别或均质区、园地利用类型、交易方式、价格计算方</w:t>
      </w:r>
      <w:r>
        <w:t xml:space="preserve"> </w:t>
      </w:r>
      <w:r>
        <w:rPr>
          <w:spacing w:val="-5"/>
        </w:rPr>
        <w:t>式等进行归类；</w:t>
      </w:r>
    </w:p>
    <w:p>
      <w:pPr>
        <w:pStyle w:val="BodyText"/>
        <w:spacing w:before="22" w:line="221" w:lineRule="auto"/>
        <w:ind w:left="435"/>
      </w:pPr>
      <w:r>
        <w:rPr>
          <w:spacing w:val="-3"/>
        </w:rPr>
        <w:t>c)  对样点数量不符合数理统计要求的，</w:t>
      </w:r>
      <w:r>
        <w:rPr>
          <w:spacing w:val="-25"/>
        </w:rPr>
        <w:t xml:space="preserve"> </w:t>
      </w:r>
      <w:r>
        <w:rPr>
          <w:spacing w:val="-3"/>
        </w:rPr>
        <w:t>进行补充调查。</w:t>
      </w:r>
    </w:p>
    <w:p>
      <w:pPr>
        <w:spacing w:before="141" w:line="220" w:lineRule="auto"/>
        <w:rPr>
          <w:rFonts w:ascii="SimHei" w:eastAsia="SimHei" w:hAnsi="SimHei" w:cs="SimHei"/>
          <w:sz w:val="21"/>
          <w:szCs w:val="21"/>
        </w:rPr>
      </w:pPr>
      <w:r>
        <w:rPr>
          <w:rFonts w:ascii="SimHei" w:eastAsia="SimHei" w:hAnsi="SimHei" w:cs="SimHei"/>
          <w:sz w:val="21"/>
          <w:szCs w:val="21"/>
        </w:rPr>
        <w:drawing>
          <wp:inline distT="0" distB="0" distL="0" distR="0">
            <wp:extent cx="198119" cy="100584"/>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198119" cy="100584"/>
                    </a:xfrm>
                    <a:prstGeom prst="rect">
                      <a:avLst/>
                    </a:prstGeom>
                  </pic:spPr>
                </pic:pic>
              </a:graphicData>
            </a:graphic>
          </wp:inline>
        </w:drawing>
      </w:r>
      <w:r>
        <w:rPr>
          <w:rFonts w:ascii="SimHei" w:eastAsia="SimHei" w:hAnsi="SimHei" w:cs="SimHei"/>
          <w:spacing w:val="8"/>
          <w:sz w:val="21"/>
          <w:szCs w:val="21"/>
        </w:rPr>
        <w:t xml:space="preserve">  </w:t>
      </w:r>
      <w:r>
        <w:rPr>
          <w:rFonts w:ascii="SimHei" w:eastAsia="SimHei" w:hAnsi="SimHei" w:cs="SimHei"/>
          <w:spacing w:val="-1"/>
          <w:sz w:val="21"/>
          <w:szCs w:val="21"/>
        </w:rPr>
        <w:t>基准地价评估基本单位的确定</w:t>
      </w:r>
    </w:p>
    <w:p>
      <w:pPr>
        <w:pStyle w:val="BodyText"/>
        <w:spacing w:before="143" w:line="233" w:lineRule="auto"/>
        <w:ind w:left="7" w:firstLine="419"/>
        <w:jc w:val="both"/>
      </w:pPr>
      <w:r>
        <w:rPr>
          <w:spacing w:val="-5"/>
        </w:rPr>
        <w:t>基准地价评估的基本单位可根据当地园地利用状况、园地利用类</w:t>
      </w:r>
      <w:r>
        <w:rPr>
          <w:spacing w:val="-6"/>
        </w:rPr>
        <w:t>型、园地评价及管理情况综合确定。</w:t>
      </w:r>
      <w:r>
        <w:t xml:space="preserve"> </w:t>
      </w:r>
      <w:r>
        <w:rPr>
          <w:spacing w:val="-5"/>
        </w:rPr>
        <w:t>如果定级成果能够满足要求，</w:t>
      </w:r>
      <w:r>
        <w:rPr>
          <w:spacing w:val="-38"/>
        </w:rPr>
        <w:t xml:space="preserve"> </w:t>
      </w:r>
      <w:r>
        <w:rPr>
          <w:spacing w:val="-5"/>
        </w:rPr>
        <w:t>则以级别为基本单位；如果定级成果不能满足要求，</w:t>
      </w:r>
      <w:r>
        <w:rPr>
          <w:spacing w:val="-54"/>
        </w:rPr>
        <w:t xml:space="preserve"> </w:t>
      </w:r>
      <w:r>
        <w:rPr>
          <w:spacing w:val="-5"/>
        </w:rPr>
        <w:t xml:space="preserve">可以采用划分均质地 </w:t>
      </w:r>
      <w:r>
        <w:rPr>
          <w:spacing w:val="-4"/>
        </w:rPr>
        <w:t>域的方法， 以均质区为基本单位。均质地域划分方法如下：</w:t>
      </w:r>
    </w:p>
    <w:p>
      <w:pPr>
        <w:pStyle w:val="BodyText"/>
        <w:spacing w:before="21" w:line="219" w:lineRule="auto"/>
        <w:ind w:left="431"/>
      </w:pPr>
      <w:r>
        <w:rPr>
          <w:spacing w:val="-3"/>
        </w:rPr>
        <w:t>a)  多因素综合评价法：</w:t>
      </w:r>
      <w:r>
        <w:rPr>
          <w:spacing w:val="-18"/>
        </w:rPr>
        <w:t xml:space="preserve"> </w:t>
      </w:r>
      <w:r>
        <w:rPr>
          <w:spacing w:val="-3"/>
        </w:rPr>
        <w:t>参见</w:t>
      </w:r>
      <w:r>
        <w:rPr>
          <w:spacing w:val="-49"/>
        </w:rPr>
        <w:t xml:space="preserve"> </w:t>
      </w:r>
      <w:r>
        <w:rPr>
          <w:spacing w:val="-3"/>
        </w:rPr>
        <w:t>GB/T 28406-2012</w:t>
      </w:r>
      <w:r>
        <w:rPr>
          <w:spacing w:val="10"/>
        </w:rPr>
        <w:t xml:space="preserve"> </w:t>
      </w:r>
      <w:r>
        <w:rPr>
          <w:spacing w:val="-3"/>
        </w:rPr>
        <w:t>9.8.3</w:t>
      </w:r>
      <w:r>
        <w:rPr>
          <w:spacing w:val="-29"/>
        </w:rPr>
        <w:t xml:space="preserve"> </w:t>
      </w:r>
      <w:r>
        <w:rPr>
          <w:spacing w:val="-3"/>
        </w:rPr>
        <w:t>的要求执行；</w:t>
      </w:r>
    </w:p>
    <w:p>
      <w:pPr>
        <w:pStyle w:val="BodyText"/>
        <w:spacing w:before="24" w:line="229" w:lineRule="auto"/>
        <w:ind w:left="860" w:right="77" w:hanging="433"/>
      </w:pPr>
      <w:r>
        <w:rPr>
          <w:spacing w:val="-2"/>
        </w:rPr>
        <w:t>b)  主导因素划分法：考虑地形地貌、区位交通等条件，不打破村</w:t>
      </w:r>
      <w:r>
        <w:rPr>
          <w:spacing w:val="-3"/>
        </w:rPr>
        <w:t>级行政边界，按照主导因素基本</w:t>
      </w:r>
      <w:r>
        <w:t xml:space="preserve"> </w:t>
      </w:r>
      <w:r>
        <w:rPr>
          <w:spacing w:val="-5"/>
        </w:rPr>
        <w:t>一致的原则划分均质区，</w:t>
      </w:r>
      <w:r>
        <w:rPr>
          <w:spacing w:val="-7"/>
        </w:rPr>
        <w:t xml:space="preserve"> </w:t>
      </w:r>
      <w:r>
        <w:rPr>
          <w:spacing w:val="-5"/>
        </w:rPr>
        <w:t>作为基准地价评估的基本单位。</w:t>
      </w:r>
    </w:p>
    <w:p>
      <w:pPr>
        <w:spacing w:before="144" w:line="220" w:lineRule="auto"/>
        <w:rPr>
          <w:rFonts w:ascii="SimHei" w:eastAsia="SimHei" w:hAnsi="SimHei" w:cs="SimHei"/>
          <w:sz w:val="21"/>
          <w:szCs w:val="21"/>
        </w:rPr>
      </w:pPr>
      <w:r>
        <w:rPr>
          <w:rFonts w:ascii="SimHei" w:eastAsia="SimHei" w:hAnsi="SimHei" w:cs="SimHei"/>
          <w:sz w:val="21"/>
          <w:szCs w:val="21"/>
        </w:rPr>
        <w:drawing>
          <wp:inline distT="0" distB="0" distL="0" distR="0">
            <wp:extent cx="196596" cy="100584"/>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1"/>
                    <a:stretch>
                      <a:fillRect/>
                    </a:stretch>
                  </pic:blipFill>
                  <pic:spPr>
                    <a:xfrm>
                      <a:off x="0" y="0"/>
                      <a:ext cx="196596" cy="100584"/>
                    </a:xfrm>
                    <a:prstGeom prst="rect">
                      <a:avLst/>
                    </a:prstGeom>
                  </pic:spPr>
                </pic:pic>
              </a:graphicData>
            </a:graphic>
          </wp:inline>
        </w:drawing>
      </w:r>
      <w:r>
        <w:rPr>
          <w:rFonts w:ascii="SimHei" w:eastAsia="SimHei" w:hAnsi="SimHei" w:cs="SimHei"/>
          <w:spacing w:val="6"/>
          <w:sz w:val="21"/>
          <w:szCs w:val="21"/>
        </w:rPr>
        <w:t xml:space="preserve">  </w:t>
      </w:r>
      <w:r>
        <w:rPr>
          <w:rFonts w:ascii="SimHei" w:eastAsia="SimHei" w:hAnsi="SimHei" w:cs="SimHei"/>
          <w:spacing w:val="-1"/>
          <w:sz w:val="21"/>
          <w:szCs w:val="21"/>
        </w:rPr>
        <w:t>基准地价评估</w:t>
      </w:r>
    </w:p>
    <w:p>
      <w:pPr>
        <w:spacing w:before="141" w:line="283" w:lineRule="auto"/>
        <w:ind w:left="5" w:right="7225"/>
        <w:rPr>
          <w:rFonts w:ascii="SimHei" w:eastAsia="SimHei" w:hAnsi="SimHei" w:cs="SimHei"/>
          <w:sz w:val="21"/>
          <w:szCs w:val="21"/>
        </w:rPr>
      </w:pPr>
      <w:r>
        <w:rPr>
          <w:rFonts w:ascii="SimHei" w:eastAsia="SimHei" w:hAnsi="SimHei" w:cs="SimHei"/>
          <w:spacing w:val="-1"/>
          <w:sz w:val="21"/>
          <w:szCs w:val="21"/>
        </w:rPr>
        <w:t>6.8.1</w:t>
      </w:r>
      <w:r>
        <w:rPr>
          <w:rFonts w:ascii="SimHei" w:eastAsia="SimHei" w:hAnsi="SimHei" w:cs="SimHei"/>
          <w:spacing w:val="-1"/>
          <w:sz w:val="21"/>
          <w:szCs w:val="21"/>
        </w:rPr>
        <w:t xml:space="preserve">  </w:t>
      </w:r>
      <w:r>
        <w:rPr>
          <w:rFonts w:ascii="SimHei" w:eastAsia="SimHei" w:hAnsi="SimHei" w:cs="SimHei"/>
          <w:spacing w:val="-1"/>
          <w:sz w:val="21"/>
          <w:szCs w:val="21"/>
        </w:rPr>
        <w:t>样点地价平均法</w:t>
      </w:r>
      <w:r>
        <w:rPr>
          <w:rFonts w:ascii="SimHei" w:eastAsia="SimHei" w:hAnsi="SimHei" w:cs="SimHei"/>
          <w:spacing w:val="8"/>
          <w:sz w:val="21"/>
          <w:szCs w:val="21"/>
        </w:rPr>
        <w:t xml:space="preserve"> </w:t>
      </w:r>
      <w:hyperlink r:id="rId12" w:history="1">
        <w:r>
          <w:rPr>
            <w:rFonts w:ascii="SimHei" w:eastAsia="SimHei" w:hAnsi="SimHei" w:cs="SimHei"/>
            <w:spacing w:val="-1"/>
            <w:sz w:val="21"/>
            <w:szCs w:val="21"/>
          </w:rPr>
          <w:t>6.8.1.1</w:t>
        </w:r>
      </w:hyperlink>
      <w:r>
        <w:rPr>
          <w:rFonts w:ascii="SimHei" w:eastAsia="SimHei" w:hAnsi="SimHei" w:cs="SimHei"/>
          <w:spacing w:val="-1"/>
          <w:sz w:val="21"/>
          <w:szCs w:val="21"/>
        </w:rPr>
        <w:t xml:space="preserve">  </w:t>
      </w:r>
      <w:r>
        <w:rPr>
          <w:rFonts w:ascii="SimHei" w:eastAsia="SimHei" w:hAnsi="SimHei" w:cs="SimHei"/>
          <w:spacing w:val="-1"/>
          <w:sz w:val="21"/>
          <w:szCs w:val="21"/>
        </w:rPr>
        <w:t>评估步骤</w:t>
      </w:r>
    </w:p>
    <w:p>
      <w:pPr>
        <w:pStyle w:val="BodyText"/>
        <w:spacing w:before="142" w:line="219" w:lineRule="auto"/>
        <w:ind w:left="425"/>
      </w:pPr>
      <w:r>
        <w:rPr>
          <w:spacing w:val="-2"/>
        </w:rPr>
        <w:t>样点地价平均法的评估步骤如下：</w:t>
      </w:r>
    </w:p>
    <w:p>
      <w:pPr>
        <w:pStyle w:val="BodyText"/>
        <w:spacing w:before="24" w:line="221" w:lineRule="auto"/>
        <w:ind w:left="431"/>
      </w:pPr>
      <w:r>
        <w:rPr>
          <w:spacing w:val="-1"/>
        </w:rPr>
        <w:t>a)  调查市场交易样点资料和投入产出样点资料；</w:t>
      </w:r>
    </w:p>
    <w:p>
      <w:pPr>
        <w:pStyle w:val="BodyText"/>
        <w:spacing w:before="20" w:line="241" w:lineRule="auto"/>
        <w:ind w:left="427"/>
      </w:pPr>
      <w:r>
        <w:rPr>
          <w:spacing w:val="-3"/>
        </w:rPr>
        <w:t>b)  根据样点类型，</w:t>
      </w:r>
      <w:r>
        <w:rPr>
          <w:spacing w:val="-24"/>
        </w:rPr>
        <w:t xml:space="preserve"> </w:t>
      </w:r>
      <w:r>
        <w:rPr>
          <w:spacing w:val="-3"/>
        </w:rPr>
        <w:t>选择相应的方法评估样点地价；</w:t>
      </w:r>
    </w:p>
    <w:p>
      <w:pPr>
        <w:pStyle w:val="BodyText"/>
        <w:spacing w:line="219" w:lineRule="auto"/>
        <w:ind w:left="435"/>
        <w:sectPr>
          <w:headerReference w:type="default" r:id="rId13"/>
          <w:footerReference w:type="default" r:id="rId14"/>
          <w:pgSz w:w="11907" w:h="16839"/>
          <w:pgMar w:top="1659" w:right="1053" w:bottom="1305" w:left="1420" w:header="1448" w:footer="1128" w:gutter="0"/>
          <w:pgNumType w:start="7"/>
          <w:cols w:space="708"/>
        </w:sectPr>
      </w:pPr>
      <w:r>
        <w:rPr>
          <w:spacing w:val="-1"/>
        </w:rPr>
        <w:t>c)  修正与整理样点地价；</w:t>
      </w:r>
    </w:p>
    <w:p>
      <w:pPr>
        <w:pStyle w:val="BodyText"/>
        <w:spacing w:before="22" w:line="391" w:lineRule="exact"/>
        <w:ind w:left="435"/>
      </w:pPr>
      <w:r>
        <w:rPr>
          <w:spacing w:val="-1"/>
          <w:position w:val="13"/>
        </w:rPr>
        <w:t>d)  计算各园地利用类型、各级别园地或均质区的基准地价。</w:t>
      </w:r>
    </w:p>
    <w:p>
      <w:pPr>
        <w:spacing w:before="1" w:line="219" w:lineRule="auto"/>
        <w:ind w:left="5"/>
        <w:rPr>
          <w:rFonts w:ascii="SimHei" w:eastAsia="SimHei" w:hAnsi="SimHei" w:cs="SimHei"/>
          <w:sz w:val="21"/>
          <w:szCs w:val="21"/>
        </w:rPr>
      </w:pPr>
      <w:hyperlink r:id="rId15" w:history="1">
        <w:r>
          <w:rPr>
            <w:rFonts w:ascii="SimHei" w:eastAsia="SimHei" w:hAnsi="SimHei" w:cs="SimHei"/>
            <w:sz w:val="21"/>
            <w:szCs w:val="21"/>
          </w:rPr>
          <w:t>6.8.1.2</w:t>
        </w:r>
      </w:hyperlink>
      <w:r>
        <w:rPr>
          <w:rFonts w:ascii="SimHei" w:eastAsia="SimHei" w:hAnsi="SimHei" w:cs="SimHei"/>
          <w:sz w:val="21"/>
          <w:szCs w:val="21"/>
        </w:rPr>
        <w:t xml:space="preserve">  </w:t>
      </w:r>
      <w:r>
        <w:rPr>
          <w:rFonts w:ascii="SimHei" w:eastAsia="SimHei" w:hAnsi="SimHei" w:cs="SimHei"/>
          <w:sz w:val="21"/>
          <w:szCs w:val="21"/>
        </w:rPr>
        <w:t>市场交易和投入产出样点资</w:t>
      </w:r>
      <w:r>
        <w:rPr>
          <w:rFonts w:ascii="SimHei" w:eastAsia="SimHei" w:hAnsi="SimHei" w:cs="SimHei"/>
          <w:spacing w:val="-1"/>
          <w:sz w:val="21"/>
          <w:szCs w:val="21"/>
        </w:rPr>
        <w:t>料调查</w:t>
      </w:r>
    </w:p>
    <w:p>
      <w:pPr>
        <w:pStyle w:val="BodyText"/>
        <w:spacing w:before="144" w:line="229" w:lineRule="auto"/>
        <w:ind w:left="8" w:right="75" w:firstLine="424"/>
      </w:pPr>
      <w:r>
        <w:rPr>
          <w:spacing w:val="-4"/>
        </w:rPr>
        <w:t>市场交易样点资料调查，</w:t>
      </w:r>
      <w:r>
        <w:rPr>
          <w:spacing w:val="-40"/>
        </w:rPr>
        <w:t xml:space="preserve"> </w:t>
      </w:r>
      <w:r>
        <w:rPr>
          <w:spacing w:val="-4"/>
        </w:rPr>
        <w:t>在市场资料充足的情况下，采用抽样调查；在市场资料不足的情况下，采</w:t>
      </w:r>
      <w:r>
        <w:t xml:space="preserve"> </w:t>
      </w:r>
      <w:r>
        <w:rPr>
          <w:spacing w:val="-1"/>
        </w:rPr>
        <w:t>用全面调查。园地投入产出样点资料调查采用抽样调查方式。</w:t>
      </w:r>
    </w:p>
    <w:p>
      <w:pPr>
        <w:pStyle w:val="BodyText"/>
        <w:spacing w:before="23" w:line="221" w:lineRule="auto"/>
        <w:ind w:left="431"/>
      </w:pPr>
      <w:r>
        <w:t>a)  样点的要求：</w:t>
      </w:r>
    </w:p>
    <w:p>
      <w:pPr>
        <w:pStyle w:val="BodyText"/>
        <w:spacing w:before="19" w:line="231" w:lineRule="auto"/>
        <w:ind w:left="1288" w:right="74" w:hanging="415"/>
      </w:pPr>
      <w:r>
        <w:rPr>
          <w:spacing w:val="-2"/>
        </w:rPr>
        <w:t>1)  在市场交易活跃的情况下，优先选用近 3 年的市场</w:t>
      </w:r>
      <w:r>
        <w:rPr>
          <w:spacing w:val="-3"/>
        </w:rPr>
        <w:t>交易样点，</w:t>
      </w:r>
      <w:r>
        <w:rPr>
          <w:spacing w:val="-24"/>
        </w:rPr>
        <w:t xml:space="preserve"> </w:t>
      </w:r>
      <w:r>
        <w:rPr>
          <w:spacing w:val="-3"/>
        </w:rPr>
        <w:t>缺乏市场交易样点的情况</w:t>
      </w:r>
      <w:r>
        <w:t xml:space="preserve"> </w:t>
      </w:r>
      <w:r>
        <w:rPr>
          <w:spacing w:val="-1"/>
        </w:rPr>
        <w:t>下，可选取投入产出样点；</w:t>
      </w:r>
    </w:p>
    <w:p>
      <w:pPr>
        <w:pStyle w:val="BodyText"/>
        <w:spacing w:before="20" w:line="231" w:lineRule="auto"/>
        <w:ind w:left="1282" w:right="74" w:hanging="422"/>
      </w:pPr>
      <w:r>
        <w:rPr>
          <w:spacing w:val="-4"/>
        </w:rPr>
        <w:t>2)  投入产出样点数据应根据园地作物的经济寿命周期，调查连续多年（不少于</w:t>
      </w:r>
      <w:r>
        <w:rPr>
          <w:spacing w:val="-40"/>
        </w:rPr>
        <w:t xml:space="preserve"> </w:t>
      </w:r>
      <w:r>
        <w:rPr>
          <w:spacing w:val="-5"/>
        </w:rPr>
        <w:t>3</w:t>
      </w:r>
      <w:r>
        <w:rPr>
          <w:spacing w:val="-46"/>
        </w:rPr>
        <w:t xml:space="preserve"> </w:t>
      </w:r>
      <w:r>
        <w:rPr>
          <w:spacing w:val="-5"/>
        </w:rPr>
        <w:t>年）</w:t>
      </w:r>
      <w:r>
        <w:rPr>
          <w:spacing w:val="-61"/>
        </w:rPr>
        <w:t xml:space="preserve"> </w:t>
      </w:r>
      <w:r>
        <w:rPr>
          <w:spacing w:val="-5"/>
        </w:rPr>
        <w:t>的投入</w:t>
      </w:r>
      <w:r>
        <w:t xml:space="preserve"> </w:t>
      </w:r>
      <w:r>
        <w:rPr>
          <w:spacing w:val="-1"/>
        </w:rPr>
        <w:t>产出的平均状况；</w:t>
      </w:r>
    </w:p>
    <w:p>
      <w:pPr>
        <w:spacing w:line="231" w:lineRule="auto"/>
        <w:sectPr>
          <w:headerReference w:type="default" r:id="rId16"/>
          <w:footerReference w:type="default" r:id="rId17"/>
          <w:type w:val="nextPage"/>
          <w:pgSz w:w="11907" w:h="16839"/>
          <w:pgMar w:top="1659" w:right="1053" w:bottom="1305" w:left="1420" w:header="1448" w:footer="1128" w:gutter="0"/>
          <w:pgNumType w:start="8"/>
          <w:cols w:space="708"/>
          <w:titlePg w:val="0"/>
        </w:sectPr>
      </w:pPr>
    </w:p>
    <w:p>
      <w:pPr>
        <w:pStyle w:val="BodyText"/>
        <w:spacing w:before="296" w:line="231" w:lineRule="auto"/>
        <w:ind w:left="422" w:right="1459" w:firstLine="434"/>
      </w:pPr>
      <w:r>
        <w:rPr>
          <w:spacing w:val="-3"/>
        </w:rPr>
        <w:t>3)  样点要有代表性，应以级别或者均质区为基本单位进行</w:t>
      </w:r>
      <w:r>
        <w:rPr>
          <w:spacing w:val="-4"/>
        </w:rPr>
        <w:t>调查，</w:t>
      </w:r>
      <w:r>
        <w:rPr>
          <w:spacing w:val="-23"/>
        </w:rPr>
        <w:t xml:space="preserve"> </w:t>
      </w:r>
      <w:r>
        <w:rPr>
          <w:spacing w:val="-4"/>
        </w:rPr>
        <w:t>均匀分布。</w:t>
      </w:r>
      <w:r>
        <w:t xml:space="preserve"> </w:t>
      </w:r>
      <w:r>
        <w:t>b)  样点资料的整理：</w:t>
      </w:r>
    </w:p>
    <w:p>
      <w:pPr>
        <w:pStyle w:val="BodyText"/>
        <w:spacing w:before="19" w:line="231" w:lineRule="auto"/>
        <w:ind w:left="1281" w:right="118" w:hanging="413"/>
      </w:pPr>
      <w:r>
        <w:rPr>
          <w:spacing w:val="-4"/>
        </w:rPr>
        <w:t>1)  样点资料补充完善：对所有调查的样点资料均要逐表审查，对主要数据不全或不准确</w:t>
      </w:r>
      <w:r>
        <w:rPr>
          <w:spacing w:val="-5"/>
        </w:rPr>
        <w:t>的，</w:t>
      </w:r>
      <w:r>
        <w:t xml:space="preserve"> </w:t>
      </w:r>
      <w:r>
        <w:rPr>
          <w:spacing w:val="-1"/>
        </w:rPr>
        <w:t>则需要进行补充调查，完善内容；</w:t>
      </w:r>
    </w:p>
    <w:p>
      <w:pPr>
        <w:pStyle w:val="BodyText"/>
        <w:spacing w:before="19" w:line="231" w:lineRule="auto"/>
        <w:ind w:left="1291" w:right="72" w:hanging="436"/>
      </w:pPr>
      <w:r>
        <w:rPr>
          <w:spacing w:val="-3"/>
        </w:rPr>
        <w:t>2)  样点资料剔除：将缺少主要项目、填报数据不符合要求和数据明显偏离正常情况而又不容</w:t>
      </w:r>
      <w:r>
        <w:rPr>
          <w:spacing w:val="14"/>
        </w:rPr>
        <w:t xml:space="preserve"> </w:t>
      </w:r>
      <w:r>
        <w:rPr>
          <w:spacing w:val="-4"/>
        </w:rPr>
        <w:t>易补充的样点进行剔除；</w:t>
      </w:r>
    </w:p>
    <w:p>
      <w:pPr>
        <w:pStyle w:val="BodyText"/>
        <w:spacing w:before="18" w:line="236" w:lineRule="auto"/>
        <w:ind w:left="1279" w:right="80" w:hanging="423"/>
      </w:pPr>
      <w:r>
        <w:rPr>
          <w:spacing w:val="-5"/>
        </w:rPr>
        <w:t>3)  样点资料归档：</w:t>
      </w:r>
      <w:r>
        <w:rPr>
          <w:spacing w:val="-63"/>
        </w:rPr>
        <w:t xml:space="preserve"> </w:t>
      </w:r>
      <w:r>
        <w:rPr>
          <w:spacing w:val="-5"/>
        </w:rPr>
        <w:t>将初步审查合格的样点资料，</w:t>
      </w:r>
      <w:r>
        <w:rPr>
          <w:spacing w:val="-57"/>
        </w:rPr>
        <w:t xml:space="preserve"> </w:t>
      </w:r>
      <w:r>
        <w:rPr>
          <w:spacing w:val="-5"/>
        </w:rPr>
        <w:t>分别按园地级别或均质区、园地利用类型、</w:t>
      </w:r>
      <w:r>
        <w:t xml:space="preserve"> </w:t>
      </w:r>
      <w:r>
        <w:rPr>
          <w:spacing w:val="2"/>
        </w:rPr>
        <w:t>园地成本和园地经营效益进行归类，当样点数量少于规定要求时需要进行样点的补充调</w:t>
      </w:r>
      <w:r>
        <w:rPr>
          <w:spacing w:val="6"/>
        </w:rPr>
        <w:t xml:space="preserve"> </w:t>
      </w:r>
      <w:r>
        <w:rPr>
          <w:spacing w:val="-10"/>
        </w:rPr>
        <w:t>查。</w:t>
      </w:r>
    </w:p>
    <w:p>
      <w:pPr>
        <w:spacing w:before="134" w:line="220" w:lineRule="auto"/>
        <w:rPr>
          <w:rFonts w:ascii="SimHei" w:eastAsia="SimHei" w:hAnsi="SimHei" w:cs="SimHei"/>
          <w:sz w:val="21"/>
          <w:szCs w:val="21"/>
        </w:rPr>
      </w:pPr>
      <w:hyperlink r:id="rId18" w:history="1">
        <w:r>
          <w:rPr>
            <w:rFonts w:ascii="SimHei" w:eastAsia="SimHei" w:hAnsi="SimHei" w:cs="SimHei"/>
            <w:spacing w:val="-1"/>
            <w:sz w:val="21"/>
            <w:szCs w:val="21"/>
          </w:rPr>
          <w:t>6.8.1.3</w:t>
        </w:r>
      </w:hyperlink>
      <w:r>
        <w:rPr>
          <w:rFonts w:ascii="SimHei" w:eastAsia="SimHei" w:hAnsi="SimHei" w:cs="SimHei"/>
          <w:spacing w:val="-1"/>
          <w:sz w:val="21"/>
          <w:szCs w:val="21"/>
        </w:rPr>
        <w:t xml:space="preserve">  </w:t>
      </w:r>
      <w:r>
        <w:rPr>
          <w:rFonts w:ascii="SimHei" w:eastAsia="SimHei" w:hAnsi="SimHei" w:cs="SimHei"/>
          <w:spacing w:val="-1"/>
          <w:sz w:val="21"/>
          <w:szCs w:val="21"/>
        </w:rPr>
        <w:t>样点地价的分析测算</w:t>
      </w:r>
    </w:p>
    <w:p>
      <w:pPr>
        <w:pStyle w:val="BodyText"/>
        <w:spacing w:before="141" w:line="230" w:lineRule="auto"/>
        <w:ind w:left="3" w:right="72" w:firstLine="423"/>
      </w:pPr>
      <w:r>
        <w:rPr>
          <w:spacing w:val="-4"/>
        </w:rPr>
        <w:t>市场交易样点， 区分承包、转让、出租、抵押、作价出资（入股）</w:t>
      </w:r>
      <w:r>
        <w:rPr>
          <w:spacing w:val="-15"/>
        </w:rPr>
        <w:t xml:space="preserve"> </w:t>
      </w:r>
      <w:r>
        <w:rPr>
          <w:spacing w:val="-4"/>
        </w:rPr>
        <w:t>等交易类型，按照GB/T 28406-</w:t>
      </w:r>
      <w:r>
        <w:t xml:space="preserve"> </w:t>
      </w:r>
      <w:r>
        <w:t>2012的规定，采用市场比较法、收益还原法评</w:t>
      </w:r>
      <w:r>
        <w:rPr>
          <w:spacing w:val="-1"/>
        </w:rPr>
        <w:t>估样点地价。</w:t>
      </w:r>
    </w:p>
    <w:p>
      <w:pPr>
        <w:pStyle w:val="BodyText"/>
        <w:spacing w:before="22" w:line="219" w:lineRule="auto"/>
        <w:ind w:left="423"/>
      </w:pPr>
      <w:r>
        <w:rPr>
          <w:spacing w:val="-4"/>
        </w:rPr>
        <w:t>投入产出样点，</w:t>
      </w:r>
      <w:r>
        <w:rPr>
          <w:spacing w:val="-22"/>
        </w:rPr>
        <w:t xml:space="preserve"> </w:t>
      </w:r>
      <w:r>
        <w:rPr>
          <w:spacing w:val="-4"/>
        </w:rPr>
        <w:t>按照GB/T 28406-2012的规定，</w:t>
      </w:r>
      <w:r>
        <w:rPr>
          <w:spacing w:val="-24"/>
        </w:rPr>
        <w:t xml:space="preserve"> </w:t>
      </w:r>
      <w:r>
        <w:rPr>
          <w:spacing w:val="-4"/>
        </w:rPr>
        <w:t>采用收益还原法评估样点</w:t>
      </w:r>
      <w:r>
        <w:rPr>
          <w:spacing w:val="-5"/>
        </w:rPr>
        <w:t>地价。</w:t>
      </w:r>
    </w:p>
    <w:p>
      <w:pPr>
        <w:spacing w:before="145" w:line="391" w:lineRule="exact"/>
        <w:rPr>
          <w:rFonts w:ascii="SimHei" w:eastAsia="SimHei" w:hAnsi="SimHei" w:cs="SimHei"/>
          <w:sz w:val="21"/>
          <w:szCs w:val="21"/>
        </w:rPr>
      </w:pPr>
      <w:hyperlink r:id="rId19" w:history="1">
        <w:r>
          <w:rPr>
            <w:rFonts w:ascii="SimHei" w:eastAsia="SimHei" w:hAnsi="SimHei" w:cs="SimHei"/>
            <w:spacing w:val="-1"/>
            <w:position w:val="13"/>
            <w:sz w:val="21"/>
            <w:szCs w:val="21"/>
          </w:rPr>
          <w:t>6.8.1.4</w:t>
        </w:r>
      </w:hyperlink>
      <w:r>
        <w:rPr>
          <w:rFonts w:ascii="SimHei" w:eastAsia="SimHei" w:hAnsi="SimHei" w:cs="SimHei"/>
          <w:spacing w:val="-1"/>
          <w:position w:val="13"/>
          <w:sz w:val="21"/>
          <w:szCs w:val="21"/>
        </w:rPr>
        <w:t xml:space="preserve">  </w:t>
      </w:r>
      <w:r>
        <w:rPr>
          <w:rFonts w:ascii="SimHei" w:eastAsia="SimHei" w:hAnsi="SimHei" w:cs="SimHei"/>
          <w:spacing w:val="-1"/>
          <w:position w:val="13"/>
          <w:sz w:val="21"/>
          <w:szCs w:val="21"/>
        </w:rPr>
        <w:t>样点地价的修正与处理</w:t>
      </w:r>
    </w:p>
    <w:p>
      <w:pPr>
        <w:spacing w:before="1" w:line="219" w:lineRule="auto"/>
        <w:rPr>
          <w:rFonts w:ascii="SimHei" w:eastAsia="SimHei" w:hAnsi="SimHei" w:cs="SimHei"/>
          <w:sz w:val="21"/>
          <w:szCs w:val="21"/>
        </w:rPr>
      </w:pPr>
      <w:r>
        <w:rPr>
          <w:rFonts w:ascii="SimHei" w:eastAsia="SimHei" w:hAnsi="SimHei" w:cs="SimHei"/>
          <w:spacing w:val="-1"/>
          <w:sz w:val="21"/>
          <w:szCs w:val="21"/>
        </w:rPr>
        <w:t>6.8.1.4.1</w:t>
      </w:r>
      <w:r>
        <w:rPr>
          <w:rFonts w:ascii="SimHei" w:eastAsia="SimHei" w:hAnsi="SimHei" w:cs="SimHei"/>
          <w:spacing w:val="-1"/>
          <w:sz w:val="21"/>
          <w:szCs w:val="21"/>
        </w:rPr>
        <w:t xml:space="preserve">  </w:t>
      </w:r>
      <w:r>
        <w:rPr>
          <w:rFonts w:ascii="SimHei" w:eastAsia="SimHei" w:hAnsi="SimHei" w:cs="SimHei"/>
          <w:spacing w:val="-1"/>
          <w:sz w:val="21"/>
          <w:szCs w:val="21"/>
        </w:rPr>
        <w:t>样点地价修正要求</w:t>
      </w:r>
    </w:p>
    <w:p>
      <w:pPr>
        <w:pStyle w:val="BodyText"/>
        <w:spacing w:before="140" w:line="230" w:lineRule="auto"/>
        <w:ind w:left="37" w:firstLine="382"/>
      </w:pPr>
      <w:r>
        <w:rPr>
          <w:spacing w:val="-2"/>
        </w:rPr>
        <w:t>样点地价的修正需要把样点地价修正成为基准</w:t>
      </w:r>
      <w:r>
        <w:rPr>
          <w:spacing w:val="-3"/>
        </w:rPr>
        <w:t xml:space="preserve">地价内涵条件下的正常地价，主要包括年期修正、期 </w:t>
      </w:r>
      <w:r>
        <w:rPr>
          <w:spacing w:val="-1"/>
        </w:rPr>
        <w:t>日修正及其他修正等。样点地价处理需要进行样点数据检验</w:t>
      </w:r>
      <w:r>
        <w:rPr>
          <w:spacing w:val="-2"/>
        </w:rPr>
        <w:t>，绘制样点地价分布图并进行数据整理等。</w:t>
      </w:r>
    </w:p>
    <w:p>
      <w:pPr>
        <w:spacing w:before="142" w:line="220" w:lineRule="auto"/>
        <w:rPr>
          <w:rFonts w:ascii="SimHei" w:eastAsia="SimHei" w:hAnsi="SimHei" w:cs="SimHei"/>
          <w:sz w:val="21"/>
          <w:szCs w:val="21"/>
        </w:rPr>
      </w:pPr>
      <w:r>
        <w:rPr>
          <w:rFonts w:ascii="SimHei" w:eastAsia="SimHei" w:hAnsi="SimHei" w:cs="SimHei"/>
          <w:spacing w:val="-1"/>
          <w:sz w:val="21"/>
          <w:szCs w:val="21"/>
        </w:rPr>
        <w:t>6.8.1.4.2</w:t>
      </w:r>
      <w:r>
        <w:rPr>
          <w:rFonts w:ascii="SimHei" w:eastAsia="SimHei" w:hAnsi="SimHei" w:cs="SimHei"/>
          <w:spacing w:val="-1"/>
          <w:sz w:val="21"/>
          <w:szCs w:val="21"/>
        </w:rPr>
        <w:t xml:space="preserve">  </w:t>
      </w:r>
      <w:r>
        <w:rPr>
          <w:rFonts w:ascii="SimHei" w:eastAsia="SimHei" w:hAnsi="SimHei" w:cs="SimHei"/>
          <w:spacing w:val="-1"/>
          <w:sz w:val="21"/>
          <w:szCs w:val="21"/>
        </w:rPr>
        <w:t>样点地价的年期修正</w:t>
      </w:r>
    </w:p>
    <w:p>
      <w:pPr>
        <w:pStyle w:val="BodyText"/>
        <w:spacing w:before="144" w:line="208" w:lineRule="auto"/>
        <w:ind w:left="424"/>
      </w:pPr>
      <w:r>
        <w:t>不同年期的样点地价要修正到基准地价设定年期下的地价，按</w:t>
      </w:r>
      <w:r>
        <w:rPr>
          <w:spacing w:val="-1"/>
        </w:rPr>
        <w:t>式（1）计算：</w:t>
      </w:r>
    </w:p>
    <w:p>
      <w:pPr>
        <w:pStyle w:val="BodyText"/>
        <w:ind w:left="3596"/>
      </w:pPr>
      <w:r>
        <w:rPr>
          <w:rFonts w:ascii="Cambria Math" w:eastAsia="Cambria Math" w:hAnsi="Cambria Math" w:cs="Cambria Math"/>
          <w:position w:val="-4"/>
        </w:rPr>
        <w:drawing>
          <wp:inline distT="0" distB="0" distL="0" distR="0">
            <wp:extent cx="70890" cy="134111"/>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20"/>
                    <a:stretch>
                      <a:fillRect/>
                    </a:stretch>
                  </pic:blipFill>
                  <pic:spPr>
                    <a:xfrm>
                      <a:off x="0" y="0"/>
                      <a:ext cx="70890" cy="134111"/>
                    </a:xfrm>
                    <a:prstGeom prst="rect">
                      <a:avLst/>
                    </a:prstGeom>
                  </pic:spPr>
                </pic:pic>
              </a:graphicData>
            </a:graphic>
          </wp:inline>
        </w:drawing>
      </w:r>
      <w:r>
        <w:rPr>
          <w:rFonts w:ascii="Cambria Math" w:eastAsia="Cambria Math" w:hAnsi="Cambria Math" w:cs="Cambria Math"/>
          <w:position w:val="-7"/>
        </w:rPr>
        <w:drawing>
          <wp:inline distT="0" distB="0" distL="0" distR="0">
            <wp:extent cx="83073" cy="96011"/>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1"/>
                    <a:stretch>
                      <a:fillRect/>
                    </a:stretch>
                  </pic:blipFill>
                  <pic:spPr>
                    <a:xfrm>
                      <a:off x="0" y="0"/>
                      <a:ext cx="83073" cy="96011"/>
                    </a:xfrm>
                    <a:prstGeom prst="rect">
                      <a:avLst/>
                    </a:prstGeom>
                  </pic:spPr>
                </pic:pic>
              </a:graphicData>
            </a:graphic>
          </wp:inline>
        </w:drawing>
      </w:r>
      <w:r>
        <w:rPr>
          <w:rFonts w:ascii="Cambria Math" w:eastAsia="Cambria Math" w:hAnsi="Cambria Math" w:cs="Cambria Math"/>
          <w:spacing w:val="40"/>
          <w:w w:val="101"/>
        </w:rPr>
        <w:t xml:space="preserve"> </w:t>
      </w:r>
      <w:r>
        <w:rPr>
          <w:rFonts w:ascii="Cambria Math" w:eastAsia="Cambria Math" w:hAnsi="Cambria Math" w:cs="Cambria Math"/>
          <w:spacing w:val="-4"/>
        </w:rPr>
        <w:t>=</w:t>
      </w:r>
      <w:r>
        <w:rPr>
          <w:rFonts w:ascii="Cambria Math" w:eastAsia="Cambria Math" w:hAnsi="Cambria Math" w:cs="Cambria Math"/>
          <w:spacing w:val="15"/>
          <w:w w:val="101"/>
        </w:rPr>
        <w:t xml:space="preserve"> </w:t>
      </w:r>
      <w:r>
        <w:rPr>
          <w:position w:val="-4"/>
        </w:rPr>
        <w:drawing>
          <wp:inline distT="0" distB="0" distL="0" distR="0">
            <wp:extent cx="70890" cy="13411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2"/>
                    <a:stretch>
                      <a:fillRect/>
                    </a:stretch>
                  </pic:blipFill>
                  <pic:spPr>
                    <a:xfrm>
                      <a:off x="0" y="0"/>
                      <a:ext cx="70890" cy="134111"/>
                    </a:xfrm>
                    <a:prstGeom prst="rect">
                      <a:avLst/>
                    </a:prstGeom>
                  </pic:spPr>
                </pic:pic>
              </a:graphicData>
            </a:graphic>
          </wp:inline>
        </w:drawing>
      </w:r>
      <w:r>
        <w:rPr>
          <w:position w:val="-7"/>
        </w:rPr>
        <w:drawing>
          <wp:inline distT="0" distB="0" distL="0" distR="0">
            <wp:extent cx="83073" cy="9601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3"/>
                    <a:stretch>
                      <a:fillRect/>
                    </a:stretch>
                  </pic:blipFill>
                  <pic:spPr>
                    <a:xfrm>
                      <a:off x="0" y="0"/>
                      <a:ext cx="83073" cy="96011"/>
                    </a:xfrm>
                    <a:prstGeom prst="rect">
                      <a:avLst/>
                    </a:prstGeom>
                  </pic:spPr>
                </pic:pic>
              </a:graphicData>
            </a:graphic>
          </wp:inline>
        </w:drawing>
      </w:r>
      <w:r>
        <w:rPr>
          <w:rFonts w:ascii="Cambria Math" w:eastAsia="Cambria Math" w:hAnsi="Cambria Math" w:cs="Cambria Math"/>
          <w:spacing w:val="-4"/>
          <w:position w:val="-7"/>
          <w:sz w:val="12"/>
          <w:szCs w:val="12"/>
        </w:rPr>
        <w:t>1</w:t>
      </w:r>
      <w:r>
        <w:rPr>
          <w:rFonts w:ascii="Cambria Math" w:eastAsia="Cambria Math" w:hAnsi="Cambria Math" w:cs="Cambria Math"/>
          <w:spacing w:val="12"/>
          <w:position w:val="-7"/>
          <w:sz w:val="12"/>
          <w:szCs w:val="12"/>
        </w:rPr>
        <w:t xml:space="preserve">  </w:t>
      </w:r>
      <w:r>
        <w:rPr>
          <w:rFonts w:ascii="Cambria Math" w:eastAsia="Cambria Math" w:hAnsi="Cambria Math" w:cs="Cambria Math"/>
        </w:rPr>
        <w:t xml:space="preserve">× </w:t>
      </w:r>
      <w:r>
        <w:rPr>
          <w:position w:val="-16"/>
        </w:rPr>
        <w:drawing>
          <wp:inline distT="0" distB="0" distL="0" distR="0">
            <wp:extent cx="640935" cy="277621"/>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4"/>
                    <a:stretch>
                      <a:fillRect/>
                    </a:stretch>
                  </pic:blipFill>
                  <pic:spPr>
                    <a:xfrm>
                      <a:off x="0" y="0"/>
                      <a:ext cx="640935" cy="277621"/>
                    </a:xfrm>
                    <a:prstGeom prst="rect">
                      <a:avLst/>
                    </a:prstGeom>
                  </pic:spPr>
                </pic:pic>
              </a:graphicData>
            </a:graphic>
          </wp:inline>
        </w:drawing>
      </w:r>
      <w:r>
        <w:rPr>
          <w:rFonts w:ascii="Cambria Math" w:eastAsia="Cambria Math" w:hAnsi="Cambria Math" w:cs="Cambria Math"/>
          <w:spacing w:val="38"/>
        </w:rPr>
        <w:t xml:space="preserve"> </w:t>
      </w:r>
      <w:r>
        <w:rPr>
          <w:rFonts w:ascii="Microsoft YaHei" w:eastAsia="Microsoft YaHei" w:hAnsi="Microsoft YaHei" w:cs="Microsoft YaHei"/>
        </w:rPr>
        <w:t>········································</w:t>
      </w:r>
      <w:r>
        <w:rPr>
          <w:rFonts w:ascii="Microsoft YaHei" w:eastAsia="Microsoft YaHei" w:hAnsi="Microsoft YaHei" w:cs="Microsoft YaHei"/>
          <w:spacing w:val="-1"/>
        </w:rPr>
        <w:t>····················</w:t>
      </w:r>
      <w:r>
        <w:rPr>
          <w:spacing w:val="-1"/>
        </w:rPr>
        <w:t>（1）</w:t>
      </w:r>
    </w:p>
    <w:p>
      <w:pPr>
        <w:pStyle w:val="BodyText"/>
        <w:spacing w:before="116" w:line="221" w:lineRule="auto"/>
        <w:ind w:left="425"/>
      </w:pPr>
      <w:r>
        <w:rPr>
          <w:spacing w:val="-13"/>
        </w:rPr>
        <w:t>式中：</w:t>
      </w:r>
    </w:p>
    <w:p>
      <w:pPr>
        <w:pStyle w:val="BodyText"/>
        <w:spacing w:before="94"/>
        <w:ind w:left="418"/>
      </w:pPr>
      <w:r>
        <w:rPr>
          <w:rFonts w:ascii="Microsoft YaHei" w:eastAsia="Microsoft YaHei" w:hAnsi="Microsoft YaHei" w:cs="Microsoft YaHei"/>
          <w:position w:val="-4"/>
        </w:rPr>
        <w:drawing>
          <wp:inline distT="0" distB="0" distL="0" distR="0">
            <wp:extent cx="65474" cy="13411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5"/>
                    <a:stretch>
                      <a:fillRect/>
                    </a:stretch>
                  </pic:blipFill>
                  <pic:spPr>
                    <a:xfrm>
                      <a:off x="0" y="0"/>
                      <a:ext cx="65474" cy="134111"/>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76725" cy="96011"/>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26"/>
                    <a:stretch>
                      <a:fillRect/>
                    </a:stretch>
                  </pic:blipFill>
                  <pic:spPr>
                    <a:xfrm>
                      <a:off x="0" y="0"/>
                      <a:ext cx="76725" cy="96011"/>
                    </a:xfrm>
                    <a:prstGeom prst="rect">
                      <a:avLst/>
                    </a:prstGeom>
                  </pic:spPr>
                </pic:pic>
              </a:graphicData>
            </a:graphic>
          </wp:inline>
        </w:drawing>
      </w:r>
      <w:r>
        <w:rPr>
          <w:rFonts w:ascii="Microsoft YaHei" w:eastAsia="Microsoft YaHei" w:hAnsi="Microsoft YaHei" w:cs="Microsoft YaHei"/>
          <w:spacing w:val="-52"/>
        </w:rPr>
        <w:t xml:space="preserve"> </w:t>
      </w:r>
      <w:r>
        <w:rPr>
          <w:rFonts w:ascii="Microsoft YaHei" w:eastAsia="Microsoft YaHei" w:hAnsi="Microsoft YaHei" w:cs="Microsoft YaHei"/>
          <w:spacing w:val="-2"/>
        </w:rPr>
        <w:t>——</w:t>
      </w:r>
      <w:r>
        <w:rPr>
          <w:spacing w:val="-2"/>
        </w:rPr>
        <w:t>修正后的园地价格；</w:t>
      </w:r>
    </w:p>
    <w:p>
      <w:pPr>
        <w:pStyle w:val="BodyText"/>
        <w:spacing w:before="1" w:line="189" w:lineRule="auto"/>
        <w:ind w:left="418"/>
      </w:pPr>
      <w:r>
        <w:rPr>
          <w:rFonts w:ascii="Cambria Math" w:eastAsia="Cambria Math" w:hAnsi="Cambria Math" w:cs="Cambria Math"/>
          <w:position w:val="-4"/>
          <w:sz w:val="12"/>
          <w:szCs w:val="12"/>
        </w:rPr>
        <w:drawing>
          <wp:inline distT="0" distB="0" distL="0" distR="0">
            <wp:extent cx="65474" cy="134111"/>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5"/>
                    <a:stretch>
                      <a:fillRect/>
                    </a:stretch>
                  </pic:blipFill>
                  <pic:spPr>
                    <a:xfrm>
                      <a:off x="0" y="0"/>
                      <a:ext cx="65474" cy="134111"/>
                    </a:xfrm>
                    <a:prstGeom prst="rect">
                      <a:avLst/>
                    </a:prstGeom>
                  </pic:spPr>
                </pic:pic>
              </a:graphicData>
            </a:graphic>
          </wp:inline>
        </w:drawing>
      </w:r>
      <w:r>
        <w:rPr>
          <w:rFonts w:ascii="Cambria Math" w:eastAsia="Cambria Math" w:hAnsi="Cambria Math" w:cs="Cambria Math"/>
          <w:position w:val="-7"/>
          <w:sz w:val="12"/>
          <w:szCs w:val="12"/>
        </w:rPr>
        <w:drawing>
          <wp:inline distT="0" distB="0" distL="0" distR="0">
            <wp:extent cx="76725" cy="96011"/>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6"/>
                    <a:stretch>
                      <a:fillRect/>
                    </a:stretch>
                  </pic:blipFill>
                  <pic:spPr>
                    <a:xfrm>
                      <a:off x="0" y="0"/>
                      <a:ext cx="76725" cy="96011"/>
                    </a:xfrm>
                    <a:prstGeom prst="rect">
                      <a:avLst/>
                    </a:prstGeom>
                  </pic:spPr>
                </pic:pic>
              </a:graphicData>
            </a:graphic>
          </wp:inline>
        </w:drawing>
      </w:r>
      <w:r>
        <w:rPr>
          <w:rFonts w:ascii="Cambria Math" w:eastAsia="Cambria Math" w:hAnsi="Cambria Math" w:cs="Cambria Math"/>
          <w:spacing w:val="-1"/>
          <w:position w:val="-6"/>
          <w:sz w:val="12"/>
          <w:szCs w:val="12"/>
        </w:rPr>
        <w:t>1</w:t>
      </w:r>
      <w:r>
        <w:rPr>
          <w:rFonts w:ascii="Microsoft YaHei" w:eastAsia="Microsoft YaHei" w:hAnsi="Microsoft YaHei" w:cs="Microsoft YaHei"/>
          <w:spacing w:val="-1"/>
        </w:rPr>
        <w:t>——</w:t>
      </w:r>
      <w:r>
        <w:rPr>
          <w:spacing w:val="-1"/>
        </w:rPr>
        <w:t>样点地价；</w:t>
      </w:r>
    </w:p>
    <w:p>
      <w:pPr>
        <w:pStyle w:val="BodyText"/>
        <w:spacing w:before="49" w:line="190" w:lineRule="auto"/>
        <w:ind w:left="414"/>
      </w:pPr>
      <w:r>
        <w:rPr>
          <w:rFonts w:ascii="Microsoft YaHei" w:eastAsia="Microsoft YaHei" w:hAnsi="Microsoft YaHei" w:cs="Microsoft YaHei"/>
          <w:position w:val="-4"/>
        </w:rPr>
        <w:drawing>
          <wp:inline distT="0" distB="0" distL="0" distR="0">
            <wp:extent cx="56414" cy="134111"/>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7"/>
                    <a:stretch>
                      <a:fillRect/>
                    </a:stretch>
                  </pic:blipFill>
                  <pic:spPr>
                    <a:xfrm>
                      <a:off x="0" y="0"/>
                      <a:ext cx="56414" cy="134111"/>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49061" cy="96011"/>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28"/>
                    <a:stretch>
                      <a:fillRect/>
                    </a:stretch>
                  </pic:blipFill>
                  <pic:spPr>
                    <a:xfrm>
                      <a:off x="0" y="0"/>
                      <a:ext cx="49061" cy="96011"/>
                    </a:xfrm>
                    <a:prstGeom prst="rect">
                      <a:avLst/>
                    </a:prstGeom>
                  </pic:spPr>
                </pic:pic>
              </a:graphicData>
            </a:graphic>
          </wp:inline>
        </w:drawing>
      </w:r>
      <w:r>
        <w:rPr>
          <w:rFonts w:ascii="Microsoft YaHei" w:eastAsia="Microsoft YaHei" w:hAnsi="Microsoft YaHei" w:cs="Microsoft YaHei"/>
          <w:spacing w:val="-43"/>
        </w:rPr>
        <w:t xml:space="preserve"> </w:t>
      </w:r>
      <w:r>
        <w:rPr>
          <w:rFonts w:ascii="Microsoft YaHei" w:eastAsia="Microsoft YaHei" w:hAnsi="Microsoft YaHei" w:cs="Microsoft YaHei"/>
          <w:spacing w:val="-3"/>
        </w:rPr>
        <w:t>——</w:t>
      </w:r>
      <w:r>
        <w:rPr>
          <w:rFonts w:ascii="Microsoft YaHei" w:eastAsia="Microsoft YaHei" w:hAnsi="Microsoft YaHei" w:cs="Microsoft YaHei"/>
          <w:spacing w:val="-36"/>
        </w:rPr>
        <w:t xml:space="preserve"> </w:t>
      </w:r>
      <w:r>
        <w:rPr>
          <w:spacing w:val="-3"/>
        </w:rPr>
        <w:t>园地还原率；</w:t>
      </w:r>
    </w:p>
    <w:p>
      <w:pPr>
        <w:pStyle w:val="BodyText"/>
        <w:spacing w:before="75"/>
        <w:ind w:left="415"/>
      </w:pPr>
      <w:r>
        <w:rPr>
          <w:rFonts w:ascii="Microsoft YaHei" w:eastAsia="Microsoft YaHei" w:hAnsi="Microsoft YaHei" w:cs="Microsoft YaHei"/>
          <w:position w:val="-4"/>
        </w:rPr>
        <w:drawing>
          <wp:inline distT="0" distB="0" distL="0" distR="0">
            <wp:extent cx="109301" cy="134111"/>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9"/>
                    <a:stretch>
                      <a:fillRect/>
                    </a:stretch>
                  </pic:blipFill>
                  <pic:spPr>
                    <a:xfrm>
                      <a:off x="0" y="0"/>
                      <a:ext cx="109301" cy="134111"/>
                    </a:xfrm>
                    <a:prstGeom prst="rect">
                      <a:avLst/>
                    </a:prstGeom>
                  </pic:spPr>
                </pic:pic>
              </a:graphicData>
            </a:graphic>
          </wp:inline>
        </w:drawing>
      </w:r>
      <w:r>
        <w:rPr>
          <w:rFonts w:ascii="Microsoft YaHei" w:eastAsia="Microsoft YaHei" w:hAnsi="Microsoft YaHei" w:cs="Microsoft YaHei"/>
          <w:spacing w:val="-9"/>
        </w:rPr>
        <w:t xml:space="preserve"> </w:t>
      </w:r>
      <w:r>
        <w:rPr>
          <w:rFonts w:ascii="Microsoft YaHei" w:eastAsia="Microsoft YaHei" w:hAnsi="Microsoft YaHei" w:cs="Microsoft YaHei"/>
        </w:rPr>
        <w:t>——</w:t>
      </w:r>
      <w:r>
        <w:t>基准地价设定的年期；</w:t>
      </w:r>
    </w:p>
    <w:p>
      <w:pPr>
        <w:pStyle w:val="BodyText"/>
        <w:spacing w:before="1" w:line="189" w:lineRule="auto"/>
        <w:ind w:left="415"/>
      </w:pPr>
      <w:r>
        <w:rPr>
          <w:rFonts w:ascii="Cambria Math" w:eastAsia="Cambria Math" w:hAnsi="Cambria Math" w:cs="Cambria Math"/>
          <w:position w:val="-4"/>
          <w:sz w:val="15"/>
          <w:szCs w:val="15"/>
        </w:rPr>
        <w:drawing>
          <wp:inline distT="0" distB="0" distL="0" distR="0">
            <wp:extent cx="109301" cy="134111"/>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9"/>
                    <a:stretch>
                      <a:fillRect/>
                    </a:stretch>
                  </pic:blipFill>
                  <pic:spPr>
                    <a:xfrm>
                      <a:off x="0" y="0"/>
                      <a:ext cx="109301" cy="134111"/>
                    </a:xfrm>
                    <a:prstGeom prst="rect">
                      <a:avLst/>
                    </a:prstGeom>
                  </pic:spPr>
                </pic:pic>
              </a:graphicData>
            </a:graphic>
          </wp:inline>
        </w:drawing>
      </w:r>
      <w:r>
        <w:rPr>
          <w:rFonts w:ascii="Cambria Math" w:eastAsia="Cambria Math" w:hAnsi="Cambria Math" w:cs="Cambria Math"/>
          <w:position w:val="-4"/>
          <w:sz w:val="15"/>
          <w:szCs w:val="15"/>
        </w:rPr>
        <w:t>1</w:t>
      </w:r>
      <w:r>
        <w:rPr>
          <w:rFonts w:ascii="Microsoft YaHei" w:eastAsia="Microsoft YaHei" w:hAnsi="Microsoft YaHei" w:cs="Microsoft YaHei"/>
        </w:rPr>
        <w:t>——</w:t>
      </w:r>
      <w:r>
        <w:t>样点地价的实际年期。</w:t>
      </w:r>
    </w:p>
    <w:p>
      <w:pPr>
        <w:spacing w:before="121" w:line="220" w:lineRule="auto"/>
        <w:rPr>
          <w:rFonts w:ascii="SimHei" w:eastAsia="SimHei" w:hAnsi="SimHei" w:cs="SimHei"/>
          <w:sz w:val="21"/>
          <w:szCs w:val="21"/>
        </w:rPr>
      </w:pPr>
      <w:r>
        <w:rPr>
          <w:rFonts w:ascii="SimHei" w:eastAsia="SimHei" w:hAnsi="SimHei" w:cs="SimHei"/>
          <w:spacing w:val="-1"/>
          <w:sz w:val="21"/>
          <w:szCs w:val="21"/>
        </w:rPr>
        <w:t>6.8.1.4.3</w:t>
      </w:r>
      <w:r>
        <w:rPr>
          <w:rFonts w:ascii="SimHei" w:eastAsia="SimHei" w:hAnsi="SimHei" w:cs="SimHei"/>
          <w:spacing w:val="-1"/>
          <w:sz w:val="21"/>
          <w:szCs w:val="21"/>
        </w:rPr>
        <w:t xml:space="preserve">  </w:t>
      </w:r>
      <w:r>
        <w:rPr>
          <w:rFonts w:ascii="SimHei" w:eastAsia="SimHei" w:hAnsi="SimHei" w:cs="SimHei"/>
          <w:spacing w:val="-1"/>
          <w:sz w:val="21"/>
          <w:szCs w:val="21"/>
        </w:rPr>
        <w:t>样点地价的期日修正</w:t>
      </w:r>
    </w:p>
    <w:p>
      <w:pPr>
        <w:pStyle w:val="BodyText"/>
        <w:spacing w:before="141" w:line="219" w:lineRule="auto"/>
        <w:jc w:val="right"/>
      </w:pPr>
      <w:r>
        <w:rPr>
          <w:spacing w:val="-6"/>
        </w:rPr>
        <w:t>修正过程中可区别不同的园地利用类型，计算园地价格的变化幅度。在已建立地价指数系统的地区，</w:t>
      </w:r>
    </w:p>
    <w:sdt>
      <w:sdtPr>
        <w:rPr>
          <w:rFonts w:ascii="SimSun" w:eastAsia="SimSun" w:hAnsi="SimSun" w:cs="SimSun"/>
          <w:sz w:val="21"/>
          <w:szCs w:val="21"/>
        </w:rPr>
        <w:id w:val="1025083819"/>
        <w:docPartObj>
          <w:docPartGallery w:val="Table of Contents"/>
          <w:docPartUnique/>
        </w:docPartObj>
      </w:sdtPr>
      <w:sdtEndPr>
        <w:rPr>
          <w:rFonts w:ascii="SimSun" w:eastAsia="SimSun" w:hAnsi="SimSun" w:cs="SimSun"/>
          <w:sz w:val="21"/>
          <w:szCs w:val="21"/>
        </w:rPr>
      </w:sdtEndPr>
      <w:sdtContent>
        <w:p>
          <w:pPr>
            <w:pStyle w:val="BodyText"/>
            <w:spacing w:before="26" w:line="219" w:lineRule="auto"/>
            <w:ind w:left="2"/>
          </w:pPr>
          <w:r>
            <w:rPr>
              <w:spacing w:val="-2"/>
            </w:rPr>
            <w:t>可以用地价指数进行修正。按式（2）计算：</w:t>
          </w:r>
        </w:p>
        <w:p>
          <w:pPr>
            <w:pStyle w:val="BodyText"/>
            <w:tabs>
              <w:tab w:val="right" w:leader="dot" w:pos="9229"/>
            </w:tabs>
            <w:spacing w:before="19" w:line="219" w:lineRule="auto"/>
            <w:ind w:left="4146"/>
          </w:pPr>
          <w:r>
            <w:rPr>
              <w:rFonts w:ascii="Cambria Math" w:eastAsia="Cambria Math" w:hAnsi="Cambria Math" w:cs="Cambria Math"/>
              <w:position w:val="-3"/>
            </w:rPr>
            <w:drawing>
              <wp:inline distT="0" distB="0" distL="0" distR="0">
                <wp:extent cx="89589" cy="134111"/>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0"/>
                        <a:stretch>
                          <a:fillRect/>
                        </a:stretch>
                      </pic:blipFill>
                      <pic:spPr>
                        <a:xfrm>
                          <a:off x="0" y="0"/>
                          <a:ext cx="89589" cy="134111"/>
                        </a:xfrm>
                        <a:prstGeom prst="rect">
                          <a:avLst/>
                        </a:prstGeom>
                      </pic:spPr>
                    </pic:pic>
                  </a:graphicData>
                </a:graphic>
              </wp:inline>
            </w:drawing>
          </w:r>
          <w:r>
            <w:rPr>
              <w:rFonts w:ascii="Cambria Math" w:eastAsia="Cambria Math" w:hAnsi="Cambria Math" w:cs="Cambria Math"/>
              <w:position w:val="-6"/>
            </w:rPr>
            <w:drawing>
              <wp:inline distT="0" distB="0" distL="0" distR="0">
                <wp:extent cx="67930" cy="96011"/>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1"/>
                        <a:stretch>
                          <a:fillRect/>
                        </a:stretch>
                      </pic:blipFill>
                      <pic:spPr>
                        <a:xfrm>
                          <a:off x="0" y="0"/>
                          <a:ext cx="67930" cy="96011"/>
                        </a:xfrm>
                        <a:prstGeom prst="rect">
                          <a:avLst/>
                        </a:prstGeom>
                      </pic:spPr>
                    </pic:pic>
                  </a:graphicData>
                </a:graphic>
              </wp:inline>
            </w:drawing>
          </w:r>
          <w:r>
            <w:rPr>
              <w:rFonts w:ascii="Cambria Math" w:eastAsia="Cambria Math" w:hAnsi="Cambria Math" w:cs="Cambria Math"/>
              <w:spacing w:val="45"/>
              <w:w w:val="101"/>
              <w:position w:val="1"/>
            </w:rPr>
            <w:t xml:space="preserve"> </w:t>
          </w:r>
          <w:r>
            <w:rPr>
              <w:rFonts w:ascii="Cambria Math" w:eastAsia="Cambria Math" w:hAnsi="Cambria Math" w:cs="Cambria Math"/>
              <w:spacing w:val="-11"/>
              <w:position w:val="1"/>
            </w:rPr>
            <w:t>=</w:t>
          </w:r>
          <w:r>
            <w:rPr>
              <w:rFonts w:ascii="Cambria Math" w:eastAsia="Cambria Math" w:hAnsi="Cambria Math" w:cs="Cambria Math"/>
              <w:spacing w:val="18"/>
              <w:w w:val="101"/>
              <w:position w:val="1"/>
            </w:rPr>
            <w:t xml:space="preserve"> </w:t>
          </w:r>
          <w:r>
            <w:rPr>
              <w:position w:val="-3"/>
            </w:rPr>
            <w:drawing>
              <wp:inline distT="0" distB="0" distL="0" distR="0">
                <wp:extent cx="74049" cy="134111"/>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2"/>
                        <a:stretch>
                          <a:fillRect/>
                        </a:stretch>
                      </pic:blipFill>
                      <pic:spPr>
                        <a:xfrm>
                          <a:off x="0" y="0"/>
                          <a:ext cx="74049" cy="134111"/>
                        </a:xfrm>
                        <a:prstGeom prst="rect">
                          <a:avLst/>
                        </a:prstGeom>
                      </pic:spPr>
                    </pic:pic>
                  </a:graphicData>
                </a:graphic>
              </wp:inline>
            </w:drawing>
          </w:r>
          <w:r>
            <w:rPr>
              <w:position w:val="-6"/>
            </w:rPr>
            <w:drawing>
              <wp:inline distT="0" distB="0" distL="0" distR="0">
                <wp:extent cx="23314" cy="96011"/>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3"/>
                        <a:stretch>
                          <a:fillRect/>
                        </a:stretch>
                      </pic:blipFill>
                      <pic:spPr>
                        <a:xfrm>
                          <a:off x="0" y="0"/>
                          <a:ext cx="23314" cy="96011"/>
                        </a:xfrm>
                        <a:prstGeom prst="rect">
                          <a:avLst/>
                        </a:prstGeom>
                      </pic:spPr>
                    </pic:pic>
                  </a:graphicData>
                </a:graphic>
              </wp:inline>
            </w:drawing>
          </w:r>
          <w:r>
            <w:rPr>
              <w:rFonts w:ascii="Cambria Math" w:eastAsia="Cambria Math" w:hAnsi="Cambria Math" w:cs="Cambria Math"/>
              <w:spacing w:val="-22"/>
              <w:position w:val="1"/>
            </w:rPr>
            <w:t xml:space="preserve"> </w:t>
          </w:r>
          <w:r>
            <w:rPr>
              <w:rFonts w:ascii="Cambria Math" w:eastAsia="Cambria Math" w:hAnsi="Cambria Math" w:cs="Cambria Math"/>
              <w:spacing w:val="-11"/>
              <w:position w:val="1"/>
            </w:rPr>
            <w:t>/</w:t>
          </w:r>
          <w:r>
            <w:rPr>
              <w:position w:val="-3"/>
            </w:rPr>
            <w:drawing>
              <wp:inline distT="0" distB="0" distL="0" distR="0">
                <wp:extent cx="74049" cy="134111"/>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2"/>
                        <a:stretch>
                          <a:fillRect/>
                        </a:stretch>
                      </pic:blipFill>
                      <pic:spPr>
                        <a:xfrm>
                          <a:off x="0" y="0"/>
                          <a:ext cx="74049" cy="134111"/>
                        </a:xfrm>
                        <a:prstGeom prst="rect">
                          <a:avLst/>
                        </a:prstGeom>
                      </pic:spPr>
                    </pic:pic>
                  </a:graphicData>
                </a:graphic>
              </wp:inline>
            </w:drawing>
          </w:r>
          <w:r>
            <w:rPr>
              <w:position w:val="-6"/>
            </w:rPr>
            <w:drawing>
              <wp:inline distT="0" distB="0" distL="0" distR="0">
                <wp:extent cx="23314" cy="96011"/>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3"/>
                        <a:stretch>
                          <a:fillRect/>
                        </a:stretch>
                      </pic:blipFill>
                      <pic:spPr>
                        <a:xfrm>
                          <a:off x="0" y="0"/>
                          <a:ext cx="23314" cy="96011"/>
                        </a:xfrm>
                        <a:prstGeom prst="rect">
                          <a:avLst/>
                        </a:prstGeom>
                      </pic:spPr>
                    </pic:pic>
                  </a:graphicData>
                </a:graphic>
              </wp:inline>
            </w:drawing>
          </w:r>
          <w:r>
            <w:rPr>
              <w:position w:val="-6"/>
            </w:rPr>
            <w:drawing>
              <wp:inline distT="0" distB="0" distL="0" distR="0">
                <wp:extent cx="40823" cy="96011"/>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4"/>
                        <a:stretch>
                          <a:fillRect/>
                        </a:stretch>
                      </pic:blipFill>
                      <pic:spPr>
                        <a:xfrm>
                          <a:off x="0" y="0"/>
                          <a:ext cx="40823" cy="96011"/>
                        </a:xfrm>
                        <a:prstGeom prst="rect">
                          <a:avLst/>
                        </a:prstGeom>
                      </pic:spPr>
                    </pic:pic>
                  </a:graphicData>
                </a:graphic>
              </wp:inline>
            </w:drawing>
          </w:r>
          <w:r>
            <w:rPr>
              <w:rFonts w:ascii="Cambria Math" w:eastAsia="Cambria Math" w:hAnsi="Cambria Math" w:cs="Cambria Math"/>
              <w:spacing w:val="9"/>
              <w:position w:val="1"/>
            </w:rPr>
            <w:t xml:space="preserve"> </w:t>
          </w:r>
          <w:r>
            <w:rPr>
              <w:rFonts w:ascii="Cambria Math" w:eastAsia="Cambria Math" w:hAnsi="Cambria Math" w:cs="Cambria Math"/>
            </w:rPr>
            <w:tab/>
          </w:r>
          <w:r>
            <w:rPr>
              <w:spacing w:val="5"/>
              <w:position w:val="1"/>
            </w:rPr>
            <w:t>（</w:t>
          </w:r>
          <w:hyperlink w:anchor="bookmark1" w:history="1">
            <w:r>
              <w:rPr>
                <w:spacing w:val="5"/>
                <w:position w:val="1"/>
              </w:rPr>
              <w:t>2</w:t>
            </w:r>
          </w:hyperlink>
          <w:r>
            <w:rPr>
              <w:spacing w:val="5"/>
              <w:position w:val="1"/>
            </w:rPr>
            <w:t>）</w:t>
          </w:r>
        </w:p>
      </w:sdtContent>
    </w:sdt>
    <w:p>
      <w:pPr>
        <w:pStyle w:val="BodyText"/>
        <w:spacing w:before="100" w:line="221" w:lineRule="auto"/>
        <w:ind w:left="425"/>
      </w:pPr>
      <w:r>
        <w:rPr>
          <w:spacing w:val="-13"/>
        </w:rPr>
        <w:t>式中：</w:t>
      </w:r>
    </w:p>
    <w:p>
      <w:pPr>
        <w:pStyle w:val="BodyText"/>
        <w:spacing w:before="91" w:line="190" w:lineRule="auto"/>
        <w:ind w:left="418"/>
      </w:pPr>
      <w:r>
        <w:rPr>
          <w:rFonts w:ascii="Microsoft YaHei" w:eastAsia="Microsoft YaHei" w:hAnsi="Microsoft YaHei" w:cs="Microsoft YaHei"/>
          <w:position w:val="-4"/>
        </w:rPr>
        <w:drawing>
          <wp:inline distT="0" distB="0" distL="0" distR="0">
            <wp:extent cx="86490" cy="134111"/>
            <wp:effectExtent l="0" t="0" r="0" b="0"/>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30"/>
                    <a:stretch>
                      <a:fillRect/>
                    </a:stretch>
                  </pic:blipFill>
                  <pic:spPr>
                    <a:xfrm>
                      <a:off x="0" y="0"/>
                      <a:ext cx="86490" cy="134111"/>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65580" cy="96011"/>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35"/>
                    <a:stretch>
                      <a:fillRect/>
                    </a:stretch>
                  </pic:blipFill>
                  <pic:spPr>
                    <a:xfrm>
                      <a:off x="0" y="0"/>
                      <a:ext cx="65580" cy="96011"/>
                    </a:xfrm>
                    <a:prstGeom prst="rect">
                      <a:avLst/>
                    </a:prstGeom>
                  </pic:spPr>
                </pic:pic>
              </a:graphicData>
            </a:graphic>
          </wp:inline>
        </w:drawing>
      </w:r>
      <w:r>
        <w:rPr>
          <w:rFonts w:ascii="Microsoft YaHei" w:eastAsia="Microsoft YaHei" w:hAnsi="Microsoft YaHei" w:cs="Microsoft YaHei"/>
          <w:spacing w:val="-42"/>
        </w:rPr>
        <w:t xml:space="preserve"> </w:t>
      </w:r>
      <w:r>
        <w:rPr>
          <w:rFonts w:ascii="Microsoft YaHei" w:eastAsia="Microsoft YaHei" w:hAnsi="Microsoft YaHei" w:cs="Microsoft YaHei"/>
        </w:rPr>
        <w:t>——</w:t>
      </w:r>
      <w:r>
        <w:t>第</w:t>
      </w:r>
      <w:r>
        <w:rPr>
          <w:position w:val="-4"/>
        </w:rPr>
        <w:drawing>
          <wp:inline distT="0" distB="0" distL="0" distR="0">
            <wp:extent cx="28047" cy="134111"/>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36"/>
                    <a:stretch>
                      <a:fillRect/>
                    </a:stretch>
                  </pic:blipFill>
                  <pic:spPr>
                    <a:xfrm>
                      <a:off x="0" y="0"/>
                      <a:ext cx="28047" cy="134111"/>
                    </a:xfrm>
                    <a:prstGeom prst="rect">
                      <a:avLst/>
                    </a:prstGeom>
                  </pic:spPr>
                </pic:pic>
              </a:graphicData>
            </a:graphic>
          </wp:inline>
        </w:drawing>
      </w:r>
      <w:r>
        <w:t>类用地第</w:t>
      </w:r>
      <w:r>
        <w:rPr>
          <w:position w:val="-4"/>
        </w:rPr>
        <w:drawing>
          <wp:inline distT="0" distB="0" distL="0" distR="0">
            <wp:extent cx="52442" cy="134111"/>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37"/>
                    <a:stretch>
                      <a:fillRect/>
                    </a:stretch>
                  </pic:blipFill>
                  <pic:spPr>
                    <a:xfrm>
                      <a:off x="0" y="0"/>
                      <a:ext cx="52442" cy="134111"/>
                    </a:xfrm>
                    <a:prstGeom prst="rect">
                      <a:avLst/>
                    </a:prstGeom>
                  </pic:spPr>
                </pic:pic>
              </a:graphicData>
            </a:graphic>
          </wp:inline>
        </w:drawing>
      </w:r>
      <w:r>
        <w:t>期地价修正到基准地价估价期日的系数；</w:t>
      </w:r>
    </w:p>
    <w:p>
      <w:pPr>
        <w:pStyle w:val="BodyText"/>
        <w:spacing w:before="74" w:line="190" w:lineRule="auto"/>
        <w:ind w:left="418"/>
        <w:sectPr>
          <w:headerReference w:type="default" r:id="rId38"/>
          <w:footerReference w:type="default" r:id="rId39"/>
          <w:pgSz w:w="11907" w:h="16839"/>
          <w:pgMar w:top="1659" w:right="1055" w:bottom="1303" w:left="1426" w:header="1448" w:footer="1128" w:gutter="0"/>
          <w:pgNumType w:start="9"/>
          <w:cols w:space="708"/>
        </w:sectPr>
      </w:pPr>
      <w:r>
        <w:rPr>
          <w:rFonts w:ascii="Microsoft YaHei" w:eastAsia="Microsoft YaHei" w:hAnsi="Microsoft YaHei" w:cs="Microsoft YaHei"/>
          <w:position w:val="-4"/>
        </w:rPr>
        <w:drawing>
          <wp:inline distT="0" distB="0" distL="0" distR="0">
            <wp:extent cx="78312" cy="134111"/>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25"/>
                    <a:stretch>
                      <a:fillRect/>
                    </a:stretch>
                  </pic:blipFill>
                  <pic:spPr>
                    <a:xfrm>
                      <a:off x="0" y="0"/>
                      <a:ext cx="78312" cy="134111"/>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24656" cy="96011"/>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40"/>
                    <a:stretch>
                      <a:fillRect/>
                    </a:stretch>
                  </pic:blipFill>
                  <pic:spPr>
                    <a:xfrm>
                      <a:off x="0" y="0"/>
                      <a:ext cx="24656" cy="96011"/>
                    </a:xfrm>
                    <a:prstGeom prst="rect">
                      <a:avLst/>
                    </a:prstGeom>
                  </pic:spPr>
                </pic:pic>
              </a:graphicData>
            </a:graphic>
          </wp:inline>
        </w:drawing>
      </w:r>
      <w:r>
        <w:rPr>
          <w:rFonts w:ascii="Microsoft YaHei" w:eastAsia="Microsoft YaHei" w:hAnsi="Microsoft YaHei" w:cs="Microsoft YaHei"/>
          <w:spacing w:val="-46"/>
        </w:rPr>
        <w:t xml:space="preserve"> </w:t>
      </w:r>
      <w:r>
        <w:rPr>
          <w:rFonts w:ascii="Microsoft YaHei" w:eastAsia="Microsoft YaHei" w:hAnsi="Microsoft YaHei" w:cs="Microsoft YaHei"/>
          <w:spacing w:val="1"/>
        </w:rPr>
        <w:t>——</w:t>
      </w:r>
      <w:r>
        <w:rPr>
          <w:spacing w:val="1"/>
        </w:rPr>
        <w:t>第</w:t>
      </w:r>
      <w:r>
        <w:rPr>
          <w:position w:val="-4"/>
        </w:rPr>
        <w:drawing>
          <wp:inline distT="0" distB="0" distL="0" distR="0">
            <wp:extent cx="30724" cy="134111"/>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41"/>
                    <a:stretch>
                      <a:fillRect/>
                    </a:stretch>
                  </pic:blipFill>
                  <pic:spPr>
                    <a:xfrm>
                      <a:off x="0" y="0"/>
                      <a:ext cx="30724" cy="134111"/>
                    </a:xfrm>
                    <a:prstGeom prst="rect">
                      <a:avLst/>
                    </a:prstGeom>
                  </pic:spPr>
                </pic:pic>
              </a:graphicData>
            </a:graphic>
          </wp:inline>
        </w:drawing>
      </w:r>
      <w:r>
        <w:rPr>
          <w:spacing w:val="1"/>
        </w:rPr>
        <w:t>类用地基准地价估价期日园地交易平均价（</w:t>
      </w:r>
      <w:r>
        <w:t>或地价指数</w:t>
      </w:r>
      <w:r>
        <w:rPr>
          <w:spacing w:val="-12"/>
        </w:rPr>
        <w:t>）；</w:t>
      </w:r>
    </w:p>
    <w:p>
      <w:pPr>
        <w:pStyle w:val="BodyText"/>
        <w:spacing w:before="75" w:line="190" w:lineRule="auto"/>
        <w:ind w:left="418"/>
      </w:pPr>
      <w:r>
        <w:rPr>
          <w:rFonts w:ascii="Microsoft YaHei" w:eastAsia="Microsoft YaHei" w:hAnsi="Microsoft YaHei" w:cs="Microsoft YaHei"/>
          <w:position w:val="-4"/>
        </w:rPr>
        <w:drawing>
          <wp:inline distT="0" distB="0" distL="0" distR="0">
            <wp:extent cx="78780" cy="134111"/>
            <wp:effectExtent l="0" t="0" r="0" b="0"/>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25"/>
                    <a:stretch>
                      <a:fillRect/>
                    </a:stretch>
                  </pic:blipFill>
                  <pic:spPr>
                    <a:xfrm>
                      <a:off x="0" y="0"/>
                      <a:ext cx="78780" cy="134111"/>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24803" cy="96011"/>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40"/>
                    <a:stretch>
                      <a:fillRect/>
                    </a:stretch>
                  </pic:blipFill>
                  <pic:spPr>
                    <a:xfrm>
                      <a:off x="0" y="0"/>
                      <a:ext cx="24803" cy="96011"/>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43431" cy="96011"/>
            <wp:effectExtent l="0" t="0" r="0" b="0"/>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2"/>
                    <a:stretch>
                      <a:fillRect/>
                    </a:stretch>
                  </pic:blipFill>
                  <pic:spPr>
                    <a:xfrm>
                      <a:off x="0" y="0"/>
                      <a:ext cx="43431" cy="96011"/>
                    </a:xfrm>
                    <a:prstGeom prst="rect">
                      <a:avLst/>
                    </a:prstGeom>
                  </pic:spPr>
                </pic:pic>
              </a:graphicData>
            </a:graphic>
          </wp:inline>
        </w:drawing>
      </w:r>
      <w:r>
        <w:rPr>
          <w:rFonts w:ascii="Microsoft YaHei" w:eastAsia="Microsoft YaHei" w:hAnsi="Microsoft YaHei" w:cs="Microsoft YaHei"/>
          <w:spacing w:val="-38"/>
        </w:rPr>
        <w:t xml:space="preserve"> </w:t>
      </w:r>
      <w:r>
        <w:rPr>
          <w:rFonts w:ascii="Microsoft YaHei" w:eastAsia="Microsoft YaHei" w:hAnsi="Microsoft YaHei" w:cs="Microsoft YaHei"/>
          <w:spacing w:val="-2"/>
        </w:rPr>
        <w:t>——</w:t>
      </w:r>
      <w:r>
        <w:rPr>
          <w:spacing w:val="-2"/>
        </w:rPr>
        <w:t>第</w:t>
      </w:r>
      <w:r>
        <w:rPr>
          <w:position w:val="-4"/>
        </w:rPr>
        <w:drawing>
          <wp:inline distT="0" distB="0" distL="0" distR="0">
            <wp:extent cx="30908" cy="134111"/>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41"/>
                    <a:stretch>
                      <a:fillRect/>
                    </a:stretch>
                  </pic:blipFill>
                  <pic:spPr>
                    <a:xfrm>
                      <a:off x="0" y="0"/>
                      <a:ext cx="30908" cy="134111"/>
                    </a:xfrm>
                    <a:prstGeom prst="rect">
                      <a:avLst/>
                    </a:prstGeom>
                  </pic:spPr>
                </pic:pic>
              </a:graphicData>
            </a:graphic>
          </wp:inline>
        </w:drawing>
      </w:r>
      <w:r>
        <w:rPr>
          <w:spacing w:val="-2"/>
        </w:rPr>
        <w:t>类用地第j期园地交易平均价（或地价指数）</w:t>
      </w:r>
      <w:r>
        <w:rPr>
          <w:spacing w:val="-48"/>
        </w:rPr>
        <w:t xml:space="preserve"> </w:t>
      </w:r>
      <w:r>
        <w:rPr>
          <w:spacing w:val="-2"/>
        </w:rPr>
        <w:t>。</w:t>
      </w:r>
    </w:p>
    <w:sdt>
      <w:sdtPr>
        <w:rPr>
          <w:rFonts w:ascii="SimSun" w:eastAsia="SimSun" w:hAnsi="SimSun" w:cs="SimSun"/>
          <w:sz w:val="21"/>
          <w:szCs w:val="21"/>
        </w:rPr>
        <w:id w:val="2048204768"/>
        <w:docPartObj>
          <w:docPartGallery w:val="Table of Contents"/>
          <w:docPartUnique/>
        </w:docPartObj>
      </w:sdtPr>
      <w:sdtEndPr>
        <w:rPr>
          <w:rFonts w:ascii="SimSun" w:eastAsia="SimSun" w:hAnsi="SimSun" w:cs="SimSun"/>
          <w:sz w:val="21"/>
          <w:szCs w:val="21"/>
        </w:rPr>
      </w:sdtEndPr>
      <w:sdtContent>
        <w:p>
          <w:pPr>
            <w:pStyle w:val="BodyText"/>
            <w:spacing w:before="25" w:line="219" w:lineRule="auto"/>
            <w:ind w:left="419"/>
          </w:pPr>
          <w:r>
            <w:t>将不同时期发生的交易地价修正到估价期日的地价按式（3）计</w:t>
          </w:r>
          <w:r>
            <w:rPr>
              <w:spacing w:val="-1"/>
            </w:rPr>
            <w:t>算：</w:t>
          </w:r>
        </w:p>
        <w:p>
          <w:pPr>
            <w:pStyle w:val="BodyText"/>
            <w:tabs>
              <w:tab w:val="right" w:leader="dot" w:pos="9229"/>
            </w:tabs>
            <w:spacing w:before="20" w:line="219" w:lineRule="auto"/>
            <w:ind w:left="4038"/>
          </w:pPr>
          <w:r>
            <w:rPr>
              <w:rFonts w:ascii="Cambria Math" w:eastAsia="Cambria Math" w:hAnsi="Cambria Math" w:cs="Cambria Math"/>
              <w:position w:val="-3"/>
            </w:rPr>
            <w:drawing>
              <wp:inline distT="0" distB="0" distL="0" distR="0">
                <wp:extent cx="73681" cy="134111"/>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25"/>
                        <a:stretch>
                          <a:fillRect/>
                        </a:stretch>
                      </pic:blipFill>
                      <pic:spPr>
                        <a:xfrm>
                          <a:off x="0" y="0"/>
                          <a:ext cx="73681" cy="134111"/>
                        </a:xfrm>
                        <a:prstGeom prst="rect">
                          <a:avLst/>
                        </a:prstGeom>
                      </pic:spPr>
                    </pic:pic>
                  </a:graphicData>
                </a:graphic>
              </wp:inline>
            </w:drawing>
          </w:r>
          <w:r>
            <w:rPr>
              <w:rFonts w:ascii="Cambria Math" w:eastAsia="Cambria Math" w:hAnsi="Cambria Math" w:cs="Cambria Math"/>
              <w:position w:val="-6"/>
            </w:rPr>
            <w:drawing>
              <wp:inline distT="0" distB="0" distL="0" distR="0">
                <wp:extent cx="31476" cy="96011"/>
                <wp:effectExtent l="0" t="0" r="0" b="0"/>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3"/>
                        <a:stretch>
                          <a:fillRect/>
                        </a:stretch>
                      </pic:blipFill>
                      <pic:spPr>
                        <a:xfrm>
                          <a:off x="0" y="0"/>
                          <a:ext cx="31476" cy="96011"/>
                        </a:xfrm>
                        <a:prstGeom prst="rect">
                          <a:avLst/>
                        </a:prstGeom>
                      </pic:spPr>
                    </pic:pic>
                  </a:graphicData>
                </a:graphic>
              </wp:inline>
            </w:drawing>
          </w:r>
          <w:r>
            <w:rPr>
              <w:rFonts w:ascii="Cambria Math" w:eastAsia="Cambria Math" w:hAnsi="Cambria Math" w:cs="Cambria Math"/>
              <w:position w:val="-6"/>
            </w:rPr>
            <w:drawing>
              <wp:inline distT="0" distB="0" distL="0" distR="0">
                <wp:extent cx="41487" cy="96011"/>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44"/>
                        <a:stretch>
                          <a:fillRect/>
                        </a:stretch>
                      </pic:blipFill>
                      <pic:spPr>
                        <a:xfrm>
                          <a:off x="0" y="0"/>
                          <a:ext cx="41487" cy="96011"/>
                        </a:xfrm>
                        <a:prstGeom prst="rect">
                          <a:avLst/>
                        </a:prstGeom>
                      </pic:spPr>
                    </pic:pic>
                  </a:graphicData>
                </a:graphic>
              </wp:inline>
            </w:drawing>
          </w:r>
          <w:r>
            <w:rPr>
              <w:rFonts w:ascii="Cambria Math" w:eastAsia="Cambria Math" w:hAnsi="Cambria Math" w:cs="Cambria Math"/>
              <w:spacing w:val="42"/>
              <w:w w:val="101"/>
              <w:position w:val="1"/>
            </w:rPr>
            <w:t xml:space="preserve"> </w:t>
          </w:r>
          <w:r>
            <w:rPr>
              <w:rFonts w:ascii="Cambria Math" w:eastAsia="Cambria Math" w:hAnsi="Cambria Math" w:cs="Cambria Math"/>
              <w:spacing w:val="-17"/>
              <w:position w:val="1"/>
            </w:rPr>
            <w:t>=</w:t>
          </w:r>
          <w:r>
            <w:rPr>
              <w:rFonts w:ascii="Cambria Math" w:eastAsia="Cambria Math" w:hAnsi="Cambria Math" w:cs="Cambria Math"/>
              <w:spacing w:val="12"/>
              <w:w w:val="101"/>
              <w:position w:val="1"/>
            </w:rPr>
            <w:t xml:space="preserve"> </w:t>
          </w:r>
          <w:r>
            <w:rPr>
              <w:position w:val="-3"/>
            </w:rPr>
            <w:drawing>
              <wp:inline distT="0" distB="0" distL="0" distR="0">
                <wp:extent cx="66420" cy="134111"/>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45"/>
                        <a:stretch>
                          <a:fillRect/>
                        </a:stretch>
                      </pic:blipFill>
                      <pic:spPr>
                        <a:xfrm>
                          <a:off x="0" y="0"/>
                          <a:ext cx="66420" cy="134111"/>
                        </a:xfrm>
                        <a:prstGeom prst="rect">
                          <a:avLst/>
                        </a:prstGeom>
                      </pic:spPr>
                    </pic:pic>
                  </a:graphicData>
                </a:graphic>
              </wp:inline>
            </w:drawing>
          </w:r>
          <w:r>
            <w:rPr>
              <w:position w:val="-6"/>
            </w:rPr>
            <w:drawing>
              <wp:inline distT="0" distB="0" distL="0" distR="0">
                <wp:extent cx="75677" cy="96011"/>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46"/>
                        <a:stretch>
                          <a:fillRect/>
                        </a:stretch>
                      </pic:blipFill>
                      <pic:spPr>
                        <a:xfrm>
                          <a:off x="0" y="0"/>
                          <a:ext cx="75677" cy="96011"/>
                        </a:xfrm>
                        <a:prstGeom prst="rect">
                          <a:avLst/>
                        </a:prstGeom>
                      </pic:spPr>
                    </pic:pic>
                  </a:graphicData>
                </a:graphic>
              </wp:inline>
            </w:drawing>
          </w:r>
          <w:r>
            <w:rPr>
              <w:rFonts w:ascii="Cambria Math" w:eastAsia="Cambria Math" w:hAnsi="Cambria Math" w:cs="Cambria Math"/>
              <w:spacing w:val="34"/>
              <w:position w:val="1"/>
            </w:rPr>
            <w:t xml:space="preserve"> </w:t>
          </w:r>
          <w:r>
            <w:rPr>
              <w:rFonts w:ascii="Cambria Math" w:eastAsia="Cambria Math" w:hAnsi="Cambria Math" w:cs="Cambria Math"/>
              <w:spacing w:val="-17"/>
              <w:position w:val="1"/>
            </w:rPr>
            <w:t>×</w:t>
          </w:r>
          <w:r>
            <w:rPr>
              <w:rFonts w:ascii="Cambria Math" w:eastAsia="Cambria Math" w:hAnsi="Cambria Math" w:cs="Cambria Math"/>
              <w:spacing w:val="5"/>
              <w:position w:val="1"/>
            </w:rPr>
            <w:t xml:space="preserve"> </w:t>
          </w:r>
          <w:r>
            <w:rPr>
              <w:position w:val="-3"/>
            </w:rPr>
            <w:drawing>
              <wp:inline distT="0" distB="0" distL="0" distR="0">
                <wp:extent cx="89143" cy="134111"/>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47"/>
                        <a:stretch>
                          <a:fillRect/>
                        </a:stretch>
                      </pic:blipFill>
                      <pic:spPr>
                        <a:xfrm>
                          <a:off x="0" y="0"/>
                          <a:ext cx="89143" cy="134111"/>
                        </a:xfrm>
                        <a:prstGeom prst="rect">
                          <a:avLst/>
                        </a:prstGeom>
                      </pic:spPr>
                    </pic:pic>
                  </a:graphicData>
                </a:graphic>
              </wp:inline>
            </w:drawing>
          </w:r>
          <w:r>
            <w:rPr>
              <w:position w:val="-6"/>
            </w:rPr>
            <w:drawing>
              <wp:inline distT="0" distB="0" distL="0" distR="0">
                <wp:extent cx="67592" cy="96011"/>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48"/>
                        <a:stretch>
                          <a:fillRect/>
                        </a:stretch>
                      </pic:blipFill>
                      <pic:spPr>
                        <a:xfrm>
                          <a:off x="0" y="0"/>
                          <a:ext cx="67592" cy="96011"/>
                        </a:xfrm>
                        <a:prstGeom prst="rect">
                          <a:avLst/>
                        </a:prstGeom>
                      </pic:spPr>
                    </pic:pic>
                  </a:graphicData>
                </a:graphic>
              </wp:inline>
            </w:drawing>
          </w:r>
          <w:r>
            <w:rPr>
              <w:rFonts w:ascii="Cambria Math" w:eastAsia="Cambria Math" w:hAnsi="Cambria Math" w:cs="Cambria Math"/>
              <w:spacing w:val="2"/>
              <w:position w:val="1"/>
            </w:rPr>
            <w:t xml:space="preserve"> </w:t>
          </w:r>
          <w:r>
            <w:rPr>
              <w:rFonts w:ascii="Cambria Math" w:eastAsia="Cambria Math" w:hAnsi="Cambria Math" w:cs="Cambria Math"/>
            </w:rPr>
            <w:tab/>
          </w:r>
          <w:r>
            <w:rPr>
              <w:spacing w:val="-9"/>
              <w:position w:val="1"/>
            </w:rPr>
            <w:t>（</w:t>
          </w:r>
          <w:r>
            <w:rPr>
              <w:spacing w:val="-62"/>
              <w:position w:val="1"/>
            </w:rPr>
            <w:t xml:space="preserve"> </w:t>
          </w:r>
          <w:hyperlink w:anchor="bookmark2" w:history="1">
            <w:r>
              <w:rPr>
                <w:spacing w:val="-9"/>
                <w:position w:val="1"/>
              </w:rPr>
              <w:t>3</w:t>
            </w:r>
          </w:hyperlink>
          <w:r>
            <w:rPr>
              <w:spacing w:val="-9"/>
              <w:position w:val="1"/>
            </w:rPr>
            <w:t>）</w:t>
          </w:r>
        </w:p>
      </w:sdtContent>
    </w:sdt>
    <w:p>
      <w:pPr>
        <w:pStyle w:val="BodyText"/>
        <w:spacing w:before="97" w:line="221" w:lineRule="auto"/>
        <w:ind w:left="425"/>
      </w:pPr>
      <w:r>
        <w:rPr>
          <w:spacing w:val="-13"/>
        </w:rPr>
        <w:t>式中：</w:t>
      </w:r>
    </w:p>
    <w:p>
      <w:pPr>
        <w:pStyle w:val="BodyText"/>
        <w:spacing w:before="93" w:line="190" w:lineRule="auto"/>
        <w:ind w:left="418"/>
      </w:pPr>
      <w:r>
        <w:rPr>
          <w:rFonts w:ascii="Microsoft YaHei" w:eastAsia="Microsoft YaHei" w:hAnsi="Microsoft YaHei" w:cs="Microsoft YaHei"/>
          <w:position w:val="-4"/>
        </w:rPr>
        <w:drawing>
          <wp:inline distT="0" distB="0" distL="0" distR="0">
            <wp:extent cx="73638" cy="134112"/>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25"/>
                    <a:stretch>
                      <a:fillRect/>
                    </a:stretch>
                  </pic:blipFill>
                  <pic:spPr>
                    <a:xfrm>
                      <a:off x="0" y="0"/>
                      <a:ext cx="73638" cy="134112"/>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31458" cy="96012"/>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43"/>
                    <a:stretch>
                      <a:fillRect/>
                    </a:stretch>
                  </pic:blipFill>
                  <pic:spPr>
                    <a:xfrm>
                      <a:off x="0" y="0"/>
                      <a:ext cx="31458" cy="96012"/>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41462" cy="96012"/>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44"/>
                    <a:stretch>
                      <a:fillRect/>
                    </a:stretch>
                  </pic:blipFill>
                  <pic:spPr>
                    <a:xfrm>
                      <a:off x="0" y="0"/>
                      <a:ext cx="41462" cy="96012"/>
                    </a:xfrm>
                    <a:prstGeom prst="rect">
                      <a:avLst/>
                    </a:prstGeom>
                  </pic:spPr>
                </pic:pic>
              </a:graphicData>
            </a:graphic>
          </wp:inline>
        </w:drawing>
      </w:r>
      <w:r>
        <w:rPr>
          <w:rFonts w:ascii="Microsoft YaHei" w:eastAsia="Microsoft YaHei" w:hAnsi="Microsoft YaHei" w:cs="Microsoft YaHei"/>
          <w:spacing w:val="-46"/>
        </w:rPr>
        <w:t xml:space="preserve"> </w:t>
      </w:r>
      <w:r>
        <w:rPr>
          <w:rFonts w:ascii="Microsoft YaHei" w:eastAsia="Microsoft YaHei" w:hAnsi="Microsoft YaHei" w:cs="Microsoft YaHei"/>
        </w:rPr>
        <w:t>——</w:t>
      </w:r>
      <w:r>
        <w:t>修正为基准地价估价期日的宗地地价；</w:t>
      </w:r>
    </w:p>
    <w:p>
      <w:pPr>
        <w:pStyle w:val="BodyText"/>
        <w:spacing w:before="76" w:line="427" w:lineRule="exact"/>
        <w:ind w:left="415"/>
      </w:pPr>
      <w:r>
        <w:rPr>
          <w:rFonts w:ascii="Microsoft YaHei" w:eastAsia="Microsoft YaHei" w:hAnsi="Microsoft YaHei" w:cs="Microsoft YaHei"/>
          <w:position w:val="12"/>
        </w:rPr>
        <w:drawing>
          <wp:inline distT="0" distB="0" distL="0" distR="0">
            <wp:extent cx="73939" cy="134112"/>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49"/>
                    <a:stretch>
                      <a:fillRect/>
                    </a:stretch>
                  </pic:blipFill>
                  <pic:spPr>
                    <a:xfrm>
                      <a:off x="0" y="0"/>
                      <a:ext cx="73939" cy="134112"/>
                    </a:xfrm>
                    <a:prstGeom prst="rect">
                      <a:avLst/>
                    </a:prstGeom>
                  </pic:spPr>
                </pic:pic>
              </a:graphicData>
            </a:graphic>
          </wp:inline>
        </w:drawing>
      </w:r>
      <w:r>
        <w:rPr>
          <w:rFonts w:ascii="Microsoft YaHei" w:eastAsia="Microsoft YaHei" w:hAnsi="Microsoft YaHei" w:cs="Microsoft YaHei"/>
          <w:position w:val="9"/>
        </w:rPr>
        <w:drawing>
          <wp:inline distT="0" distB="0" distL="0" distR="0">
            <wp:extent cx="84243" cy="96012"/>
            <wp:effectExtent l="0" t="0" r="0" b="0"/>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50"/>
                    <a:stretch>
                      <a:fillRect/>
                    </a:stretch>
                  </pic:blipFill>
                  <pic:spPr>
                    <a:xfrm>
                      <a:off x="0" y="0"/>
                      <a:ext cx="84243" cy="96012"/>
                    </a:xfrm>
                    <a:prstGeom prst="rect">
                      <a:avLst/>
                    </a:prstGeom>
                  </pic:spPr>
                </pic:pic>
              </a:graphicData>
            </a:graphic>
          </wp:inline>
        </w:drawing>
      </w:r>
      <w:r>
        <w:rPr>
          <w:rFonts w:ascii="Microsoft YaHei" w:eastAsia="Microsoft YaHei" w:hAnsi="Microsoft YaHei" w:cs="Microsoft YaHei"/>
          <w:spacing w:val="-43"/>
          <w:position w:val="16"/>
        </w:rPr>
        <w:t xml:space="preserve"> </w:t>
      </w:r>
      <w:r>
        <w:rPr>
          <w:rFonts w:ascii="Microsoft YaHei" w:eastAsia="Microsoft YaHei" w:hAnsi="Microsoft YaHei" w:cs="Microsoft YaHei"/>
          <w:position w:val="16"/>
        </w:rPr>
        <w:t>——</w:t>
      </w:r>
      <w:r>
        <w:rPr>
          <w:position w:val="16"/>
        </w:rPr>
        <w:t>第j期、第</w:t>
      </w:r>
      <w:r>
        <w:rPr>
          <w:position w:val="12"/>
        </w:rPr>
        <w:drawing>
          <wp:inline distT="0" distB="0" distL="0" distR="0">
            <wp:extent cx="32180" cy="134112"/>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51"/>
                    <a:stretch>
                      <a:fillRect/>
                    </a:stretch>
                  </pic:blipFill>
                  <pic:spPr>
                    <a:xfrm>
                      <a:off x="0" y="0"/>
                      <a:ext cx="32180" cy="134112"/>
                    </a:xfrm>
                    <a:prstGeom prst="rect">
                      <a:avLst/>
                    </a:prstGeom>
                  </pic:spPr>
                </pic:pic>
              </a:graphicData>
            </a:graphic>
          </wp:inline>
        </w:drawing>
      </w:r>
      <w:r>
        <w:rPr>
          <w:position w:val="16"/>
        </w:rPr>
        <w:t>类宗地的实际成交地价。</w:t>
      </w:r>
    </w:p>
    <w:p>
      <w:pPr>
        <w:spacing w:before="1" w:line="219" w:lineRule="auto"/>
        <w:rPr>
          <w:rFonts w:ascii="SimHei" w:eastAsia="SimHei" w:hAnsi="SimHei" w:cs="SimHei"/>
          <w:sz w:val="21"/>
          <w:szCs w:val="21"/>
        </w:rPr>
      </w:pPr>
      <w:r>
        <w:rPr>
          <w:rFonts w:ascii="SimHei" w:eastAsia="SimHei" w:hAnsi="SimHei" w:cs="SimHei"/>
          <w:spacing w:val="-1"/>
          <w:sz w:val="21"/>
          <w:szCs w:val="21"/>
        </w:rPr>
        <w:t>6.8.1.4.4</w:t>
      </w:r>
      <w:r>
        <w:rPr>
          <w:rFonts w:ascii="SimHei" w:eastAsia="SimHei" w:hAnsi="SimHei" w:cs="SimHei"/>
          <w:spacing w:val="-1"/>
          <w:sz w:val="21"/>
          <w:szCs w:val="21"/>
        </w:rPr>
        <w:t xml:space="preserve">  </w:t>
      </w:r>
      <w:r>
        <w:rPr>
          <w:rFonts w:ascii="SimHei" w:eastAsia="SimHei" w:hAnsi="SimHei" w:cs="SimHei"/>
          <w:spacing w:val="-1"/>
          <w:sz w:val="21"/>
          <w:szCs w:val="21"/>
        </w:rPr>
        <w:t>样点地价的其他修正</w:t>
      </w:r>
    </w:p>
    <w:p>
      <w:pPr>
        <w:spacing w:line="219" w:lineRule="auto"/>
        <w:rPr>
          <w:rFonts w:ascii="SimHei" w:eastAsia="SimHei" w:hAnsi="SimHei" w:cs="SimHei"/>
          <w:sz w:val="21"/>
          <w:szCs w:val="21"/>
        </w:rPr>
        <w:sectPr>
          <w:headerReference w:type="default" r:id="rId52"/>
          <w:footerReference w:type="default" r:id="rId53"/>
          <w:type w:val="nextPage"/>
          <w:pgSz w:w="11907" w:h="16839"/>
          <w:pgMar w:top="1659" w:right="1055" w:bottom="1303" w:left="1426" w:header="1448" w:footer="1128" w:gutter="0"/>
          <w:pgNumType w:start="10"/>
          <w:cols w:space="708"/>
          <w:titlePg w:val="0"/>
        </w:sectPr>
      </w:pPr>
    </w:p>
    <w:p>
      <w:pPr>
        <w:pStyle w:val="BodyText"/>
        <w:spacing w:before="297" w:line="219" w:lineRule="auto"/>
        <w:ind w:left="420"/>
      </w:pPr>
      <w:r>
        <w:rPr>
          <w:spacing w:val="-1"/>
        </w:rPr>
        <w:t>样点地价的其他修正如下：</w:t>
      </w:r>
    </w:p>
    <w:p>
      <w:pPr>
        <w:pStyle w:val="BodyText"/>
        <w:spacing w:before="24" w:line="219" w:lineRule="auto"/>
        <w:ind w:left="426"/>
      </w:pPr>
      <w:r>
        <w:rPr>
          <w:spacing w:val="-3"/>
        </w:rPr>
        <w:t>a)  交易情况修正：</w:t>
      </w:r>
      <w:r>
        <w:rPr>
          <w:spacing w:val="-9"/>
        </w:rPr>
        <w:t xml:space="preserve"> </w:t>
      </w:r>
      <w:r>
        <w:rPr>
          <w:spacing w:val="-3"/>
        </w:rPr>
        <w:t>把交易情况不正常的样点地价，修正到正常交易条件下的地价；</w:t>
      </w:r>
    </w:p>
    <w:p>
      <w:pPr>
        <w:pStyle w:val="BodyText"/>
        <w:spacing w:before="20" w:line="231" w:lineRule="auto"/>
        <w:ind w:left="873" w:right="1" w:hanging="451"/>
      </w:pPr>
      <w:r>
        <w:rPr>
          <w:spacing w:val="-8"/>
        </w:rPr>
        <w:t>b)  交易方式修正： 以基准地价内涵为基准，</w:t>
      </w:r>
      <w:r>
        <w:rPr>
          <w:spacing w:val="-39"/>
        </w:rPr>
        <w:t xml:space="preserve"> </w:t>
      </w:r>
      <w:r>
        <w:rPr>
          <w:spacing w:val="-8"/>
        </w:rPr>
        <w:t>对承包、转让、出租、抵押、作价出资（入股</w:t>
      </w:r>
      <w:r>
        <w:rPr>
          <w:spacing w:val="-9"/>
        </w:rPr>
        <w:t>） 等不</w:t>
      </w:r>
      <w:r>
        <w:t xml:space="preserve"> </w:t>
      </w:r>
      <w:r>
        <w:rPr>
          <w:spacing w:val="-3"/>
        </w:rPr>
        <w:t>同交易方式进行修正；</w:t>
      </w:r>
    </w:p>
    <w:p>
      <w:pPr>
        <w:pStyle w:val="BodyText"/>
        <w:spacing w:before="20" w:line="230" w:lineRule="auto"/>
        <w:ind w:left="858" w:hanging="429"/>
      </w:pPr>
      <w:r>
        <w:rPr>
          <w:spacing w:val="-2"/>
        </w:rPr>
        <w:t>c)  园地开发程度修正：在不同开发程度下的样点地</w:t>
      </w:r>
      <w:r>
        <w:rPr>
          <w:spacing w:val="-3"/>
        </w:rPr>
        <w:t>价，应修正到基准地价内涵所设定的开发程度</w:t>
      </w:r>
      <w:r>
        <w:t xml:space="preserve"> </w:t>
      </w:r>
      <w:r>
        <w:rPr>
          <w:spacing w:val="-8"/>
        </w:rPr>
        <w:t>下的地价；</w:t>
      </w:r>
    </w:p>
    <w:p>
      <w:pPr>
        <w:pStyle w:val="BodyText"/>
        <w:spacing w:before="21" w:line="230" w:lineRule="auto"/>
        <w:ind w:left="869" w:hanging="440"/>
      </w:pPr>
      <w:r>
        <w:rPr>
          <w:spacing w:val="-2"/>
        </w:rPr>
        <w:t>d)  地上附着园地作物价格修正：应对地上园地作物</w:t>
      </w:r>
      <w:r>
        <w:rPr>
          <w:spacing w:val="-3"/>
        </w:rPr>
        <w:t>价值进行剥离，修正为不含地上附着物条件下</w:t>
      </w:r>
      <w:r>
        <w:t xml:space="preserve"> </w:t>
      </w:r>
      <w:r>
        <w:rPr>
          <w:spacing w:val="-4"/>
        </w:rPr>
        <w:t>的园地价格；</w:t>
      </w:r>
    </w:p>
    <w:p>
      <w:pPr>
        <w:pStyle w:val="BodyText"/>
        <w:spacing w:before="22" w:line="394" w:lineRule="exact"/>
        <w:ind w:left="430"/>
      </w:pPr>
      <w:r>
        <w:rPr>
          <w:spacing w:val="-3"/>
          <w:position w:val="13"/>
        </w:rPr>
        <w:t>e)  园地其他因素修正：</w:t>
      </w:r>
      <w:r>
        <w:rPr>
          <w:spacing w:val="-10"/>
          <w:position w:val="13"/>
        </w:rPr>
        <w:t xml:space="preserve"> </w:t>
      </w:r>
      <w:r>
        <w:rPr>
          <w:spacing w:val="-3"/>
          <w:position w:val="13"/>
        </w:rPr>
        <w:t>把样点地价修正到基准地价对应的因素条件下的价格。</w:t>
      </w:r>
    </w:p>
    <w:p>
      <w:pPr>
        <w:spacing w:before="1" w:line="219" w:lineRule="auto"/>
        <w:rPr>
          <w:rFonts w:ascii="SimHei" w:eastAsia="SimHei" w:hAnsi="SimHei" w:cs="SimHei"/>
          <w:sz w:val="21"/>
          <w:szCs w:val="21"/>
        </w:rPr>
      </w:pPr>
      <w:r>
        <w:rPr>
          <w:rFonts w:ascii="SimHei" w:eastAsia="SimHei" w:hAnsi="SimHei" w:cs="SimHei"/>
          <w:spacing w:val="-1"/>
          <w:sz w:val="21"/>
          <w:szCs w:val="21"/>
        </w:rPr>
        <w:t>6.8.1.4.5</w:t>
      </w:r>
      <w:r>
        <w:rPr>
          <w:rFonts w:ascii="SimHei" w:eastAsia="SimHei" w:hAnsi="SimHei" w:cs="SimHei"/>
          <w:spacing w:val="-1"/>
          <w:sz w:val="21"/>
          <w:szCs w:val="21"/>
        </w:rPr>
        <w:t xml:space="preserve">  </w:t>
      </w:r>
      <w:r>
        <w:rPr>
          <w:rFonts w:ascii="SimHei" w:eastAsia="SimHei" w:hAnsi="SimHei" w:cs="SimHei"/>
          <w:spacing w:val="-1"/>
          <w:sz w:val="21"/>
          <w:szCs w:val="21"/>
        </w:rPr>
        <w:t>样点数据检验</w:t>
      </w:r>
    </w:p>
    <w:p>
      <w:pPr>
        <w:pStyle w:val="BodyText"/>
        <w:spacing w:before="141" w:line="221" w:lineRule="auto"/>
        <w:ind w:left="420"/>
      </w:pPr>
      <w:r>
        <w:rPr>
          <w:spacing w:val="-3"/>
        </w:rPr>
        <w:t>样点数据检验要求如下：</w:t>
      </w:r>
    </w:p>
    <w:p>
      <w:pPr>
        <w:pStyle w:val="BodyText"/>
        <w:spacing w:before="23" w:line="233" w:lineRule="auto"/>
        <w:ind w:left="852" w:hanging="426"/>
      </w:pPr>
      <w:r>
        <w:rPr>
          <w:spacing w:val="-2"/>
        </w:rPr>
        <w:t>a)  同一园地级别或均质区中，同一交易方式计算的样点地价</w:t>
      </w:r>
      <w:r>
        <w:rPr>
          <w:spacing w:val="-3"/>
        </w:rPr>
        <w:t>要通过样点同一性检验，同一级别或</w:t>
      </w:r>
      <w:r>
        <w:t xml:space="preserve"> </w:t>
      </w:r>
      <w:r>
        <w:rPr>
          <w:spacing w:val="-3"/>
        </w:rPr>
        <w:t>均质区中样点数量不能满足总体检验的需求时，需对级别进行差别判别归类，按类进行样点总</w:t>
      </w:r>
      <w:r>
        <w:rPr>
          <w:spacing w:val="10"/>
        </w:rPr>
        <w:t xml:space="preserve"> </w:t>
      </w:r>
      <w:r>
        <w:rPr>
          <w:spacing w:val="-5"/>
        </w:rPr>
        <w:t>体同一性检验；</w:t>
      </w:r>
    </w:p>
    <w:p>
      <w:pPr>
        <w:pStyle w:val="BodyText"/>
        <w:spacing w:before="21" w:line="219" w:lineRule="auto"/>
        <w:ind w:left="422"/>
      </w:pPr>
      <w:r>
        <w:t>b)  同一园地级别或均质区中，不同交易方式计算的样点地价</w:t>
      </w:r>
      <w:r>
        <w:rPr>
          <w:spacing w:val="-1"/>
        </w:rPr>
        <w:t>，也要通过样点总体同一性检验；</w:t>
      </w:r>
    </w:p>
    <w:p>
      <w:pPr>
        <w:pStyle w:val="BodyText"/>
        <w:spacing w:before="21" w:line="221" w:lineRule="auto"/>
        <w:jc w:val="right"/>
      </w:pPr>
      <w:r>
        <w:rPr>
          <w:spacing w:val="-1"/>
        </w:rPr>
        <w:t>c)  用</w:t>
      </w:r>
      <w:r>
        <w:rPr>
          <w:spacing w:val="-20"/>
        </w:rPr>
        <w:t xml:space="preserve"> </w:t>
      </w:r>
      <w:r>
        <w:rPr>
          <w:spacing w:val="-1"/>
        </w:rPr>
        <w:t>t</w:t>
      </w:r>
      <w:r>
        <w:rPr>
          <w:spacing w:val="-44"/>
        </w:rPr>
        <w:t xml:space="preserve"> </w:t>
      </w:r>
      <w:r>
        <w:rPr>
          <w:spacing w:val="-1"/>
        </w:rPr>
        <w:t>检验法或均值-方差法对样点进行异常值剔除，当检验后的数据不能满足需要时，可增加</w:t>
      </w:r>
    </w:p>
    <w:p>
      <w:pPr>
        <w:pStyle w:val="BodyText"/>
        <w:spacing w:before="23" w:line="391" w:lineRule="exact"/>
        <w:ind w:left="851"/>
      </w:pPr>
      <w:r>
        <w:rPr>
          <w:spacing w:val="-5"/>
          <w:position w:val="13"/>
        </w:rPr>
        <w:t>抽样数据，</w:t>
      </w:r>
      <w:r>
        <w:rPr>
          <w:spacing w:val="-14"/>
          <w:position w:val="13"/>
        </w:rPr>
        <w:t xml:space="preserve"> </w:t>
      </w:r>
      <w:r>
        <w:rPr>
          <w:spacing w:val="-5"/>
          <w:position w:val="13"/>
        </w:rPr>
        <w:t>按以上方式重新进行数据检验。</w:t>
      </w:r>
    </w:p>
    <w:p>
      <w:pPr>
        <w:spacing w:before="1" w:line="219" w:lineRule="auto"/>
        <w:rPr>
          <w:rFonts w:ascii="SimHei" w:eastAsia="SimHei" w:hAnsi="SimHei" w:cs="SimHei"/>
          <w:sz w:val="21"/>
          <w:szCs w:val="21"/>
        </w:rPr>
      </w:pPr>
      <w:r>
        <w:rPr>
          <w:rFonts w:ascii="SimHei" w:eastAsia="SimHei" w:hAnsi="SimHei" w:cs="SimHei"/>
          <w:spacing w:val="-1"/>
          <w:sz w:val="21"/>
          <w:szCs w:val="21"/>
        </w:rPr>
        <w:t>6.8.1.4.6</w:t>
      </w:r>
      <w:r>
        <w:rPr>
          <w:rFonts w:ascii="SimHei" w:eastAsia="SimHei" w:hAnsi="SimHei" w:cs="SimHei"/>
          <w:spacing w:val="-1"/>
          <w:sz w:val="21"/>
          <w:szCs w:val="21"/>
        </w:rPr>
        <w:t xml:space="preserve">  </w:t>
      </w:r>
      <w:r>
        <w:rPr>
          <w:rFonts w:ascii="SimHei" w:eastAsia="SimHei" w:hAnsi="SimHei" w:cs="SimHei"/>
          <w:spacing w:val="-1"/>
          <w:sz w:val="21"/>
          <w:szCs w:val="21"/>
        </w:rPr>
        <w:t>样点地价分布图的绘制</w:t>
      </w:r>
    </w:p>
    <w:p>
      <w:pPr>
        <w:pStyle w:val="BodyText"/>
        <w:spacing w:before="144" w:line="229" w:lineRule="auto"/>
        <w:ind w:left="425" w:right="1420" w:hanging="3"/>
      </w:pPr>
      <w:r>
        <w:rPr>
          <w:spacing w:val="-1"/>
        </w:rPr>
        <w:t>调查和计算出的样点地价，要在工作底图上绘</w:t>
      </w:r>
      <w:r>
        <w:rPr>
          <w:spacing w:val="-2"/>
        </w:rPr>
        <w:t>制样点地价分布图。绘制要求如下：</w:t>
      </w:r>
      <w:r>
        <w:t xml:space="preserve"> </w:t>
      </w:r>
      <w:r>
        <w:t>a)  按不同园地利用类型分别绘制样点资料分布图；</w:t>
      </w:r>
    </w:p>
    <w:p>
      <w:pPr>
        <w:pStyle w:val="BodyText"/>
        <w:spacing w:before="24" w:line="221" w:lineRule="auto"/>
        <w:ind w:left="422"/>
      </w:pPr>
      <w:r>
        <w:t>b)  园地级别或均质区界线要反映在图上；</w:t>
      </w:r>
    </w:p>
    <w:p>
      <w:pPr>
        <w:pStyle w:val="BodyText"/>
        <w:spacing w:before="18" w:line="231" w:lineRule="auto"/>
        <w:ind w:left="429" w:right="988"/>
      </w:pPr>
      <w:r>
        <w:rPr>
          <w:spacing w:val="-1"/>
        </w:rPr>
        <w:t>c)  直接在图上表示样点地价，样点地价资料多时，采用分级图例表</w:t>
      </w:r>
      <w:r>
        <w:rPr>
          <w:spacing w:val="-2"/>
        </w:rPr>
        <w:t>示样点地价水平；</w:t>
      </w:r>
      <w:r>
        <w:t xml:space="preserve"> </w:t>
      </w:r>
      <w:r>
        <w:rPr>
          <w:spacing w:val="-3"/>
        </w:rPr>
        <w:t>d)  样点资料要有编码，</w:t>
      </w:r>
      <w:r>
        <w:rPr>
          <w:spacing w:val="-21"/>
        </w:rPr>
        <w:t xml:space="preserve"> </w:t>
      </w:r>
      <w:r>
        <w:rPr>
          <w:spacing w:val="-3"/>
        </w:rPr>
        <w:t>编码要反映不同园地利用类型、样点类型等。</w:t>
      </w:r>
    </w:p>
    <w:p>
      <w:pPr>
        <w:spacing w:before="140" w:line="221" w:lineRule="auto"/>
        <w:rPr>
          <w:rFonts w:ascii="SimHei" w:eastAsia="SimHei" w:hAnsi="SimHei" w:cs="SimHei"/>
          <w:sz w:val="21"/>
          <w:szCs w:val="21"/>
        </w:rPr>
      </w:pPr>
      <w:r>
        <w:rPr>
          <w:rFonts w:ascii="SimHei" w:eastAsia="SimHei" w:hAnsi="SimHei" w:cs="SimHei"/>
          <w:spacing w:val="-1"/>
          <w:sz w:val="21"/>
          <w:szCs w:val="21"/>
        </w:rPr>
        <w:t>6.8.1.4.7</w:t>
      </w:r>
      <w:r>
        <w:rPr>
          <w:rFonts w:ascii="SimHei" w:eastAsia="SimHei" w:hAnsi="SimHei" w:cs="SimHei"/>
          <w:spacing w:val="-1"/>
          <w:sz w:val="21"/>
          <w:szCs w:val="21"/>
        </w:rPr>
        <w:t xml:space="preserve">  </w:t>
      </w:r>
      <w:r>
        <w:rPr>
          <w:rFonts w:ascii="SimHei" w:eastAsia="SimHei" w:hAnsi="SimHei" w:cs="SimHei"/>
          <w:spacing w:val="-1"/>
          <w:sz w:val="21"/>
          <w:szCs w:val="21"/>
        </w:rPr>
        <w:t>数据整理</w:t>
      </w:r>
    </w:p>
    <w:p>
      <w:pPr>
        <w:pStyle w:val="BodyText"/>
        <w:spacing w:before="144" w:line="229" w:lineRule="auto"/>
        <w:ind w:left="1" w:firstLine="417"/>
      </w:pPr>
      <w:r>
        <w:rPr>
          <w:spacing w:val="-2"/>
        </w:rPr>
        <w:t>将经过修正及样点数据处理以后的样点，按园地利用类型、园地级别</w:t>
      </w:r>
      <w:r>
        <w:rPr>
          <w:spacing w:val="-3"/>
        </w:rPr>
        <w:t>或均质区、交易方式顺序进行</w:t>
      </w:r>
      <w:r>
        <w:t xml:space="preserve"> </w:t>
      </w:r>
      <w:r>
        <w:rPr>
          <w:spacing w:val="-9"/>
        </w:rPr>
        <w:t>整理， 并填入相应的表格。</w:t>
      </w:r>
    </w:p>
    <w:p>
      <w:pPr>
        <w:spacing w:before="143" w:line="220" w:lineRule="auto"/>
        <w:rPr>
          <w:rFonts w:ascii="SimHei" w:eastAsia="SimHei" w:hAnsi="SimHei" w:cs="SimHei"/>
          <w:sz w:val="21"/>
          <w:szCs w:val="21"/>
        </w:rPr>
      </w:pPr>
      <w:hyperlink r:id="rId54" w:history="1">
        <w:r>
          <w:rPr>
            <w:rFonts w:ascii="SimHei" w:eastAsia="SimHei" w:hAnsi="SimHei" w:cs="SimHei"/>
            <w:spacing w:val="-1"/>
            <w:sz w:val="21"/>
            <w:szCs w:val="21"/>
          </w:rPr>
          <w:t>6.8.1.5</w:t>
        </w:r>
      </w:hyperlink>
      <w:r>
        <w:rPr>
          <w:rFonts w:ascii="SimHei" w:eastAsia="SimHei" w:hAnsi="SimHei" w:cs="SimHei"/>
          <w:spacing w:val="-1"/>
          <w:sz w:val="21"/>
          <w:szCs w:val="21"/>
        </w:rPr>
        <w:t xml:space="preserve">  </w:t>
      </w:r>
      <w:r>
        <w:rPr>
          <w:rFonts w:ascii="SimHei" w:eastAsia="SimHei" w:hAnsi="SimHei" w:cs="SimHei"/>
          <w:spacing w:val="-1"/>
          <w:sz w:val="21"/>
          <w:szCs w:val="21"/>
        </w:rPr>
        <w:t>园地基准地价计算</w:t>
      </w:r>
    </w:p>
    <w:p>
      <w:pPr>
        <w:pStyle w:val="BodyText"/>
        <w:spacing w:before="141" w:line="219" w:lineRule="auto"/>
        <w:ind w:left="438"/>
      </w:pPr>
      <w:r>
        <w:rPr>
          <w:spacing w:val="-2"/>
        </w:rPr>
        <w:t>园地基准地价计算的要求和方法如下：</w:t>
      </w:r>
    </w:p>
    <w:p>
      <w:pPr>
        <w:pStyle w:val="BodyText"/>
        <w:spacing w:before="24" w:line="221" w:lineRule="auto"/>
        <w:ind w:left="426"/>
      </w:pPr>
      <w:r>
        <w:rPr>
          <w:spacing w:val="-3"/>
        </w:rPr>
        <w:t>a)  确定样点数量：</w:t>
      </w:r>
      <w:r>
        <w:rPr>
          <w:spacing w:val="-22"/>
        </w:rPr>
        <w:t xml:space="preserve"> </w:t>
      </w:r>
      <w:r>
        <w:rPr>
          <w:spacing w:val="-3"/>
        </w:rPr>
        <w:t>合格样点数量应符合数理统计要求；</w:t>
      </w:r>
    </w:p>
    <w:p>
      <w:pPr>
        <w:pStyle w:val="BodyText"/>
        <w:spacing w:before="20" w:line="230" w:lineRule="auto"/>
        <w:ind w:left="854" w:right="2" w:hanging="432"/>
      </w:pPr>
      <w:r>
        <w:rPr>
          <w:spacing w:val="-2"/>
        </w:rPr>
        <w:t>b)  园地基准地价计算：根据样点地价的分布规律，选用简单算术</w:t>
      </w:r>
      <w:r>
        <w:rPr>
          <w:spacing w:val="-3"/>
        </w:rPr>
        <w:t>平均值、加权算术平均值、中位</w:t>
      </w:r>
      <w:r>
        <w:t xml:space="preserve"> </w:t>
      </w:r>
      <w:r>
        <w:rPr>
          <w:spacing w:val="-1"/>
        </w:rPr>
        <w:t>数、众数等测算该级别或均质区的基准地价。</w:t>
      </w:r>
    </w:p>
    <w:p>
      <w:pPr>
        <w:spacing w:before="142" w:line="394" w:lineRule="exact"/>
        <w:rPr>
          <w:rFonts w:ascii="SimHei" w:eastAsia="SimHei" w:hAnsi="SimHei" w:cs="SimHei"/>
          <w:sz w:val="21"/>
          <w:szCs w:val="21"/>
        </w:rPr>
      </w:pPr>
      <w:r>
        <w:rPr>
          <w:rFonts w:ascii="SimHei" w:eastAsia="SimHei" w:hAnsi="SimHei" w:cs="SimHei"/>
          <w:spacing w:val="-1"/>
          <w:position w:val="13"/>
          <w:sz w:val="21"/>
          <w:szCs w:val="21"/>
        </w:rPr>
        <w:t>6.8.2</w:t>
      </w:r>
      <w:r>
        <w:rPr>
          <w:rFonts w:ascii="SimHei" w:eastAsia="SimHei" w:hAnsi="SimHei" w:cs="SimHei"/>
          <w:spacing w:val="-1"/>
          <w:position w:val="13"/>
          <w:sz w:val="21"/>
          <w:szCs w:val="21"/>
        </w:rPr>
        <w:t xml:space="preserve">  </w:t>
      </w:r>
      <w:r>
        <w:rPr>
          <w:rFonts w:ascii="SimHei" w:eastAsia="SimHei" w:hAnsi="SimHei" w:cs="SimHei"/>
          <w:spacing w:val="-1"/>
          <w:position w:val="13"/>
          <w:sz w:val="21"/>
          <w:szCs w:val="21"/>
        </w:rPr>
        <w:t>定级指数模型法</w:t>
      </w:r>
    </w:p>
    <w:p>
      <w:pPr>
        <w:spacing w:line="219" w:lineRule="auto"/>
        <w:rPr>
          <w:rFonts w:ascii="SimHei" w:eastAsia="SimHei" w:hAnsi="SimHei" w:cs="SimHei"/>
          <w:sz w:val="21"/>
          <w:szCs w:val="21"/>
        </w:rPr>
      </w:pPr>
      <w:hyperlink r:id="rId55" w:history="1">
        <w:r>
          <w:rPr>
            <w:rFonts w:ascii="SimHei" w:eastAsia="SimHei" w:hAnsi="SimHei" w:cs="SimHei"/>
            <w:spacing w:val="-1"/>
            <w:sz w:val="21"/>
            <w:szCs w:val="21"/>
          </w:rPr>
          <w:t>6.8.2.1</w:t>
        </w:r>
      </w:hyperlink>
      <w:r>
        <w:rPr>
          <w:rFonts w:ascii="SimHei" w:eastAsia="SimHei" w:hAnsi="SimHei" w:cs="SimHei"/>
          <w:spacing w:val="-1"/>
          <w:sz w:val="21"/>
          <w:szCs w:val="21"/>
        </w:rPr>
        <w:t xml:space="preserve">  </w:t>
      </w:r>
      <w:r>
        <w:rPr>
          <w:rFonts w:ascii="SimHei" w:eastAsia="SimHei" w:hAnsi="SimHei" w:cs="SimHei"/>
          <w:spacing w:val="-1"/>
          <w:sz w:val="21"/>
          <w:szCs w:val="21"/>
        </w:rPr>
        <w:t>评估步骤</w:t>
      </w:r>
    </w:p>
    <w:p>
      <w:pPr>
        <w:pStyle w:val="BodyText"/>
        <w:spacing w:before="142" w:line="219" w:lineRule="auto"/>
        <w:ind w:left="425"/>
      </w:pPr>
      <w:r>
        <w:rPr>
          <w:spacing w:val="-1"/>
        </w:rPr>
        <w:t>定级指数模型法的评估步骤如下：</w:t>
      </w:r>
    </w:p>
    <w:p>
      <w:pPr>
        <w:pStyle w:val="BodyText"/>
        <w:spacing w:before="24" w:line="219" w:lineRule="auto"/>
        <w:ind w:left="426"/>
        <w:sectPr>
          <w:headerReference w:type="default" r:id="rId56"/>
          <w:footerReference w:type="default" r:id="rId57"/>
          <w:pgSz w:w="11907" w:h="16839"/>
          <w:pgMar w:top="1659" w:right="1128" w:bottom="1305" w:left="1426" w:header="1448" w:footer="1128" w:gutter="0"/>
          <w:pgNumType w:start="11"/>
          <w:cols w:space="708"/>
        </w:sectPr>
      </w:pPr>
      <w:r>
        <w:rPr>
          <w:spacing w:val="-1"/>
        </w:rPr>
        <w:t>a)  按园地利用类型进行样点地价调查、计算与整理；</w:t>
      </w:r>
    </w:p>
    <w:p>
      <w:pPr>
        <w:pStyle w:val="BodyText"/>
        <w:spacing w:before="23" w:line="238" w:lineRule="auto"/>
        <w:ind w:left="422"/>
      </w:pPr>
      <w:r>
        <w:t>b)  测算有样点地价定级单元的平均地价；</w:t>
      </w:r>
    </w:p>
    <w:p>
      <w:pPr>
        <w:pStyle w:val="BodyText"/>
        <w:spacing w:line="219" w:lineRule="auto"/>
        <w:ind w:left="429"/>
      </w:pPr>
      <w:r>
        <w:t>c)  选择确定有样点地价定级单元的分</w:t>
      </w:r>
      <w:r>
        <w:rPr>
          <w:spacing w:val="-1"/>
        </w:rPr>
        <w:t>值；</w:t>
      </w:r>
    </w:p>
    <w:p>
      <w:pPr>
        <w:pStyle w:val="BodyText"/>
        <w:spacing w:before="24" w:line="229" w:lineRule="auto"/>
        <w:ind w:left="429" w:right="1830"/>
      </w:pPr>
      <w:r>
        <w:rPr>
          <w:spacing w:val="-1"/>
        </w:rPr>
        <w:t>d)  根据不同园地利用类型建立定级单元平均</w:t>
      </w:r>
      <w:r>
        <w:rPr>
          <w:spacing w:val="-2"/>
        </w:rPr>
        <w:t>地价与定级单元分值关系模型；</w:t>
      </w:r>
      <w:r>
        <w:t xml:space="preserve"> </w:t>
      </w:r>
      <w:r>
        <w:rPr>
          <w:spacing w:val="-1"/>
        </w:rPr>
        <w:t>e)  计算各级别基准地价。</w:t>
      </w:r>
    </w:p>
    <w:p>
      <w:pPr>
        <w:spacing w:before="144" w:line="220" w:lineRule="auto"/>
        <w:rPr>
          <w:rFonts w:ascii="SimHei" w:eastAsia="SimHei" w:hAnsi="SimHei" w:cs="SimHei"/>
          <w:sz w:val="21"/>
          <w:szCs w:val="21"/>
        </w:rPr>
      </w:pPr>
      <w:hyperlink r:id="rId58" w:history="1">
        <w:r>
          <w:rPr>
            <w:rFonts w:ascii="SimHei" w:eastAsia="SimHei" w:hAnsi="SimHei" w:cs="SimHei"/>
            <w:spacing w:val="-1"/>
            <w:sz w:val="21"/>
            <w:szCs w:val="21"/>
          </w:rPr>
          <w:t>6.8.2.2</w:t>
        </w:r>
      </w:hyperlink>
      <w:r>
        <w:rPr>
          <w:rFonts w:ascii="SimHei" w:eastAsia="SimHei" w:hAnsi="SimHei" w:cs="SimHei"/>
          <w:spacing w:val="-1"/>
          <w:sz w:val="21"/>
          <w:szCs w:val="21"/>
        </w:rPr>
        <w:t xml:space="preserve">  </w:t>
      </w:r>
      <w:r>
        <w:rPr>
          <w:rFonts w:ascii="SimHei" w:eastAsia="SimHei" w:hAnsi="SimHei" w:cs="SimHei"/>
          <w:spacing w:val="-1"/>
          <w:sz w:val="21"/>
          <w:szCs w:val="21"/>
        </w:rPr>
        <w:t>样点地价的调查、计算与修正</w:t>
      </w:r>
    </w:p>
    <w:p>
      <w:pPr>
        <w:pStyle w:val="BodyText"/>
        <w:spacing w:before="141" w:line="394" w:lineRule="exact"/>
        <w:ind w:left="420"/>
      </w:pPr>
      <w:r>
        <w:rPr>
          <w:position w:val="13"/>
        </w:rPr>
        <w:t>样点地价的调查、计算与修正见</w:t>
      </w:r>
      <w:hyperlink r:id="rId15" w:history="1">
        <w:r>
          <w:rPr>
            <w:position w:val="13"/>
          </w:rPr>
          <w:t>6.8.1.2</w:t>
        </w:r>
      </w:hyperlink>
      <w:r>
        <w:rPr>
          <w:position w:val="13"/>
        </w:rPr>
        <w:t>～</w:t>
      </w:r>
      <w:hyperlink r:id="rId19" w:history="1">
        <w:r>
          <w:rPr>
            <w:position w:val="13"/>
          </w:rPr>
          <w:t>6.8.1</w:t>
        </w:r>
        <w:r>
          <w:rPr>
            <w:spacing w:val="-1"/>
            <w:position w:val="13"/>
          </w:rPr>
          <w:t>.4</w:t>
        </w:r>
      </w:hyperlink>
      <w:r>
        <w:rPr>
          <w:spacing w:val="-1"/>
          <w:position w:val="13"/>
        </w:rPr>
        <w:t>。</w:t>
      </w:r>
    </w:p>
    <w:p>
      <w:pPr>
        <w:spacing w:line="219" w:lineRule="auto"/>
        <w:rPr>
          <w:rFonts w:ascii="SimHei" w:eastAsia="SimHei" w:hAnsi="SimHei" w:cs="SimHei"/>
          <w:sz w:val="21"/>
          <w:szCs w:val="21"/>
        </w:rPr>
      </w:pPr>
      <w:hyperlink r:id="rId59" w:history="1">
        <w:r>
          <w:rPr>
            <w:rFonts w:ascii="SimHei" w:eastAsia="SimHei" w:hAnsi="SimHei" w:cs="SimHei"/>
            <w:sz w:val="21"/>
            <w:szCs w:val="21"/>
          </w:rPr>
          <w:t>6.8.2.3</w:t>
        </w:r>
      </w:hyperlink>
      <w:r>
        <w:rPr>
          <w:rFonts w:ascii="SimHei" w:eastAsia="SimHei" w:hAnsi="SimHei" w:cs="SimHei"/>
          <w:sz w:val="21"/>
          <w:szCs w:val="21"/>
        </w:rPr>
        <w:t xml:space="preserve">  </w:t>
      </w:r>
      <w:r>
        <w:rPr>
          <w:rFonts w:ascii="SimHei" w:eastAsia="SimHei" w:hAnsi="SimHei" w:cs="SimHei"/>
          <w:sz w:val="21"/>
          <w:szCs w:val="21"/>
        </w:rPr>
        <w:t>测算有样点地价定级单元的平</w:t>
      </w:r>
      <w:r>
        <w:rPr>
          <w:rFonts w:ascii="SimHei" w:eastAsia="SimHei" w:hAnsi="SimHei" w:cs="SimHei"/>
          <w:spacing w:val="-1"/>
          <w:sz w:val="21"/>
          <w:szCs w:val="21"/>
        </w:rPr>
        <w:t>均地价</w:t>
      </w:r>
    </w:p>
    <w:p>
      <w:pPr>
        <w:spacing w:line="219" w:lineRule="auto"/>
        <w:rPr>
          <w:rFonts w:ascii="SimHei" w:eastAsia="SimHei" w:hAnsi="SimHei" w:cs="SimHei"/>
          <w:sz w:val="21"/>
          <w:szCs w:val="21"/>
        </w:rPr>
        <w:sectPr>
          <w:headerReference w:type="default" r:id="rId60"/>
          <w:footerReference w:type="default" r:id="rId61"/>
          <w:type w:val="nextPage"/>
          <w:pgSz w:w="11907" w:h="16839"/>
          <w:pgMar w:top="1659" w:right="1128" w:bottom="1305" w:left="1426" w:header="1448" w:footer="1128" w:gutter="0"/>
          <w:pgNumType w:start="12"/>
          <w:cols w:space="708"/>
          <w:titlePg w:val="0"/>
        </w:sectPr>
      </w:pPr>
    </w:p>
    <w:p>
      <w:pPr>
        <w:pStyle w:val="BodyText"/>
        <w:spacing w:before="297" w:line="230" w:lineRule="auto"/>
        <w:ind w:left="8" w:right="176" w:firstLine="417"/>
      </w:pPr>
      <w:r>
        <w:rPr>
          <w:spacing w:val="-4"/>
        </w:rPr>
        <w:t>对于有样点地价的定级单元，</w:t>
      </w:r>
      <w:r>
        <w:rPr>
          <w:spacing w:val="-33"/>
        </w:rPr>
        <w:t xml:space="preserve"> </w:t>
      </w:r>
      <w:r>
        <w:rPr>
          <w:spacing w:val="-4"/>
        </w:rPr>
        <w:t>采用简单算术平均值、加权算术平均值、中位数、众数等计算定级单</w:t>
      </w:r>
      <w:r>
        <w:t xml:space="preserve"> </w:t>
      </w:r>
      <w:r>
        <w:rPr>
          <w:spacing w:val="-4"/>
        </w:rPr>
        <w:t>元的平均地价。</w:t>
      </w:r>
    </w:p>
    <w:p>
      <w:pPr>
        <w:spacing w:before="142" w:line="219" w:lineRule="auto"/>
        <w:ind w:left="5"/>
        <w:rPr>
          <w:rFonts w:ascii="SimHei" w:eastAsia="SimHei" w:hAnsi="SimHei" w:cs="SimHei"/>
          <w:sz w:val="21"/>
          <w:szCs w:val="21"/>
        </w:rPr>
      </w:pPr>
      <w:hyperlink r:id="rId62" w:history="1">
        <w:r>
          <w:rPr>
            <w:rFonts w:ascii="SimHei" w:eastAsia="SimHei" w:hAnsi="SimHei" w:cs="SimHei"/>
            <w:sz w:val="21"/>
            <w:szCs w:val="21"/>
          </w:rPr>
          <w:t>6.8.2.4</w:t>
        </w:r>
      </w:hyperlink>
      <w:r>
        <w:rPr>
          <w:rFonts w:ascii="SimHei" w:eastAsia="SimHei" w:hAnsi="SimHei" w:cs="SimHei"/>
          <w:sz w:val="21"/>
          <w:szCs w:val="21"/>
        </w:rPr>
        <w:t xml:space="preserve">  </w:t>
      </w:r>
      <w:r>
        <w:rPr>
          <w:rFonts w:ascii="SimHei" w:eastAsia="SimHei" w:hAnsi="SimHei" w:cs="SimHei"/>
          <w:sz w:val="21"/>
          <w:szCs w:val="21"/>
        </w:rPr>
        <w:t>选择确定有样点地价定级单元</w:t>
      </w:r>
      <w:r>
        <w:rPr>
          <w:rFonts w:ascii="SimHei" w:eastAsia="SimHei" w:hAnsi="SimHei" w:cs="SimHei"/>
          <w:spacing w:val="-1"/>
          <w:sz w:val="21"/>
          <w:szCs w:val="21"/>
        </w:rPr>
        <w:t>的分值</w:t>
      </w:r>
    </w:p>
    <w:p>
      <w:pPr>
        <w:pStyle w:val="BodyText"/>
        <w:spacing w:before="144" w:line="229" w:lineRule="auto"/>
        <w:ind w:left="8" w:right="176" w:firstLine="417"/>
      </w:pPr>
      <w:r>
        <w:rPr>
          <w:spacing w:val="-2"/>
        </w:rPr>
        <w:t>根据园地定级成果中的定级单元分值图和表格，将有样点地价的</w:t>
      </w:r>
      <w:r>
        <w:rPr>
          <w:spacing w:val="-3"/>
        </w:rPr>
        <w:t>定级单元及其分值选择出来，作为</w:t>
      </w:r>
      <w:r>
        <w:t xml:space="preserve"> </w:t>
      </w:r>
      <w:r>
        <w:rPr>
          <w:spacing w:val="-1"/>
        </w:rPr>
        <w:t>建立模型的基本数据。</w:t>
      </w:r>
    </w:p>
    <w:p>
      <w:pPr>
        <w:spacing w:before="143" w:line="219" w:lineRule="auto"/>
        <w:ind w:left="5"/>
        <w:rPr>
          <w:rFonts w:ascii="SimHei" w:eastAsia="SimHei" w:hAnsi="SimHei" w:cs="SimHei"/>
          <w:sz w:val="21"/>
          <w:szCs w:val="21"/>
        </w:rPr>
      </w:pPr>
      <w:hyperlink r:id="rId63" w:history="1">
        <w:r>
          <w:rPr>
            <w:rFonts w:ascii="SimHei" w:eastAsia="SimHei" w:hAnsi="SimHei" w:cs="SimHei"/>
            <w:sz w:val="21"/>
            <w:szCs w:val="21"/>
          </w:rPr>
          <w:t>6.8.2.5</w:t>
        </w:r>
      </w:hyperlink>
      <w:r>
        <w:rPr>
          <w:rFonts w:ascii="SimHei" w:eastAsia="SimHei" w:hAnsi="SimHei" w:cs="SimHei"/>
          <w:sz w:val="21"/>
          <w:szCs w:val="21"/>
        </w:rPr>
        <w:t xml:space="preserve">  </w:t>
      </w:r>
      <w:r>
        <w:rPr>
          <w:rFonts w:ascii="SimHei" w:eastAsia="SimHei" w:hAnsi="SimHei" w:cs="SimHei"/>
          <w:sz w:val="21"/>
          <w:szCs w:val="21"/>
        </w:rPr>
        <w:t>建立定级单元分值与定级单元地价关</w:t>
      </w:r>
      <w:r>
        <w:rPr>
          <w:rFonts w:ascii="SimHei" w:eastAsia="SimHei" w:hAnsi="SimHei" w:cs="SimHei"/>
          <w:spacing w:val="-1"/>
          <w:sz w:val="21"/>
          <w:szCs w:val="21"/>
        </w:rPr>
        <w:t>系模型</w:t>
      </w:r>
    </w:p>
    <w:p>
      <w:pPr>
        <w:pStyle w:val="BodyText"/>
        <w:spacing w:before="141" w:line="394" w:lineRule="exact"/>
        <w:jc w:val="right"/>
      </w:pPr>
      <w:r>
        <w:rPr>
          <w:position w:val="13"/>
        </w:rPr>
        <w:t>分析定级单元分值和定级单元地价关系的基本模型</w:t>
      </w:r>
      <w:r>
        <w:rPr>
          <w:spacing w:val="-1"/>
          <w:position w:val="13"/>
        </w:rPr>
        <w:t>确定与检验参见GB/T 28406-2012 9.7.7的要求。</w:t>
      </w:r>
    </w:p>
    <w:p>
      <w:pPr>
        <w:spacing w:line="219" w:lineRule="auto"/>
        <w:ind w:left="5"/>
        <w:rPr>
          <w:rFonts w:ascii="SimHei" w:eastAsia="SimHei" w:hAnsi="SimHei" w:cs="SimHei"/>
          <w:sz w:val="21"/>
          <w:szCs w:val="21"/>
        </w:rPr>
      </w:pPr>
      <w:hyperlink r:id="rId64" w:history="1">
        <w:r>
          <w:rPr>
            <w:rFonts w:ascii="SimHei" w:eastAsia="SimHei" w:hAnsi="SimHei" w:cs="SimHei"/>
            <w:spacing w:val="-1"/>
            <w:sz w:val="21"/>
            <w:szCs w:val="21"/>
          </w:rPr>
          <w:t>6.8.2.6</w:t>
        </w:r>
      </w:hyperlink>
      <w:r>
        <w:rPr>
          <w:rFonts w:ascii="SimHei" w:eastAsia="SimHei" w:hAnsi="SimHei" w:cs="SimHei"/>
          <w:spacing w:val="-1"/>
          <w:sz w:val="21"/>
          <w:szCs w:val="21"/>
        </w:rPr>
        <w:t xml:space="preserve">  </w:t>
      </w:r>
      <w:r>
        <w:rPr>
          <w:rFonts w:ascii="SimHei" w:eastAsia="SimHei" w:hAnsi="SimHei" w:cs="SimHei"/>
          <w:spacing w:val="-1"/>
          <w:sz w:val="21"/>
          <w:szCs w:val="21"/>
        </w:rPr>
        <w:t>计算各级别基准地价</w:t>
      </w:r>
    </w:p>
    <w:p>
      <w:pPr>
        <w:pStyle w:val="BodyText"/>
        <w:spacing w:before="142" w:line="230" w:lineRule="auto"/>
        <w:ind w:left="5" w:right="116" w:firstLine="421"/>
      </w:pPr>
      <w:r>
        <w:rPr>
          <w:spacing w:val="-1"/>
        </w:rPr>
        <w:t>利用上述建立的定级单元分值与单元地价关系模型，计算所有定级单元地价。利用定级单元地价，</w:t>
      </w:r>
      <w:r>
        <w:rPr>
          <w:spacing w:val="1"/>
        </w:rPr>
        <w:t xml:space="preserve"> </w:t>
      </w:r>
      <w:r>
        <w:t>采用简单算术平均值、加权算术平均值、中位数或众数等方法测算并确定园地级别基准地价。</w:t>
      </w:r>
    </w:p>
    <w:p>
      <w:pPr>
        <w:spacing w:before="142" w:line="393" w:lineRule="exact"/>
        <w:ind w:left="5"/>
        <w:rPr>
          <w:rFonts w:ascii="SimHei" w:eastAsia="SimHei" w:hAnsi="SimHei" w:cs="SimHei"/>
          <w:sz w:val="21"/>
          <w:szCs w:val="21"/>
        </w:rPr>
      </w:pPr>
      <w:r>
        <w:rPr>
          <w:rFonts w:ascii="SimHei" w:eastAsia="SimHei" w:hAnsi="SimHei" w:cs="SimHei"/>
          <w:spacing w:val="-1"/>
          <w:position w:val="13"/>
          <w:sz w:val="21"/>
          <w:szCs w:val="21"/>
        </w:rPr>
        <w:t>6.8.3</w:t>
      </w:r>
      <w:r>
        <w:rPr>
          <w:rFonts w:ascii="SimHei" w:eastAsia="SimHei" w:hAnsi="SimHei" w:cs="SimHei"/>
          <w:spacing w:val="-1"/>
          <w:position w:val="13"/>
          <w:sz w:val="21"/>
          <w:szCs w:val="21"/>
        </w:rPr>
        <w:t xml:space="preserve">  </w:t>
      </w:r>
      <w:r>
        <w:rPr>
          <w:rFonts w:ascii="SimHei" w:eastAsia="SimHei" w:hAnsi="SimHei" w:cs="SimHei"/>
          <w:spacing w:val="-1"/>
          <w:position w:val="13"/>
          <w:sz w:val="21"/>
          <w:szCs w:val="21"/>
        </w:rPr>
        <w:t>基准地块评估法</w:t>
      </w:r>
    </w:p>
    <w:p>
      <w:pPr>
        <w:spacing w:before="1" w:line="219" w:lineRule="auto"/>
        <w:ind w:left="5"/>
        <w:rPr>
          <w:rFonts w:ascii="SimHei" w:eastAsia="SimHei" w:hAnsi="SimHei" w:cs="SimHei"/>
          <w:sz w:val="21"/>
          <w:szCs w:val="21"/>
        </w:rPr>
      </w:pPr>
      <w:hyperlink r:id="rId65" w:history="1">
        <w:r>
          <w:rPr>
            <w:rFonts w:ascii="SimHei" w:eastAsia="SimHei" w:hAnsi="SimHei" w:cs="SimHei"/>
            <w:spacing w:val="-1"/>
            <w:sz w:val="21"/>
            <w:szCs w:val="21"/>
          </w:rPr>
          <w:t>6.8.3.1</w:t>
        </w:r>
      </w:hyperlink>
      <w:r>
        <w:rPr>
          <w:rFonts w:ascii="SimHei" w:eastAsia="SimHei" w:hAnsi="SimHei" w:cs="SimHei"/>
          <w:spacing w:val="-1"/>
          <w:sz w:val="21"/>
          <w:szCs w:val="21"/>
        </w:rPr>
        <w:t xml:space="preserve">  </w:t>
      </w:r>
      <w:r>
        <w:rPr>
          <w:rFonts w:ascii="SimHei" w:eastAsia="SimHei" w:hAnsi="SimHei" w:cs="SimHei"/>
          <w:spacing w:val="-1"/>
          <w:sz w:val="21"/>
          <w:szCs w:val="21"/>
        </w:rPr>
        <w:t>评估步骤</w:t>
      </w:r>
    </w:p>
    <w:p>
      <w:pPr>
        <w:pStyle w:val="BodyText"/>
        <w:spacing w:before="142" w:line="219" w:lineRule="auto"/>
        <w:ind w:left="426"/>
      </w:pPr>
      <w:r>
        <w:rPr>
          <w:spacing w:val="-1"/>
        </w:rPr>
        <w:t>基准地块评估法的具体评估步骤如下：</w:t>
      </w:r>
    </w:p>
    <w:p>
      <w:pPr>
        <w:pStyle w:val="BodyText"/>
        <w:spacing w:before="25" w:line="238" w:lineRule="auto"/>
        <w:ind w:left="431"/>
      </w:pPr>
      <w:r>
        <w:rPr>
          <w:spacing w:val="-5"/>
        </w:rPr>
        <w:t>a)</w:t>
      </w:r>
      <w:r>
        <w:rPr>
          <w:spacing w:val="10"/>
        </w:rPr>
        <w:t xml:space="preserve">  </w:t>
      </w:r>
      <w:r>
        <w:rPr>
          <w:spacing w:val="-5"/>
        </w:rPr>
        <w:t>划分均质地域；</w:t>
      </w:r>
    </w:p>
    <w:p>
      <w:pPr>
        <w:pStyle w:val="BodyText"/>
        <w:spacing w:line="221" w:lineRule="auto"/>
        <w:ind w:left="427"/>
      </w:pPr>
      <w:r>
        <w:rPr>
          <w:spacing w:val="-4"/>
        </w:rPr>
        <w:t>b)</w:t>
      </w:r>
      <w:r>
        <w:rPr>
          <w:spacing w:val="8"/>
        </w:rPr>
        <w:t xml:space="preserve">  </w:t>
      </w:r>
      <w:r>
        <w:rPr>
          <w:spacing w:val="-4"/>
        </w:rPr>
        <w:t>选定基准地块；</w:t>
      </w:r>
    </w:p>
    <w:p>
      <w:pPr>
        <w:pStyle w:val="BodyText"/>
        <w:spacing w:before="19" w:line="219" w:lineRule="auto"/>
        <w:ind w:left="435"/>
      </w:pPr>
      <w:r>
        <w:rPr>
          <w:spacing w:val="-3"/>
        </w:rPr>
        <w:t>c)  评估基准地块价格；</w:t>
      </w:r>
    </w:p>
    <w:p>
      <w:pPr>
        <w:pStyle w:val="BodyText"/>
        <w:spacing w:before="25" w:line="391" w:lineRule="exact"/>
        <w:ind w:left="435"/>
      </w:pPr>
      <w:r>
        <w:rPr>
          <w:position w:val="13"/>
        </w:rPr>
        <w:t>d)  确定基准地块价格及均质区基准地</w:t>
      </w:r>
      <w:r>
        <w:rPr>
          <w:spacing w:val="-1"/>
          <w:position w:val="13"/>
        </w:rPr>
        <w:t>价。</w:t>
      </w:r>
    </w:p>
    <w:p>
      <w:pPr>
        <w:spacing w:before="1" w:line="220" w:lineRule="auto"/>
        <w:ind w:left="5"/>
        <w:rPr>
          <w:rFonts w:ascii="SimHei" w:eastAsia="SimHei" w:hAnsi="SimHei" w:cs="SimHei"/>
          <w:sz w:val="21"/>
          <w:szCs w:val="21"/>
        </w:rPr>
      </w:pPr>
      <w:hyperlink r:id="rId66" w:history="1">
        <w:r>
          <w:rPr>
            <w:rFonts w:ascii="SimHei" w:eastAsia="SimHei" w:hAnsi="SimHei" w:cs="SimHei"/>
            <w:spacing w:val="-1"/>
            <w:sz w:val="21"/>
            <w:szCs w:val="21"/>
          </w:rPr>
          <w:t>6.8.3.2</w:t>
        </w:r>
      </w:hyperlink>
      <w:r>
        <w:rPr>
          <w:rFonts w:ascii="SimHei" w:eastAsia="SimHei" w:hAnsi="SimHei" w:cs="SimHei"/>
          <w:spacing w:val="-1"/>
          <w:sz w:val="21"/>
          <w:szCs w:val="21"/>
        </w:rPr>
        <w:t xml:space="preserve">  </w:t>
      </w:r>
      <w:r>
        <w:rPr>
          <w:rFonts w:ascii="SimHei" w:eastAsia="SimHei" w:hAnsi="SimHei" w:cs="SimHei"/>
          <w:spacing w:val="-1"/>
          <w:sz w:val="21"/>
          <w:szCs w:val="21"/>
        </w:rPr>
        <w:t>划分均质地域</w:t>
      </w:r>
    </w:p>
    <w:p>
      <w:pPr>
        <w:pStyle w:val="BodyText"/>
        <w:spacing w:before="143" w:line="391" w:lineRule="exact"/>
        <w:ind w:left="427"/>
      </w:pPr>
      <w:r>
        <w:rPr>
          <w:spacing w:val="-1"/>
          <w:position w:val="13"/>
        </w:rPr>
        <w:t>均质地域划分方法见6.7。</w:t>
      </w:r>
    </w:p>
    <w:p>
      <w:pPr>
        <w:spacing w:before="1" w:line="219" w:lineRule="auto"/>
        <w:ind w:left="5"/>
        <w:rPr>
          <w:rFonts w:ascii="SimHei" w:eastAsia="SimHei" w:hAnsi="SimHei" w:cs="SimHei"/>
          <w:sz w:val="21"/>
          <w:szCs w:val="21"/>
        </w:rPr>
      </w:pPr>
      <w:hyperlink r:id="rId67" w:history="1">
        <w:r>
          <w:rPr>
            <w:rFonts w:ascii="SimHei" w:eastAsia="SimHei" w:hAnsi="SimHei" w:cs="SimHei"/>
            <w:spacing w:val="-1"/>
            <w:sz w:val="21"/>
            <w:szCs w:val="21"/>
          </w:rPr>
          <w:t>6.8.3.3</w:t>
        </w:r>
      </w:hyperlink>
      <w:r>
        <w:rPr>
          <w:rFonts w:ascii="SimHei" w:eastAsia="SimHei" w:hAnsi="SimHei" w:cs="SimHei"/>
          <w:spacing w:val="-1"/>
          <w:sz w:val="21"/>
          <w:szCs w:val="21"/>
        </w:rPr>
        <w:t xml:space="preserve">  </w:t>
      </w:r>
      <w:r>
        <w:rPr>
          <w:rFonts w:ascii="SimHei" w:eastAsia="SimHei" w:hAnsi="SimHei" w:cs="SimHei"/>
          <w:spacing w:val="-1"/>
          <w:sz w:val="21"/>
          <w:szCs w:val="21"/>
        </w:rPr>
        <w:t>选定基准地块</w:t>
      </w:r>
    </w:p>
    <w:p>
      <w:pPr>
        <w:pStyle w:val="BodyText"/>
        <w:spacing w:before="144" w:line="229" w:lineRule="auto"/>
        <w:ind w:left="6" w:right="175" w:firstLine="419"/>
      </w:pPr>
      <w:r>
        <w:rPr>
          <w:spacing w:val="-2"/>
        </w:rPr>
        <w:t>在各均质地域内，</w:t>
      </w:r>
      <w:r>
        <w:rPr>
          <w:spacing w:val="-14"/>
        </w:rPr>
        <w:t xml:space="preserve"> </w:t>
      </w:r>
      <w:r>
        <w:rPr>
          <w:spacing w:val="-2"/>
        </w:rPr>
        <w:t>根据土壤条件、作物产量、坡度、灌溉条件等，选择具有代表性的1个地块作为</w:t>
      </w:r>
      <w:r>
        <w:t xml:space="preserve"> </w:t>
      </w:r>
      <w:r>
        <w:rPr>
          <w:spacing w:val="-1"/>
        </w:rPr>
        <w:t>基准地块。具体选择过程中主要考虑下列条件：</w:t>
      </w:r>
    </w:p>
    <w:p>
      <w:pPr>
        <w:pStyle w:val="BodyText"/>
        <w:spacing w:before="24" w:line="238" w:lineRule="auto"/>
        <w:ind w:left="431"/>
      </w:pPr>
      <w:r>
        <w:rPr>
          <w:spacing w:val="-1"/>
        </w:rPr>
        <w:t>a)  土壤条件、作物产量、坡度、地表水等自然条件；</w:t>
      </w:r>
    </w:p>
    <w:p>
      <w:pPr>
        <w:pStyle w:val="BodyText"/>
        <w:spacing w:line="220" w:lineRule="auto"/>
        <w:ind w:left="427"/>
      </w:pPr>
      <w:r>
        <w:rPr>
          <w:spacing w:val="-1"/>
        </w:rPr>
        <w:t>b)  园地基础设施、距市场的远近、交通条件等；</w:t>
      </w:r>
    </w:p>
    <w:p>
      <w:pPr>
        <w:pStyle w:val="BodyText"/>
        <w:spacing w:before="24" w:line="238" w:lineRule="auto"/>
        <w:ind w:left="435"/>
      </w:pPr>
      <w:r>
        <w:rPr>
          <w:spacing w:val="-3"/>
        </w:rPr>
        <w:t>c)</w:t>
      </w:r>
      <w:r>
        <w:rPr>
          <w:spacing w:val="19"/>
        </w:rPr>
        <w:t xml:space="preserve">  </w:t>
      </w:r>
      <w:r>
        <w:rPr>
          <w:spacing w:val="-3"/>
        </w:rPr>
        <w:t>园地种植条件和管理条件；</w:t>
      </w:r>
    </w:p>
    <w:p>
      <w:pPr>
        <w:pStyle w:val="BodyText"/>
        <w:spacing w:line="220" w:lineRule="auto"/>
        <w:ind w:left="435"/>
      </w:pPr>
      <w:r>
        <w:rPr>
          <w:spacing w:val="-6"/>
        </w:rPr>
        <w:t>d)</w:t>
      </w:r>
      <w:r>
        <w:rPr>
          <w:spacing w:val="12"/>
        </w:rPr>
        <w:t xml:space="preserve">  </w:t>
      </w:r>
      <w:r>
        <w:rPr>
          <w:spacing w:val="-6"/>
        </w:rPr>
        <w:t>灾害条件。</w:t>
      </w:r>
    </w:p>
    <w:p>
      <w:pPr>
        <w:spacing w:before="143" w:line="220" w:lineRule="auto"/>
        <w:ind w:left="5"/>
        <w:rPr>
          <w:rFonts w:ascii="SimHei" w:eastAsia="SimHei" w:hAnsi="SimHei" w:cs="SimHei"/>
          <w:sz w:val="21"/>
          <w:szCs w:val="21"/>
        </w:rPr>
      </w:pPr>
      <w:hyperlink r:id="rId68" w:history="1">
        <w:r>
          <w:rPr>
            <w:rFonts w:ascii="SimHei" w:eastAsia="SimHei" w:hAnsi="SimHei" w:cs="SimHei"/>
            <w:spacing w:val="-1"/>
            <w:sz w:val="21"/>
            <w:szCs w:val="21"/>
          </w:rPr>
          <w:t>6.8.3.4</w:t>
        </w:r>
      </w:hyperlink>
      <w:r>
        <w:rPr>
          <w:rFonts w:ascii="SimHei" w:eastAsia="SimHei" w:hAnsi="SimHei" w:cs="SimHei"/>
          <w:spacing w:val="-1"/>
          <w:sz w:val="21"/>
          <w:szCs w:val="21"/>
        </w:rPr>
        <w:t xml:space="preserve">  </w:t>
      </w:r>
      <w:r>
        <w:rPr>
          <w:rFonts w:ascii="SimHei" w:eastAsia="SimHei" w:hAnsi="SimHei" w:cs="SimHei"/>
          <w:spacing w:val="-1"/>
          <w:sz w:val="21"/>
          <w:szCs w:val="21"/>
        </w:rPr>
        <w:t>评估基准地块价格</w:t>
      </w:r>
    </w:p>
    <w:p>
      <w:pPr>
        <w:pStyle w:val="BodyText"/>
        <w:spacing w:before="140" w:line="235" w:lineRule="auto"/>
        <w:ind w:left="5" w:right="116" w:firstLine="421"/>
        <w:jc w:val="both"/>
      </w:pPr>
      <w:r>
        <w:rPr>
          <w:spacing w:val="-1"/>
        </w:rPr>
        <w:t>利用市场交易资料，</w:t>
      </w:r>
      <w:r>
        <w:rPr>
          <w:spacing w:val="-24"/>
        </w:rPr>
        <w:t xml:space="preserve"> </w:t>
      </w:r>
      <w:r>
        <w:rPr>
          <w:spacing w:val="-1"/>
        </w:rPr>
        <w:t>采用市场比较法评估基准地块价</w:t>
      </w:r>
      <w:r>
        <w:rPr>
          <w:spacing w:val="-2"/>
        </w:rPr>
        <w:t>格。具体评估过程按GB/T 28406-2012要求执</w:t>
      </w:r>
      <w:r>
        <w:t xml:space="preserve"> </w:t>
      </w:r>
      <w:r>
        <w:rPr>
          <w:spacing w:val="-2"/>
        </w:rPr>
        <w:t>行。若基准地块在近3年内发生过市场交易行为，可通过对其进行交易方式、交易期日等修正，</w:t>
      </w:r>
      <w:r>
        <w:rPr>
          <w:spacing w:val="-10"/>
        </w:rPr>
        <w:t xml:space="preserve"> </w:t>
      </w:r>
      <w:r>
        <w:rPr>
          <w:spacing w:val="-2"/>
        </w:rPr>
        <w:t>求取其</w:t>
      </w:r>
      <w:r>
        <w:t xml:space="preserve"> </w:t>
      </w:r>
      <w:r>
        <w:rPr>
          <w:spacing w:val="-5"/>
        </w:rPr>
        <w:t>在公开市场条件下的园地价格； 利用基准地块的投入产出资料， 采用</w:t>
      </w:r>
      <w:r>
        <w:rPr>
          <w:spacing w:val="-6"/>
        </w:rPr>
        <w:t>收益还原法求取基准地块的价格，</w:t>
      </w:r>
      <w:r>
        <w:t xml:space="preserve"> </w:t>
      </w:r>
      <w:r>
        <w:t>具体评估过程按GB/T 28406-2012</w:t>
      </w:r>
      <w:r>
        <w:rPr>
          <w:spacing w:val="-1"/>
        </w:rPr>
        <w:t>要求执行。</w:t>
      </w:r>
    </w:p>
    <w:p>
      <w:pPr>
        <w:spacing w:before="142" w:line="220" w:lineRule="auto"/>
        <w:ind w:left="5"/>
        <w:rPr>
          <w:rFonts w:ascii="SimHei" w:eastAsia="SimHei" w:hAnsi="SimHei" w:cs="SimHei"/>
          <w:sz w:val="21"/>
          <w:szCs w:val="21"/>
        </w:rPr>
      </w:pPr>
      <w:hyperlink r:id="rId69" w:history="1">
        <w:r>
          <w:rPr>
            <w:rFonts w:ascii="SimHei" w:eastAsia="SimHei" w:hAnsi="SimHei" w:cs="SimHei"/>
            <w:sz w:val="21"/>
            <w:szCs w:val="21"/>
          </w:rPr>
          <w:t>6.8.3.5</w:t>
        </w:r>
      </w:hyperlink>
      <w:r>
        <w:rPr>
          <w:rFonts w:ascii="SimHei" w:eastAsia="SimHei" w:hAnsi="SimHei" w:cs="SimHei"/>
          <w:sz w:val="21"/>
          <w:szCs w:val="21"/>
        </w:rPr>
        <w:t xml:space="preserve">  </w:t>
      </w:r>
      <w:r>
        <w:rPr>
          <w:rFonts w:ascii="SimHei" w:eastAsia="SimHei" w:hAnsi="SimHei" w:cs="SimHei"/>
          <w:sz w:val="21"/>
          <w:szCs w:val="21"/>
        </w:rPr>
        <w:t>确定基准地块价格及均质区基</w:t>
      </w:r>
      <w:r>
        <w:rPr>
          <w:rFonts w:ascii="SimHei" w:eastAsia="SimHei" w:hAnsi="SimHei" w:cs="SimHei"/>
          <w:spacing w:val="-1"/>
          <w:sz w:val="21"/>
          <w:szCs w:val="21"/>
        </w:rPr>
        <w:t>准地价</w:t>
      </w:r>
    </w:p>
    <w:p>
      <w:pPr>
        <w:pStyle w:val="BodyText"/>
        <w:spacing w:before="143" w:line="219" w:lineRule="auto"/>
        <w:ind w:left="425"/>
      </w:pPr>
      <w:r>
        <w:rPr>
          <w:spacing w:val="-3"/>
        </w:rPr>
        <w:t>对各均质区基准地块价格加以比较分析， 以基准</w:t>
      </w:r>
      <w:r>
        <w:rPr>
          <w:spacing w:val="-4"/>
        </w:rPr>
        <w:t>地块价格确定均质区基准地价。</w:t>
      </w:r>
    </w:p>
    <w:p>
      <w:pPr>
        <w:spacing w:before="142" w:line="220" w:lineRule="auto"/>
        <w:rPr>
          <w:rFonts w:ascii="SimHei" w:eastAsia="SimHei" w:hAnsi="SimHei" w:cs="SimHei"/>
          <w:sz w:val="21"/>
          <w:szCs w:val="21"/>
        </w:rPr>
        <w:sectPr>
          <w:headerReference w:type="default" r:id="rId70"/>
          <w:footerReference w:type="default" r:id="rId71"/>
          <w:pgSz w:w="11907" w:h="16839"/>
          <w:pgMar w:top="1659" w:right="952" w:bottom="1303" w:left="1420" w:header="1448" w:footer="1128" w:gutter="0"/>
          <w:pgNumType w:start="13"/>
          <w:cols w:space="708"/>
        </w:sectPr>
      </w:pPr>
      <w:r>
        <w:rPr>
          <w:rFonts w:ascii="SimHei" w:eastAsia="SimHei" w:hAnsi="SimHei" w:cs="SimHei"/>
          <w:sz w:val="21"/>
          <w:szCs w:val="21"/>
        </w:rPr>
        <w:drawing>
          <wp:inline distT="0" distB="0" distL="0" distR="0">
            <wp:extent cx="195072" cy="100583"/>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72"/>
                    <a:stretch>
                      <a:fillRect/>
                    </a:stretch>
                  </pic:blipFill>
                  <pic:spPr>
                    <a:xfrm>
                      <a:off x="0" y="0"/>
                      <a:ext cx="195072" cy="100583"/>
                    </a:xfrm>
                    <a:prstGeom prst="rect">
                      <a:avLst/>
                    </a:prstGeom>
                  </pic:spPr>
                </pic:pic>
              </a:graphicData>
            </a:graphic>
          </wp:inline>
        </w:drawing>
      </w:r>
      <w:r>
        <w:rPr>
          <w:rFonts w:ascii="SimHei" w:eastAsia="SimHei" w:hAnsi="SimHei" w:cs="SimHei"/>
          <w:spacing w:val="8"/>
          <w:sz w:val="21"/>
          <w:szCs w:val="21"/>
        </w:rPr>
        <w:t xml:space="preserve">  </w:t>
      </w:r>
      <w:r>
        <w:rPr>
          <w:rFonts w:ascii="SimHei" w:eastAsia="SimHei" w:hAnsi="SimHei" w:cs="SimHei"/>
          <w:spacing w:val="-1"/>
          <w:sz w:val="21"/>
          <w:szCs w:val="21"/>
        </w:rPr>
        <w:t>基准地价的确定</w:t>
      </w:r>
    </w:p>
    <w:p>
      <w:pPr>
        <w:pStyle w:val="BodyText"/>
        <w:spacing w:before="143" w:line="229" w:lineRule="auto"/>
        <w:ind w:left="23" w:right="176" w:firstLine="401"/>
      </w:pPr>
      <w:r>
        <w:rPr>
          <w:spacing w:val="-4"/>
        </w:rPr>
        <w:t>对所采用的技术路线计算出的基准地价结果，</w:t>
      </w:r>
      <w:r>
        <w:rPr>
          <w:spacing w:val="-33"/>
        </w:rPr>
        <w:t xml:space="preserve"> </w:t>
      </w:r>
      <w:r>
        <w:rPr>
          <w:spacing w:val="-4"/>
        </w:rPr>
        <w:t>与实际情况进行比较、验证后，进行适当调整，按照</w:t>
      </w:r>
      <w:r>
        <w:t xml:space="preserve"> </w:t>
      </w:r>
      <w:r>
        <w:rPr>
          <w:spacing w:val="-2"/>
        </w:rPr>
        <w:t>园地利用类型和级别或均质区确定基准地价。</w:t>
      </w:r>
    </w:p>
    <w:p>
      <w:pPr>
        <w:spacing w:before="142" w:line="219" w:lineRule="auto"/>
        <w:rPr>
          <w:rFonts w:ascii="SimHei" w:eastAsia="SimHei" w:hAnsi="SimHei" w:cs="SimHei"/>
          <w:sz w:val="21"/>
          <w:szCs w:val="21"/>
        </w:rPr>
      </w:pPr>
      <w:r>
        <w:rPr>
          <w:rFonts w:ascii="SimHei" w:eastAsia="SimHei" w:hAnsi="SimHei" w:cs="SimHei"/>
          <w:sz w:val="21"/>
          <w:szCs w:val="21"/>
        </w:rPr>
        <w:drawing>
          <wp:inline distT="0" distB="0" distL="0" distR="0">
            <wp:extent cx="263652" cy="100583"/>
            <wp:effectExtent l="0" t="0" r="0" b="0"/>
            <wp:docPr id="96" name="IM 96"/>
            <wp:cNvGraphicFramePr/>
            <a:graphic xmlns:a="http://schemas.openxmlformats.org/drawingml/2006/main">
              <a:graphicData uri="http://schemas.openxmlformats.org/drawingml/2006/picture">
                <pic:pic xmlns:pic="http://schemas.openxmlformats.org/drawingml/2006/picture">
                  <pic:nvPicPr>
                    <pic:cNvPr id="96" name="IM 96"/>
                    <pic:cNvPicPr/>
                  </pic:nvPicPr>
                  <pic:blipFill>
                    <a:blip xmlns:r="http://schemas.openxmlformats.org/officeDocument/2006/relationships" r:embed="rId73"/>
                    <a:stretch>
                      <a:fillRect/>
                    </a:stretch>
                  </pic:blipFill>
                  <pic:spPr>
                    <a:xfrm>
                      <a:off x="0" y="0"/>
                      <a:ext cx="263652" cy="100583"/>
                    </a:xfrm>
                    <a:prstGeom prst="rect">
                      <a:avLst/>
                    </a:prstGeom>
                  </pic:spPr>
                </pic:pic>
              </a:graphicData>
            </a:graphic>
          </wp:inline>
        </w:drawing>
      </w:r>
      <w:r>
        <w:rPr>
          <w:rFonts w:ascii="SimHei" w:eastAsia="SimHei" w:hAnsi="SimHei" w:cs="SimHei"/>
          <w:spacing w:val="9"/>
          <w:sz w:val="21"/>
          <w:szCs w:val="21"/>
        </w:rPr>
        <w:t xml:space="preserve">  </w:t>
      </w:r>
      <w:r>
        <w:rPr>
          <w:rFonts w:ascii="SimHei" w:eastAsia="SimHei" w:hAnsi="SimHei" w:cs="SimHei"/>
          <w:spacing w:val="-1"/>
          <w:sz w:val="21"/>
          <w:szCs w:val="21"/>
        </w:rPr>
        <w:t>基准地价修正系数表的编制</w:t>
      </w:r>
    </w:p>
    <w:p>
      <w:pPr>
        <w:spacing w:before="145" w:line="219" w:lineRule="auto"/>
        <w:ind w:left="5"/>
        <w:rPr>
          <w:rFonts w:ascii="SimHei" w:eastAsia="SimHei" w:hAnsi="SimHei" w:cs="SimHei"/>
          <w:sz w:val="21"/>
          <w:szCs w:val="21"/>
        </w:rPr>
      </w:pPr>
      <w:r>
        <w:rPr>
          <w:rFonts w:ascii="SimHei" w:eastAsia="SimHei" w:hAnsi="SimHei" w:cs="SimHei"/>
          <w:spacing w:val="-1"/>
          <w:sz w:val="21"/>
          <w:szCs w:val="21"/>
        </w:rPr>
        <w:t>6.10.1</w:t>
      </w:r>
      <w:r>
        <w:rPr>
          <w:rFonts w:ascii="SimHei" w:eastAsia="SimHei" w:hAnsi="SimHei" w:cs="SimHei"/>
          <w:spacing w:val="-1"/>
          <w:sz w:val="21"/>
          <w:szCs w:val="21"/>
        </w:rPr>
        <w:t xml:space="preserve">  </w:t>
      </w:r>
      <w:r>
        <w:rPr>
          <w:rFonts w:ascii="SimHei" w:eastAsia="SimHei" w:hAnsi="SimHei" w:cs="SimHei"/>
          <w:spacing w:val="-1"/>
          <w:sz w:val="21"/>
          <w:szCs w:val="21"/>
        </w:rPr>
        <w:t>编制步骤</w:t>
      </w:r>
    </w:p>
    <w:p>
      <w:pPr>
        <w:pStyle w:val="BodyText"/>
        <w:spacing w:before="141" w:line="241" w:lineRule="auto"/>
        <w:ind w:left="426"/>
      </w:pPr>
      <w:r>
        <w:rPr>
          <w:spacing w:val="-1"/>
        </w:rPr>
        <w:t>基准地价修正系数表的编制步骤如下；</w:t>
      </w:r>
    </w:p>
    <w:p>
      <w:pPr>
        <w:pStyle w:val="BodyText"/>
        <w:spacing w:before="1" w:line="219" w:lineRule="auto"/>
        <w:ind w:left="431"/>
      </w:pPr>
      <w:r>
        <w:rPr>
          <w:spacing w:val="-2"/>
        </w:rPr>
        <w:t>a)  选择园地宗地地价影响因素；</w:t>
      </w:r>
    </w:p>
    <w:p>
      <w:pPr>
        <w:spacing w:line="219" w:lineRule="auto"/>
        <w:sectPr>
          <w:headerReference w:type="default" r:id="rId74"/>
          <w:footerReference w:type="default" r:id="rId75"/>
          <w:type w:val="nextPage"/>
          <w:pgSz w:w="11907" w:h="16839"/>
          <w:pgMar w:top="1659" w:right="952" w:bottom="1303" w:left="1420" w:header="1448" w:footer="1128" w:gutter="0"/>
          <w:pgNumType w:start="14"/>
          <w:cols w:space="708"/>
          <w:titlePg w:val="0"/>
        </w:sectPr>
      </w:pPr>
    </w:p>
    <w:p>
      <w:pPr>
        <w:pStyle w:val="BodyText"/>
        <w:spacing w:before="297" w:line="221" w:lineRule="auto"/>
        <w:ind w:left="422"/>
      </w:pPr>
      <w:r>
        <w:rPr>
          <w:spacing w:val="-2"/>
        </w:rPr>
        <w:t>b)  确定各影响因素的权重；</w:t>
      </w:r>
    </w:p>
    <w:p>
      <w:pPr>
        <w:pStyle w:val="BodyText"/>
        <w:spacing w:before="22" w:line="219" w:lineRule="auto"/>
        <w:ind w:left="429"/>
      </w:pPr>
      <w:r>
        <w:rPr>
          <w:spacing w:val="-1"/>
        </w:rPr>
        <w:t>c)  计算各因素影响地价修正幅度值；</w:t>
      </w:r>
    </w:p>
    <w:p>
      <w:pPr>
        <w:pStyle w:val="BodyText"/>
        <w:spacing w:before="22" w:line="219" w:lineRule="auto"/>
        <w:ind w:left="429"/>
      </w:pPr>
      <w:r>
        <w:rPr>
          <w:spacing w:val="-1"/>
        </w:rPr>
        <w:t>d)  计算并编制基准地价修正系数表；</w:t>
      </w:r>
    </w:p>
    <w:p>
      <w:pPr>
        <w:pStyle w:val="BodyText"/>
        <w:spacing w:before="24" w:line="219" w:lineRule="auto"/>
        <w:ind w:left="430"/>
      </w:pPr>
      <w:r>
        <w:rPr>
          <w:spacing w:val="-1"/>
        </w:rPr>
        <w:t>e)  编制宗地地价影响因素指标说明表。</w:t>
      </w:r>
    </w:p>
    <w:p>
      <w:pPr>
        <w:spacing w:before="141" w:line="220" w:lineRule="auto"/>
        <w:rPr>
          <w:rFonts w:ascii="SimHei" w:eastAsia="SimHei" w:hAnsi="SimHei" w:cs="SimHei"/>
          <w:sz w:val="21"/>
          <w:szCs w:val="21"/>
        </w:rPr>
      </w:pPr>
      <w:r>
        <w:rPr>
          <w:rFonts w:ascii="SimHei" w:eastAsia="SimHei" w:hAnsi="SimHei" w:cs="SimHei"/>
          <w:spacing w:val="-1"/>
          <w:sz w:val="21"/>
          <w:szCs w:val="21"/>
        </w:rPr>
        <w:t>6.10.2</w:t>
      </w:r>
      <w:r>
        <w:rPr>
          <w:rFonts w:ascii="SimHei" w:eastAsia="SimHei" w:hAnsi="SimHei" w:cs="SimHei"/>
          <w:spacing w:val="-1"/>
          <w:sz w:val="21"/>
          <w:szCs w:val="21"/>
        </w:rPr>
        <w:t xml:space="preserve">  </w:t>
      </w:r>
      <w:r>
        <w:rPr>
          <w:rFonts w:ascii="SimHei" w:eastAsia="SimHei" w:hAnsi="SimHei" w:cs="SimHei"/>
          <w:spacing w:val="-1"/>
          <w:sz w:val="21"/>
          <w:szCs w:val="21"/>
        </w:rPr>
        <w:t>选择园地宗地地价影响因素</w:t>
      </w:r>
    </w:p>
    <w:p>
      <w:pPr>
        <w:pStyle w:val="BodyText"/>
        <w:spacing w:before="144" w:line="229" w:lineRule="auto"/>
        <w:ind w:left="17" w:firstLine="420"/>
      </w:pPr>
      <w:r>
        <w:rPr>
          <w:spacing w:val="-3"/>
        </w:rPr>
        <w:t>园地宗地地价影响因素选择范围：在各级别或均质区内对宗地地价影响较大的自然因素、社会经济</w:t>
      </w:r>
      <w:r>
        <w:rPr>
          <w:spacing w:val="11"/>
        </w:rPr>
        <w:t xml:space="preserve"> </w:t>
      </w:r>
      <w:r>
        <w:rPr>
          <w:spacing w:val="-2"/>
        </w:rPr>
        <w:t>因素和特定因素。具体影响因素见附录A。</w:t>
      </w:r>
    </w:p>
    <w:p>
      <w:pPr>
        <w:pStyle w:val="BodyText"/>
        <w:spacing w:before="23" w:line="219" w:lineRule="auto"/>
        <w:ind w:left="438"/>
      </w:pPr>
      <w:r>
        <w:rPr>
          <w:spacing w:val="-3"/>
        </w:rPr>
        <w:t>园地宗地地价影响因素选择的原则如下：</w:t>
      </w:r>
    </w:p>
    <w:p>
      <w:pPr>
        <w:pStyle w:val="BodyText"/>
        <w:spacing w:before="22" w:line="241" w:lineRule="auto"/>
        <w:ind w:left="426"/>
      </w:pPr>
      <w:r>
        <w:rPr>
          <w:spacing w:val="-1"/>
        </w:rPr>
        <w:t>a)  考虑不同园地利用类型选择不同的影响因素；</w:t>
      </w:r>
    </w:p>
    <w:p>
      <w:pPr>
        <w:pStyle w:val="BodyText"/>
        <w:spacing w:before="1" w:line="219" w:lineRule="auto"/>
        <w:ind w:left="422"/>
      </w:pPr>
      <w:r>
        <w:rPr>
          <w:spacing w:val="-1"/>
        </w:rPr>
        <w:t>b)  考虑园地不同地上附着园地作物的差异；</w:t>
      </w:r>
    </w:p>
    <w:p>
      <w:pPr>
        <w:pStyle w:val="BodyText"/>
        <w:spacing w:before="21" w:line="241" w:lineRule="auto"/>
        <w:ind w:left="429"/>
      </w:pPr>
      <w:r>
        <w:t>c)  考虑园地宗地条件与园地级别条件之间的差异；</w:t>
      </w:r>
    </w:p>
    <w:p>
      <w:pPr>
        <w:pStyle w:val="BodyText"/>
        <w:spacing w:before="1" w:line="219" w:lineRule="auto"/>
        <w:ind w:left="429"/>
      </w:pPr>
      <w:r>
        <w:rPr>
          <w:spacing w:val="-2"/>
        </w:rPr>
        <w:t>d)  考虑园地宗地的实际产量差异。</w:t>
      </w:r>
    </w:p>
    <w:p>
      <w:pPr>
        <w:spacing w:before="141" w:line="220" w:lineRule="auto"/>
        <w:rPr>
          <w:rFonts w:ascii="SimHei" w:eastAsia="SimHei" w:hAnsi="SimHei" w:cs="SimHei"/>
          <w:sz w:val="21"/>
          <w:szCs w:val="21"/>
        </w:rPr>
      </w:pPr>
      <w:r>
        <w:rPr>
          <w:rFonts w:ascii="SimHei" w:eastAsia="SimHei" w:hAnsi="SimHei" w:cs="SimHei"/>
          <w:spacing w:val="-1"/>
          <w:sz w:val="21"/>
          <w:szCs w:val="21"/>
        </w:rPr>
        <w:t>6.10.3</w:t>
      </w:r>
      <w:r>
        <w:rPr>
          <w:rFonts w:ascii="SimHei" w:eastAsia="SimHei" w:hAnsi="SimHei" w:cs="SimHei"/>
          <w:spacing w:val="-1"/>
          <w:sz w:val="21"/>
          <w:szCs w:val="21"/>
        </w:rPr>
        <w:t xml:space="preserve">  </w:t>
      </w:r>
      <w:r>
        <w:rPr>
          <w:rFonts w:ascii="SimHei" w:eastAsia="SimHei" w:hAnsi="SimHei" w:cs="SimHei"/>
          <w:spacing w:val="-1"/>
          <w:sz w:val="21"/>
          <w:szCs w:val="21"/>
        </w:rPr>
        <w:t>确定各影响因素的权重</w:t>
      </w:r>
    </w:p>
    <w:p>
      <w:pPr>
        <w:pStyle w:val="BodyText"/>
        <w:spacing w:before="144" w:line="229" w:lineRule="auto"/>
        <w:ind w:left="1" w:firstLine="420"/>
      </w:pPr>
      <w:r>
        <w:rPr>
          <w:spacing w:val="-4"/>
        </w:rPr>
        <w:t>可采用特尔斐法、层次分析法、因素成对比较法等，按各因素对地</w:t>
      </w:r>
      <w:r>
        <w:rPr>
          <w:spacing w:val="-5"/>
        </w:rPr>
        <w:t>价的影响程度，</w:t>
      </w:r>
      <w:r>
        <w:rPr>
          <w:spacing w:val="-22"/>
        </w:rPr>
        <w:t xml:space="preserve"> </w:t>
      </w:r>
      <w:r>
        <w:rPr>
          <w:spacing w:val="-5"/>
        </w:rPr>
        <w:t>确定各因素的权</w:t>
      </w:r>
      <w:r>
        <w:t xml:space="preserve"> </w:t>
      </w:r>
      <w:r>
        <w:rPr>
          <w:spacing w:val="-8"/>
        </w:rPr>
        <w:t>重值。</w:t>
      </w:r>
    </w:p>
    <w:p>
      <w:pPr>
        <w:spacing w:before="141" w:line="220" w:lineRule="auto"/>
        <w:rPr>
          <w:rFonts w:ascii="SimHei" w:eastAsia="SimHei" w:hAnsi="SimHei" w:cs="SimHei"/>
          <w:sz w:val="21"/>
          <w:szCs w:val="21"/>
        </w:rPr>
      </w:pPr>
      <w:r>
        <w:rPr>
          <w:rFonts w:ascii="SimHei" w:eastAsia="SimHei" w:hAnsi="SimHei" w:cs="SimHei"/>
          <w:spacing w:val="-1"/>
          <w:sz w:val="21"/>
          <w:szCs w:val="21"/>
        </w:rPr>
        <w:t>6.10.4</w:t>
      </w:r>
      <w:r>
        <w:rPr>
          <w:rFonts w:ascii="SimHei" w:eastAsia="SimHei" w:hAnsi="SimHei" w:cs="SimHei"/>
          <w:spacing w:val="-1"/>
          <w:sz w:val="21"/>
          <w:szCs w:val="21"/>
        </w:rPr>
        <w:t xml:space="preserve">  </w:t>
      </w:r>
      <w:r>
        <w:rPr>
          <w:rFonts w:ascii="SimHei" w:eastAsia="SimHei" w:hAnsi="SimHei" w:cs="SimHei"/>
          <w:spacing w:val="-1"/>
          <w:sz w:val="21"/>
          <w:szCs w:val="21"/>
        </w:rPr>
        <w:t>计算基准地价修正幅度值</w:t>
      </w:r>
    </w:p>
    <w:p>
      <w:pPr>
        <w:pStyle w:val="BodyText"/>
        <w:spacing w:before="143" w:line="229" w:lineRule="auto"/>
        <w:ind w:left="4" w:firstLine="440"/>
      </w:pPr>
      <w:r>
        <w:rPr>
          <w:spacing w:val="-4"/>
        </w:rPr>
        <w:t>以园地级别或均质区为单位，</w:t>
      </w:r>
      <w:r>
        <w:rPr>
          <w:spacing w:val="-54"/>
        </w:rPr>
        <w:t xml:space="preserve"> </w:t>
      </w:r>
      <w:r>
        <w:rPr>
          <w:spacing w:val="-4"/>
        </w:rPr>
        <w:t>调查各级别或均质区中正常园地纯收益的上限、下限值等，</w:t>
      </w:r>
      <w:r>
        <w:rPr>
          <w:spacing w:val="-5"/>
        </w:rPr>
        <w:t>分别与该</w:t>
      </w:r>
      <w:r>
        <w:t xml:space="preserve"> </w:t>
      </w:r>
      <w:r>
        <w:rPr>
          <w:spacing w:val="-3"/>
        </w:rPr>
        <w:t>级别或均质区的基准地价折算的园地纯收益相减，</w:t>
      </w:r>
      <w:r>
        <w:rPr>
          <w:spacing w:val="-9"/>
        </w:rPr>
        <w:t xml:space="preserve"> </w:t>
      </w:r>
      <w:r>
        <w:rPr>
          <w:spacing w:val="-3"/>
        </w:rPr>
        <w:t>得到上调或下调的最高值。</w:t>
      </w:r>
    </w:p>
    <w:sdt>
      <w:sdtPr>
        <w:rPr>
          <w:rFonts w:ascii="SimSun" w:eastAsia="SimSun" w:hAnsi="SimSun" w:cs="SimSun"/>
          <w:sz w:val="21"/>
          <w:szCs w:val="21"/>
        </w:rPr>
        <w:id w:val="1901778346"/>
        <w:docPartObj>
          <w:docPartGallery w:val="Table of Contents"/>
          <w:docPartUnique/>
        </w:docPartObj>
      </w:sdtPr>
      <w:sdtEndPr>
        <w:rPr>
          <w:rFonts w:ascii="SimSun" w:eastAsia="SimSun" w:hAnsi="SimSun" w:cs="SimSun"/>
          <w:sz w:val="21"/>
          <w:szCs w:val="21"/>
        </w:rPr>
      </w:sdtEndPr>
      <w:sdtContent>
        <w:p>
          <w:pPr>
            <w:pStyle w:val="BodyText"/>
            <w:spacing w:before="24" w:line="219" w:lineRule="auto"/>
            <w:ind w:left="422"/>
          </w:pPr>
          <w:r>
            <w:rPr>
              <w:spacing w:val="-1"/>
            </w:rPr>
            <w:t>上调幅度按式（</w:t>
          </w:r>
          <w:r>
            <w:rPr>
              <w:rFonts w:ascii="Times New Roman" w:eastAsia="Times New Roman" w:hAnsi="Times New Roman" w:cs="Times New Roman"/>
              <w:spacing w:val="-1"/>
            </w:rPr>
            <w:t>4</w:t>
          </w:r>
          <w:r>
            <w:rPr>
              <w:spacing w:val="-1"/>
            </w:rPr>
            <w:t>）计算：</w:t>
          </w:r>
        </w:p>
        <w:p>
          <w:pPr>
            <w:pStyle w:val="BodyText"/>
            <w:tabs>
              <w:tab w:val="right" w:leader="dot" w:pos="9229"/>
            </w:tabs>
            <w:spacing w:before="22" w:line="199" w:lineRule="auto"/>
            <w:ind w:left="3426"/>
          </w:pPr>
          <w:r>
            <w:rPr>
              <w:rFonts w:ascii="Cambria Math" w:eastAsia="Cambria Math" w:hAnsi="Cambria Math" w:cs="Cambria Math"/>
              <w:position w:val="-3"/>
              <w:sz w:val="15"/>
              <w:szCs w:val="15"/>
            </w:rPr>
            <w:drawing>
              <wp:inline distT="0" distB="0" distL="0" distR="0">
                <wp:extent cx="78527" cy="134111"/>
                <wp:effectExtent l="0" t="0" r="0" b="0"/>
                <wp:docPr id="98" name="IM 98"/>
                <wp:cNvGraphicFramePr/>
                <a:graphic xmlns:a="http://schemas.openxmlformats.org/drawingml/2006/main">
                  <a:graphicData uri="http://schemas.openxmlformats.org/drawingml/2006/picture">
                    <pic:pic xmlns:pic="http://schemas.openxmlformats.org/drawingml/2006/picture">
                      <pic:nvPicPr>
                        <pic:cNvPr id="98" name="IM 98"/>
                        <pic:cNvPicPr/>
                      </pic:nvPicPr>
                      <pic:blipFill>
                        <a:blip xmlns:r="http://schemas.openxmlformats.org/officeDocument/2006/relationships" r:embed="rId76"/>
                        <a:stretch>
                          <a:fillRect/>
                        </a:stretch>
                      </pic:blipFill>
                      <pic:spPr>
                        <a:xfrm>
                          <a:off x="0" y="0"/>
                          <a:ext cx="78527" cy="134111"/>
                        </a:xfrm>
                        <a:prstGeom prst="rect">
                          <a:avLst/>
                        </a:prstGeom>
                      </pic:spPr>
                    </pic:pic>
                  </a:graphicData>
                </a:graphic>
              </wp:inline>
            </w:drawing>
          </w:r>
          <w:r>
            <w:rPr>
              <w:rFonts w:ascii="Cambria Math" w:eastAsia="Cambria Math" w:hAnsi="Cambria Math" w:cs="Cambria Math"/>
              <w:spacing w:val="-6"/>
              <w:position w:val="-3"/>
              <w:sz w:val="15"/>
              <w:szCs w:val="15"/>
            </w:rPr>
            <w:t>1</w:t>
          </w:r>
          <w:r>
            <w:rPr>
              <w:rFonts w:ascii="Cambria Math" w:eastAsia="Cambria Math" w:hAnsi="Cambria Math" w:cs="Cambria Math"/>
              <w:spacing w:val="9"/>
              <w:position w:val="-3"/>
              <w:sz w:val="15"/>
              <w:szCs w:val="15"/>
            </w:rPr>
            <w:t xml:space="preserve">  </w:t>
          </w:r>
          <w:r>
            <w:rPr>
              <w:rFonts w:ascii="Cambria Math" w:eastAsia="Cambria Math" w:hAnsi="Cambria Math" w:cs="Cambria Math"/>
              <w:spacing w:val="-6"/>
            </w:rPr>
            <w:t>=</w:t>
          </w:r>
          <w:r>
            <w:rPr>
              <w:rFonts w:ascii="Cambria Math" w:eastAsia="Cambria Math" w:hAnsi="Cambria Math" w:cs="Cambria Math"/>
              <w:spacing w:val="30"/>
              <w:w w:val="102"/>
            </w:rPr>
            <w:t xml:space="preserve"> </w:t>
          </w:r>
          <w:r>
            <w:rPr>
              <w:rFonts w:ascii="Cambria Math" w:eastAsia="Cambria Math" w:hAnsi="Cambria Math" w:cs="Cambria Math"/>
              <w:spacing w:val="-6"/>
              <w:position w:val="1"/>
            </w:rPr>
            <w:t>(</w:t>
          </w:r>
          <w:r>
            <w:rPr>
              <w:position w:val="-3"/>
            </w:rPr>
            <w:drawing>
              <wp:inline distT="0" distB="0" distL="0" distR="0">
                <wp:extent cx="44655" cy="134111"/>
                <wp:effectExtent l="0" t="0" r="0" b="0"/>
                <wp:docPr id="100" name="IM 100"/>
                <wp:cNvGraphicFramePr/>
                <a:graphic xmlns:a="http://schemas.openxmlformats.org/drawingml/2006/main">
                  <a:graphicData uri="http://schemas.openxmlformats.org/drawingml/2006/picture">
                    <pic:pic xmlns:pic="http://schemas.openxmlformats.org/drawingml/2006/picture">
                      <pic:nvPicPr>
                        <pic:cNvPr id="100" name="IM 100"/>
                        <pic:cNvPicPr/>
                      </pic:nvPicPr>
                      <pic:blipFill>
                        <a:blip xmlns:r="http://schemas.openxmlformats.org/officeDocument/2006/relationships" r:embed="rId77"/>
                        <a:stretch>
                          <a:fillRect/>
                        </a:stretch>
                      </pic:blipFill>
                      <pic:spPr>
                        <a:xfrm>
                          <a:off x="0" y="0"/>
                          <a:ext cx="44655" cy="134111"/>
                        </a:xfrm>
                        <a:prstGeom prst="rect">
                          <a:avLst/>
                        </a:prstGeom>
                      </pic:spPr>
                    </pic:pic>
                  </a:graphicData>
                </a:graphic>
              </wp:inline>
            </w:drawing>
          </w:r>
          <w:r>
            <w:rPr>
              <w:position w:val="-6"/>
            </w:rPr>
            <w:drawing>
              <wp:inline distT="0" distB="0" distL="0" distR="0">
                <wp:extent cx="60474" cy="96011"/>
                <wp:effectExtent l="0" t="0" r="0" b="0"/>
                <wp:docPr id="102" name="IM 102"/>
                <wp:cNvGraphicFramePr/>
                <a:graphic xmlns:a="http://schemas.openxmlformats.org/drawingml/2006/main">
                  <a:graphicData uri="http://schemas.openxmlformats.org/drawingml/2006/picture">
                    <pic:pic xmlns:pic="http://schemas.openxmlformats.org/drawingml/2006/picture">
                      <pic:nvPicPr>
                        <pic:cNvPr id="102" name="IM 102"/>
                        <pic:cNvPicPr/>
                      </pic:nvPicPr>
                      <pic:blipFill>
                        <a:blip xmlns:r="http://schemas.openxmlformats.org/officeDocument/2006/relationships" r:embed="rId78"/>
                        <a:stretch>
                          <a:fillRect/>
                        </a:stretch>
                      </pic:blipFill>
                      <pic:spPr>
                        <a:xfrm>
                          <a:off x="0" y="0"/>
                          <a:ext cx="60474" cy="96011"/>
                        </a:xfrm>
                        <a:prstGeom prst="rect">
                          <a:avLst/>
                        </a:prstGeom>
                      </pic:spPr>
                    </pic:pic>
                  </a:graphicData>
                </a:graphic>
              </wp:inline>
            </w:drawing>
          </w:r>
          <w:r>
            <w:rPr>
              <w:rFonts w:ascii="Cambria Math" w:eastAsia="Cambria Math" w:hAnsi="Cambria Math" w:cs="Cambria Math"/>
              <w:spacing w:val="-6"/>
              <w:position w:val="-3"/>
              <w:sz w:val="15"/>
              <w:szCs w:val="15"/>
            </w:rPr>
            <w:t xml:space="preserve">h  </w:t>
          </w:r>
          <w:r>
            <w:rPr>
              <w:rFonts w:ascii="Cambria Math" w:eastAsia="Cambria Math" w:hAnsi="Cambria Math" w:cs="Cambria Math"/>
              <w:spacing w:val="-6"/>
            </w:rPr>
            <w:t xml:space="preserve">− </w:t>
          </w:r>
          <w:r>
            <w:rPr>
              <w:position w:val="-3"/>
            </w:rPr>
            <w:drawing>
              <wp:inline distT="0" distB="0" distL="0" distR="0">
                <wp:extent cx="44655" cy="134111"/>
                <wp:effectExtent l="0" t="0" r="0" b="0"/>
                <wp:docPr id="104" name="IM 104"/>
                <wp:cNvGraphicFramePr/>
                <a:graphic xmlns:a="http://schemas.openxmlformats.org/drawingml/2006/main">
                  <a:graphicData uri="http://schemas.openxmlformats.org/drawingml/2006/picture">
                    <pic:pic xmlns:pic="http://schemas.openxmlformats.org/drawingml/2006/picture">
                      <pic:nvPicPr>
                        <pic:cNvPr id="104" name="IM 104"/>
                        <pic:cNvPicPr/>
                      </pic:nvPicPr>
                      <pic:blipFill>
                        <a:blip xmlns:r="http://schemas.openxmlformats.org/officeDocument/2006/relationships" r:embed="rId79"/>
                        <a:stretch>
                          <a:fillRect/>
                        </a:stretch>
                      </pic:blipFill>
                      <pic:spPr>
                        <a:xfrm>
                          <a:off x="0" y="0"/>
                          <a:ext cx="44655" cy="134111"/>
                        </a:xfrm>
                        <a:prstGeom prst="rect">
                          <a:avLst/>
                        </a:prstGeom>
                      </pic:spPr>
                    </pic:pic>
                  </a:graphicData>
                </a:graphic>
              </wp:inline>
            </w:drawing>
          </w:r>
          <w:r>
            <w:rPr>
              <w:position w:val="-6"/>
            </w:rPr>
            <w:drawing>
              <wp:inline distT="0" distB="0" distL="0" distR="0">
                <wp:extent cx="79696" cy="96011"/>
                <wp:effectExtent l="0" t="0" r="0" b="0"/>
                <wp:docPr id="106" name="IM 106"/>
                <wp:cNvGraphicFramePr/>
                <a:graphic xmlns:a="http://schemas.openxmlformats.org/drawingml/2006/main">
                  <a:graphicData uri="http://schemas.openxmlformats.org/drawingml/2006/picture">
                    <pic:pic xmlns:pic="http://schemas.openxmlformats.org/drawingml/2006/picture">
                      <pic:nvPicPr>
                        <pic:cNvPr id="106" name="IM 106"/>
                        <pic:cNvPicPr/>
                      </pic:nvPicPr>
                      <pic:blipFill>
                        <a:blip xmlns:r="http://schemas.openxmlformats.org/officeDocument/2006/relationships" r:embed="rId80"/>
                        <a:stretch>
                          <a:fillRect/>
                        </a:stretch>
                      </pic:blipFill>
                      <pic:spPr>
                        <a:xfrm>
                          <a:off x="0" y="0"/>
                          <a:ext cx="79696" cy="96011"/>
                        </a:xfrm>
                        <a:prstGeom prst="rect">
                          <a:avLst/>
                        </a:prstGeom>
                      </pic:spPr>
                    </pic:pic>
                  </a:graphicData>
                </a:graphic>
              </wp:inline>
            </w:drawing>
          </w:r>
          <w:r>
            <w:rPr>
              <w:rFonts w:ascii="Cambria Math" w:eastAsia="Cambria Math" w:hAnsi="Cambria Math" w:cs="Cambria Math"/>
              <w:spacing w:val="-18"/>
            </w:rPr>
            <w:t xml:space="preserve"> </w:t>
          </w:r>
          <w:r>
            <w:rPr>
              <w:rFonts w:ascii="Cambria Math" w:eastAsia="Cambria Math" w:hAnsi="Cambria Math" w:cs="Cambria Math"/>
              <w:spacing w:val="-6"/>
              <w:position w:val="1"/>
            </w:rPr>
            <w:t>)⁄</w:t>
          </w:r>
          <w:r>
            <w:rPr>
              <w:position w:val="-3"/>
            </w:rPr>
            <w:drawing>
              <wp:inline distT="0" distB="0" distL="0" distR="0">
                <wp:extent cx="44655" cy="134111"/>
                <wp:effectExtent l="0" t="0" r="0" b="0"/>
                <wp:docPr id="108" name="IM 108"/>
                <wp:cNvGraphicFramePr/>
                <a:graphic xmlns:a="http://schemas.openxmlformats.org/drawingml/2006/main">
                  <a:graphicData uri="http://schemas.openxmlformats.org/drawingml/2006/picture">
                    <pic:pic xmlns:pic="http://schemas.openxmlformats.org/drawingml/2006/picture">
                      <pic:nvPicPr>
                        <pic:cNvPr id="108" name="IM 108"/>
                        <pic:cNvPicPr/>
                      </pic:nvPicPr>
                      <pic:blipFill>
                        <a:blip xmlns:r="http://schemas.openxmlformats.org/officeDocument/2006/relationships" r:embed="rId79"/>
                        <a:stretch>
                          <a:fillRect/>
                        </a:stretch>
                      </pic:blipFill>
                      <pic:spPr>
                        <a:xfrm>
                          <a:off x="0" y="0"/>
                          <a:ext cx="44655" cy="134111"/>
                        </a:xfrm>
                        <a:prstGeom prst="rect">
                          <a:avLst/>
                        </a:prstGeom>
                      </pic:spPr>
                    </pic:pic>
                  </a:graphicData>
                </a:graphic>
              </wp:inline>
            </w:drawing>
          </w:r>
          <w:r>
            <w:rPr>
              <w:position w:val="-6"/>
            </w:rPr>
            <w:drawing>
              <wp:inline distT="0" distB="0" distL="0" distR="0">
                <wp:extent cx="79696" cy="96011"/>
                <wp:effectExtent l="0" t="0" r="0" b="0"/>
                <wp:docPr id="110" name="IM 110"/>
                <wp:cNvGraphicFramePr/>
                <a:graphic xmlns:a="http://schemas.openxmlformats.org/drawingml/2006/main">
                  <a:graphicData uri="http://schemas.openxmlformats.org/drawingml/2006/picture">
                    <pic:pic xmlns:pic="http://schemas.openxmlformats.org/drawingml/2006/picture">
                      <pic:nvPicPr>
                        <pic:cNvPr id="110" name="IM 110"/>
                        <pic:cNvPicPr/>
                      </pic:nvPicPr>
                      <pic:blipFill>
                        <a:blip xmlns:r="http://schemas.openxmlformats.org/officeDocument/2006/relationships" r:embed="rId80"/>
                        <a:stretch>
                          <a:fillRect/>
                        </a:stretch>
                      </pic:blipFill>
                      <pic:spPr>
                        <a:xfrm>
                          <a:off x="0" y="0"/>
                          <a:ext cx="79696" cy="96011"/>
                        </a:xfrm>
                        <a:prstGeom prst="rect">
                          <a:avLst/>
                        </a:prstGeom>
                      </pic:spPr>
                    </pic:pic>
                  </a:graphicData>
                </a:graphic>
              </wp:inline>
            </w:drawing>
          </w:r>
          <w:r>
            <w:rPr>
              <w:rFonts w:ascii="Cambria Math" w:eastAsia="Cambria Math" w:hAnsi="Cambria Math" w:cs="Cambria Math"/>
              <w:spacing w:val="38"/>
              <w:position w:val="1"/>
            </w:rPr>
            <w:t xml:space="preserve"> </w:t>
          </w:r>
          <w:r>
            <w:rPr>
              <w:rFonts w:ascii="Cambria Math" w:eastAsia="Cambria Math" w:hAnsi="Cambria Math" w:cs="Cambria Math"/>
              <w:spacing w:val="-6"/>
            </w:rPr>
            <w:t>×</w:t>
          </w:r>
          <w:r>
            <w:rPr>
              <w:rFonts w:ascii="Cambria Math" w:eastAsia="Cambria Math" w:hAnsi="Cambria Math" w:cs="Cambria Math"/>
              <w:spacing w:val="18"/>
            </w:rPr>
            <w:t xml:space="preserve"> </w:t>
          </w:r>
          <w:r>
            <w:rPr>
              <w:rFonts w:ascii="Cambria Math" w:eastAsia="Cambria Math" w:hAnsi="Cambria Math" w:cs="Cambria Math"/>
              <w:spacing w:val="-6"/>
            </w:rPr>
            <w:t>100%</w:t>
          </w:r>
          <w:r>
            <w:rPr>
              <w:rFonts w:ascii="Cambria Math" w:eastAsia="Cambria Math" w:hAnsi="Cambria Math" w:cs="Cambria Math"/>
              <w:spacing w:val="6"/>
            </w:rPr>
            <w:t xml:space="preserve"> </w:t>
          </w:r>
          <w:r>
            <w:rPr>
              <w:rFonts w:ascii="Cambria Math" w:eastAsia="Cambria Math" w:hAnsi="Cambria Math" w:cs="Cambria Math"/>
            </w:rPr>
            <w:tab/>
          </w:r>
          <w:r>
            <w:rPr>
              <w:spacing w:val="-26"/>
            </w:rPr>
            <w:t>（</w:t>
          </w:r>
          <w:hyperlink w:anchor="bookmark3" w:history="1">
            <w:r>
              <w:rPr>
                <w:rFonts w:ascii="Times New Roman" w:eastAsia="Times New Roman" w:hAnsi="Times New Roman" w:cs="Times New Roman"/>
                <w:spacing w:val="-26"/>
              </w:rPr>
              <w:t>4</w:t>
            </w:r>
          </w:hyperlink>
          <w:r>
            <w:rPr>
              <w:spacing w:val="-26"/>
            </w:rPr>
            <w:t>）</w:t>
          </w:r>
        </w:p>
        <w:p>
          <w:pPr>
            <w:pStyle w:val="BodyText"/>
            <w:spacing w:line="219" w:lineRule="auto"/>
            <w:ind w:left="427"/>
          </w:pPr>
          <w:r>
            <w:rPr>
              <w:spacing w:val="-1"/>
            </w:rPr>
            <w:t>下调幅度按式（</w:t>
          </w:r>
          <w:r>
            <w:rPr>
              <w:rFonts w:ascii="Times New Roman" w:eastAsia="Times New Roman" w:hAnsi="Times New Roman" w:cs="Times New Roman"/>
              <w:spacing w:val="-1"/>
            </w:rPr>
            <w:t>5</w:t>
          </w:r>
          <w:r>
            <w:rPr>
              <w:spacing w:val="-1"/>
            </w:rPr>
            <w:t>）计算：</w:t>
          </w:r>
        </w:p>
        <w:p>
          <w:pPr>
            <w:pStyle w:val="BodyText"/>
            <w:tabs>
              <w:tab w:val="right" w:leader="dot" w:pos="9229"/>
            </w:tabs>
            <w:spacing w:before="22" w:line="228" w:lineRule="auto"/>
            <w:ind w:left="3440"/>
          </w:pPr>
          <w:r>
            <w:rPr>
              <w:rFonts w:ascii="Cambria Math" w:eastAsia="Cambria Math" w:hAnsi="Cambria Math" w:cs="Cambria Math"/>
              <w:position w:val="-3"/>
              <w:sz w:val="15"/>
              <w:szCs w:val="15"/>
            </w:rPr>
            <w:drawing>
              <wp:inline distT="0" distB="0" distL="0" distR="0">
                <wp:extent cx="80055" cy="134111"/>
                <wp:effectExtent l="0" t="0" r="0" b="0"/>
                <wp:docPr id="112" name="IM 112"/>
                <wp:cNvGraphicFramePr/>
                <a:graphic xmlns:a="http://schemas.openxmlformats.org/drawingml/2006/main">
                  <a:graphicData uri="http://schemas.openxmlformats.org/drawingml/2006/picture">
                    <pic:pic xmlns:pic="http://schemas.openxmlformats.org/drawingml/2006/picture">
                      <pic:nvPicPr>
                        <pic:cNvPr id="112" name="IM 112"/>
                        <pic:cNvPicPr/>
                      </pic:nvPicPr>
                      <pic:blipFill>
                        <a:blip xmlns:r="http://schemas.openxmlformats.org/officeDocument/2006/relationships" r:embed="rId81"/>
                        <a:stretch>
                          <a:fillRect/>
                        </a:stretch>
                      </pic:blipFill>
                      <pic:spPr>
                        <a:xfrm>
                          <a:off x="0" y="0"/>
                          <a:ext cx="80055" cy="134111"/>
                        </a:xfrm>
                        <a:prstGeom prst="rect">
                          <a:avLst/>
                        </a:prstGeom>
                      </pic:spPr>
                    </pic:pic>
                  </a:graphicData>
                </a:graphic>
              </wp:inline>
            </w:drawing>
          </w:r>
          <w:r>
            <w:rPr>
              <w:rFonts w:ascii="Cambria Math" w:eastAsia="Cambria Math" w:hAnsi="Cambria Math" w:cs="Cambria Math"/>
              <w:spacing w:val="-6"/>
              <w:position w:val="-3"/>
              <w:sz w:val="15"/>
              <w:szCs w:val="15"/>
            </w:rPr>
            <w:t>2</w:t>
          </w:r>
          <w:r>
            <w:rPr>
              <w:rFonts w:ascii="Cambria Math" w:eastAsia="Cambria Math" w:hAnsi="Cambria Math" w:cs="Cambria Math"/>
              <w:spacing w:val="8"/>
              <w:w w:val="101"/>
              <w:position w:val="-3"/>
              <w:sz w:val="15"/>
              <w:szCs w:val="15"/>
            </w:rPr>
            <w:t xml:space="preserve">  </w:t>
          </w:r>
          <w:r>
            <w:rPr>
              <w:rFonts w:ascii="Cambria Math" w:eastAsia="Cambria Math" w:hAnsi="Cambria Math" w:cs="Cambria Math"/>
              <w:spacing w:val="-6"/>
            </w:rPr>
            <w:t>=</w:t>
          </w:r>
          <w:r>
            <w:rPr>
              <w:rFonts w:ascii="Cambria Math" w:eastAsia="Cambria Math" w:hAnsi="Cambria Math" w:cs="Cambria Math"/>
              <w:spacing w:val="30"/>
              <w:w w:val="102"/>
            </w:rPr>
            <w:t xml:space="preserve"> </w:t>
          </w:r>
          <w:r>
            <w:rPr>
              <w:rFonts w:ascii="Cambria Math" w:eastAsia="Cambria Math" w:hAnsi="Cambria Math" w:cs="Cambria Math"/>
              <w:spacing w:val="-6"/>
              <w:position w:val="1"/>
            </w:rPr>
            <w:t>(</w:t>
          </w:r>
          <w:r>
            <w:rPr>
              <w:position w:val="-3"/>
            </w:rPr>
            <w:drawing>
              <wp:inline distT="0" distB="0" distL="0" distR="0">
                <wp:extent cx="45524" cy="134111"/>
                <wp:effectExtent l="0" t="0" r="0" b="0"/>
                <wp:docPr id="114" name="IM 114"/>
                <wp:cNvGraphicFramePr/>
                <a:graphic xmlns:a="http://schemas.openxmlformats.org/drawingml/2006/main">
                  <a:graphicData uri="http://schemas.openxmlformats.org/drawingml/2006/picture">
                    <pic:pic xmlns:pic="http://schemas.openxmlformats.org/drawingml/2006/picture">
                      <pic:nvPicPr>
                        <pic:cNvPr id="114" name="IM 114"/>
                        <pic:cNvPicPr/>
                      </pic:nvPicPr>
                      <pic:blipFill>
                        <a:blip xmlns:r="http://schemas.openxmlformats.org/officeDocument/2006/relationships" r:embed="rId77"/>
                        <a:stretch>
                          <a:fillRect/>
                        </a:stretch>
                      </pic:blipFill>
                      <pic:spPr>
                        <a:xfrm>
                          <a:off x="0" y="0"/>
                          <a:ext cx="45524" cy="134111"/>
                        </a:xfrm>
                        <a:prstGeom prst="rect">
                          <a:avLst/>
                        </a:prstGeom>
                      </pic:spPr>
                    </pic:pic>
                  </a:graphicData>
                </a:graphic>
              </wp:inline>
            </w:drawing>
          </w:r>
          <w:r>
            <w:rPr>
              <w:position w:val="-6"/>
            </w:rPr>
            <w:drawing>
              <wp:inline distT="0" distB="0" distL="0" distR="0">
                <wp:extent cx="81246" cy="96011"/>
                <wp:effectExtent l="0" t="0" r="0" b="0"/>
                <wp:docPr id="116" name="IM 116"/>
                <wp:cNvGraphicFramePr/>
                <a:graphic xmlns:a="http://schemas.openxmlformats.org/drawingml/2006/main">
                  <a:graphicData uri="http://schemas.openxmlformats.org/drawingml/2006/picture">
                    <pic:pic xmlns:pic="http://schemas.openxmlformats.org/drawingml/2006/picture">
                      <pic:nvPicPr>
                        <pic:cNvPr id="116" name="IM 116"/>
                        <pic:cNvPicPr/>
                      </pic:nvPicPr>
                      <pic:blipFill>
                        <a:blip xmlns:r="http://schemas.openxmlformats.org/officeDocument/2006/relationships" r:embed="rId82"/>
                        <a:stretch>
                          <a:fillRect/>
                        </a:stretch>
                      </pic:blipFill>
                      <pic:spPr>
                        <a:xfrm>
                          <a:off x="0" y="0"/>
                          <a:ext cx="81246" cy="96011"/>
                        </a:xfrm>
                        <a:prstGeom prst="rect">
                          <a:avLst/>
                        </a:prstGeom>
                      </pic:spPr>
                    </pic:pic>
                  </a:graphicData>
                </a:graphic>
              </wp:inline>
            </w:drawing>
          </w:r>
          <w:r>
            <w:rPr>
              <w:rFonts w:ascii="Cambria Math" w:eastAsia="Cambria Math" w:hAnsi="Cambria Math" w:cs="Cambria Math"/>
              <w:spacing w:val="34"/>
              <w:w w:val="101"/>
              <w:position w:val="1"/>
            </w:rPr>
            <w:t xml:space="preserve"> </w:t>
          </w:r>
          <w:r>
            <w:rPr>
              <w:rFonts w:ascii="Cambria Math" w:eastAsia="Cambria Math" w:hAnsi="Cambria Math" w:cs="Cambria Math"/>
              <w:spacing w:val="-6"/>
            </w:rPr>
            <w:t xml:space="preserve">− </w:t>
          </w:r>
          <w:r>
            <w:rPr>
              <w:position w:val="-3"/>
            </w:rPr>
            <w:drawing>
              <wp:inline distT="0" distB="0" distL="0" distR="0">
                <wp:extent cx="45524" cy="134111"/>
                <wp:effectExtent l="0" t="0" r="0" b="0"/>
                <wp:docPr id="118" name="IM 118"/>
                <wp:cNvGraphicFramePr/>
                <a:graphic xmlns:a="http://schemas.openxmlformats.org/drawingml/2006/main">
                  <a:graphicData uri="http://schemas.openxmlformats.org/drawingml/2006/picture">
                    <pic:pic xmlns:pic="http://schemas.openxmlformats.org/drawingml/2006/picture">
                      <pic:nvPicPr>
                        <pic:cNvPr id="118" name="IM 118"/>
                        <pic:cNvPicPr/>
                      </pic:nvPicPr>
                      <pic:blipFill>
                        <a:blip xmlns:r="http://schemas.openxmlformats.org/officeDocument/2006/relationships" r:embed="rId77"/>
                        <a:stretch>
                          <a:fillRect/>
                        </a:stretch>
                      </pic:blipFill>
                      <pic:spPr>
                        <a:xfrm>
                          <a:off x="0" y="0"/>
                          <a:ext cx="45524" cy="134111"/>
                        </a:xfrm>
                        <a:prstGeom prst="rect">
                          <a:avLst/>
                        </a:prstGeom>
                      </pic:spPr>
                    </pic:pic>
                  </a:graphicData>
                </a:graphic>
              </wp:inline>
            </w:drawing>
          </w:r>
          <w:r>
            <w:rPr>
              <w:position w:val="-6"/>
            </w:rPr>
            <w:drawing>
              <wp:inline distT="0" distB="0" distL="0" distR="0">
                <wp:extent cx="61650" cy="96011"/>
                <wp:effectExtent l="0" t="0" r="0" b="0"/>
                <wp:docPr id="120" name="IM 120"/>
                <wp:cNvGraphicFramePr/>
                <a:graphic xmlns:a="http://schemas.openxmlformats.org/drawingml/2006/main">
                  <a:graphicData uri="http://schemas.openxmlformats.org/drawingml/2006/picture">
                    <pic:pic xmlns:pic="http://schemas.openxmlformats.org/drawingml/2006/picture">
                      <pic:nvPicPr>
                        <pic:cNvPr id="120" name="IM 120"/>
                        <pic:cNvPicPr/>
                      </pic:nvPicPr>
                      <pic:blipFill>
                        <a:blip xmlns:r="http://schemas.openxmlformats.org/officeDocument/2006/relationships" r:embed="rId78"/>
                        <a:stretch>
                          <a:fillRect/>
                        </a:stretch>
                      </pic:blipFill>
                      <pic:spPr>
                        <a:xfrm>
                          <a:off x="0" y="0"/>
                          <a:ext cx="61650" cy="96011"/>
                        </a:xfrm>
                        <a:prstGeom prst="rect">
                          <a:avLst/>
                        </a:prstGeom>
                      </pic:spPr>
                    </pic:pic>
                  </a:graphicData>
                </a:graphic>
              </wp:inline>
            </w:drawing>
          </w:r>
          <w:r>
            <w:rPr>
              <w:position w:val="-6"/>
            </w:rPr>
            <w:drawing>
              <wp:inline distT="0" distB="0" distL="0" distR="0">
                <wp:extent cx="24216" cy="96011"/>
                <wp:effectExtent l="0" t="0" r="0" b="0"/>
                <wp:docPr id="122" name="IM 122"/>
                <wp:cNvGraphicFramePr/>
                <a:graphic xmlns:a="http://schemas.openxmlformats.org/drawingml/2006/main">
                  <a:graphicData uri="http://schemas.openxmlformats.org/drawingml/2006/picture">
                    <pic:pic xmlns:pic="http://schemas.openxmlformats.org/drawingml/2006/picture">
                      <pic:nvPicPr>
                        <pic:cNvPr id="122" name="IM 122"/>
                        <pic:cNvPicPr/>
                      </pic:nvPicPr>
                      <pic:blipFill>
                        <a:blip xmlns:r="http://schemas.openxmlformats.org/officeDocument/2006/relationships" r:embed="rId83"/>
                        <a:stretch>
                          <a:fillRect/>
                        </a:stretch>
                      </pic:blipFill>
                      <pic:spPr>
                        <a:xfrm>
                          <a:off x="0" y="0"/>
                          <a:ext cx="24216" cy="96011"/>
                        </a:xfrm>
                        <a:prstGeom prst="rect">
                          <a:avLst/>
                        </a:prstGeom>
                      </pic:spPr>
                    </pic:pic>
                  </a:graphicData>
                </a:graphic>
              </wp:inline>
            </w:drawing>
          </w:r>
          <w:r>
            <w:rPr>
              <w:rFonts w:ascii="Cambria Math" w:eastAsia="Cambria Math" w:hAnsi="Cambria Math" w:cs="Cambria Math"/>
              <w:spacing w:val="-6"/>
              <w:position w:val="1"/>
            </w:rPr>
            <w:t>)⁄</w:t>
          </w:r>
          <w:r>
            <w:rPr>
              <w:position w:val="-3"/>
            </w:rPr>
            <w:drawing>
              <wp:inline distT="0" distB="0" distL="0" distR="0">
                <wp:extent cx="45524" cy="134111"/>
                <wp:effectExtent l="0" t="0" r="0" b="0"/>
                <wp:docPr id="124" name="IM 124"/>
                <wp:cNvGraphicFramePr/>
                <a:graphic xmlns:a="http://schemas.openxmlformats.org/drawingml/2006/main">
                  <a:graphicData uri="http://schemas.openxmlformats.org/drawingml/2006/picture">
                    <pic:pic xmlns:pic="http://schemas.openxmlformats.org/drawingml/2006/picture">
                      <pic:nvPicPr>
                        <pic:cNvPr id="124" name="IM 124"/>
                        <pic:cNvPicPr/>
                      </pic:nvPicPr>
                      <pic:blipFill>
                        <a:blip xmlns:r="http://schemas.openxmlformats.org/officeDocument/2006/relationships" r:embed="rId84"/>
                        <a:stretch>
                          <a:fillRect/>
                        </a:stretch>
                      </pic:blipFill>
                      <pic:spPr>
                        <a:xfrm>
                          <a:off x="0" y="0"/>
                          <a:ext cx="45524" cy="134111"/>
                        </a:xfrm>
                        <a:prstGeom prst="rect">
                          <a:avLst/>
                        </a:prstGeom>
                      </pic:spPr>
                    </pic:pic>
                  </a:graphicData>
                </a:graphic>
              </wp:inline>
            </w:drawing>
          </w:r>
          <w:r>
            <w:rPr>
              <w:position w:val="-6"/>
            </w:rPr>
            <w:drawing>
              <wp:inline distT="0" distB="0" distL="0" distR="0">
                <wp:extent cx="81246" cy="96011"/>
                <wp:effectExtent l="0" t="0" r="0" b="0"/>
                <wp:docPr id="126" name="IM 126"/>
                <wp:cNvGraphicFramePr/>
                <a:graphic xmlns:a="http://schemas.openxmlformats.org/drawingml/2006/main">
                  <a:graphicData uri="http://schemas.openxmlformats.org/drawingml/2006/picture">
                    <pic:pic xmlns:pic="http://schemas.openxmlformats.org/drawingml/2006/picture">
                      <pic:nvPicPr>
                        <pic:cNvPr id="126" name="IM 126"/>
                        <pic:cNvPicPr/>
                      </pic:nvPicPr>
                      <pic:blipFill>
                        <a:blip xmlns:r="http://schemas.openxmlformats.org/officeDocument/2006/relationships" r:embed="rId85"/>
                        <a:stretch>
                          <a:fillRect/>
                        </a:stretch>
                      </pic:blipFill>
                      <pic:spPr>
                        <a:xfrm>
                          <a:off x="0" y="0"/>
                          <a:ext cx="81246" cy="96011"/>
                        </a:xfrm>
                        <a:prstGeom prst="rect">
                          <a:avLst/>
                        </a:prstGeom>
                      </pic:spPr>
                    </pic:pic>
                  </a:graphicData>
                </a:graphic>
              </wp:inline>
            </w:drawing>
          </w:r>
          <w:r>
            <w:rPr>
              <w:rFonts w:ascii="Cambria Math" w:eastAsia="Cambria Math" w:hAnsi="Cambria Math" w:cs="Cambria Math"/>
              <w:spacing w:val="37"/>
              <w:w w:val="101"/>
              <w:position w:val="1"/>
            </w:rPr>
            <w:t xml:space="preserve"> </w:t>
          </w:r>
          <w:r>
            <w:rPr>
              <w:rFonts w:ascii="Cambria Math" w:eastAsia="Cambria Math" w:hAnsi="Cambria Math" w:cs="Cambria Math"/>
              <w:spacing w:val="-6"/>
            </w:rPr>
            <w:t>×</w:t>
          </w:r>
          <w:r>
            <w:rPr>
              <w:rFonts w:ascii="Cambria Math" w:eastAsia="Cambria Math" w:hAnsi="Cambria Math" w:cs="Cambria Math"/>
              <w:spacing w:val="18"/>
              <w:w w:val="101"/>
            </w:rPr>
            <w:t xml:space="preserve"> </w:t>
          </w:r>
          <w:r>
            <w:rPr>
              <w:rFonts w:ascii="Cambria Math" w:eastAsia="Cambria Math" w:hAnsi="Cambria Math" w:cs="Cambria Math"/>
              <w:spacing w:val="-6"/>
            </w:rPr>
            <w:t>100%</w:t>
          </w:r>
          <w:r>
            <w:rPr>
              <w:rFonts w:ascii="Cambria Math" w:eastAsia="Cambria Math" w:hAnsi="Cambria Math" w:cs="Cambria Math"/>
              <w:spacing w:val="20"/>
              <w:w w:val="101"/>
            </w:rPr>
            <w:t xml:space="preserve"> </w:t>
          </w:r>
          <w:r>
            <w:rPr>
              <w:rFonts w:ascii="Cambria Math" w:eastAsia="Cambria Math" w:hAnsi="Cambria Math" w:cs="Cambria Math"/>
            </w:rPr>
            <w:tab/>
          </w:r>
          <w:r>
            <w:rPr>
              <w:spacing w:val="-26"/>
            </w:rPr>
            <w:t>（</w:t>
          </w:r>
          <w:hyperlink w:anchor="bookmark4" w:history="1">
            <w:r>
              <w:rPr>
                <w:rFonts w:ascii="Times New Roman" w:eastAsia="Times New Roman" w:hAnsi="Times New Roman" w:cs="Times New Roman"/>
                <w:spacing w:val="-26"/>
              </w:rPr>
              <w:t>5</w:t>
            </w:r>
          </w:hyperlink>
          <w:r>
            <w:rPr>
              <w:spacing w:val="-26"/>
            </w:rPr>
            <w:t>）</w:t>
          </w:r>
        </w:p>
      </w:sdtContent>
    </w:sdt>
    <w:p>
      <w:pPr>
        <w:pStyle w:val="BodyText"/>
        <w:spacing w:before="75" w:line="221" w:lineRule="auto"/>
        <w:ind w:left="425"/>
      </w:pPr>
      <w:r>
        <w:rPr>
          <w:spacing w:val="-13"/>
        </w:rPr>
        <w:t>式中：</w:t>
      </w:r>
    </w:p>
    <w:p>
      <w:pPr>
        <w:pStyle w:val="BodyText"/>
        <w:spacing w:before="146" w:line="190" w:lineRule="auto"/>
        <w:ind w:left="418"/>
      </w:pPr>
      <w:r>
        <w:rPr>
          <w:rFonts w:ascii="Cambria Math" w:eastAsia="Cambria Math" w:hAnsi="Cambria Math" w:cs="Cambria Math"/>
          <w:position w:val="-4"/>
          <w:sz w:val="15"/>
          <w:szCs w:val="15"/>
        </w:rPr>
        <w:drawing>
          <wp:inline distT="0" distB="0" distL="0" distR="0">
            <wp:extent cx="76175" cy="134111"/>
            <wp:effectExtent l="0" t="0" r="0" b="0"/>
            <wp:docPr id="128" name="IM 128"/>
            <wp:cNvGraphicFramePr/>
            <a:graphic xmlns:a="http://schemas.openxmlformats.org/drawingml/2006/main">
              <a:graphicData uri="http://schemas.openxmlformats.org/drawingml/2006/picture">
                <pic:pic xmlns:pic="http://schemas.openxmlformats.org/drawingml/2006/picture">
                  <pic:nvPicPr>
                    <pic:cNvPr id="128" name="IM 128"/>
                    <pic:cNvPicPr/>
                  </pic:nvPicPr>
                  <pic:blipFill>
                    <a:blip xmlns:r="http://schemas.openxmlformats.org/officeDocument/2006/relationships" r:embed="rId76"/>
                    <a:stretch>
                      <a:fillRect/>
                    </a:stretch>
                  </pic:blipFill>
                  <pic:spPr>
                    <a:xfrm>
                      <a:off x="0" y="0"/>
                      <a:ext cx="76175" cy="134111"/>
                    </a:xfrm>
                    <a:prstGeom prst="rect">
                      <a:avLst/>
                    </a:prstGeom>
                  </pic:spPr>
                </pic:pic>
              </a:graphicData>
            </a:graphic>
          </wp:inline>
        </w:drawing>
      </w:r>
      <w:r>
        <w:rPr>
          <w:rFonts w:ascii="Cambria Math" w:eastAsia="Cambria Math" w:hAnsi="Cambria Math" w:cs="Cambria Math"/>
          <w:spacing w:val="-3"/>
          <w:position w:val="-4"/>
          <w:sz w:val="15"/>
          <w:szCs w:val="15"/>
        </w:rPr>
        <w:t>1</w:t>
      </w:r>
      <w:r>
        <w:rPr>
          <w:rFonts w:ascii="Microsoft YaHei" w:eastAsia="Microsoft YaHei" w:hAnsi="Microsoft YaHei" w:cs="Microsoft YaHei"/>
          <w:spacing w:val="-3"/>
        </w:rPr>
        <w:t>——</w:t>
      </w:r>
      <w:r>
        <w:rPr>
          <w:spacing w:val="-3"/>
        </w:rPr>
        <w:t>基准地价上调最大幅度；</w:t>
      </w:r>
    </w:p>
    <w:p>
      <w:pPr>
        <w:pStyle w:val="BodyText"/>
        <w:spacing w:before="95" w:line="190" w:lineRule="auto"/>
        <w:ind w:left="418"/>
      </w:pPr>
      <w:r>
        <w:rPr>
          <w:rFonts w:ascii="Cambria Math" w:eastAsia="Cambria Math" w:hAnsi="Cambria Math" w:cs="Cambria Math"/>
          <w:position w:val="-4"/>
          <w:sz w:val="15"/>
          <w:szCs w:val="15"/>
        </w:rPr>
        <w:drawing>
          <wp:inline distT="0" distB="0" distL="0" distR="0">
            <wp:extent cx="42264" cy="134111"/>
            <wp:effectExtent l="0" t="0" r="0" b="0"/>
            <wp:docPr id="130" name="IM 130"/>
            <wp:cNvGraphicFramePr/>
            <a:graphic xmlns:a="http://schemas.openxmlformats.org/drawingml/2006/main">
              <a:graphicData uri="http://schemas.openxmlformats.org/drawingml/2006/picture">
                <pic:pic xmlns:pic="http://schemas.openxmlformats.org/drawingml/2006/picture">
                  <pic:nvPicPr>
                    <pic:cNvPr id="130" name="IM 130"/>
                    <pic:cNvPicPr/>
                  </pic:nvPicPr>
                  <pic:blipFill>
                    <a:blip xmlns:r="http://schemas.openxmlformats.org/officeDocument/2006/relationships" r:embed="rId79"/>
                    <a:stretch>
                      <a:fillRect/>
                    </a:stretch>
                  </pic:blipFill>
                  <pic:spPr>
                    <a:xfrm>
                      <a:off x="0" y="0"/>
                      <a:ext cx="42264" cy="134111"/>
                    </a:xfrm>
                    <a:prstGeom prst="rect">
                      <a:avLst/>
                    </a:prstGeom>
                  </pic:spPr>
                </pic:pic>
              </a:graphicData>
            </a:graphic>
          </wp:inline>
        </w:drawing>
      </w:r>
      <w:r>
        <w:rPr>
          <w:rFonts w:ascii="Cambria Math" w:eastAsia="Cambria Math" w:hAnsi="Cambria Math" w:cs="Cambria Math"/>
          <w:position w:val="-7"/>
          <w:sz w:val="15"/>
          <w:szCs w:val="15"/>
        </w:rPr>
        <w:drawing>
          <wp:inline distT="0" distB="0" distL="0" distR="0">
            <wp:extent cx="57236" cy="96011"/>
            <wp:effectExtent l="0" t="0" r="0" b="0"/>
            <wp:docPr id="132" name="IM 132"/>
            <wp:cNvGraphicFramePr/>
            <a:graphic xmlns:a="http://schemas.openxmlformats.org/drawingml/2006/main">
              <a:graphicData uri="http://schemas.openxmlformats.org/drawingml/2006/picture">
                <pic:pic xmlns:pic="http://schemas.openxmlformats.org/drawingml/2006/picture">
                  <pic:nvPicPr>
                    <pic:cNvPr id="132" name="IM 132"/>
                    <pic:cNvPicPr/>
                  </pic:nvPicPr>
                  <pic:blipFill>
                    <a:blip xmlns:r="http://schemas.openxmlformats.org/officeDocument/2006/relationships" r:embed="rId86"/>
                    <a:stretch>
                      <a:fillRect/>
                    </a:stretch>
                  </pic:blipFill>
                  <pic:spPr>
                    <a:xfrm>
                      <a:off x="0" y="0"/>
                      <a:ext cx="57236" cy="96011"/>
                    </a:xfrm>
                    <a:prstGeom prst="rect">
                      <a:avLst/>
                    </a:prstGeom>
                  </pic:spPr>
                </pic:pic>
              </a:graphicData>
            </a:graphic>
          </wp:inline>
        </w:drawing>
      </w:r>
      <w:r>
        <w:rPr>
          <w:rFonts w:ascii="Cambria Math" w:eastAsia="Cambria Math" w:hAnsi="Cambria Math" w:cs="Cambria Math"/>
          <w:position w:val="-4"/>
          <w:sz w:val="15"/>
          <w:szCs w:val="15"/>
        </w:rPr>
        <w:t>h</w:t>
      </w:r>
      <w:r>
        <w:rPr>
          <w:rFonts w:ascii="Microsoft YaHei" w:eastAsia="Microsoft YaHei" w:hAnsi="Microsoft YaHei" w:cs="Microsoft YaHei"/>
        </w:rPr>
        <w:t>——</w:t>
      </w:r>
      <w:r>
        <w:t>级别或均质区正常园地纯收益的最高值；</w:t>
      </w:r>
    </w:p>
    <w:p>
      <w:pPr>
        <w:pStyle w:val="BodyText"/>
        <w:spacing w:before="93" w:line="228" w:lineRule="auto"/>
        <w:ind w:left="418" w:right="5577"/>
      </w:pPr>
      <w:r>
        <w:rPr>
          <w:rFonts w:ascii="Microsoft YaHei" w:eastAsia="Microsoft YaHei" w:hAnsi="Microsoft YaHei" w:cs="Microsoft YaHei"/>
          <w:position w:val="-4"/>
        </w:rPr>
        <w:drawing>
          <wp:inline distT="0" distB="0" distL="0" distR="0">
            <wp:extent cx="44495" cy="134111"/>
            <wp:effectExtent l="0" t="0" r="0" b="0"/>
            <wp:docPr id="134" name="IM 134"/>
            <wp:cNvGraphicFramePr/>
            <a:graphic xmlns:a="http://schemas.openxmlformats.org/drawingml/2006/main">
              <a:graphicData uri="http://schemas.openxmlformats.org/drawingml/2006/picture">
                <pic:pic xmlns:pic="http://schemas.openxmlformats.org/drawingml/2006/picture">
                  <pic:nvPicPr>
                    <pic:cNvPr id="134" name="IM 134"/>
                    <pic:cNvPicPr/>
                  </pic:nvPicPr>
                  <pic:blipFill>
                    <a:blip xmlns:r="http://schemas.openxmlformats.org/officeDocument/2006/relationships" r:embed="rId79"/>
                    <a:stretch>
                      <a:fillRect/>
                    </a:stretch>
                  </pic:blipFill>
                  <pic:spPr>
                    <a:xfrm>
                      <a:off x="0" y="0"/>
                      <a:ext cx="44495" cy="134111"/>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79411" cy="96011"/>
            <wp:effectExtent l="0" t="0" r="0" b="0"/>
            <wp:docPr id="136" name="IM 136"/>
            <wp:cNvGraphicFramePr/>
            <a:graphic xmlns:a="http://schemas.openxmlformats.org/drawingml/2006/main">
              <a:graphicData uri="http://schemas.openxmlformats.org/drawingml/2006/picture">
                <pic:pic xmlns:pic="http://schemas.openxmlformats.org/drawingml/2006/picture">
                  <pic:nvPicPr>
                    <pic:cNvPr id="136" name="IM 136"/>
                    <pic:cNvPicPr/>
                  </pic:nvPicPr>
                  <pic:blipFill>
                    <a:blip xmlns:r="http://schemas.openxmlformats.org/officeDocument/2006/relationships" r:embed="rId87"/>
                    <a:stretch>
                      <a:fillRect/>
                    </a:stretch>
                  </pic:blipFill>
                  <pic:spPr>
                    <a:xfrm>
                      <a:off x="0" y="0"/>
                      <a:ext cx="79411" cy="96011"/>
                    </a:xfrm>
                    <a:prstGeom prst="rect">
                      <a:avLst/>
                    </a:prstGeom>
                  </pic:spPr>
                </pic:pic>
              </a:graphicData>
            </a:graphic>
          </wp:inline>
        </w:drawing>
      </w:r>
      <w:r>
        <w:rPr>
          <w:rFonts w:ascii="Microsoft YaHei" w:eastAsia="Microsoft YaHei" w:hAnsi="Microsoft YaHei" w:cs="Microsoft YaHei"/>
          <w:spacing w:val="-27"/>
        </w:rPr>
        <w:t xml:space="preserve"> </w:t>
      </w:r>
      <w:r>
        <w:rPr>
          <w:rFonts w:ascii="Microsoft YaHei" w:eastAsia="Microsoft YaHei" w:hAnsi="Microsoft YaHei" w:cs="Microsoft YaHei"/>
          <w:spacing w:val="-4"/>
        </w:rPr>
        <w:t>——</w:t>
      </w:r>
      <w:r>
        <w:rPr>
          <w:spacing w:val="-4"/>
        </w:rPr>
        <w:t>基准地价折算的园地纯收益；</w:t>
      </w:r>
      <w:r>
        <w:t xml:space="preserve"> </w:t>
      </w:r>
      <w:r>
        <w:rPr>
          <w:rFonts w:ascii="Cambria Math" w:eastAsia="Cambria Math" w:hAnsi="Cambria Math" w:cs="Cambria Math"/>
          <w:position w:val="-4"/>
          <w:sz w:val="15"/>
          <w:szCs w:val="15"/>
        </w:rPr>
        <w:drawing>
          <wp:inline distT="0" distB="0" distL="0" distR="0">
            <wp:extent cx="76175" cy="134111"/>
            <wp:effectExtent l="0" t="0" r="0" b="0"/>
            <wp:docPr id="138" name="IM 138"/>
            <wp:cNvGraphicFramePr/>
            <a:graphic xmlns:a="http://schemas.openxmlformats.org/drawingml/2006/main">
              <a:graphicData uri="http://schemas.openxmlformats.org/drawingml/2006/picture">
                <pic:pic xmlns:pic="http://schemas.openxmlformats.org/drawingml/2006/picture">
                  <pic:nvPicPr>
                    <pic:cNvPr id="138" name="IM 138"/>
                    <pic:cNvPicPr/>
                  </pic:nvPicPr>
                  <pic:blipFill>
                    <a:blip xmlns:r="http://schemas.openxmlformats.org/officeDocument/2006/relationships" r:embed="rId76"/>
                    <a:stretch>
                      <a:fillRect/>
                    </a:stretch>
                  </pic:blipFill>
                  <pic:spPr>
                    <a:xfrm>
                      <a:off x="0" y="0"/>
                      <a:ext cx="76175" cy="134111"/>
                    </a:xfrm>
                    <a:prstGeom prst="rect">
                      <a:avLst/>
                    </a:prstGeom>
                  </pic:spPr>
                </pic:pic>
              </a:graphicData>
            </a:graphic>
          </wp:inline>
        </w:drawing>
      </w:r>
      <w:r>
        <w:rPr>
          <w:rFonts w:ascii="Cambria Math" w:eastAsia="Cambria Math" w:hAnsi="Cambria Math" w:cs="Cambria Math"/>
          <w:spacing w:val="-3"/>
          <w:position w:val="-4"/>
          <w:sz w:val="15"/>
          <w:szCs w:val="15"/>
        </w:rPr>
        <w:t>2</w:t>
      </w:r>
      <w:r>
        <w:rPr>
          <w:rFonts w:ascii="Microsoft YaHei" w:eastAsia="Microsoft YaHei" w:hAnsi="Microsoft YaHei" w:cs="Microsoft YaHei"/>
          <w:spacing w:val="-3"/>
        </w:rPr>
        <w:t>——</w:t>
      </w:r>
      <w:r>
        <w:rPr>
          <w:spacing w:val="-3"/>
        </w:rPr>
        <w:t>基准地价下调最大幅度；</w:t>
      </w:r>
    </w:p>
    <w:p>
      <w:pPr>
        <w:pStyle w:val="BodyText"/>
        <w:spacing w:before="39" w:line="190" w:lineRule="auto"/>
        <w:ind w:left="418"/>
      </w:pPr>
      <w:r>
        <w:rPr>
          <w:rFonts w:ascii="Microsoft YaHei" w:eastAsia="Microsoft YaHei" w:hAnsi="Microsoft YaHei" w:cs="Microsoft YaHei"/>
          <w:position w:val="-4"/>
        </w:rPr>
        <w:drawing>
          <wp:inline distT="0" distB="0" distL="0" distR="0">
            <wp:extent cx="42519" cy="134111"/>
            <wp:effectExtent l="0" t="0" r="0" b="0"/>
            <wp:docPr id="140" name="IM 140"/>
            <wp:cNvGraphicFramePr/>
            <a:graphic xmlns:a="http://schemas.openxmlformats.org/drawingml/2006/main">
              <a:graphicData uri="http://schemas.openxmlformats.org/drawingml/2006/picture">
                <pic:pic xmlns:pic="http://schemas.openxmlformats.org/drawingml/2006/picture">
                  <pic:nvPicPr>
                    <pic:cNvPr id="140" name="IM 140"/>
                    <pic:cNvPicPr/>
                  </pic:nvPicPr>
                  <pic:blipFill>
                    <a:blip xmlns:r="http://schemas.openxmlformats.org/officeDocument/2006/relationships" r:embed="rId79"/>
                    <a:stretch>
                      <a:fillRect/>
                    </a:stretch>
                  </pic:blipFill>
                  <pic:spPr>
                    <a:xfrm>
                      <a:off x="0" y="0"/>
                      <a:ext cx="42519" cy="134111"/>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89605" cy="96011"/>
            <wp:effectExtent l="0" t="0" r="0" b="0"/>
            <wp:docPr id="142" name="IM 142"/>
            <wp:cNvGraphicFramePr/>
            <a:graphic xmlns:a="http://schemas.openxmlformats.org/drawingml/2006/main">
              <a:graphicData uri="http://schemas.openxmlformats.org/drawingml/2006/picture">
                <pic:pic xmlns:pic="http://schemas.openxmlformats.org/drawingml/2006/picture">
                  <pic:nvPicPr>
                    <pic:cNvPr id="142" name="IM 142"/>
                    <pic:cNvPicPr/>
                  </pic:nvPicPr>
                  <pic:blipFill>
                    <a:blip xmlns:r="http://schemas.openxmlformats.org/officeDocument/2006/relationships" r:embed="rId88"/>
                    <a:stretch>
                      <a:fillRect/>
                    </a:stretch>
                  </pic:blipFill>
                  <pic:spPr>
                    <a:xfrm>
                      <a:off x="0" y="0"/>
                      <a:ext cx="89605" cy="96011"/>
                    </a:xfrm>
                    <a:prstGeom prst="rect">
                      <a:avLst/>
                    </a:prstGeom>
                  </pic:spPr>
                </pic:pic>
              </a:graphicData>
            </a:graphic>
          </wp:inline>
        </w:drawing>
      </w:r>
      <w:r>
        <w:rPr>
          <w:rFonts w:ascii="Microsoft YaHei" w:eastAsia="Microsoft YaHei" w:hAnsi="Microsoft YaHei" w:cs="Microsoft YaHei"/>
          <w:spacing w:val="-37"/>
        </w:rPr>
        <w:t xml:space="preserve"> </w:t>
      </w:r>
      <w:r>
        <w:rPr>
          <w:rFonts w:ascii="Microsoft YaHei" w:eastAsia="Microsoft YaHei" w:hAnsi="Microsoft YaHei" w:cs="Microsoft YaHei"/>
          <w:spacing w:val="-1"/>
        </w:rPr>
        <w:t>——</w:t>
      </w:r>
      <w:r>
        <w:rPr>
          <w:spacing w:val="-1"/>
        </w:rPr>
        <w:t>级别或均质区正常园地纯收益的最低值。</w:t>
      </w:r>
    </w:p>
    <w:p>
      <w:pPr>
        <w:pStyle w:val="BodyText"/>
        <w:spacing w:before="22" w:line="230" w:lineRule="auto"/>
        <w:ind w:left="6" w:right="31" w:firstLine="413"/>
      </w:pPr>
      <w:r>
        <w:rPr>
          <w:spacing w:val="-8"/>
        </w:rPr>
        <w:t>在确定上调、下调幅度的情况下，内插修正值，将宗地地价修正幅度划分成优、较优、一般、较劣、</w:t>
      </w:r>
      <w:r>
        <w:rPr>
          <w:spacing w:val="11"/>
        </w:rPr>
        <w:t xml:space="preserve"> </w:t>
      </w:r>
      <w:r>
        <w:rPr>
          <w:spacing w:val="-3"/>
        </w:rPr>
        <w:t>劣</w:t>
      </w:r>
      <w:r>
        <w:rPr>
          <w:rFonts w:ascii="Times New Roman" w:eastAsia="Times New Roman" w:hAnsi="Times New Roman" w:cs="Times New Roman"/>
          <w:spacing w:val="-3"/>
        </w:rPr>
        <w:t>5</w:t>
      </w:r>
      <w:r>
        <w:rPr>
          <w:spacing w:val="-3"/>
        </w:rPr>
        <w:t>个档次。级别或均质区条件差异不大的修正幅度可以分优、</w:t>
      </w:r>
      <w:r>
        <w:rPr>
          <w:spacing w:val="-21"/>
        </w:rPr>
        <w:t xml:space="preserve"> </w:t>
      </w:r>
      <w:r>
        <w:rPr>
          <w:spacing w:val="-3"/>
        </w:rPr>
        <w:t>一般、劣3个档次。</w:t>
      </w:r>
    </w:p>
    <w:p>
      <w:pPr>
        <w:spacing w:before="143" w:line="219" w:lineRule="auto"/>
        <w:rPr>
          <w:rFonts w:ascii="SimHei" w:eastAsia="SimHei" w:hAnsi="SimHei" w:cs="SimHei"/>
          <w:sz w:val="21"/>
          <w:szCs w:val="21"/>
        </w:rPr>
      </w:pPr>
      <w:r>
        <w:rPr>
          <w:rFonts w:ascii="SimHei" w:eastAsia="SimHei" w:hAnsi="SimHei" w:cs="SimHei"/>
          <w:spacing w:val="-1"/>
          <w:sz w:val="21"/>
          <w:szCs w:val="21"/>
        </w:rPr>
        <w:t>6.10.5</w:t>
      </w:r>
      <w:r>
        <w:rPr>
          <w:rFonts w:ascii="SimHei" w:eastAsia="SimHei" w:hAnsi="SimHei" w:cs="SimHei"/>
          <w:spacing w:val="-1"/>
          <w:sz w:val="21"/>
          <w:szCs w:val="21"/>
        </w:rPr>
        <w:t xml:space="preserve">  </w:t>
      </w:r>
      <w:r>
        <w:rPr>
          <w:rFonts w:ascii="SimHei" w:eastAsia="SimHei" w:hAnsi="SimHei" w:cs="SimHei"/>
          <w:spacing w:val="-1"/>
          <w:sz w:val="21"/>
          <w:szCs w:val="21"/>
        </w:rPr>
        <w:t>计算并编制基准地价修正系数表</w:t>
      </w:r>
    </w:p>
    <w:sdt>
      <w:sdtPr>
        <w:rPr>
          <w:rFonts w:ascii="SimSun" w:eastAsia="SimSun" w:hAnsi="SimSun" w:cs="SimSun"/>
          <w:sz w:val="21"/>
          <w:szCs w:val="21"/>
        </w:rPr>
        <w:id w:val="316924673"/>
        <w:docPartObj>
          <w:docPartGallery w:val="Table of Contents"/>
          <w:docPartUnique/>
        </w:docPartObj>
      </w:sdtPr>
      <w:sdtEndPr>
        <w:rPr>
          <w:rFonts w:ascii="SimSun" w:eastAsia="SimSun" w:hAnsi="SimSun" w:cs="SimSun"/>
          <w:sz w:val="21"/>
          <w:szCs w:val="21"/>
        </w:rPr>
      </w:sdtEndPr>
      <w:sdtContent>
        <w:p>
          <w:pPr>
            <w:pStyle w:val="BodyText"/>
            <w:spacing w:before="145" w:line="219" w:lineRule="auto"/>
            <w:ind w:left="420"/>
          </w:pPr>
          <w:r>
            <w:rPr>
              <w:spacing w:val="-1"/>
            </w:rPr>
            <w:t>根据</w:t>
          </w:r>
          <w:r>
            <w:rPr>
              <w:rFonts w:ascii="Times New Roman" w:eastAsia="Times New Roman" w:hAnsi="Times New Roman" w:cs="Times New Roman"/>
              <w:spacing w:val="-1"/>
            </w:rPr>
            <w:t>6.</w:t>
          </w:r>
          <w:r>
            <w:rPr>
              <w:rFonts w:ascii="Times New Roman" w:eastAsia="Times New Roman" w:hAnsi="Times New Roman" w:cs="Times New Roman"/>
              <w:spacing w:val="-20"/>
            </w:rPr>
            <w:t xml:space="preserve"> </w:t>
          </w:r>
          <w:r>
            <w:rPr>
              <w:rFonts w:ascii="Times New Roman" w:eastAsia="Times New Roman" w:hAnsi="Times New Roman" w:cs="Times New Roman"/>
              <w:spacing w:val="-1"/>
            </w:rPr>
            <w:t>10.3</w:t>
          </w:r>
          <w:r>
            <w:rPr>
              <w:spacing w:val="-1"/>
            </w:rPr>
            <w:t>所确定的各因素的权重，按式（</w:t>
          </w:r>
          <w:r>
            <w:rPr>
              <w:rFonts w:ascii="Times New Roman" w:eastAsia="Times New Roman" w:hAnsi="Times New Roman" w:cs="Times New Roman"/>
              <w:spacing w:val="-1"/>
            </w:rPr>
            <w:t>6</w:t>
          </w:r>
          <w:r>
            <w:rPr>
              <w:spacing w:val="-1"/>
            </w:rPr>
            <w:t>）和式（</w:t>
          </w:r>
          <w:r>
            <w:rPr>
              <w:rFonts w:ascii="Times New Roman" w:eastAsia="Times New Roman" w:hAnsi="Times New Roman" w:cs="Times New Roman"/>
              <w:spacing w:val="-1"/>
            </w:rPr>
            <w:t>7</w:t>
          </w:r>
          <w:r>
            <w:rPr>
              <w:spacing w:val="-1"/>
            </w:rPr>
            <w:t>）计算各因素的修正幅度：</w:t>
          </w:r>
        </w:p>
        <w:p>
          <w:pPr>
            <w:pStyle w:val="BodyText"/>
            <w:tabs>
              <w:tab w:val="right" w:leader="dot" w:pos="9229"/>
            </w:tabs>
            <w:spacing w:before="21" w:line="199" w:lineRule="auto"/>
            <w:ind w:left="4074"/>
          </w:pPr>
          <w:r>
            <w:rPr>
              <w:rFonts w:ascii="Cambria Math" w:eastAsia="Cambria Math" w:hAnsi="Cambria Math" w:cs="Cambria Math"/>
              <w:position w:val="-3"/>
              <w:sz w:val="15"/>
              <w:szCs w:val="15"/>
            </w:rPr>
            <w:drawing>
              <wp:inline distT="0" distB="0" distL="0" distR="0">
                <wp:extent cx="75749" cy="134111"/>
                <wp:effectExtent l="0" t="0" r="0" b="0"/>
                <wp:docPr id="144" name="IM 144"/>
                <wp:cNvGraphicFramePr/>
                <a:graphic xmlns:a="http://schemas.openxmlformats.org/drawingml/2006/main">
                  <a:graphicData uri="http://schemas.openxmlformats.org/drawingml/2006/picture">
                    <pic:pic xmlns:pic="http://schemas.openxmlformats.org/drawingml/2006/picture">
                      <pic:nvPicPr>
                        <pic:cNvPr id="144" name="IM 144"/>
                        <pic:cNvPicPr/>
                      </pic:nvPicPr>
                      <pic:blipFill>
                        <a:blip xmlns:r="http://schemas.openxmlformats.org/officeDocument/2006/relationships" r:embed="rId89"/>
                        <a:stretch>
                          <a:fillRect/>
                        </a:stretch>
                      </pic:blipFill>
                      <pic:spPr>
                        <a:xfrm>
                          <a:off x="0" y="0"/>
                          <a:ext cx="75749" cy="134111"/>
                        </a:xfrm>
                        <a:prstGeom prst="rect">
                          <a:avLst/>
                        </a:prstGeom>
                      </pic:spPr>
                    </pic:pic>
                  </a:graphicData>
                </a:graphic>
              </wp:inline>
            </w:drawing>
          </w:r>
          <w:r>
            <w:rPr>
              <w:rFonts w:ascii="Cambria Math" w:eastAsia="Cambria Math" w:hAnsi="Cambria Math" w:cs="Cambria Math"/>
              <w:spacing w:val="-19"/>
              <w:position w:val="-3"/>
              <w:sz w:val="15"/>
              <w:szCs w:val="15"/>
            </w:rPr>
            <w:t>1</w:t>
          </w:r>
          <w:r>
            <w:rPr>
              <w:position w:val="-6"/>
              <w:sz w:val="15"/>
              <w:szCs w:val="15"/>
            </w:rPr>
            <w:drawing>
              <wp:inline distT="0" distB="0" distL="0" distR="0">
                <wp:extent cx="23009" cy="96011"/>
                <wp:effectExtent l="0" t="0" r="0" b="0"/>
                <wp:docPr id="146" name="IM 146"/>
                <wp:cNvGraphicFramePr/>
                <a:graphic xmlns:a="http://schemas.openxmlformats.org/drawingml/2006/main">
                  <a:graphicData uri="http://schemas.openxmlformats.org/drawingml/2006/picture">
                    <pic:pic xmlns:pic="http://schemas.openxmlformats.org/drawingml/2006/picture">
                      <pic:nvPicPr>
                        <pic:cNvPr id="146" name="IM 146"/>
                        <pic:cNvPicPr/>
                      </pic:nvPicPr>
                      <pic:blipFill>
                        <a:blip xmlns:r="http://schemas.openxmlformats.org/officeDocument/2006/relationships" r:embed="rId90"/>
                        <a:stretch>
                          <a:fillRect/>
                        </a:stretch>
                      </pic:blipFill>
                      <pic:spPr>
                        <a:xfrm>
                          <a:off x="0" y="0"/>
                          <a:ext cx="23009" cy="96011"/>
                        </a:xfrm>
                        <a:prstGeom prst="rect">
                          <a:avLst/>
                        </a:prstGeom>
                      </pic:spPr>
                    </pic:pic>
                  </a:graphicData>
                </a:graphic>
              </wp:inline>
            </w:drawing>
          </w:r>
          <w:r>
            <w:rPr>
              <w:rFonts w:ascii="Cambria Math" w:eastAsia="Cambria Math" w:hAnsi="Cambria Math" w:cs="Cambria Math"/>
              <w:spacing w:val="13"/>
              <w:w w:val="101"/>
              <w:position w:val="-3"/>
              <w:sz w:val="15"/>
              <w:szCs w:val="15"/>
            </w:rPr>
            <w:t xml:space="preserve">  </w:t>
          </w:r>
          <w:r>
            <w:rPr>
              <w:rFonts w:ascii="Cambria Math" w:eastAsia="Cambria Math" w:hAnsi="Cambria Math" w:cs="Cambria Math"/>
              <w:spacing w:val="-19"/>
            </w:rPr>
            <w:t>=</w:t>
          </w:r>
          <w:r>
            <w:rPr>
              <w:rFonts w:ascii="Cambria Math" w:eastAsia="Cambria Math" w:hAnsi="Cambria Math" w:cs="Cambria Math"/>
              <w:spacing w:val="18"/>
              <w:w w:val="101"/>
            </w:rPr>
            <w:t xml:space="preserve"> </w:t>
          </w:r>
          <w:r>
            <w:rPr>
              <w:position w:val="-3"/>
            </w:rPr>
            <w:drawing>
              <wp:inline distT="0" distB="0" distL="0" distR="0">
                <wp:extent cx="75749" cy="134111"/>
                <wp:effectExtent l="0" t="0" r="0" b="0"/>
                <wp:docPr id="148" name="IM 148"/>
                <wp:cNvGraphicFramePr/>
                <a:graphic xmlns:a="http://schemas.openxmlformats.org/drawingml/2006/main">
                  <a:graphicData uri="http://schemas.openxmlformats.org/drawingml/2006/picture">
                    <pic:pic xmlns:pic="http://schemas.openxmlformats.org/drawingml/2006/picture">
                      <pic:nvPicPr>
                        <pic:cNvPr id="148" name="IM 148"/>
                        <pic:cNvPicPr/>
                      </pic:nvPicPr>
                      <pic:blipFill>
                        <a:blip xmlns:r="http://schemas.openxmlformats.org/officeDocument/2006/relationships" r:embed="rId91"/>
                        <a:stretch>
                          <a:fillRect/>
                        </a:stretch>
                      </pic:blipFill>
                      <pic:spPr>
                        <a:xfrm>
                          <a:off x="0" y="0"/>
                          <a:ext cx="75749" cy="134111"/>
                        </a:xfrm>
                        <a:prstGeom prst="rect">
                          <a:avLst/>
                        </a:prstGeom>
                      </pic:spPr>
                    </pic:pic>
                  </a:graphicData>
                </a:graphic>
              </wp:inline>
            </w:drawing>
          </w:r>
          <w:r>
            <w:rPr>
              <w:rFonts w:ascii="Cambria Math" w:eastAsia="Cambria Math" w:hAnsi="Cambria Math" w:cs="Cambria Math"/>
              <w:spacing w:val="-19"/>
              <w:position w:val="-3"/>
              <w:sz w:val="15"/>
              <w:szCs w:val="15"/>
            </w:rPr>
            <w:t>1</w:t>
          </w:r>
          <w:r>
            <w:rPr>
              <w:rFonts w:ascii="Cambria Math" w:eastAsia="Cambria Math" w:hAnsi="Cambria Math" w:cs="Cambria Math"/>
              <w:spacing w:val="3"/>
              <w:position w:val="-3"/>
              <w:sz w:val="15"/>
              <w:szCs w:val="15"/>
            </w:rPr>
            <w:t xml:space="preserve">  </w:t>
          </w:r>
          <w:r>
            <w:rPr>
              <w:rFonts w:ascii="Cambria Math" w:eastAsia="Cambria Math" w:hAnsi="Cambria Math" w:cs="Cambria Math"/>
              <w:spacing w:val="-19"/>
            </w:rPr>
            <w:t>×</w:t>
          </w:r>
          <w:r>
            <w:rPr>
              <w:rFonts w:ascii="Cambria Math" w:eastAsia="Cambria Math" w:hAnsi="Cambria Math" w:cs="Cambria Math"/>
              <w:spacing w:val="11"/>
            </w:rPr>
            <w:t xml:space="preserve"> </w:t>
          </w:r>
          <w:r>
            <w:rPr>
              <w:position w:val="-3"/>
            </w:rPr>
            <w:drawing>
              <wp:inline distT="0" distB="0" distL="0" distR="0">
                <wp:extent cx="118825" cy="134111"/>
                <wp:effectExtent l="0" t="0" r="0" b="0"/>
                <wp:docPr id="150" name="IM 150"/>
                <wp:cNvGraphicFramePr/>
                <a:graphic xmlns:a="http://schemas.openxmlformats.org/drawingml/2006/main">
                  <a:graphicData uri="http://schemas.openxmlformats.org/drawingml/2006/picture">
                    <pic:pic xmlns:pic="http://schemas.openxmlformats.org/drawingml/2006/picture">
                      <pic:nvPicPr>
                        <pic:cNvPr id="150" name="IM 150"/>
                        <pic:cNvPicPr/>
                      </pic:nvPicPr>
                      <pic:blipFill>
                        <a:blip xmlns:r="http://schemas.openxmlformats.org/officeDocument/2006/relationships" r:embed="rId92"/>
                        <a:stretch>
                          <a:fillRect/>
                        </a:stretch>
                      </pic:blipFill>
                      <pic:spPr>
                        <a:xfrm>
                          <a:off x="0" y="0"/>
                          <a:ext cx="118825" cy="134111"/>
                        </a:xfrm>
                        <a:prstGeom prst="rect">
                          <a:avLst/>
                        </a:prstGeom>
                      </pic:spPr>
                    </pic:pic>
                  </a:graphicData>
                </a:graphic>
              </wp:inline>
            </w:drawing>
          </w:r>
          <w:r>
            <w:rPr>
              <w:position w:val="-6"/>
            </w:rPr>
            <w:drawing>
              <wp:inline distT="0" distB="0" distL="0" distR="0">
                <wp:extent cx="23009" cy="96011"/>
                <wp:effectExtent l="0" t="0" r="0" b="0"/>
                <wp:docPr id="152" name="IM 152"/>
                <wp:cNvGraphicFramePr/>
                <a:graphic xmlns:a="http://schemas.openxmlformats.org/drawingml/2006/main">
                  <a:graphicData uri="http://schemas.openxmlformats.org/drawingml/2006/picture">
                    <pic:pic xmlns:pic="http://schemas.openxmlformats.org/drawingml/2006/picture">
                      <pic:nvPicPr>
                        <pic:cNvPr id="152" name="IM 152"/>
                        <pic:cNvPicPr/>
                      </pic:nvPicPr>
                      <pic:blipFill>
                        <a:blip xmlns:r="http://schemas.openxmlformats.org/officeDocument/2006/relationships" r:embed="rId90"/>
                        <a:stretch>
                          <a:fillRect/>
                        </a:stretch>
                      </pic:blipFill>
                      <pic:spPr>
                        <a:xfrm>
                          <a:off x="0" y="0"/>
                          <a:ext cx="23009" cy="96011"/>
                        </a:xfrm>
                        <a:prstGeom prst="rect">
                          <a:avLst/>
                        </a:prstGeom>
                      </pic:spPr>
                    </pic:pic>
                  </a:graphicData>
                </a:graphic>
              </wp:inline>
            </w:drawing>
          </w:r>
          <w:r>
            <w:rPr>
              <w:rFonts w:ascii="Cambria Math" w:eastAsia="Cambria Math" w:hAnsi="Cambria Math" w:cs="Cambria Math"/>
            </w:rPr>
            <w:t xml:space="preserve">  </w:t>
          </w:r>
          <w:r>
            <w:rPr>
              <w:rFonts w:ascii="Cambria Math" w:eastAsia="Cambria Math" w:hAnsi="Cambria Math" w:cs="Cambria Math"/>
            </w:rPr>
            <w:tab/>
          </w:r>
          <w:r>
            <w:rPr>
              <w:spacing w:val="-26"/>
            </w:rPr>
            <w:t>（</w:t>
          </w:r>
          <w:hyperlink w:anchor="bookmark5" w:history="1">
            <w:r>
              <w:rPr>
                <w:rFonts w:ascii="Times New Roman" w:eastAsia="Times New Roman" w:hAnsi="Times New Roman" w:cs="Times New Roman"/>
                <w:spacing w:val="-26"/>
              </w:rPr>
              <w:t>6</w:t>
            </w:r>
          </w:hyperlink>
          <w:r>
            <w:rPr>
              <w:spacing w:val="-26"/>
            </w:rPr>
            <w:t>）</w:t>
          </w:r>
        </w:p>
        <w:p>
          <w:pPr>
            <w:pStyle w:val="BodyText"/>
            <w:tabs>
              <w:tab w:val="right" w:leader="dot" w:pos="9229"/>
            </w:tabs>
            <w:spacing w:before="1" w:line="227" w:lineRule="auto"/>
            <w:ind w:left="4069"/>
            <w:sectPr>
              <w:headerReference w:type="default" r:id="rId93"/>
              <w:footerReference w:type="default" r:id="rId94"/>
              <w:pgSz w:w="11907" w:h="16839"/>
              <w:pgMar w:top="1659" w:right="1128" w:bottom="1305" w:left="1426" w:header="1448" w:footer="1128" w:gutter="0"/>
              <w:pgNumType w:start="15"/>
              <w:cols w:space="708"/>
            </w:sectPr>
          </w:pPr>
          <w:r>
            <w:rPr>
              <w:rFonts w:ascii="Cambria Math" w:eastAsia="Cambria Math" w:hAnsi="Cambria Math" w:cs="Cambria Math"/>
              <w:position w:val="-3"/>
              <w:sz w:val="15"/>
              <w:szCs w:val="15"/>
            </w:rPr>
            <w:drawing>
              <wp:inline distT="0" distB="0" distL="0" distR="0">
                <wp:extent cx="75749" cy="134111"/>
                <wp:effectExtent l="0" t="0" r="0" b="0"/>
                <wp:docPr id="154" name="IM 154"/>
                <wp:cNvGraphicFramePr/>
                <a:graphic xmlns:a="http://schemas.openxmlformats.org/drawingml/2006/main">
                  <a:graphicData uri="http://schemas.openxmlformats.org/drawingml/2006/picture">
                    <pic:pic xmlns:pic="http://schemas.openxmlformats.org/drawingml/2006/picture">
                      <pic:nvPicPr>
                        <pic:cNvPr id="154" name="IM 154"/>
                        <pic:cNvPicPr/>
                      </pic:nvPicPr>
                      <pic:blipFill>
                        <a:blip xmlns:r="http://schemas.openxmlformats.org/officeDocument/2006/relationships" r:embed="rId76"/>
                        <a:stretch>
                          <a:fillRect/>
                        </a:stretch>
                      </pic:blipFill>
                      <pic:spPr>
                        <a:xfrm>
                          <a:off x="0" y="0"/>
                          <a:ext cx="75749" cy="134111"/>
                        </a:xfrm>
                        <a:prstGeom prst="rect">
                          <a:avLst/>
                        </a:prstGeom>
                      </pic:spPr>
                    </pic:pic>
                  </a:graphicData>
                </a:graphic>
              </wp:inline>
            </w:drawing>
          </w:r>
          <w:r>
            <w:rPr>
              <w:rFonts w:ascii="Cambria Math" w:eastAsia="Cambria Math" w:hAnsi="Cambria Math" w:cs="Cambria Math"/>
              <w:spacing w:val="-16"/>
              <w:position w:val="-3"/>
              <w:sz w:val="15"/>
              <w:szCs w:val="15"/>
            </w:rPr>
            <w:t>2</w:t>
          </w:r>
          <w:r>
            <w:rPr>
              <w:position w:val="-6"/>
              <w:sz w:val="15"/>
              <w:szCs w:val="15"/>
            </w:rPr>
            <w:drawing>
              <wp:inline distT="0" distB="0" distL="0" distR="0">
                <wp:extent cx="23009" cy="96011"/>
                <wp:effectExtent l="0" t="0" r="0" b="0"/>
                <wp:docPr id="156" name="IM 156"/>
                <wp:cNvGraphicFramePr/>
                <a:graphic xmlns:a="http://schemas.openxmlformats.org/drawingml/2006/main">
                  <a:graphicData uri="http://schemas.openxmlformats.org/drawingml/2006/picture">
                    <pic:pic xmlns:pic="http://schemas.openxmlformats.org/drawingml/2006/picture">
                      <pic:nvPicPr>
                        <pic:cNvPr id="156" name="IM 156"/>
                        <pic:cNvPicPr/>
                      </pic:nvPicPr>
                      <pic:blipFill>
                        <a:blip xmlns:r="http://schemas.openxmlformats.org/officeDocument/2006/relationships" r:embed="rId33"/>
                        <a:stretch>
                          <a:fillRect/>
                        </a:stretch>
                      </pic:blipFill>
                      <pic:spPr>
                        <a:xfrm>
                          <a:off x="0" y="0"/>
                          <a:ext cx="23009" cy="96011"/>
                        </a:xfrm>
                        <a:prstGeom prst="rect">
                          <a:avLst/>
                        </a:prstGeom>
                      </pic:spPr>
                    </pic:pic>
                  </a:graphicData>
                </a:graphic>
              </wp:inline>
            </w:drawing>
          </w:r>
          <w:r>
            <w:rPr>
              <w:rFonts w:ascii="Cambria Math" w:eastAsia="Cambria Math" w:hAnsi="Cambria Math" w:cs="Cambria Math"/>
              <w:spacing w:val="12"/>
              <w:w w:val="102"/>
              <w:position w:val="-3"/>
              <w:sz w:val="15"/>
              <w:szCs w:val="15"/>
            </w:rPr>
            <w:t xml:space="preserve">  </w:t>
          </w:r>
          <w:r>
            <w:rPr>
              <w:rFonts w:ascii="Cambria Math" w:eastAsia="Cambria Math" w:hAnsi="Cambria Math" w:cs="Cambria Math"/>
              <w:spacing w:val="-16"/>
            </w:rPr>
            <w:t>=</w:t>
          </w:r>
          <w:r>
            <w:rPr>
              <w:rFonts w:ascii="Cambria Math" w:eastAsia="Cambria Math" w:hAnsi="Cambria Math" w:cs="Cambria Math"/>
              <w:spacing w:val="18"/>
            </w:rPr>
            <w:t xml:space="preserve"> </w:t>
          </w:r>
          <w:r>
            <w:rPr>
              <w:position w:val="-3"/>
            </w:rPr>
            <w:drawing>
              <wp:inline distT="0" distB="0" distL="0" distR="0">
                <wp:extent cx="75749" cy="134111"/>
                <wp:effectExtent l="0" t="0" r="0" b="0"/>
                <wp:docPr id="158" name="IM 158"/>
                <wp:cNvGraphicFramePr/>
                <a:graphic xmlns:a="http://schemas.openxmlformats.org/drawingml/2006/main">
                  <a:graphicData uri="http://schemas.openxmlformats.org/drawingml/2006/picture">
                    <pic:pic xmlns:pic="http://schemas.openxmlformats.org/drawingml/2006/picture">
                      <pic:nvPicPr>
                        <pic:cNvPr id="158" name="IM 158"/>
                        <pic:cNvPicPr/>
                      </pic:nvPicPr>
                      <pic:blipFill>
                        <a:blip xmlns:r="http://schemas.openxmlformats.org/officeDocument/2006/relationships" r:embed="rId81"/>
                        <a:stretch>
                          <a:fillRect/>
                        </a:stretch>
                      </pic:blipFill>
                      <pic:spPr>
                        <a:xfrm>
                          <a:off x="0" y="0"/>
                          <a:ext cx="75749" cy="134111"/>
                        </a:xfrm>
                        <a:prstGeom prst="rect">
                          <a:avLst/>
                        </a:prstGeom>
                      </pic:spPr>
                    </pic:pic>
                  </a:graphicData>
                </a:graphic>
              </wp:inline>
            </w:drawing>
          </w:r>
          <w:r>
            <w:rPr>
              <w:rFonts w:ascii="Cambria Math" w:eastAsia="Cambria Math" w:hAnsi="Cambria Math" w:cs="Cambria Math"/>
              <w:spacing w:val="-16"/>
              <w:position w:val="-3"/>
              <w:sz w:val="15"/>
              <w:szCs w:val="15"/>
            </w:rPr>
            <w:t>2</w:t>
          </w:r>
          <w:r>
            <w:rPr>
              <w:rFonts w:ascii="Cambria Math" w:eastAsia="Cambria Math" w:hAnsi="Cambria Math" w:cs="Cambria Math"/>
              <w:spacing w:val="3"/>
              <w:position w:val="-3"/>
              <w:sz w:val="15"/>
              <w:szCs w:val="15"/>
            </w:rPr>
            <w:t xml:space="preserve">  </w:t>
          </w:r>
          <w:r>
            <w:rPr>
              <w:rFonts w:ascii="Cambria Math" w:eastAsia="Cambria Math" w:hAnsi="Cambria Math" w:cs="Cambria Math"/>
              <w:spacing w:val="-16"/>
            </w:rPr>
            <w:t>×</w:t>
          </w:r>
          <w:r>
            <w:rPr>
              <w:rFonts w:ascii="Cambria Math" w:eastAsia="Cambria Math" w:hAnsi="Cambria Math" w:cs="Cambria Math"/>
              <w:spacing w:val="10"/>
            </w:rPr>
            <w:t xml:space="preserve"> </w:t>
          </w:r>
          <w:r>
            <w:rPr>
              <w:position w:val="-3"/>
            </w:rPr>
            <w:drawing>
              <wp:inline distT="0" distB="0" distL="0" distR="0">
                <wp:extent cx="118825" cy="134111"/>
                <wp:effectExtent l="0" t="0" r="0" b="0"/>
                <wp:docPr id="160" name="IM 160"/>
                <wp:cNvGraphicFramePr/>
                <a:graphic xmlns:a="http://schemas.openxmlformats.org/drawingml/2006/main">
                  <a:graphicData uri="http://schemas.openxmlformats.org/drawingml/2006/picture">
                    <pic:pic xmlns:pic="http://schemas.openxmlformats.org/drawingml/2006/picture">
                      <pic:nvPicPr>
                        <pic:cNvPr id="160" name="IM 160"/>
                        <pic:cNvPicPr/>
                      </pic:nvPicPr>
                      <pic:blipFill>
                        <a:blip xmlns:r="http://schemas.openxmlformats.org/officeDocument/2006/relationships" r:embed="rId95"/>
                        <a:stretch>
                          <a:fillRect/>
                        </a:stretch>
                      </pic:blipFill>
                      <pic:spPr>
                        <a:xfrm>
                          <a:off x="0" y="0"/>
                          <a:ext cx="118825" cy="134111"/>
                        </a:xfrm>
                        <a:prstGeom prst="rect">
                          <a:avLst/>
                        </a:prstGeom>
                      </pic:spPr>
                    </pic:pic>
                  </a:graphicData>
                </a:graphic>
              </wp:inline>
            </w:drawing>
          </w:r>
          <w:r>
            <w:rPr>
              <w:position w:val="-6"/>
            </w:rPr>
            <w:drawing>
              <wp:inline distT="0" distB="0" distL="0" distR="0">
                <wp:extent cx="23009" cy="96011"/>
                <wp:effectExtent l="0" t="0" r="0" b="0"/>
                <wp:docPr id="162" name="IM 162"/>
                <wp:cNvGraphicFramePr/>
                <a:graphic xmlns:a="http://schemas.openxmlformats.org/drawingml/2006/main">
                  <a:graphicData uri="http://schemas.openxmlformats.org/drawingml/2006/picture">
                    <pic:pic xmlns:pic="http://schemas.openxmlformats.org/drawingml/2006/picture">
                      <pic:nvPicPr>
                        <pic:cNvPr id="162" name="IM 162"/>
                        <pic:cNvPicPr/>
                      </pic:nvPicPr>
                      <pic:blipFill>
                        <a:blip xmlns:r="http://schemas.openxmlformats.org/officeDocument/2006/relationships" r:embed="rId40"/>
                        <a:stretch>
                          <a:fillRect/>
                        </a:stretch>
                      </pic:blipFill>
                      <pic:spPr>
                        <a:xfrm>
                          <a:off x="0" y="0"/>
                          <a:ext cx="23009" cy="96011"/>
                        </a:xfrm>
                        <a:prstGeom prst="rect">
                          <a:avLst/>
                        </a:prstGeom>
                      </pic:spPr>
                    </pic:pic>
                  </a:graphicData>
                </a:graphic>
              </wp:inline>
            </w:drawing>
          </w:r>
          <w:r>
            <w:rPr>
              <w:rFonts w:ascii="Cambria Math" w:eastAsia="Cambria Math" w:hAnsi="Cambria Math" w:cs="Cambria Math"/>
              <w:spacing w:val="42"/>
              <w:w w:val="101"/>
            </w:rPr>
            <w:t xml:space="preserve"> </w:t>
          </w:r>
          <w:r>
            <w:rPr>
              <w:rFonts w:ascii="Cambria Math" w:eastAsia="Cambria Math" w:hAnsi="Cambria Math" w:cs="Cambria Math"/>
            </w:rPr>
            <w:tab/>
          </w:r>
          <w:r>
            <w:rPr>
              <w:spacing w:val="-26"/>
            </w:rPr>
            <w:t>（</w:t>
          </w:r>
          <w:hyperlink w:anchor="bookmark6" w:history="1">
            <w:r>
              <w:rPr>
                <w:rFonts w:ascii="Times New Roman" w:eastAsia="Times New Roman" w:hAnsi="Times New Roman" w:cs="Times New Roman"/>
                <w:spacing w:val="-26"/>
              </w:rPr>
              <w:t>7</w:t>
            </w:r>
          </w:hyperlink>
          <w:r>
            <w:rPr>
              <w:spacing w:val="-26"/>
            </w:rPr>
            <w:t>）</w:t>
          </w:r>
        </w:p>
      </w:sdtContent>
    </w:sdt>
    <w:p>
      <w:pPr>
        <w:pStyle w:val="BodyText"/>
        <w:spacing w:before="73" w:line="221" w:lineRule="auto"/>
        <w:ind w:left="425"/>
      </w:pPr>
      <w:r>
        <w:rPr>
          <w:spacing w:val="-13"/>
        </w:rPr>
        <w:t>式中：</w:t>
      </w:r>
    </w:p>
    <w:p>
      <w:pPr>
        <w:pStyle w:val="BodyText"/>
        <w:spacing w:before="148" w:line="190" w:lineRule="auto"/>
        <w:ind w:left="418"/>
      </w:pPr>
      <w:r>
        <w:rPr>
          <w:rFonts w:ascii="Cambria Math" w:eastAsia="Cambria Math" w:hAnsi="Cambria Math" w:cs="Cambria Math"/>
          <w:position w:val="-4"/>
          <w:sz w:val="15"/>
          <w:szCs w:val="15"/>
        </w:rPr>
        <w:drawing>
          <wp:inline distT="0" distB="0" distL="0" distR="0">
            <wp:extent cx="81544" cy="134111"/>
            <wp:effectExtent l="0" t="0" r="0" b="0"/>
            <wp:docPr id="164" name="IM 164"/>
            <wp:cNvGraphicFramePr/>
            <a:graphic xmlns:a="http://schemas.openxmlformats.org/drawingml/2006/main">
              <a:graphicData uri="http://schemas.openxmlformats.org/drawingml/2006/picture">
                <pic:pic xmlns:pic="http://schemas.openxmlformats.org/drawingml/2006/picture">
                  <pic:nvPicPr>
                    <pic:cNvPr id="164" name="IM 164"/>
                    <pic:cNvPicPr/>
                  </pic:nvPicPr>
                  <pic:blipFill>
                    <a:blip xmlns:r="http://schemas.openxmlformats.org/officeDocument/2006/relationships" r:embed="rId76"/>
                    <a:stretch>
                      <a:fillRect/>
                    </a:stretch>
                  </pic:blipFill>
                  <pic:spPr>
                    <a:xfrm>
                      <a:off x="0" y="0"/>
                      <a:ext cx="81544" cy="134111"/>
                    </a:xfrm>
                    <a:prstGeom prst="rect">
                      <a:avLst/>
                    </a:prstGeom>
                  </pic:spPr>
                </pic:pic>
              </a:graphicData>
            </a:graphic>
          </wp:inline>
        </w:drawing>
      </w:r>
      <w:r>
        <w:rPr>
          <w:rFonts w:ascii="Cambria Math" w:eastAsia="Cambria Math" w:hAnsi="Cambria Math" w:cs="Cambria Math"/>
          <w:spacing w:val="-2"/>
          <w:position w:val="-4"/>
          <w:sz w:val="15"/>
          <w:szCs w:val="15"/>
        </w:rPr>
        <w:t>1</w:t>
      </w:r>
      <w:r>
        <w:rPr>
          <w:position w:val="-7"/>
          <w:sz w:val="15"/>
          <w:szCs w:val="15"/>
        </w:rPr>
        <w:drawing>
          <wp:inline distT="0" distB="0" distL="0" distR="0">
            <wp:extent cx="24769" cy="96011"/>
            <wp:effectExtent l="0" t="0" r="0" b="0"/>
            <wp:docPr id="166" name="IM 166"/>
            <wp:cNvGraphicFramePr/>
            <a:graphic xmlns:a="http://schemas.openxmlformats.org/drawingml/2006/main">
              <a:graphicData uri="http://schemas.openxmlformats.org/drawingml/2006/picture">
                <pic:pic xmlns:pic="http://schemas.openxmlformats.org/drawingml/2006/picture">
                  <pic:nvPicPr>
                    <pic:cNvPr id="166" name="IM 166"/>
                    <pic:cNvPicPr/>
                  </pic:nvPicPr>
                  <pic:blipFill>
                    <a:blip xmlns:r="http://schemas.openxmlformats.org/officeDocument/2006/relationships" r:embed="rId33"/>
                    <a:stretch>
                      <a:fillRect/>
                    </a:stretch>
                  </pic:blipFill>
                  <pic:spPr>
                    <a:xfrm>
                      <a:off x="0" y="0"/>
                      <a:ext cx="24769" cy="96011"/>
                    </a:xfrm>
                    <a:prstGeom prst="rect">
                      <a:avLst/>
                    </a:prstGeom>
                  </pic:spPr>
                </pic:pic>
              </a:graphicData>
            </a:graphic>
          </wp:inline>
        </w:drawing>
      </w:r>
      <w:r>
        <w:rPr>
          <w:rFonts w:ascii="Cambria Math" w:eastAsia="Cambria Math" w:hAnsi="Cambria Math" w:cs="Cambria Math"/>
          <w:spacing w:val="-7"/>
          <w:position w:val="-4"/>
          <w:sz w:val="15"/>
          <w:szCs w:val="15"/>
        </w:rPr>
        <w:t xml:space="preserve"> </w:t>
      </w:r>
      <w:r>
        <w:rPr>
          <w:rFonts w:ascii="Microsoft YaHei" w:eastAsia="Microsoft YaHei" w:hAnsi="Microsoft YaHei" w:cs="Microsoft YaHei"/>
          <w:spacing w:val="-2"/>
        </w:rPr>
        <w:t>——</w:t>
      </w:r>
      <w:r>
        <w:rPr>
          <w:spacing w:val="-2"/>
        </w:rPr>
        <w:t>某一因素的上调幅度；</w:t>
      </w:r>
    </w:p>
    <w:p>
      <w:pPr>
        <w:pStyle w:val="BodyText"/>
        <w:spacing w:before="92" w:line="190" w:lineRule="auto"/>
        <w:ind w:left="423"/>
      </w:pPr>
      <w:r>
        <w:rPr>
          <w:rFonts w:ascii="Microsoft YaHei" w:eastAsia="Microsoft YaHei" w:hAnsi="Microsoft YaHei" w:cs="Microsoft YaHei"/>
          <w:position w:val="-4"/>
        </w:rPr>
        <w:drawing>
          <wp:inline distT="0" distB="0" distL="0" distR="0">
            <wp:extent cx="112054" cy="134111"/>
            <wp:effectExtent l="0" t="0" r="0" b="0"/>
            <wp:docPr id="168" name="IM 168"/>
            <wp:cNvGraphicFramePr/>
            <a:graphic xmlns:a="http://schemas.openxmlformats.org/drawingml/2006/main">
              <a:graphicData uri="http://schemas.openxmlformats.org/drawingml/2006/picture">
                <pic:pic xmlns:pic="http://schemas.openxmlformats.org/drawingml/2006/picture">
                  <pic:nvPicPr>
                    <pic:cNvPr id="168" name="IM 168"/>
                    <pic:cNvPicPr/>
                  </pic:nvPicPr>
                  <pic:blipFill>
                    <a:blip xmlns:r="http://schemas.openxmlformats.org/officeDocument/2006/relationships" r:embed="rId95"/>
                    <a:stretch>
                      <a:fillRect/>
                    </a:stretch>
                  </pic:blipFill>
                  <pic:spPr>
                    <a:xfrm>
                      <a:off x="0" y="0"/>
                      <a:ext cx="112054" cy="134111"/>
                    </a:xfrm>
                    <a:prstGeom prst="rect">
                      <a:avLst/>
                    </a:prstGeom>
                  </pic:spPr>
                </pic:pic>
              </a:graphicData>
            </a:graphic>
          </wp:inline>
        </w:drawing>
      </w:r>
      <w:r>
        <w:rPr>
          <w:rFonts w:ascii="Microsoft YaHei" w:eastAsia="Microsoft YaHei" w:hAnsi="Microsoft YaHei" w:cs="Microsoft YaHei"/>
          <w:position w:val="-7"/>
        </w:rPr>
        <w:drawing>
          <wp:inline distT="0" distB="0" distL="0" distR="0">
            <wp:extent cx="21698" cy="96011"/>
            <wp:effectExtent l="0" t="0" r="0" b="0"/>
            <wp:docPr id="170" name="IM 170"/>
            <wp:cNvGraphicFramePr/>
            <a:graphic xmlns:a="http://schemas.openxmlformats.org/drawingml/2006/main">
              <a:graphicData uri="http://schemas.openxmlformats.org/drawingml/2006/picture">
                <pic:pic xmlns:pic="http://schemas.openxmlformats.org/drawingml/2006/picture">
                  <pic:nvPicPr>
                    <pic:cNvPr id="170" name="IM 170"/>
                    <pic:cNvPicPr/>
                  </pic:nvPicPr>
                  <pic:blipFill>
                    <a:blip xmlns:r="http://schemas.openxmlformats.org/officeDocument/2006/relationships" r:embed="rId33"/>
                    <a:stretch>
                      <a:fillRect/>
                    </a:stretch>
                  </pic:blipFill>
                  <pic:spPr>
                    <a:xfrm>
                      <a:off x="0" y="0"/>
                      <a:ext cx="21698" cy="96011"/>
                    </a:xfrm>
                    <a:prstGeom prst="rect">
                      <a:avLst/>
                    </a:prstGeom>
                  </pic:spPr>
                </pic:pic>
              </a:graphicData>
            </a:graphic>
          </wp:inline>
        </w:drawing>
      </w:r>
      <w:r>
        <w:rPr>
          <w:rFonts w:ascii="Microsoft YaHei" w:eastAsia="Microsoft YaHei" w:hAnsi="Microsoft YaHei" w:cs="Microsoft YaHei"/>
          <w:spacing w:val="-42"/>
        </w:rPr>
        <w:t xml:space="preserve"> </w:t>
      </w:r>
      <w:r>
        <w:rPr>
          <w:rFonts w:ascii="Microsoft YaHei" w:eastAsia="Microsoft YaHei" w:hAnsi="Microsoft YaHei" w:cs="Microsoft YaHei"/>
        </w:rPr>
        <w:t>——</w:t>
      </w:r>
      <w:r>
        <w:t>某一因素对园地宗地地价的影响权重；</w:t>
      </w:r>
    </w:p>
    <w:p>
      <w:pPr>
        <w:pStyle w:val="BodyText"/>
        <w:spacing w:before="116" w:line="181" w:lineRule="auto"/>
        <w:ind w:left="418"/>
      </w:pPr>
      <w:r>
        <w:rPr>
          <w:rFonts w:ascii="Cambria Math" w:eastAsia="Cambria Math" w:hAnsi="Cambria Math" w:cs="Cambria Math"/>
          <w:position w:val="-4"/>
          <w:sz w:val="15"/>
          <w:szCs w:val="15"/>
        </w:rPr>
        <w:drawing>
          <wp:inline distT="0" distB="0" distL="0" distR="0">
            <wp:extent cx="81544" cy="134111"/>
            <wp:effectExtent l="0" t="0" r="0" b="0"/>
            <wp:docPr id="172" name="IM 172"/>
            <wp:cNvGraphicFramePr/>
            <a:graphic xmlns:a="http://schemas.openxmlformats.org/drawingml/2006/main">
              <a:graphicData uri="http://schemas.openxmlformats.org/drawingml/2006/picture">
                <pic:pic xmlns:pic="http://schemas.openxmlformats.org/drawingml/2006/picture">
                  <pic:nvPicPr>
                    <pic:cNvPr id="172" name="IM 172"/>
                    <pic:cNvPicPr/>
                  </pic:nvPicPr>
                  <pic:blipFill>
                    <a:blip xmlns:r="http://schemas.openxmlformats.org/officeDocument/2006/relationships" r:embed="rId76"/>
                    <a:stretch>
                      <a:fillRect/>
                    </a:stretch>
                  </pic:blipFill>
                  <pic:spPr>
                    <a:xfrm>
                      <a:off x="0" y="0"/>
                      <a:ext cx="81544" cy="134111"/>
                    </a:xfrm>
                    <a:prstGeom prst="rect">
                      <a:avLst/>
                    </a:prstGeom>
                  </pic:spPr>
                </pic:pic>
              </a:graphicData>
            </a:graphic>
          </wp:inline>
        </w:drawing>
      </w:r>
      <w:r>
        <w:rPr>
          <w:rFonts w:ascii="Cambria Math" w:eastAsia="Cambria Math" w:hAnsi="Cambria Math" w:cs="Cambria Math"/>
          <w:spacing w:val="-1"/>
          <w:position w:val="-4"/>
          <w:sz w:val="15"/>
          <w:szCs w:val="15"/>
        </w:rPr>
        <w:t>2</w:t>
      </w:r>
      <w:r>
        <w:rPr>
          <w:position w:val="-7"/>
          <w:sz w:val="15"/>
          <w:szCs w:val="15"/>
        </w:rPr>
        <w:drawing>
          <wp:inline distT="0" distB="0" distL="0" distR="0">
            <wp:extent cx="24769" cy="96012"/>
            <wp:effectExtent l="0" t="0" r="0" b="0"/>
            <wp:docPr id="174" name="IM 174"/>
            <wp:cNvGraphicFramePr/>
            <a:graphic xmlns:a="http://schemas.openxmlformats.org/drawingml/2006/main">
              <a:graphicData uri="http://schemas.openxmlformats.org/drawingml/2006/picture">
                <pic:pic xmlns:pic="http://schemas.openxmlformats.org/drawingml/2006/picture">
                  <pic:nvPicPr>
                    <pic:cNvPr id="174" name="IM 174"/>
                    <pic:cNvPicPr/>
                  </pic:nvPicPr>
                  <pic:blipFill>
                    <a:blip xmlns:r="http://schemas.openxmlformats.org/officeDocument/2006/relationships" r:embed="rId96"/>
                    <a:stretch>
                      <a:fillRect/>
                    </a:stretch>
                  </pic:blipFill>
                  <pic:spPr>
                    <a:xfrm>
                      <a:off x="0" y="0"/>
                      <a:ext cx="24769" cy="96012"/>
                    </a:xfrm>
                    <a:prstGeom prst="rect">
                      <a:avLst/>
                    </a:prstGeom>
                  </pic:spPr>
                </pic:pic>
              </a:graphicData>
            </a:graphic>
          </wp:inline>
        </w:drawing>
      </w:r>
      <w:r>
        <w:rPr>
          <w:rFonts w:ascii="Cambria Math" w:eastAsia="Cambria Math" w:hAnsi="Cambria Math" w:cs="Cambria Math"/>
          <w:spacing w:val="-15"/>
          <w:position w:val="-4"/>
          <w:sz w:val="15"/>
          <w:szCs w:val="15"/>
        </w:rPr>
        <w:t xml:space="preserve"> </w:t>
      </w:r>
      <w:r>
        <w:rPr>
          <w:rFonts w:ascii="Microsoft YaHei" w:eastAsia="Microsoft YaHei" w:hAnsi="Microsoft YaHei" w:cs="Microsoft YaHei"/>
          <w:spacing w:val="-1"/>
        </w:rPr>
        <w:t>——</w:t>
      </w:r>
      <w:r>
        <w:rPr>
          <w:spacing w:val="-1"/>
        </w:rPr>
        <w:t>某一因素的下调幅度。</w:t>
      </w:r>
    </w:p>
    <w:p>
      <w:pPr>
        <w:pStyle w:val="BodyText"/>
        <w:spacing w:before="1" w:line="216" w:lineRule="auto"/>
        <w:ind w:right="3" w:firstLine="444"/>
      </w:pPr>
      <w:r>
        <w:rPr>
          <w:spacing w:val="-8"/>
        </w:rPr>
        <w:t>以基准地价为一般水平，其修正幅度为零。在一般水平与上限价格之间，内插条件较优的修正幅度，</w:t>
      </w:r>
      <w:r>
        <w:rPr>
          <w:spacing w:val="14"/>
        </w:rPr>
        <w:t xml:space="preserve"> </w:t>
      </w:r>
      <w:r>
        <w:rPr>
          <w:spacing w:val="1"/>
        </w:rPr>
        <w:t>通常为</w:t>
      </w:r>
      <w:r>
        <w:rPr>
          <w:position w:val="-4"/>
        </w:rPr>
        <w:drawing>
          <wp:inline distT="0" distB="0" distL="0" distR="0">
            <wp:extent cx="84424" cy="134112"/>
            <wp:effectExtent l="0" t="0" r="0" b="0"/>
            <wp:docPr id="176" name="IM 176"/>
            <wp:cNvGraphicFramePr/>
            <a:graphic xmlns:a="http://schemas.openxmlformats.org/drawingml/2006/main">
              <a:graphicData uri="http://schemas.openxmlformats.org/drawingml/2006/picture">
                <pic:pic xmlns:pic="http://schemas.openxmlformats.org/drawingml/2006/picture">
                  <pic:nvPicPr>
                    <pic:cNvPr id="176" name="IM 176"/>
                    <pic:cNvPicPr/>
                  </pic:nvPicPr>
                  <pic:blipFill>
                    <a:blip xmlns:r="http://schemas.openxmlformats.org/officeDocument/2006/relationships" r:embed="rId81"/>
                    <a:stretch>
                      <a:fillRect/>
                    </a:stretch>
                  </pic:blipFill>
                  <pic:spPr>
                    <a:xfrm>
                      <a:off x="0" y="0"/>
                      <a:ext cx="84424" cy="134112"/>
                    </a:xfrm>
                    <a:prstGeom prst="rect">
                      <a:avLst/>
                    </a:prstGeom>
                  </pic:spPr>
                </pic:pic>
              </a:graphicData>
            </a:graphic>
          </wp:inline>
        </w:drawing>
      </w:r>
      <w:r>
        <w:rPr>
          <w:rFonts w:ascii="Cambria Math" w:eastAsia="Cambria Math" w:hAnsi="Cambria Math" w:cs="Cambria Math"/>
          <w:spacing w:val="1"/>
          <w:position w:val="-4"/>
          <w:sz w:val="15"/>
          <w:szCs w:val="15"/>
        </w:rPr>
        <w:t>1</w:t>
      </w:r>
      <w:r>
        <w:rPr>
          <w:position w:val="-7"/>
          <w:sz w:val="15"/>
          <w:szCs w:val="15"/>
        </w:rPr>
        <w:drawing>
          <wp:inline distT="0" distB="0" distL="0" distR="0">
            <wp:extent cx="25644" cy="96012"/>
            <wp:effectExtent l="0" t="0" r="0" b="0"/>
            <wp:docPr id="178" name="IM 178"/>
            <wp:cNvGraphicFramePr/>
            <a:graphic xmlns:a="http://schemas.openxmlformats.org/drawingml/2006/main">
              <a:graphicData uri="http://schemas.openxmlformats.org/drawingml/2006/picture">
                <pic:pic xmlns:pic="http://schemas.openxmlformats.org/drawingml/2006/picture">
                  <pic:nvPicPr>
                    <pic:cNvPr id="178" name="IM 178"/>
                    <pic:cNvPicPr/>
                  </pic:nvPicPr>
                  <pic:blipFill>
                    <a:blip xmlns:r="http://schemas.openxmlformats.org/officeDocument/2006/relationships" r:embed="rId40"/>
                    <a:stretch>
                      <a:fillRect/>
                    </a:stretch>
                  </pic:blipFill>
                  <pic:spPr>
                    <a:xfrm>
                      <a:off x="0" y="0"/>
                      <a:ext cx="25644" cy="96012"/>
                    </a:xfrm>
                    <a:prstGeom prst="rect">
                      <a:avLst/>
                    </a:prstGeom>
                  </pic:spPr>
                </pic:pic>
              </a:graphicData>
            </a:graphic>
          </wp:inline>
        </w:drawing>
      </w:r>
      <w:r>
        <w:rPr>
          <w:rFonts w:ascii="Cambria Math" w:eastAsia="Cambria Math" w:hAnsi="Cambria Math" w:cs="Cambria Math"/>
          <w:spacing w:val="1"/>
        </w:rPr>
        <w:t>/2</w:t>
      </w:r>
      <w:r>
        <w:rPr>
          <w:spacing w:val="1"/>
        </w:rPr>
        <w:t>，同时确定较优条件下的地价水平；在一般水平与下限价格之间，内插条件较劣的修正幅</w:t>
      </w:r>
      <w:r>
        <w:rPr>
          <w:spacing w:val="4"/>
        </w:rPr>
        <w:t xml:space="preserve"> </w:t>
      </w:r>
      <w:r>
        <w:rPr>
          <w:spacing w:val="-5"/>
        </w:rPr>
        <w:t>度，</w:t>
      </w:r>
      <w:r>
        <w:rPr>
          <w:spacing w:val="-31"/>
        </w:rPr>
        <w:t xml:space="preserve"> </w:t>
      </w:r>
      <w:r>
        <w:rPr>
          <w:spacing w:val="-5"/>
        </w:rPr>
        <w:t>通常为</w:t>
      </w:r>
      <w:r>
        <w:rPr>
          <w:position w:val="-4"/>
        </w:rPr>
        <w:drawing>
          <wp:inline distT="0" distB="0" distL="0" distR="0">
            <wp:extent cx="83255" cy="134112"/>
            <wp:effectExtent l="0" t="0" r="0" b="0"/>
            <wp:docPr id="180" name="IM 180"/>
            <wp:cNvGraphicFramePr/>
            <a:graphic xmlns:a="http://schemas.openxmlformats.org/drawingml/2006/main">
              <a:graphicData uri="http://schemas.openxmlformats.org/drawingml/2006/picture">
                <pic:pic xmlns:pic="http://schemas.openxmlformats.org/drawingml/2006/picture">
                  <pic:nvPicPr>
                    <pic:cNvPr id="180" name="IM 180"/>
                    <pic:cNvPicPr/>
                  </pic:nvPicPr>
                  <pic:blipFill>
                    <a:blip xmlns:r="http://schemas.openxmlformats.org/officeDocument/2006/relationships" r:embed="rId97"/>
                    <a:stretch>
                      <a:fillRect/>
                    </a:stretch>
                  </pic:blipFill>
                  <pic:spPr>
                    <a:xfrm>
                      <a:off x="0" y="0"/>
                      <a:ext cx="83255" cy="134112"/>
                    </a:xfrm>
                    <a:prstGeom prst="rect">
                      <a:avLst/>
                    </a:prstGeom>
                  </pic:spPr>
                </pic:pic>
              </a:graphicData>
            </a:graphic>
          </wp:inline>
        </w:drawing>
      </w:r>
      <w:r>
        <w:rPr>
          <w:rFonts w:ascii="Cambria Math" w:eastAsia="Cambria Math" w:hAnsi="Cambria Math" w:cs="Cambria Math"/>
          <w:spacing w:val="-5"/>
          <w:position w:val="-4"/>
          <w:sz w:val="15"/>
          <w:szCs w:val="15"/>
        </w:rPr>
        <w:t>2</w:t>
      </w:r>
      <w:r>
        <w:rPr>
          <w:position w:val="-7"/>
          <w:sz w:val="15"/>
          <w:szCs w:val="15"/>
        </w:rPr>
        <w:drawing>
          <wp:inline distT="0" distB="0" distL="0" distR="0">
            <wp:extent cx="25289" cy="96012"/>
            <wp:effectExtent l="0" t="0" r="0" b="0"/>
            <wp:docPr id="182" name="IM 182"/>
            <wp:cNvGraphicFramePr/>
            <a:graphic xmlns:a="http://schemas.openxmlformats.org/drawingml/2006/main">
              <a:graphicData uri="http://schemas.openxmlformats.org/drawingml/2006/picture">
                <pic:pic xmlns:pic="http://schemas.openxmlformats.org/drawingml/2006/picture">
                  <pic:nvPicPr>
                    <pic:cNvPr id="182" name="IM 182"/>
                    <pic:cNvPicPr/>
                  </pic:nvPicPr>
                  <pic:blipFill>
                    <a:blip xmlns:r="http://schemas.openxmlformats.org/officeDocument/2006/relationships" r:embed="rId98"/>
                    <a:stretch>
                      <a:fillRect/>
                    </a:stretch>
                  </pic:blipFill>
                  <pic:spPr>
                    <a:xfrm>
                      <a:off x="0" y="0"/>
                      <a:ext cx="25289" cy="96012"/>
                    </a:xfrm>
                    <a:prstGeom prst="rect">
                      <a:avLst/>
                    </a:prstGeom>
                  </pic:spPr>
                </pic:pic>
              </a:graphicData>
            </a:graphic>
          </wp:inline>
        </w:drawing>
      </w:r>
      <w:r>
        <w:rPr>
          <w:rFonts w:ascii="Cambria Math" w:eastAsia="Cambria Math" w:hAnsi="Cambria Math" w:cs="Cambria Math"/>
          <w:spacing w:val="-5"/>
        </w:rPr>
        <w:t>/2</w:t>
      </w:r>
      <w:r>
        <w:rPr>
          <w:spacing w:val="-5"/>
        </w:rPr>
        <w:t>，同时确定较劣条件上的地价水平；在此基础上根据优、较优、一般、较劣、劣确定各</w:t>
      </w:r>
    </w:p>
    <w:p>
      <w:pPr>
        <w:spacing w:line="216" w:lineRule="auto"/>
        <w:sectPr>
          <w:headerReference w:type="default" r:id="rId99"/>
          <w:footerReference w:type="default" r:id="rId100"/>
          <w:type w:val="nextPage"/>
          <w:pgSz w:w="11907" w:h="16839"/>
          <w:pgMar w:top="1659" w:right="1128" w:bottom="1305" w:left="1426" w:header="1448" w:footer="1128" w:gutter="0"/>
          <w:pgNumType w:start="16"/>
          <w:cols w:space="708"/>
          <w:titlePg w:val="0"/>
        </w:sect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43" w:line="188" w:lineRule="auto"/>
        <w:ind w:right="15"/>
        <w:jc w:val="right"/>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TD/T</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XXXXX—XXXX</w:t>
      </w:r>
    </w:p>
    <w:p>
      <w:pPr>
        <w:pStyle w:val="BodyText"/>
        <w:spacing w:before="296" w:line="233" w:lineRule="auto"/>
        <w:ind w:right="58"/>
      </w:pPr>
      <w:r>
        <w:rPr>
          <w:spacing w:val="-3"/>
        </w:rPr>
        <w:t>种地价水平下的因素修正系数，通过已有地价样点检验、校核，编制各级别或均质区基准地价修正系数</w:t>
      </w:r>
      <w:r>
        <w:rPr>
          <w:spacing w:val="12"/>
        </w:rPr>
        <w:t xml:space="preserve"> </w:t>
      </w:r>
      <w:r>
        <w:rPr>
          <w:spacing w:val="-2"/>
        </w:rPr>
        <w:t>表。修正系数表格式见附录C。</w:t>
      </w:r>
    </w:p>
    <w:p>
      <w:pPr>
        <w:spacing w:before="137" w:line="221" w:lineRule="auto"/>
        <w:ind w:left="2"/>
        <w:outlineLvl w:val="0"/>
        <w:rPr>
          <w:rFonts w:ascii="SimHei" w:eastAsia="SimHei" w:hAnsi="SimHei" w:cs="SimHei"/>
          <w:sz w:val="21"/>
          <w:szCs w:val="21"/>
        </w:rPr>
      </w:pPr>
      <w:r>
        <w:rPr>
          <w:rFonts w:ascii="SimHei" w:eastAsia="SimHei" w:hAnsi="SimHei" w:cs="SimHei"/>
          <w:b/>
          <w:bCs/>
          <w:spacing w:val="-4"/>
          <w:sz w:val="21"/>
          <w:szCs w:val="21"/>
        </w:rPr>
        <w:t>6.10.6</w:t>
      </w:r>
      <w:r>
        <w:rPr>
          <w:rFonts w:ascii="SimHei" w:eastAsia="SimHei" w:hAnsi="SimHei" w:cs="SimHei"/>
          <w:spacing w:val="-4"/>
          <w:sz w:val="21"/>
          <w:szCs w:val="21"/>
        </w:rPr>
        <w:t xml:space="preserve">  </w:t>
      </w:r>
      <w:r>
        <w:rPr>
          <w:rFonts w:ascii="SimHei" w:eastAsia="SimHei" w:hAnsi="SimHei" w:cs="SimHei"/>
          <w:b/>
          <w:bCs/>
          <w:spacing w:val="-4"/>
          <w:sz w:val="21"/>
          <w:szCs w:val="21"/>
        </w:rPr>
        <w:t>编制宗地地价影响因素指标说明表</w:t>
      </w:r>
    </w:p>
    <w:p>
      <w:pPr>
        <w:pStyle w:val="BodyText"/>
        <w:spacing w:before="140" w:line="237" w:lineRule="auto"/>
        <w:ind w:right="58" w:firstLine="419"/>
        <w:jc w:val="both"/>
      </w:pPr>
      <w:r>
        <w:rPr>
          <w:spacing w:val="-3"/>
        </w:rPr>
        <w:t>根据确定的园地宗地地价影响因素，以各级别或均质区对应基准地价因素条件为一般条件，比一般</w:t>
      </w:r>
      <w:r>
        <w:rPr>
          <w:spacing w:val="6"/>
        </w:rPr>
        <w:t xml:space="preserve"> </w:t>
      </w:r>
      <w:r>
        <w:rPr>
          <w:spacing w:val="-3"/>
        </w:rPr>
        <w:t>条件好的分优、较优，比一般条件差的分较劣、劣，分因素进行描述，编制各级别或均质区的宗地地价</w:t>
      </w:r>
      <w:r>
        <w:rPr>
          <w:spacing w:val="12"/>
        </w:rPr>
        <w:t xml:space="preserve"> </w:t>
      </w:r>
      <w:r>
        <w:rPr>
          <w:spacing w:val="-1"/>
        </w:rPr>
        <w:t>影响因素指标说明表。宗地地价影响因素指标说明表格式见附录C。</w:t>
      </w:r>
    </w:p>
    <w:p>
      <w:pPr>
        <w:spacing w:line="338" w:lineRule="auto"/>
        <w:rPr>
          <w:rFonts w:ascii="Arial"/>
          <w:sz w:val="21"/>
        </w:rPr>
      </w:pPr>
    </w:p>
    <w:p>
      <w:pPr>
        <w:spacing w:before="68" w:line="221" w:lineRule="auto"/>
        <w:ind w:left="3"/>
        <w:outlineLvl w:val="0"/>
        <w:rPr>
          <w:rFonts w:ascii="SimHei" w:eastAsia="SimHei" w:hAnsi="SimHei" w:cs="SimHei"/>
          <w:sz w:val="21"/>
          <w:szCs w:val="21"/>
        </w:rPr>
      </w:pPr>
      <w:r>
        <w:rPr>
          <w:rFonts w:ascii="SimHei" w:eastAsia="SimHei" w:hAnsi="SimHei" w:cs="SimHei"/>
          <w:b/>
          <w:bCs/>
          <w:spacing w:val="-4"/>
          <w:sz w:val="21"/>
          <w:szCs w:val="21"/>
        </w:rPr>
        <w:t>6.11</w:t>
      </w:r>
      <w:r>
        <w:rPr>
          <w:rFonts w:ascii="SimHei" w:eastAsia="SimHei" w:hAnsi="SimHei" w:cs="SimHei"/>
          <w:spacing w:val="88"/>
          <w:sz w:val="21"/>
          <w:szCs w:val="21"/>
        </w:rPr>
        <w:t xml:space="preserve"> </w:t>
      </w:r>
      <w:r>
        <w:rPr>
          <w:rFonts w:ascii="SimHei" w:eastAsia="SimHei" w:hAnsi="SimHei" w:cs="SimHei"/>
          <w:b/>
          <w:bCs/>
          <w:spacing w:val="-4"/>
          <w:sz w:val="21"/>
          <w:szCs w:val="21"/>
        </w:rPr>
        <w:t>成果编制与整理</w:t>
      </w:r>
    </w:p>
    <w:p>
      <w:pPr>
        <w:pStyle w:val="BodyText"/>
        <w:spacing w:before="142" w:line="218" w:lineRule="auto"/>
        <w:ind w:left="419"/>
      </w:pPr>
      <w:r>
        <w:rPr>
          <w:spacing w:val="-1"/>
        </w:rPr>
        <w:t>基准地价成果应包括图件成果、表格成果、文字</w:t>
      </w:r>
      <w:r>
        <w:rPr>
          <w:spacing w:val="-2"/>
        </w:rPr>
        <w:t>成果和数据库成果。</w:t>
      </w:r>
    </w:p>
    <w:p>
      <w:pPr>
        <w:pStyle w:val="BodyText"/>
        <w:spacing w:before="31" w:line="232" w:lineRule="auto"/>
        <w:ind w:left="859" w:right="53" w:hanging="440"/>
      </w:pPr>
      <w:r>
        <w:rPr>
          <w:spacing w:val="2"/>
        </w:rPr>
        <w:t>a)</w:t>
      </w:r>
      <w:r>
        <w:rPr>
          <w:spacing w:val="109"/>
        </w:rPr>
        <w:t xml:space="preserve"> </w:t>
      </w:r>
      <w:r>
        <w:rPr>
          <w:spacing w:val="2"/>
        </w:rPr>
        <w:t>基准地价图件成果的编制：基准地价图件采用2000国家大地坐标系，图面应直观反映不同级</w:t>
      </w:r>
      <w:r>
        <w:t xml:space="preserve"> </w:t>
      </w:r>
      <w:r>
        <w:rPr>
          <w:spacing w:val="-3"/>
        </w:rPr>
        <w:t>别或均质区园地基准地价及范围界线、位置、主要相</w:t>
      </w:r>
      <w:r>
        <w:rPr>
          <w:spacing w:val="-4"/>
        </w:rPr>
        <w:t>关地物、用途等。基准地价图件的相关要</w:t>
      </w:r>
      <w:r>
        <w:t xml:space="preserve"> </w:t>
      </w:r>
      <w:r>
        <w:rPr>
          <w:spacing w:val="-3"/>
        </w:rPr>
        <w:t>素通过不同的图斑、色调、注记等反映。</w:t>
      </w:r>
    </w:p>
    <w:p>
      <w:pPr>
        <w:pStyle w:val="BodyText"/>
        <w:spacing w:before="29" w:line="228" w:lineRule="auto"/>
        <w:ind w:left="859" w:right="58" w:hanging="440"/>
      </w:pPr>
      <w:r>
        <w:rPr>
          <w:spacing w:val="-3"/>
        </w:rPr>
        <w:t>b)  基准地价表格成果的编制：包括基准地价表、基准地价修正系数表和基准地价修正因素指标说</w:t>
      </w:r>
      <w:r>
        <w:rPr>
          <w:spacing w:val="12"/>
        </w:rPr>
        <w:t xml:space="preserve"> </w:t>
      </w:r>
      <w:r>
        <w:rPr>
          <w:spacing w:val="-1"/>
        </w:rPr>
        <w:t>明表。基准地价表应分园地利用类型反映各级别或均质区基准地价等内</w:t>
      </w:r>
      <w:r>
        <w:rPr>
          <w:spacing w:val="-2"/>
        </w:rPr>
        <w:t>容。</w:t>
      </w:r>
    </w:p>
    <w:p>
      <w:pPr>
        <w:pStyle w:val="BodyText"/>
        <w:spacing w:before="1" w:line="237" w:lineRule="auto"/>
        <w:ind w:left="859" w:right="7" w:hanging="440"/>
      </w:pPr>
      <w:r>
        <w:rPr>
          <w:rFonts w:ascii="Times New Roman" w:eastAsia="Times New Roman" w:hAnsi="Times New Roman" w:cs="Times New Roman"/>
          <w:spacing w:val="-1"/>
        </w:rPr>
        <w:t xml:space="preserve">c)     </w:t>
      </w:r>
      <w:r>
        <w:rPr>
          <w:spacing w:val="-1"/>
        </w:rPr>
        <w:t>基准地价文字成果的整理：</w:t>
      </w:r>
      <w:r>
        <w:rPr>
          <w:spacing w:val="-2"/>
        </w:rPr>
        <w:t>包括工作报告和技术报告。主要内容包括工作情况，基准地价评估</w:t>
      </w:r>
      <w:r>
        <w:t xml:space="preserve"> </w:t>
      </w:r>
      <w:r>
        <w:rPr>
          <w:spacing w:val="-4"/>
        </w:rPr>
        <w:t>区域内的自然、经济及社会概况，基准地价评估的方法与过程，基准地价测</w:t>
      </w:r>
      <w:r>
        <w:rPr>
          <w:spacing w:val="-5"/>
        </w:rPr>
        <w:t xml:space="preserve">算过程，各类分析 </w:t>
      </w:r>
      <w:r>
        <w:rPr>
          <w:spacing w:val="-1"/>
        </w:rPr>
        <w:t>成果，成果应用方案与建议，基准地价图、基准地价表、基准地价</w:t>
      </w:r>
      <w:r>
        <w:rPr>
          <w:spacing w:val="-2"/>
        </w:rPr>
        <w:t>修正体系等。</w:t>
      </w:r>
    </w:p>
    <w:p>
      <w:pPr>
        <w:pStyle w:val="BodyText"/>
        <w:spacing w:before="11" w:line="237" w:lineRule="auto"/>
        <w:ind w:left="859" w:right="62" w:hanging="440"/>
      </w:pPr>
      <w:r>
        <w:rPr>
          <w:rFonts w:ascii="Times New Roman" w:eastAsia="Times New Roman" w:hAnsi="Times New Roman" w:cs="Times New Roman"/>
          <w:spacing w:val="-2"/>
        </w:rPr>
        <w:t xml:space="preserve">d)    </w:t>
      </w:r>
      <w:r>
        <w:rPr>
          <w:spacing w:val="-2"/>
        </w:rPr>
        <w:t>基准地价数据库成果整理：主要包括基础地理信息要素、园地信息要素、样点价格信息要素、</w:t>
      </w:r>
      <w:r>
        <w:rPr>
          <w:spacing w:val="3"/>
        </w:rPr>
        <w:t xml:space="preserve"> </w:t>
      </w:r>
      <w:r>
        <w:rPr>
          <w:spacing w:val="-3"/>
        </w:rPr>
        <w:t>基准地价信息要素和其他信息要素等。</w:t>
      </w:r>
    </w:p>
    <w:p>
      <w:pPr>
        <w:pStyle w:val="BodyText"/>
        <w:spacing w:before="12" w:line="218" w:lineRule="auto"/>
        <w:ind w:left="419"/>
      </w:pPr>
      <w:r>
        <w:rPr>
          <w:spacing w:val="-1"/>
        </w:rPr>
        <w:t>园地基准地价成果编制与整理的具体要求可参见</w:t>
      </w:r>
      <w:r>
        <w:rPr>
          <w:spacing w:val="-59"/>
        </w:rPr>
        <w:t xml:space="preserve"> </w:t>
      </w:r>
      <w:r>
        <w:rPr>
          <w:spacing w:val="-2"/>
        </w:rPr>
        <w:t>GB/T 28406-2012。</w:t>
      </w:r>
    </w:p>
    <w:p>
      <w:pPr>
        <w:spacing w:before="149" w:line="221" w:lineRule="auto"/>
        <w:ind w:left="3"/>
        <w:outlineLvl w:val="0"/>
        <w:rPr>
          <w:rFonts w:ascii="SimHei" w:eastAsia="SimHei" w:hAnsi="SimHei" w:cs="SimHei"/>
          <w:sz w:val="21"/>
          <w:szCs w:val="21"/>
        </w:rPr>
      </w:pPr>
      <w:r>
        <w:rPr>
          <w:rFonts w:ascii="SimHei" w:eastAsia="SimHei" w:hAnsi="SimHei" w:cs="SimHei"/>
          <w:b/>
          <w:bCs/>
          <w:spacing w:val="-2"/>
          <w:sz w:val="21"/>
          <w:szCs w:val="21"/>
        </w:rPr>
        <w:t>6.12</w:t>
      </w:r>
      <w:r>
        <w:rPr>
          <w:rFonts w:ascii="SimHei" w:eastAsia="SimHei" w:hAnsi="SimHei" w:cs="SimHei"/>
          <w:spacing w:val="-2"/>
          <w:sz w:val="21"/>
          <w:szCs w:val="21"/>
        </w:rPr>
        <w:t xml:space="preserve">  </w:t>
      </w:r>
      <w:r>
        <w:rPr>
          <w:rFonts w:ascii="SimHei" w:eastAsia="SimHei" w:hAnsi="SimHei" w:cs="SimHei"/>
          <w:b/>
          <w:bCs/>
          <w:spacing w:val="-2"/>
          <w:sz w:val="21"/>
          <w:szCs w:val="21"/>
        </w:rPr>
        <w:t>园地基准地价更新</w:t>
      </w:r>
    </w:p>
    <w:p>
      <w:pPr>
        <w:pStyle w:val="BodyText"/>
        <w:spacing w:before="152" w:line="225" w:lineRule="auto"/>
        <w:ind w:right="38" w:firstLine="419"/>
        <w:jc w:val="both"/>
      </w:pPr>
      <w:r>
        <w:rPr>
          <w:spacing w:val="-2"/>
        </w:rPr>
        <w:t>为保证基准地价的现势性，在影响园地价格的市场环境或利</w:t>
      </w:r>
      <w:r>
        <w:rPr>
          <w:spacing w:val="-3"/>
        </w:rPr>
        <w:t>用条件发生变化时，应利用园地市场交</w:t>
      </w:r>
      <w:r>
        <w:t xml:space="preserve"> </w:t>
      </w:r>
      <w:r>
        <w:rPr>
          <w:spacing w:val="-3"/>
        </w:rPr>
        <w:t>易、收益等资料，局部或全面调整园地的级别或均质区范围，更新园地基准地价。各地可根据当地情况</w:t>
      </w:r>
      <w:r>
        <w:rPr>
          <w:spacing w:val="12"/>
        </w:rPr>
        <w:t xml:space="preserve"> </w:t>
      </w:r>
      <w:r>
        <w:rPr>
          <w:spacing w:val="-1"/>
        </w:rPr>
        <w:t>和政府管理需求自行确定动态或定期更新园地基准地价，采用定期更新的，可与级别更新同步开展。</w:t>
      </w:r>
    </w:p>
    <w:p>
      <w:pPr>
        <w:spacing w:before="159" w:line="222" w:lineRule="auto"/>
        <w:ind w:left="3"/>
        <w:outlineLvl w:val="0"/>
        <w:rPr>
          <w:rFonts w:ascii="SimHei" w:eastAsia="SimHei" w:hAnsi="SimHei" w:cs="SimHei"/>
          <w:sz w:val="21"/>
          <w:szCs w:val="21"/>
        </w:rPr>
      </w:pPr>
      <w:r>
        <w:rPr>
          <w:rFonts w:ascii="SimHei" w:eastAsia="SimHei" w:hAnsi="SimHei" w:cs="SimHei"/>
          <w:b/>
          <w:bCs/>
          <w:spacing w:val="-4"/>
          <w:sz w:val="21"/>
          <w:szCs w:val="21"/>
        </w:rPr>
        <w:t>6.13</w:t>
      </w:r>
      <w:r>
        <w:rPr>
          <w:rFonts w:ascii="SimHei" w:eastAsia="SimHei" w:hAnsi="SimHei" w:cs="SimHei"/>
          <w:spacing w:val="93"/>
          <w:sz w:val="21"/>
          <w:szCs w:val="21"/>
        </w:rPr>
        <w:t xml:space="preserve"> </w:t>
      </w:r>
      <w:r>
        <w:rPr>
          <w:rFonts w:ascii="SimHei" w:eastAsia="SimHei" w:hAnsi="SimHei" w:cs="SimHei"/>
          <w:b/>
          <w:bCs/>
          <w:spacing w:val="-4"/>
          <w:sz w:val="21"/>
          <w:szCs w:val="21"/>
        </w:rPr>
        <w:t>成果验收、公布及备案</w:t>
      </w:r>
    </w:p>
    <w:p>
      <w:pPr>
        <w:pStyle w:val="BodyText"/>
        <w:spacing w:before="131" w:line="236" w:lineRule="auto"/>
        <w:ind w:right="43" w:firstLine="419"/>
      </w:pPr>
      <w:r>
        <w:rPr>
          <w:spacing w:val="-2"/>
        </w:rPr>
        <w:t>为保证园地基准地价评估成果质量，基准地价评</w:t>
      </w:r>
      <w:r>
        <w:rPr>
          <w:spacing w:val="-3"/>
        </w:rPr>
        <w:t>估或更新工作完成后，各级自然资源行政主管部门</w:t>
      </w:r>
      <w:r>
        <w:t xml:space="preserve"> </w:t>
      </w:r>
      <w:r>
        <w:rPr>
          <w:spacing w:val="-2"/>
        </w:rPr>
        <w:t>应按规定对基准地价评估成果进行验收，并及时公布、备案。</w:t>
      </w:r>
    </w:p>
    <w:p>
      <w:pPr>
        <w:spacing w:before="279" w:line="222" w:lineRule="auto"/>
        <w:ind w:left="3"/>
        <w:rPr>
          <w:rFonts w:ascii="SimHei" w:eastAsia="SimHei" w:hAnsi="SimHei" w:cs="SimHei"/>
          <w:sz w:val="21"/>
          <w:szCs w:val="21"/>
        </w:rPr>
      </w:pPr>
      <w:r>
        <w:rPr>
          <w:rFonts w:ascii="SimHei" w:eastAsia="SimHei" w:hAnsi="SimHei" w:cs="SimHei"/>
          <w:b/>
          <w:bCs/>
          <w:spacing w:val="-6"/>
          <w:sz w:val="21"/>
          <w:szCs w:val="21"/>
        </w:rPr>
        <w:t>7</w:t>
      </w:r>
      <w:r>
        <w:rPr>
          <w:rFonts w:ascii="SimHei" w:eastAsia="SimHei" w:hAnsi="SimHei" w:cs="SimHei"/>
          <w:spacing w:val="105"/>
          <w:sz w:val="21"/>
          <w:szCs w:val="21"/>
        </w:rPr>
        <w:t xml:space="preserve"> </w:t>
      </w:r>
      <w:r>
        <w:rPr>
          <w:rFonts w:ascii="SimHei" w:eastAsia="SimHei" w:hAnsi="SimHei" w:cs="SimHei"/>
          <w:b/>
          <w:bCs/>
          <w:spacing w:val="-6"/>
          <w:sz w:val="21"/>
          <w:szCs w:val="21"/>
        </w:rPr>
        <w:t>园地宗地地价评估</w:t>
      </w:r>
    </w:p>
    <w:p>
      <w:pPr>
        <w:spacing w:before="258" w:line="222" w:lineRule="auto"/>
        <w:ind w:left="3"/>
        <w:outlineLvl w:val="0"/>
        <w:rPr>
          <w:rFonts w:ascii="SimHei" w:eastAsia="SimHei" w:hAnsi="SimHei" w:cs="SimHei"/>
          <w:sz w:val="21"/>
          <w:szCs w:val="21"/>
        </w:rPr>
      </w:pPr>
      <w:r>
        <w:rPr>
          <w:rFonts w:ascii="SimHei" w:eastAsia="SimHei" w:hAnsi="SimHei" w:cs="SimHei"/>
          <w:b/>
          <w:bCs/>
          <w:spacing w:val="-5"/>
          <w:sz w:val="21"/>
          <w:szCs w:val="21"/>
        </w:rPr>
        <w:t>7.1</w:t>
      </w:r>
      <w:r>
        <w:rPr>
          <w:rFonts w:ascii="SimHei" w:eastAsia="SimHei" w:hAnsi="SimHei" w:cs="SimHei"/>
          <w:spacing w:val="103"/>
          <w:sz w:val="21"/>
          <w:szCs w:val="21"/>
        </w:rPr>
        <w:t xml:space="preserve"> </w:t>
      </w:r>
      <w:r>
        <w:rPr>
          <w:rFonts w:ascii="SimHei" w:eastAsia="SimHei" w:hAnsi="SimHei" w:cs="SimHei"/>
          <w:b/>
          <w:bCs/>
          <w:spacing w:val="-5"/>
          <w:sz w:val="21"/>
          <w:szCs w:val="21"/>
        </w:rPr>
        <w:t>评估对象</w:t>
      </w:r>
    </w:p>
    <w:p>
      <w:pPr>
        <w:pStyle w:val="BodyText"/>
        <w:spacing w:before="161" w:line="223" w:lineRule="auto"/>
        <w:ind w:right="50" w:firstLine="419"/>
      </w:pPr>
      <w:r>
        <w:rPr>
          <w:spacing w:val="-3"/>
        </w:rPr>
        <w:t>园地宗地地价评估以园地宗地为单位开展，评估对象为现状园地宗地，根据园地利用类型、质量和</w:t>
      </w:r>
      <w:r>
        <w:rPr>
          <w:spacing w:val="15"/>
        </w:rPr>
        <w:t xml:space="preserve"> </w:t>
      </w:r>
      <w:r>
        <w:rPr>
          <w:spacing w:val="-3"/>
        </w:rPr>
        <w:t>影响因素评估园地宗地地价。</w:t>
      </w:r>
    </w:p>
    <w:p>
      <w:pPr>
        <w:spacing w:before="139" w:line="221" w:lineRule="auto"/>
        <w:ind w:left="3"/>
        <w:outlineLvl w:val="0"/>
        <w:rPr>
          <w:rFonts w:ascii="SimHei" w:eastAsia="SimHei" w:hAnsi="SimHei" w:cs="SimHei"/>
          <w:sz w:val="21"/>
          <w:szCs w:val="21"/>
        </w:rPr>
      </w:pPr>
      <w:r>
        <w:rPr>
          <w:rFonts w:ascii="SimHei" w:eastAsia="SimHei" w:hAnsi="SimHei" w:cs="SimHei"/>
          <w:b/>
          <w:bCs/>
          <w:spacing w:val="-5"/>
          <w:sz w:val="21"/>
          <w:szCs w:val="21"/>
        </w:rPr>
        <w:t>7.2</w:t>
      </w:r>
      <w:r>
        <w:rPr>
          <w:rFonts w:ascii="SimHei" w:eastAsia="SimHei" w:hAnsi="SimHei" w:cs="SimHei"/>
          <w:spacing w:val="92"/>
          <w:sz w:val="21"/>
          <w:szCs w:val="21"/>
        </w:rPr>
        <w:t xml:space="preserve"> </w:t>
      </w:r>
      <w:r>
        <w:rPr>
          <w:rFonts w:ascii="SimHei" w:eastAsia="SimHei" w:hAnsi="SimHei" w:cs="SimHei"/>
          <w:b/>
          <w:bCs/>
          <w:spacing w:val="-5"/>
          <w:sz w:val="21"/>
          <w:szCs w:val="21"/>
        </w:rPr>
        <w:t>技术方法</w:t>
      </w:r>
    </w:p>
    <w:p>
      <w:pPr>
        <w:pStyle w:val="BodyText"/>
        <w:spacing w:before="141" w:line="218" w:lineRule="auto"/>
        <w:ind w:left="419"/>
        <w:sectPr>
          <w:headerReference w:type="default" r:id="rId101"/>
          <w:footerReference w:type="default" r:id="rId102"/>
          <w:pgSz w:w="11910" w:h="16840"/>
          <w:pgMar w:top="400" w:right="1122" w:bottom="1295" w:left="1400" w:header="0" w:footer="1146" w:gutter="0"/>
          <w:pgNumType w:start="17"/>
          <w:cols w:space="708"/>
        </w:sectPr>
      </w:pPr>
      <w:r>
        <w:rPr>
          <w:spacing w:val="-4"/>
        </w:rPr>
        <w:t>园地宗地地价评估的主要技术方法如下：</w:t>
      </w:r>
    </w:p>
    <w:p>
      <w:pPr>
        <w:pStyle w:val="BodyText"/>
        <w:spacing w:before="1" w:line="243" w:lineRule="auto"/>
        <w:ind w:left="859" w:right="58" w:hanging="440"/>
      </w:pPr>
      <w:r>
        <w:rPr>
          <w:rFonts w:ascii="Times New Roman" w:eastAsia="Times New Roman" w:hAnsi="Times New Roman" w:cs="Times New Roman"/>
          <w:spacing w:val="-3"/>
        </w:rPr>
        <w:t xml:space="preserve">a)     </w:t>
      </w:r>
      <w:r>
        <w:rPr>
          <w:spacing w:val="-3"/>
        </w:rPr>
        <w:t>市场比较法：基于替代原则，选择符合一定条件的可比交易实例，分析比较待估园地与可比交</w:t>
      </w:r>
      <w:r>
        <w:rPr>
          <w:spacing w:val="16"/>
        </w:rPr>
        <w:t xml:space="preserve"> </w:t>
      </w:r>
      <w:r>
        <w:rPr>
          <w:spacing w:val="-3"/>
        </w:rPr>
        <w:t>易实例的价格影响因素差异；以比较实例的交易</w:t>
      </w:r>
      <w:r>
        <w:rPr>
          <w:spacing w:val="-4"/>
        </w:rPr>
        <w:t>价格为基础，通过统一价格内涵，并对相关价</w:t>
      </w:r>
      <w:r>
        <w:t xml:space="preserve"> </w:t>
      </w:r>
      <w:r>
        <w:rPr>
          <w:spacing w:val="-1"/>
        </w:rPr>
        <w:t>格影响因素形成的价格差异进行适当修正，估算待估园地的价格。</w:t>
      </w:r>
    </w:p>
    <w:p>
      <w:pPr>
        <w:pStyle w:val="BodyText"/>
        <w:spacing w:line="246" w:lineRule="auto"/>
        <w:ind w:left="859" w:hanging="440"/>
      </w:pPr>
      <w:r>
        <w:rPr>
          <w:rFonts w:ascii="Times New Roman" w:eastAsia="Times New Roman" w:hAnsi="Times New Roman" w:cs="Times New Roman"/>
          <w:spacing w:val="-1"/>
        </w:rPr>
        <w:t xml:space="preserve">b)    </w:t>
      </w:r>
      <w:r>
        <w:rPr>
          <w:spacing w:val="-1"/>
        </w:rPr>
        <w:t>收益还原法：基于预期收益原则，将待估园地未来一定时期内的客观年纯收益，以一定的还原</w:t>
      </w:r>
      <w:r>
        <w:rPr>
          <w:spacing w:val="18"/>
        </w:rPr>
        <w:t xml:space="preserve"> </w:t>
      </w:r>
      <w:r>
        <w:rPr>
          <w:spacing w:val="-2"/>
        </w:rPr>
        <w:t>率还原到估价期日，以此估算待估园地的价格。</w:t>
      </w:r>
    </w:p>
    <w:p>
      <w:pPr>
        <w:pStyle w:val="BodyText"/>
        <w:spacing w:before="13" w:line="225" w:lineRule="auto"/>
        <w:ind w:left="859" w:right="30" w:hanging="440"/>
      </w:pPr>
      <w:r>
        <w:rPr>
          <w:spacing w:val="-2"/>
        </w:rPr>
        <w:t>c)  成本逼近法：按照重置成本模拟、分析待估园地取得与开发过程中所耗费的各项客</w:t>
      </w:r>
      <w:r>
        <w:rPr>
          <w:spacing w:val="-3"/>
        </w:rPr>
        <w:t>观费用，加</w:t>
      </w:r>
      <w:r>
        <w:t xml:space="preserve"> </w:t>
      </w:r>
      <w:r>
        <w:rPr>
          <w:spacing w:val="-4"/>
        </w:rPr>
        <w:t>上客观的利润、利息、管理费用、应缴纳的税费，以及客观存在的增值收益等，并进行必要的</w:t>
      </w:r>
      <w:r>
        <w:rPr>
          <w:spacing w:val="8"/>
        </w:rPr>
        <w:t xml:space="preserve"> </w:t>
      </w:r>
      <w:r>
        <w:rPr>
          <w:spacing w:val="-3"/>
        </w:rPr>
        <w:t>修正调整，以此估算待估园地的价格。</w:t>
      </w:r>
    </w:p>
    <w:p>
      <w:pPr>
        <w:pStyle w:val="BodyText"/>
        <w:spacing w:before="30" w:line="237" w:lineRule="auto"/>
        <w:ind w:left="859" w:right="50" w:hanging="440"/>
      </w:pPr>
      <w:r>
        <w:rPr>
          <w:rFonts w:ascii="Times New Roman" w:eastAsia="Times New Roman" w:hAnsi="Times New Roman" w:cs="Times New Roman"/>
          <w:spacing w:val="-2"/>
        </w:rPr>
        <w:t xml:space="preserve">d)    </w:t>
      </w:r>
      <w:r>
        <w:rPr>
          <w:spacing w:val="-2"/>
        </w:rPr>
        <w:t>公示地价系数修正法：依据政府公示价格，在充分对比分析待估对象与参照标准在内涵、影响</w:t>
      </w:r>
      <w:r>
        <w:rPr>
          <w:spacing w:val="15"/>
        </w:rPr>
        <w:t xml:space="preserve"> </w:t>
      </w:r>
      <w:r>
        <w:rPr>
          <w:spacing w:val="-2"/>
        </w:rPr>
        <w:t>因素等方面差异的基础上，经综合修正调整，估算待估园地的价格。</w:t>
      </w:r>
    </w:p>
    <w:p>
      <w:pPr>
        <w:spacing w:line="237" w:lineRule="auto"/>
        <w:sectPr>
          <w:headerReference w:type="default" r:id="rId103"/>
          <w:footerReference w:type="default" r:id="rId104"/>
          <w:type w:val="nextPage"/>
          <w:pgSz w:w="11910" w:h="16840"/>
          <w:pgMar w:top="400" w:right="1122" w:bottom="1295" w:left="1400" w:header="0" w:footer="1146" w:gutter="0"/>
          <w:pgNumType w:start="18"/>
          <w:cols w:space="708"/>
          <w:titlePg w:val="0"/>
        </w:sect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43" w:line="188" w:lineRule="auto"/>
        <w:ind w:left="7719"/>
        <w:rPr>
          <w:rFonts w:ascii="Times New Roman" w:eastAsia="Times New Roman" w:hAnsi="Times New Roman" w:cs="Times New Roman"/>
          <w:sz w:val="15"/>
          <w:szCs w:val="15"/>
        </w:rPr>
      </w:pPr>
      <w:r>
        <w:rPr>
          <w:rFonts w:ascii="Times New Roman" w:eastAsia="Times New Roman" w:hAnsi="Times New Roman" w:cs="Times New Roman"/>
          <w:b/>
          <w:bCs/>
          <w:sz w:val="15"/>
          <w:szCs w:val="15"/>
        </w:rPr>
        <w:t>TD</w:t>
      </w:r>
      <w:r>
        <w:rPr>
          <w:rFonts w:ascii="Times New Roman" w:eastAsia="Times New Roman" w:hAnsi="Times New Roman" w:cs="Times New Roman"/>
          <w:b/>
          <w:bCs/>
          <w:spacing w:val="1"/>
          <w:sz w:val="15"/>
          <w:szCs w:val="15"/>
        </w:rPr>
        <w:t>/</w:t>
      </w:r>
      <w:r>
        <w:rPr>
          <w:rFonts w:ascii="Times New Roman" w:eastAsia="Times New Roman" w:hAnsi="Times New Roman" w:cs="Times New Roman"/>
          <w:b/>
          <w:bCs/>
          <w:sz w:val="15"/>
          <w:szCs w:val="15"/>
        </w:rPr>
        <w:t>T</w:t>
      </w:r>
      <w:r>
        <w:rPr>
          <w:rFonts w:ascii="Times New Roman" w:eastAsia="Times New Roman" w:hAnsi="Times New Roman" w:cs="Times New Roman"/>
          <w:b/>
          <w:bCs/>
          <w:spacing w:val="1"/>
          <w:sz w:val="15"/>
          <w:szCs w:val="15"/>
        </w:rPr>
        <w:t xml:space="preserve">    </w:t>
      </w:r>
      <w:r>
        <w:rPr>
          <w:rFonts w:ascii="Times New Roman" w:eastAsia="Times New Roman" w:hAnsi="Times New Roman" w:cs="Times New Roman"/>
          <w:b/>
          <w:bCs/>
          <w:sz w:val="15"/>
          <w:szCs w:val="15"/>
        </w:rPr>
        <w:t>XXXXX</w:t>
      </w:r>
      <w:r>
        <w:rPr>
          <w:rFonts w:ascii="Times New Roman" w:eastAsia="Times New Roman" w:hAnsi="Times New Roman" w:cs="Times New Roman"/>
          <w:b/>
          <w:bCs/>
          <w:spacing w:val="1"/>
          <w:sz w:val="15"/>
          <w:szCs w:val="15"/>
        </w:rPr>
        <w:t>—</w:t>
      </w:r>
      <w:r>
        <w:rPr>
          <w:rFonts w:ascii="Times New Roman" w:eastAsia="Times New Roman" w:hAnsi="Times New Roman" w:cs="Times New Roman"/>
          <w:b/>
          <w:bCs/>
          <w:sz w:val="15"/>
          <w:szCs w:val="15"/>
        </w:rPr>
        <w:t>XXXX</w:t>
      </w:r>
    </w:p>
    <w:p>
      <w:pPr>
        <w:spacing w:before="294" w:line="222" w:lineRule="auto"/>
        <w:ind w:left="3"/>
        <w:outlineLvl w:val="0"/>
        <w:rPr>
          <w:rFonts w:ascii="SimHei" w:eastAsia="SimHei" w:hAnsi="SimHei" w:cs="SimHei"/>
          <w:sz w:val="21"/>
          <w:szCs w:val="21"/>
        </w:rPr>
      </w:pPr>
      <w:r>
        <w:rPr>
          <w:rFonts w:ascii="SimHei" w:eastAsia="SimHei" w:hAnsi="SimHei" w:cs="SimHei"/>
          <w:b/>
          <w:bCs/>
          <w:spacing w:val="-3"/>
          <w:sz w:val="21"/>
          <w:szCs w:val="21"/>
        </w:rPr>
        <w:t>7.3</w:t>
      </w:r>
      <w:r>
        <w:rPr>
          <w:rFonts w:ascii="SimHei" w:eastAsia="SimHei" w:hAnsi="SimHei" w:cs="SimHei"/>
          <w:spacing w:val="20"/>
          <w:sz w:val="21"/>
          <w:szCs w:val="21"/>
        </w:rPr>
        <w:t xml:space="preserve">  </w:t>
      </w:r>
      <w:r>
        <w:rPr>
          <w:rFonts w:ascii="SimHei" w:eastAsia="SimHei" w:hAnsi="SimHei" w:cs="SimHei"/>
          <w:b/>
          <w:bCs/>
          <w:spacing w:val="-3"/>
          <w:sz w:val="21"/>
          <w:szCs w:val="21"/>
        </w:rPr>
        <w:t>园地宗地地价评估程序</w:t>
      </w:r>
    </w:p>
    <w:p>
      <w:pPr>
        <w:pStyle w:val="BodyText"/>
        <w:spacing w:before="140" w:line="290" w:lineRule="exact"/>
        <w:ind w:left="409"/>
      </w:pPr>
      <w:r>
        <w:rPr>
          <w:spacing w:val="-2"/>
          <w:position w:val="5"/>
        </w:rPr>
        <w:t>园地宗地地价评估的具体程序为：</w:t>
      </w:r>
    </w:p>
    <w:p>
      <w:pPr>
        <w:pStyle w:val="BodyText"/>
        <w:spacing w:before="1" w:line="217" w:lineRule="auto"/>
        <w:ind w:left="409"/>
      </w:pPr>
      <w:r>
        <w:rPr>
          <w:spacing w:val="-3"/>
        </w:rPr>
        <w:t>a)</w:t>
      </w:r>
      <w:r>
        <w:rPr>
          <w:spacing w:val="11"/>
        </w:rPr>
        <w:t xml:space="preserve">  </w:t>
      </w:r>
      <w:r>
        <w:rPr>
          <w:spacing w:val="-3"/>
        </w:rPr>
        <w:t>接受估价委托；</w:t>
      </w:r>
    </w:p>
    <w:p>
      <w:pPr>
        <w:pStyle w:val="BodyText"/>
        <w:spacing w:before="10" w:line="292" w:lineRule="exact"/>
        <w:ind w:left="409"/>
      </w:pPr>
      <w:r>
        <w:rPr>
          <w:rFonts w:ascii="Times New Roman" w:eastAsia="Times New Roman" w:hAnsi="Times New Roman" w:cs="Times New Roman"/>
          <w:spacing w:val="-2"/>
          <w:position w:val="6"/>
        </w:rPr>
        <w:t xml:space="preserve">b)     </w:t>
      </w:r>
      <w:r>
        <w:rPr>
          <w:spacing w:val="-2"/>
          <w:position w:val="6"/>
        </w:rPr>
        <w:t>明确估价基本事项；</w:t>
      </w:r>
    </w:p>
    <w:p>
      <w:pPr>
        <w:pStyle w:val="BodyText"/>
        <w:spacing w:before="1" w:line="217" w:lineRule="auto"/>
        <w:ind w:left="409"/>
      </w:pPr>
      <w:r>
        <w:rPr>
          <w:spacing w:val="-4"/>
        </w:rPr>
        <w:t>c)</w:t>
      </w:r>
      <w:r>
        <w:rPr>
          <w:spacing w:val="16"/>
        </w:rPr>
        <w:t xml:space="preserve">  </w:t>
      </w:r>
      <w:r>
        <w:rPr>
          <w:spacing w:val="-4"/>
        </w:rPr>
        <w:t>拟定估价作业计划；</w:t>
      </w:r>
    </w:p>
    <w:p>
      <w:pPr>
        <w:pStyle w:val="BodyText"/>
        <w:spacing w:before="22" w:line="218" w:lineRule="auto"/>
        <w:ind w:left="409"/>
      </w:pPr>
      <w:r>
        <w:rPr>
          <w:spacing w:val="-1"/>
        </w:rPr>
        <w:t>d)  收集估价资料；</w:t>
      </w:r>
    </w:p>
    <w:p>
      <w:pPr>
        <w:pStyle w:val="BodyText"/>
        <w:spacing w:before="32" w:line="218" w:lineRule="auto"/>
        <w:ind w:left="409"/>
      </w:pPr>
      <w:r>
        <w:rPr>
          <w:spacing w:val="-1"/>
        </w:rPr>
        <w:t>e)</w:t>
      </w:r>
      <w:r>
        <w:rPr>
          <w:spacing w:val="21"/>
        </w:rPr>
        <w:t xml:space="preserve">  </w:t>
      </w:r>
      <w:r>
        <w:rPr>
          <w:spacing w:val="-1"/>
        </w:rPr>
        <w:t>实地查勘待估园地并整理估价资料；</w:t>
      </w:r>
    </w:p>
    <w:p>
      <w:pPr>
        <w:pStyle w:val="BodyText"/>
        <w:spacing w:line="212" w:lineRule="auto"/>
        <w:ind w:left="409"/>
      </w:pPr>
      <w:r>
        <w:rPr>
          <w:rFonts w:ascii="Times New Roman" w:eastAsia="Times New Roman" w:hAnsi="Times New Roman" w:cs="Times New Roman"/>
          <w:spacing w:val="-2"/>
        </w:rPr>
        <w:t>f)</w:t>
      </w:r>
      <w:r>
        <w:rPr>
          <w:rFonts w:ascii="Times New Roman" w:eastAsia="Times New Roman" w:hAnsi="Times New Roman" w:cs="Times New Roman"/>
          <w:spacing w:val="9"/>
        </w:rPr>
        <w:t xml:space="preserve">     </w:t>
      </w:r>
      <w:r>
        <w:rPr>
          <w:spacing w:val="-2"/>
        </w:rPr>
        <w:t>选定估价方法，试算宗地地价；</w:t>
      </w:r>
    </w:p>
    <w:p>
      <w:pPr>
        <w:pStyle w:val="BodyText"/>
        <w:spacing w:before="38" w:line="212" w:lineRule="auto"/>
        <w:ind w:left="409"/>
      </w:pPr>
      <w:r>
        <w:rPr>
          <w:rFonts w:ascii="Times New Roman" w:eastAsia="Times New Roman" w:hAnsi="Times New Roman" w:cs="Times New Roman"/>
          <w:spacing w:val="1"/>
        </w:rPr>
        <w:t xml:space="preserve">g)     </w:t>
      </w:r>
      <w:r>
        <w:rPr>
          <w:spacing w:val="1"/>
        </w:rPr>
        <w:t>分析调整试算宗地地价，确定估价结果；</w:t>
      </w:r>
    </w:p>
    <w:p>
      <w:pPr>
        <w:pStyle w:val="BodyText"/>
        <w:spacing w:before="51" w:line="227" w:lineRule="auto"/>
        <w:ind w:left="409"/>
      </w:pPr>
      <w:r>
        <w:rPr>
          <w:spacing w:val="2"/>
        </w:rPr>
        <w:t>h)  编制宗地估价成果，进行估价成果</w:t>
      </w:r>
      <w:r>
        <w:rPr>
          <w:spacing w:val="1"/>
        </w:rPr>
        <w:t>的内部审核；</w:t>
      </w:r>
    </w:p>
    <w:p>
      <w:pPr>
        <w:pStyle w:val="BodyText"/>
        <w:spacing w:line="212" w:lineRule="auto"/>
        <w:ind w:left="409"/>
      </w:pPr>
      <w:r>
        <w:rPr>
          <w:rFonts w:ascii="Times New Roman" w:eastAsia="Times New Roman" w:hAnsi="Times New Roman" w:cs="Times New Roman"/>
          <w:spacing w:val="-1"/>
        </w:rPr>
        <w:t>i)</w:t>
      </w:r>
      <w:r>
        <w:rPr>
          <w:rFonts w:ascii="Times New Roman" w:eastAsia="Times New Roman" w:hAnsi="Times New Roman" w:cs="Times New Roman"/>
          <w:spacing w:val="10"/>
        </w:rPr>
        <w:t xml:space="preserve">     </w:t>
      </w:r>
      <w:r>
        <w:rPr>
          <w:spacing w:val="-1"/>
        </w:rPr>
        <w:t>估价报告备案、提交及估价资料分类归档。</w:t>
      </w:r>
    </w:p>
    <w:p>
      <w:pPr>
        <w:spacing w:before="177" w:line="221" w:lineRule="auto"/>
        <w:ind w:left="3"/>
        <w:outlineLvl w:val="0"/>
        <w:rPr>
          <w:rFonts w:ascii="SimHei" w:eastAsia="SimHei" w:hAnsi="SimHei" w:cs="SimHei"/>
          <w:sz w:val="21"/>
          <w:szCs w:val="21"/>
        </w:rPr>
      </w:pPr>
      <w:r>
        <w:rPr>
          <w:rFonts w:ascii="SimHei" w:eastAsia="SimHei" w:hAnsi="SimHei" w:cs="SimHei"/>
          <w:b/>
          <w:bCs/>
          <w:spacing w:val="-1"/>
          <w:sz w:val="21"/>
          <w:szCs w:val="21"/>
        </w:rPr>
        <w:t>7.4</w:t>
      </w:r>
      <w:r>
        <w:rPr>
          <w:rFonts w:ascii="SimHei" w:eastAsia="SimHei" w:hAnsi="SimHei" w:cs="SimHei"/>
          <w:spacing w:val="-1"/>
          <w:sz w:val="21"/>
          <w:szCs w:val="21"/>
        </w:rPr>
        <w:t xml:space="preserve">  </w:t>
      </w:r>
      <w:r>
        <w:rPr>
          <w:rFonts w:ascii="SimHei" w:eastAsia="SimHei" w:hAnsi="SimHei" w:cs="SimHei"/>
          <w:b/>
          <w:bCs/>
          <w:spacing w:val="-1"/>
          <w:sz w:val="21"/>
          <w:szCs w:val="21"/>
        </w:rPr>
        <w:t>明确估价基本事项</w:t>
      </w:r>
    </w:p>
    <w:p>
      <w:pPr>
        <w:pStyle w:val="BodyText"/>
        <w:spacing w:before="121" w:line="218" w:lineRule="auto"/>
        <w:ind w:left="409"/>
      </w:pPr>
      <w:r>
        <w:rPr>
          <w:spacing w:val="-2"/>
        </w:rPr>
        <w:t>园地宗地地价评估的基本事项如下：</w:t>
      </w:r>
    </w:p>
    <w:p>
      <w:pPr>
        <w:pStyle w:val="BodyText"/>
        <w:spacing w:before="21" w:line="237" w:lineRule="auto"/>
        <w:ind w:right="86" w:firstLine="409"/>
      </w:pPr>
      <w:r>
        <w:rPr>
          <w:rFonts w:ascii="Times New Roman" w:eastAsia="Times New Roman" w:hAnsi="Times New Roman" w:cs="Times New Roman"/>
          <w:spacing w:val="-1"/>
        </w:rPr>
        <w:t xml:space="preserve">a)     </w:t>
      </w:r>
      <w:r>
        <w:rPr>
          <w:spacing w:val="-1"/>
        </w:rPr>
        <w:t>确定估价对象：确定待估园地类型、范围、权利状况和宗地条件等，明</w:t>
      </w:r>
      <w:r>
        <w:rPr>
          <w:spacing w:val="-2"/>
        </w:rPr>
        <w:t>确待估园地是否包括园</w:t>
      </w:r>
      <w:r>
        <w:t xml:space="preserve"> </w:t>
      </w:r>
      <w:r>
        <w:rPr>
          <w:spacing w:val="2"/>
        </w:rPr>
        <w:t>地作物，并说明园地作物生长期、采收状况等；</w:t>
      </w:r>
    </w:p>
    <w:p>
      <w:pPr>
        <w:pStyle w:val="BodyText"/>
        <w:spacing w:line="212" w:lineRule="auto"/>
        <w:ind w:left="409"/>
      </w:pPr>
      <w:r>
        <w:rPr>
          <w:rFonts w:ascii="Times New Roman" w:eastAsia="Times New Roman" w:hAnsi="Times New Roman" w:cs="Times New Roman"/>
        </w:rPr>
        <w:t xml:space="preserve">b)     </w:t>
      </w:r>
      <w:r>
        <w:t>确定估价目的：根据委托评估的基</w:t>
      </w:r>
      <w:r>
        <w:rPr>
          <w:spacing w:val="-1"/>
        </w:rPr>
        <w:t>本要求，按照待估园地的具体情况，确定估价目的；</w:t>
      </w:r>
    </w:p>
    <w:p>
      <w:pPr>
        <w:pStyle w:val="BodyText"/>
        <w:spacing w:before="83" w:line="231" w:lineRule="auto"/>
        <w:ind w:right="95" w:firstLine="409"/>
      </w:pPr>
      <w:r>
        <w:rPr>
          <w:spacing w:val="-1"/>
        </w:rPr>
        <w:t>c)  确定地价内涵：根据估价目的，按照待估园地实物构成</w:t>
      </w:r>
      <w:r>
        <w:rPr>
          <w:spacing w:val="-2"/>
        </w:rPr>
        <w:t>及权利状况，分析市场状况，确定评估</w:t>
      </w:r>
      <w:r>
        <w:t xml:space="preserve"> </w:t>
      </w:r>
      <w:r>
        <w:rPr>
          <w:spacing w:val="-2"/>
        </w:rPr>
        <w:t>价格内涵，内容包括市场特征、权利状况、利用状况、设施条件、园地作物状况及估价期日等；其中权</w:t>
      </w:r>
      <w:r>
        <w:rPr>
          <w:spacing w:val="17"/>
        </w:rPr>
        <w:t xml:space="preserve"> </w:t>
      </w:r>
      <w:r>
        <w:rPr>
          <w:spacing w:val="1"/>
        </w:rPr>
        <w:t>利状况应明确国有园地和集体园地的不同权利类型；</w:t>
      </w:r>
    </w:p>
    <w:p>
      <w:pPr>
        <w:pStyle w:val="BodyText"/>
        <w:spacing w:line="235" w:lineRule="auto"/>
        <w:ind w:left="409"/>
      </w:pPr>
      <w:r>
        <w:rPr>
          <w:spacing w:val="1"/>
        </w:rPr>
        <w:t>d)  确定估价作业日期：根据开展估价作业工作时</w:t>
      </w:r>
      <w:r>
        <w:t>间据实确定；</w:t>
      </w:r>
    </w:p>
    <w:p>
      <w:pPr>
        <w:pStyle w:val="BodyText"/>
        <w:spacing w:line="212" w:lineRule="auto"/>
        <w:ind w:left="409"/>
      </w:pPr>
      <w:r>
        <w:rPr>
          <w:rFonts w:ascii="Times New Roman" w:eastAsia="Times New Roman" w:hAnsi="Times New Roman" w:cs="Times New Roman"/>
          <w:spacing w:val="-1"/>
        </w:rPr>
        <w:t xml:space="preserve">e)     </w:t>
      </w:r>
      <w:r>
        <w:rPr>
          <w:spacing w:val="-1"/>
        </w:rPr>
        <w:t>其他有关事项。</w:t>
      </w:r>
    </w:p>
    <w:p>
      <w:pPr>
        <w:spacing w:before="169" w:line="222" w:lineRule="auto"/>
        <w:ind w:left="3"/>
        <w:outlineLvl w:val="0"/>
        <w:rPr>
          <w:rFonts w:ascii="SimHei" w:eastAsia="SimHei" w:hAnsi="SimHei" w:cs="SimHei"/>
          <w:sz w:val="21"/>
          <w:szCs w:val="21"/>
        </w:rPr>
      </w:pPr>
      <w:r>
        <w:rPr>
          <w:rFonts w:ascii="SimHei" w:eastAsia="SimHei" w:hAnsi="SimHei" w:cs="SimHei"/>
          <w:b/>
          <w:bCs/>
          <w:sz w:val="21"/>
          <w:szCs w:val="21"/>
        </w:rPr>
        <w:t>7.5</w:t>
      </w:r>
      <w:r>
        <w:rPr>
          <w:rFonts w:ascii="SimHei" w:eastAsia="SimHei" w:hAnsi="SimHei" w:cs="SimHei"/>
          <w:sz w:val="21"/>
          <w:szCs w:val="21"/>
        </w:rPr>
        <w:t xml:space="preserve">  </w:t>
      </w:r>
      <w:r>
        <w:rPr>
          <w:rFonts w:ascii="SimHei" w:eastAsia="SimHei" w:hAnsi="SimHei" w:cs="SimHei"/>
          <w:b/>
          <w:bCs/>
          <w:sz w:val="21"/>
          <w:szCs w:val="21"/>
        </w:rPr>
        <w:t>拟定估价作业计划</w:t>
      </w:r>
    </w:p>
    <w:p>
      <w:pPr>
        <w:pStyle w:val="BodyText"/>
        <w:spacing w:before="140" w:line="218" w:lineRule="auto"/>
        <w:ind w:left="409"/>
      </w:pPr>
      <w:r>
        <w:rPr>
          <w:spacing w:val="-2"/>
        </w:rPr>
        <w:t>估价作业计划主要包括下列内容：</w:t>
      </w:r>
    </w:p>
    <w:p>
      <w:pPr>
        <w:pStyle w:val="BodyText"/>
        <w:spacing w:line="212" w:lineRule="auto"/>
        <w:ind w:left="409"/>
      </w:pPr>
      <w:r>
        <w:rPr>
          <w:rFonts w:ascii="Times New Roman" w:eastAsia="Times New Roman" w:hAnsi="Times New Roman" w:cs="Times New Roman"/>
          <w:spacing w:val="-3"/>
        </w:rPr>
        <w:t>a)</w:t>
      </w:r>
      <w:r>
        <w:rPr>
          <w:rFonts w:ascii="Times New Roman" w:eastAsia="Times New Roman" w:hAnsi="Times New Roman" w:cs="Times New Roman"/>
          <w:spacing w:val="7"/>
        </w:rPr>
        <w:t xml:space="preserve">     </w:t>
      </w:r>
      <w:r>
        <w:rPr>
          <w:spacing w:val="-3"/>
        </w:rPr>
        <w:t>确定估价目的和工作量；</w:t>
      </w:r>
    </w:p>
    <w:p>
      <w:pPr>
        <w:pStyle w:val="BodyText"/>
        <w:spacing w:before="39" w:line="292" w:lineRule="exact"/>
        <w:ind w:left="409"/>
      </w:pPr>
      <w:r>
        <w:rPr>
          <w:rFonts w:ascii="Times New Roman" w:eastAsia="Times New Roman" w:hAnsi="Times New Roman" w:cs="Times New Roman"/>
          <w:spacing w:val="-1"/>
          <w:position w:val="6"/>
        </w:rPr>
        <w:t xml:space="preserve">b)     </w:t>
      </w:r>
      <w:r>
        <w:rPr>
          <w:spacing w:val="-1"/>
          <w:position w:val="6"/>
        </w:rPr>
        <w:t>拟调查收集的资料及其来源渠道；</w:t>
      </w:r>
    </w:p>
    <w:p>
      <w:pPr>
        <w:pStyle w:val="BodyText"/>
        <w:spacing w:before="1" w:line="217" w:lineRule="auto"/>
        <w:ind w:left="409"/>
      </w:pPr>
      <w:r>
        <w:rPr>
          <w:spacing w:val="-2"/>
        </w:rPr>
        <w:t>c)</w:t>
      </w:r>
      <w:r>
        <w:rPr>
          <w:spacing w:val="23"/>
        </w:rPr>
        <w:t xml:space="preserve">  </w:t>
      </w:r>
      <w:r>
        <w:rPr>
          <w:spacing w:val="-2"/>
        </w:rPr>
        <w:t>拟采用的估价技术路线和方法；</w:t>
      </w:r>
    </w:p>
    <w:p>
      <w:pPr>
        <w:pStyle w:val="BodyText"/>
        <w:spacing w:line="212" w:lineRule="auto"/>
        <w:ind w:left="409"/>
      </w:pPr>
      <w:r>
        <w:rPr>
          <w:rFonts w:ascii="Times New Roman" w:eastAsia="Times New Roman" w:hAnsi="Times New Roman" w:cs="Times New Roman"/>
          <w:spacing w:val="-1"/>
        </w:rPr>
        <w:t>d)</w:t>
      </w:r>
      <w:r>
        <w:rPr>
          <w:rFonts w:ascii="Times New Roman" w:eastAsia="Times New Roman" w:hAnsi="Times New Roman" w:cs="Times New Roman"/>
          <w:spacing w:val="11"/>
        </w:rPr>
        <w:t xml:space="preserve">    </w:t>
      </w:r>
      <w:r>
        <w:rPr>
          <w:spacing w:val="-1"/>
        </w:rPr>
        <w:t>预计所需的时间、人员及经费；</w:t>
      </w:r>
    </w:p>
    <w:p>
      <w:pPr>
        <w:pStyle w:val="BodyText"/>
        <w:spacing w:before="29" w:line="212" w:lineRule="auto"/>
        <w:ind w:left="409"/>
      </w:pPr>
      <w:r>
        <w:rPr>
          <w:rFonts w:ascii="Times New Roman" w:eastAsia="Times New Roman" w:hAnsi="Times New Roman" w:cs="Times New Roman"/>
        </w:rPr>
        <w:t xml:space="preserve">e)     </w:t>
      </w:r>
      <w:r>
        <w:t>拟订作业的步骤、作业进度和成果组</w:t>
      </w:r>
      <w:r>
        <w:rPr>
          <w:spacing w:val="-1"/>
        </w:rPr>
        <w:t>成。</w:t>
      </w:r>
    </w:p>
    <w:p>
      <w:pPr>
        <w:spacing w:before="178" w:line="222" w:lineRule="auto"/>
        <w:ind w:left="3"/>
        <w:outlineLvl w:val="0"/>
        <w:rPr>
          <w:rFonts w:ascii="SimHei" w:eastAsia="SimHei" w:hAnsi="SimHei" w:cs="SimHei"/>
          <w:sz w:val="21"/>
          <w:szCs w:val="21"/>
        </w:rPr>
      </w:pPr>
      <w:r>
        <w:rPr>
          <w:rFonts w:ascii="SimHei" w:eastAsia="SimHei" w:hAnsi="SimHei" w:cs="SimHei"/>
          <w:b/>
          <w:bCs/>
          <w:sz w:val="21"/>
          <w:szCs w:val="21"/>
        </w:rPr>
        <w:t>7.6</w:t>
      </w:r>
      <w:r>
        <w:rPr>
          <w:rFonts w:ascii="SimHei" w:eastAsia="SimHei" w:hAnsi="SimHei" w:cs="SimHei"/>
          <w:sz w:val="21"/>
          <w:szCs w:val="21"/>
        </w:rPr>
        <w:t xml:space="preserve">  </w:t>
      </w:r>
      <w:r>
        <w:rPr>
          <w:rFonts w:ascii="SimHei" w:eastAsia="SimHei" w:hAnsi="SimHei" w:cs="SimHei"/>
          <w:b/>
          <w:bCs/>
          <w:sz w:val="21"/>
          <w:szCs w:val="21"/>
        </w:rPr>
        <w:t>收集估价资料</w:t>
      </w:r>
    </w:p>
    <w:p>
      <w:pPr>
        <w:pStyle w:val="BodyText"/>
        <w:spacing w:before="140" w:line="200" w:lineRule="auto"/>
        <w:ind w:left="409"/>
      </w:pPr>
      <w:r>
        <w:t>园地估价需要收集以下资料，相关调查工作</w:t>
      </w:r>
      <w:r>
        <w:rPr>
          <w:spacing w:val="-1"/>
        </w:rPr>
        <w:t>表见附录B。</w:t>
      </w:r>
    </w:p>
    <w:p>
      <w:pPr>
        <w:pStyle w:val="BodyText"/>
        <w:spacing w:before="1" w:line="212" w:lineRule="auto"/>
        <w:ind w:left="409"/>
        <w:sectPr>
          <w:headerReference w:type="default" r:id="rId105"/>
          <w:footerReference w:type="default" r:id="rId106"/>
          <w:pgSz w:w="11910" w:h="16840"/>
          <w:pgMar w:top="400" w:right="1055" w:bottom="1248" w:left="1380" w:header="0" w:footer="1038" w:gutter="0"/>
          <w:pgNumType w:start="19"/>
          <w:cols w:space="708"/>
        </w:sectPr>
      </w:pPr>
      <w:r>
        <w:rPr>
          <w:rFonts w:ascii="Times New Roman" w:eastAsia="Times New Roman" w:hAnsi="Times New Roman" w:cs="Times New Roman"/>
        </w:rPr>
        <w:t xml:space="preserve">a)     </w:t>
      </w:r>
      <w:r>
        <w:t>价格影响因素资料：影响待估园地</w:t>
      </w:r>
      <w:r>
        <w:rPr>
          <w:spacing w:val="-1"/>
        </w:rPr>
        <w:t>价格的自然因素、社会经济因素、特定因素资料；</w:t>
      </w:r>
    </w:p>
    <w:p>
      <w:pPr>
        <w:pStyle w:val="BodyText"/>
        <w:spacing w:before="71" w:line="233" w:lineRule="auto"/>
        <w:ind w:right="95" w:firstLine="409"/>
      </w:pPr>
      <w:r>
        <w:rPr>
          <w:spacing w:val="-1"/>
        </w:rPr>
        <w:t>b)  园地利用状况资料：待估园地位置、用途、四至、园地</w:t>
      </w:r>
      <w:r>
        <w:rPr>
          <w:spacing w:val="-2"/>
        </w:rPr>
        <w:t>规模、园地形状、园地作物状况、地籍</w:t>
      </w:r>
      <w:r>
        <w:t xml:space="preserve"> </w:t>
      </w:r>
      <w:r>
        <w:rPr>
          <w:spacing w:val="7"/>
        </w:rPr>
        <w:t>登记信息等；</w:t>
      </w:r>
    </w:p>
    <w:p>
      <w:pPr>
        <w:pStyle w:val="BodyText"/>
        <w:spacing w:before="29" w:line="218" w:lineRule="auto"/>
        <w:ind w:left="409"/>
      </w:pPr>
      <w:r>
        <w:rPr>
          <w:spacing w:val="-1"/>
        </w:rPr>
        <w:t>c)  园地质量状况：收集待估园地的等别和级别资料；</w:t>
      </w:r>
    </w:p>
    <w:p>
      <w:pPr>
        <w:pStyle w:val="BodyText"/>
        <w:spacing w:before="23" w:line="233" w:lineRule="auto"/>
        <w:ind w:firstLine="409"/>
      </w:pPr>
      <w:r>
        <w:rPr>
          <w:spacing w:val="1"/>
        </w:rPr>
        <w:t>d)  园地权利状况资料：调查与收集待估园地有关权利状况资料，包括</w:t>
      </w:r>
      <w:r>
        <w:t xml:space="preserve">土地所有权、土地使用权、 </w:t>
      </w:r>
      <w:r>
        <w:rPr>
          <w:spacing w:val="-1"/>
        </w:rPr>
        <w:t>他项权利资料等，区分国有园地和集体园地；</w:t>
      </w:r>
    </w:p>
    <w:p>
      <w:pPr>
        <w:pStyle w:val="BodyText"/>
        <w:spacing w:before="17" w:line="232" w:lineRule="auto"/>
        <w:ind w:right="20" w:firstLine="409"/>
      </w:pPr>
      <w:r>
        <w:rPr>
          <w:rFonts w:ascii="Times New Roman" w:eastAsia="Times New Roman" w:hAnsi="Times New Roman" w:cs="Times New Roman"/>
        </w:rPr>
        <w:t xml:space="preserve">e)     </w:t>
      </w:r>
      <w:r>
        <w:t>交易实例资料：调查与收集待估园地所处区域的交易实例资料，包括交易实例的位置、面积、</w:t>
      </w:r>
      <w:r>
        <w:rPr>
          <w:spacing w:val="8"/>
        </w:rPr>
        <w:t xml:space="preserve"> </w:t>
      </w:r>
      <w:r>
        <w:rPr>
          <w:spacing w:val="-1"/>
        </w:rPr>
        <w:t>用途、交易方式、成交时间、双方当事人、地块条件、使用年限、交易条件、</w:t>
      </w:r>
      <w:r>
        <w:rPr>
          <w:spacing w:val="-2"/>
        </w:rPr>
        <w:t>交易价格、交易地块利用</w:t>
      </w:r>
      <w:r>
        <w:t xml:space="preserve"> </w:t>
      </w:r>
      <w:r>
        <w:rPr>
          <w:spacing w:val="1"/>
        </w:rPr>
        <w:t>状况、园地作物情况等；如本区域收集不到相关样点</w:t>
      </w:r>
      <w:r>
        <w:t>，可扩大收集交易实例的范围；</w:t>
      </w:r>
    </w:p>
    <w:p>
      <w:pPr>
        <w:pStyle w:val="BodyText"/>
        <w:spacing w:before="2" w:line="242" w:lineRule="auto"/>
        <w:ind w:right="159" w:firstLine="409"/>
      </w:pPr>
      <w:r>
        <w:rPr>
          <w:rFonts w:ascii="Times New Roman" w:eastAsia="Times New Roman" w:hAnsi="Times New Roman" w:cs="Times New Roman"/>
          <w:spacing w:val="2"/>
        </w:rPr>
        <w:t xml:space="preserve">f)     </w:t>
      </w:r>
      <w:r>
        <w:rPr>
          <w:spacing w:val="2"/>
        </w:rPr>
        <w:t>收益及成本费用资料：待估园地的作物产量及产值或年租金收入资料，园地生产与管理费用</w:t>
      </w:r>
      <w:r>
        <w:rPr>
          <w:spacing w:val="7"/>
        </w:rPr>
        <w:t xml:space="preserve"> </w:t>
      </w:r>
      <w:r>
        <w:rPr>
          <w:spacing w:val="1"/>
        </w:rPr>
        <w:t>(如苗木费、农药费、化肥费、工具费、基础设施费、人工费、销</w:t>
      </w:r>
      <w:r>
        <w:t xml:space="preserve">售管理费)等方面的资料，并应关注 </w:t>
      </w:r>
      <w:r>
        <w:rPr>
          <w:spacing w:val="1"/>
        </w:rPr>
        <w:t>待估园地是否有因特殊的区位、土壤及气候条件产生</w:t>
      </w:r>
      <w:r>
        <w:t>的垄断收益及垄断价格；</w:t>
      </w:r>
    </w:p>
    <w:p>
      <w:pPr>
        <w:pStyle w:val="BodyText"/>
        <w:spacing w:before="17" w:line="214" w:lineRule="auto"/>
        <w:ind w:left="409"/>
      </w:pPr>
      <w:r>
        <w:rPr>
          <w:spacing w:val="-3"/>
        </w:rPr>
        <w:t>g)</w:t>
      </w:r>
      <w:r>
        <w:rPr>
          <w:spacing w:val="27"/>
        </w:rPr>
        <w:t xml:space="preserve">  </w:t>
      </w:r>
      <w:r>
        <w:rPr>
          <w:spacing w:val="-3"/>
        </w:rPr>
        <w:t>园地价格资料：收集园地基准地价等相关资料；</w:t>
      </w:r>
    </w:p>
    <w:p>
      <w:pPr>
        <w:pStyle w:val="BodyText"/>
        <w:spacing w:before="10" w:line="212" w:lineRule="auto"/>
        <w:ind w:left="409"/>
      </w:pPr>
      <w:r>
        <w:rPr>
          <w:rFonts w:ascii="Times New Roman" w:eastAsia="Times New Roman" w:hAnsi="Times New Roman" w:cs="Times New Roman"/>
          <w:spacing w:val="-1"/>
        </w:rPr>
        <w:t xml:space="preserve">h)     </w:t>
      </w:r>
      <w:r>
        <w:rPr>
          <w:spacing w:val="-1"/>
        </w:rPr>
        <w:t>参数数据资料：收集借贷利息率、税率、利润率、还原率等参数资料；</w:t>
      </w:r>
    </w:p>
    <w:p>
      <w:pPr>
        <w:pStyle w:val="BodyText"/>
        <w:spacing w:before="62" w:line="233" w:lineRule="auto"/>
        <w:ind w:firstLine="409"/>
      </w:pPr>
      <w:r>
        <w:rPr>
          <w:spacing w:val="-4"/>
        </w:rPr>
        <w:t>i)  其他资料：待估园地所在地区的有关经济指数及园地价格变动指数；园地经营利用的政策法规、</w:t>
      </w:r>
      <w:r>
        <w:rPr>
          <w:spacing w:val="8"/>
        </w:rPr>
        <w:t xml:space="preserve"> </w:t>
      </w:r>
      <w:r>
        <w:rPr>
          <w:spacing w:val="1"/>
        </w:rPr>
        <w:t>条例、规定；有关国土空间规划等资料。</w:t>
      </w:r>
    </w:p>
    <w:p>
      <w:pPr>
        <w:spacing w:line="233" w:lineRule="auto"/>
        <w:sectPr>
          <w:headerReference w:type="default" r:id="rId107"/>
          <w:footerReference w:type="default" r:id="rId108"/>
          <w:type w:val="nextPage"/>
          <w:pgSz w:w="11910" w:h="16840"/>
          <w:pgMar w:top="400" w:right="1055" w:bottom="1248" w:left="1380" w:header="0" w:footer="1038" w:gutter="0"/>
          <w:pgNumType w:start="20"/>
          <w:cols w:space="708"/>
          <w:titlePg w:val="0"/>
        </w:sect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40" w:line="188" w:lineRule="auto"/>
        <w:ind w:left="7689"/>
        <w:rPr>
          <w:rFonts w:ascii="Times New Roman" w:eastAsia="Times New Roman" w:hAnsi="Times New Roman" w:cs="Times New Roman"/>
          <w:sz w:val="14"/>
          <w:szCs w:val="14"/>
        </w:rPr>
      </w:pPr>
      <w:r>
        <w:rPr>
          <w:rFonts w:ascii="Times New Roman" w:eastAsia="Times New Roman" w:hAnsi="Times New Roman" w:cs="Times New Roman"/>
          <w:b/>
          <w:bCs/>
          <w:spacing w:val="-1"/>
          <w:sz w:val="14"/>
          <w:szCs w:val="14"/>
        </w:rPr>
        <w:t>TD/T        XXXXX—XXXX</w:t>
      </w:r>
    </w:p>
    <w:p>
      <w:pPr>
        <w:spacing w:before="306" w:line="222" w:lineRule="auto"/>
        <w:ind w:left="3"/>
        <w:outlineLvl w:val="0"/>
        <w:rPr>
          <w:rFonts w:ascii="SimHei" w:eastAsia="SimHei" w:hAnsi="SimHei" w:cs="SimHei"/>
          <w:sz w:val="21"/>
          <w:szCs w:val="21"/>
        </w:rPr>
      </w:pPr>
      <w:r>
        <w:rPr>
          <w:rFonts w:ascii="SimHei" w:eastAsia="SimHei" w:hAnsi="SimHei" w:cs="SimHei"/>
          <w:b/>
          <w:bCs/>
          <w:spacing w:val="-4"/>
          <w:sz w:val="21"/>
          <w:szCs w:val="21"/>
        </w:rPr>
        <w:t>7.7</w:t>
      </w:r>
      <w:r>
        <w:rPr>
          <w:rFonts w:ascii="SimHei" w:eastAsia="SimHei" w:hAnsi="SimHei" w:cs="SimHei"/>
          <w:spacing w:val="98"/>
          <w:sz w:val="21"/>
          <w:szCs w:val="21"/>
        </w:rPr>
        <w:t xml:space="preserve"> </w:t>
      </w:r>
      <w:r>
        <w:rPr>
          <w:rFonts w:ascii="SimHei" w:eastAsia="SimHei" w:hAnsi="SimHei" w:cs="SimHei"/>
          <w:b/>
          <w:bCs/>
          <w:spacing w:val="-4"/>
          <w:sz w:val="21"/>
          <w:szCs w:val="21"/>
        </w:rPr>
        <w:t>实地查勘待估园地并整理估价资料</w:t>
      </w:r>
    </w:p>
    <w:p>
      <w:pPr>
        <w:spacing w:before="137" w:line="222" w:lineRule="auto"/>
        <w:ind w:left="3"/>
        <w:outlineLvl w:val="0"/>
        <w:rPr>
          <w:rFonts w:ascii="SimHei" w:eastAsia="SimHei" w:hAnsi="SimHei" w:cs="SimHei"/>
          <w:sz w:val="21"/>
          <w:szCs w:val="21"/>
        </w:rPr>
      </w:pPr>
      <w:r>
        <w:rPr>
          <w:rFonts w:ascii="SimHei" w:eastAsia="SimHei" w:hAnsi="SimHei" w:cs="SimHei"/>
          <w:b/>
          <w:bCs/>
          <w:spacing w:val="-4"/>
          <w:sz w:val="21"/>
          <w:szCs w:val="21"/>
        </w:rPr>
        <w:t>7.7.1</w:t>
      </w:r>
      <w:r>
        <w:rPr>
          <w:rFonts w:ascii="SimHei" w:eastAsia="SimHei" w:hAnsi="SimHei" w:cs="SimHei"/>
          <w:spacing w:val="100"/>
          <w:sz w:val="21"/>
          <w:szCs w:val="21"/>
        </w:rPr>
        <w:t xml:space="preserve"> </w:t>
      </w:r>
      <w:r>
        <w:rPr>
          <w:rFonts w:ascii="SimHei" w:eastAsia="SimHei" w:hAnsi="SimHei" w:cs="SimHei"/>
          <w:b/>
          <w:bCs/>
          <w:spacing w:val="-4"/>
          <w:sz w:val="21"/>
          <w:szCs w:val="21"/>
        </w:rPr>
        <w:t>实地查勘待估园地</w:t>
      </w:r>
    </w:p>
    <w:p>
      <w:pPr>
        <w:pStyle w:val="BodyText"/>
        <w:spacing w:before="129"/>
        <w:ind w:right="146" w:firstLine="419"/>
        <w:jc w:val="both"/>
      </w:pPr>
      <w:r>
        <w:rPr>
          <w:spacing w:val="-3"/>
        </w:rPr>
        <w:t>估价人员需要到待估园地现场，查勘待估园地的位置、土壤状况、周围环境、基础设施、园地</w:t>
      </w:r>
      <w:r>
        <w:rPr>
          <w:spacing w:val="-4"/>
        </w:rPr>
        <w:t>作物</w:t>
      </w:r>
      <w:r>
        <w:t xml:space="preserve"> </w:t>
      </w:r>
      <w:r>
        <w:rPr>
          <w:spacing w:val="-2"/>
        </w:rPr>
        <w:t>生长情况与生态习性等，并对事先收集的有关待估园地的位置、四至、面积、产权等资料进行核</w:t>
      </w:r>
      <w:r>
        <w:rPr>
          <w:spacing w:val="-3"/>
        </w:rPr>
        <w:t>实。同</w:t>
      </w:r>
      <w:r>
        <w:t xml:space="preserve"> </w:t>
      </w:r>
      <w:r>
        <w:rPr>
          <w:spacing w:val="-2"/>
        </w:rPr>
        <w:t>时调查与收集估价所需的其他资料，对待估园地及其周围环境或临路状况进行拍照</w:t>
      </w:r>
      <w:r>
        <w:rPr>
          <w:spacing w:val="-3"/>
        </w:rPr>
        <w:t>、录像等，做好现场</w:t>
      </w:r>
      <w:r>
        <w:t xml:space="preserve"> </w:t>
      </w:r>
      <w:r>
        <w:rPr>
          <w:spacing w:val="-5"/>
        </w:rPr>
        <w:t>勘察状况的登记。</w:t>
      </w:r>
    </w:p>
    <w:p>
      <w:pPr>
        <w:spacing w:before="126" w:line="222" w:lineRule="auto"/>
        <w:ind w:left="3"/>
        <w:outlineLvl w:val="0"/>
        <w:rPr>
          <w:rFonts w:ascii="SimHei" w:eastAsia="SimHei" w:hAnsi="SimHei" w:cs="SimHei"/>
          <w:sz w:val="21"/>
          <w:szCs w:val="21"/>
        </w:rPr>
      </w:pPr>
      <w:r>
        <w:rPr>
          <w:rFonts w:ascii="SimHei" w:eastAsia="SimHei" w:hAnsi="SimHei" w:cs="SimHei"/>
          <w:b/>
          <w:bCs/>
          <w:spacing w:val="-4"/>
          <w:sz w:val="21"/>
          <w:szCs w:val="21"/>
        </w:rPr>
        <w:t>7.7.2</w:t>
      </w:r>
      <w:r>
        <w:rPr>
          <w:rFonts w:ascii="SimHei" w:eastAsia="SimHei" w:hAnsi="SimHei" w:cs="SimHei"/>
          <w:spacing w:val="96"/>
          <w:sz w:val="21"/>
          <w:szCs w:val="21"/>
        </w:rPr>
        <w:t xml:space="preserve"> </w:t>
      </w:r>
      <w:r>
        <w:rPr>
          <w:rFonts w:ascii="SimHei" w:eastAsia="SimHei" w:hAnsi="SimHei" w:cs="SimHei"/>
          <w:b/>
          <w:bCs/>
          <w:spacing w:val="-4"/>
          <w:sz w:val="21"/>
          <w:szCs w:val="21"/>
        </w:rPr>
        <w:t>整理园地估价资料</w:t>
      </w:r>
    </w:p>
    <w:p>
      <w:pPr>
        <w:pStyle w:val="BodyText"/>
        <w:spacing w:before="160" w:line="218" w:lineRule="auto"/>
        <w:ind w:left="419"/>
      </w:pPr>
      <w:r>
        <w:rPr>
          <w:spacing w:val="-5"/>
        </w:rPr>
        <w:t>园地估价资料整理包括以下两个方面：</w:t>
      </w:r>
    </w:p>
    <w:p>
      <w:pPr>
        <w:pStyle w:val="BodyText"/>
        <w:spacing w:before="3" w:line="236" w:lineRule="auto"/>
        <w:ind w:right="156" w:firstLine="419"/>
      </w:pPr>
      <w:r>
        <w:rPr>
          <w:spacing w:val="-2"/>
        </w:rPr>
        <w:t>a)</w:t>
      </w:r>
      <w:r>
        <w:rPr>
          <w:spacing w:val="88"/>
        </w:rPr>
        <w:t xml:space="preserve"> </w:t>
      </w:r>
      <w:r>
        <w:rPr>
          <w:spacing w:val="-2"/>
        </w:rPr>
        <w:t>宗地估价资料核实与剔除：调查、收集用于估价的资料数据需要认真核实，做到来源可靠，无</w:t>
      </w:r>
      <w:r>
        <w:t xml:space="preserve"> </w:t>
      </w:r>
      <w:r>
        <w:rPr>
          <w:spacing w:val="-2"/>
        </w:rPr>
        <w:t>显著异常，对明显不合要求的和特殊极值的要予以剔除，或补充调查；</w:t>
      </w:r>
    </w:p>
    <w:p>
      <w:pPr>
        <w:pStyle w:val="BodyText"/>
        <w:spacing w:before="1" w:line="238" w:lineRule="auto"/>
        <w:ind w:right="200" w:firstLine="419"/>
      </w:pPr>
      <w:r>
        <w:rPr>
          <w:rFonts w:ascii="Times New Roman" w:eastAsia="Times New Roman" w:hAnsi="Times New Roman" w:cs="Times New Roman"/>
          <w:spacing w:val="-7"/>
        </w:rPr>
        <w:t xml:space="preserve">b)    </w:t>
      </w:r>
      <w:r>
        <w:rPr>
          <w:spacing w:val="-7"/>
        </w:rPr>
        <w:t>宗地估价资料整理：对调查和收集的资料进行整理，判断其是否满足估价要求，记录所缺资料，</w:t>
      </w:r>
      <w:r>
        <w:rPr>
          <w:spacing w:val="15"/>
        </w:rPr>
        <w:t xml:space="preserve"> </w:t>
      </w:r>
      <w:r>
        <w:rPr>
          <w:spacing w:val="-1"/>
        </w:rPr>
        <w:t>及时开展补充调查和收集；对全部调查资料进行登记、编号，便于查阅与</w:t>
      </w:r>
      <w:r>
        <w:rPr>
          <w:spacing w:val="-2"/>
        </w:rPr>
        <w:t>保存。</w:t>
      </w:r>
    </w:p>
    <w:p>
      <w:pPr>
        <w:spacing w:before="136" w:line="221" w:lineRule="auto"/>
        <w:ind w:left="3"/>
        <w:outlineLvl w:val="0"/>
        <w:rPr>
          <w:rFonts w:ascii="SimHei" w:eastAsia="SimHei" w:hAnsi="SimHei" w:cs="SimHei"/>
          <w:sz w:val="21"/>
          <w:szCs w:val="21"/>
        </w:rPr>
      </w:pPr>
      <w:r>
        <w:rPr>
          <w:rFonts w:ascii="SimHei" w:eastAsia="SimHei" w:hAnsi="SimHei" w:cs="SimHei"/>
          <w:b/>
          <w:bCs/>
          <w:spacing w:val="-4"/>
          <w:sz w:val="21"/>
          <w:szCs w:val="21"/>
        </w:rPr>
        <w:t>7.8</w:t>
      </w:r>
      <w:r>
        <w:rPr>
          <w:rFonts w:ascii="SimHei" w:eastAsia="SimHei" w:hAnsi="SimHei" w:cs="SimHei"/>
          <w:spacing w:val="80"/>
          <w:sz w:val="21"/>
          <w:szCs w:val="21"/>
        </w:rPr>
        <w:t xml:space="preserve"> </w:t>
      </w:r>
      <w:r>
        <w:rPr>
          <w:rFonts w:ascii="SimHei" w:eastAsia="SimHei" w:hAnsi="SimHei" w:cs="SimHei"/>
          <w:b/>
          <w:bCs/>
          <w:spacing w:val="-4"/>
          <w:sz w:val="21"/>
          <w:szCs w:val="21"/>
        </w:rPr>
        <w:t>试算评估宗地地价</w:t>
      </w:r>
    </w:p>
    <w:p>
      <w:pPr>
        <w:pStyle w:val="BodyText"/>
        <w:spacing w:before="132" w:line="236" w:lineRule="auto"/>
        <w:ind w:right="156" w:firstLine="419"/>
      </w:pPr>
      <w:r>
        <w:rPr>
          <w:spacing w:val="-2"/>
        </w:rPr>
        <w:t>根据估价目的、待估园地的具体情况，结合调查和收集到的</w:t>
      </w:r>
      <w:r>
        <w:rPr>
          <w:spacing w:val="-3"/>
        </w:rPr>
        <w:t>资料状况，按照有关估价方法要求，选</w:t>
      </w:r>
      <w:r>
        <w:t xml:space="preserve"> </w:t>
      </w:r>
      <w:r>
        <w:rPr>
          <w:spacing w:val="-1"/>
        </w:rPr>
        <w:t>择适当的方法评估待估园地价格。对同一待估园地宜选用两种及以上的评估方法进行估价。</w:t>
      </w:r>
    </w:p>
    <w:p>
      <w:pPr>
        <w:spacing w:before="140" w:line="222" w:lineRule="auto"/>
        <w:ind w:left="3"/>
        <w:outlineLvl w:val="0"/>
        <w:rPr>
          <w:rFonts w:ascii="SimHei" w:eastAsia="SimHei" w:hAnsi="SimHei" w:cs="SimHei"/>
          <w:sz w:val="21"/>
          <w:szCs w:val="21"/>
        </w:rPr>
      </w:pPr>
      <w:r>
        <w:rPr>
          <w:rFonts w:ascii="SimHei" w:eastAsia="SimHei" w:hAnsi="SimHei" w:cs="SimHei"/>
          <w:b/>
          <w:bCs/>
          <w:spacing w:val="-3"/>
          <w:sz w:val="21"/>
          <w:szCs w:val="21"/>
        </w:rPr>
        <w:t>7.9</w:t>
      </w:r>
      <w:r>
        <w:rPr>
          <w:rFonts w:ascii="SimHei" w:eastAsia="SimHei" w:hAnsi="SimHei" w:cs="SimHei"/>
          <w:spacing w:val="-3"/>
          <w:sz w:val="21"/>
          <w:szCs w:val="21"/>
        </w:rPr>
        <w:t xml:space="preserve">  </w:t>
      </w:r>
      <w:r>
        <w:rPr>
          <w:rFonts w:ascii="SimHei" w:eastAsia="SimHei" w:hAnsi="SimHei" w:cs="SimHei"/>
          <w:b/>
          <w:bCs/>
          <w:spacing w:val="-3"/>
          <w:sz w:val="21"/>
          <w:szCs w:val="21"/>
        </w:rPr>
        <w:t>分析与确定估价结果</w:t>
      </w:r>
    </w:p>
    <w:p>
      <w:pPr>
        <w:pStyle w:val="BodyText"/>
        <w:spacing w:before="150" w:line="225" w:lineRule="auto"/>
        <w:ind w:right="147" w:firstLine="419"/>
        <w:jc w:val="both"/>
      </w:pPr>
      <w:r>
        <w:rPr>
          <w:spacing w:val="-2"/>
        </w:rPr>
        <w:t>根据待估园地情况及各种方法的估价过程及评估结果，分析不同估价方法及估价</w:t>
      </w:r>
      <w:r>
        <w:rPr>
          <w:spacing w:val="-3"/>
        </w:rPr>
        <w:t>结果的合理性，必</w:t>
      </w:r>
      <w:r>
        <w:t xml:space="preserve"> </w:t>
      </w:r>
      <w:r>
        <w:rPr>
          <w:spacing w:val="-2"/>
        </w:rPr>
        <w:t>要的情况下可与有关交易价格、市场参数、经济指标等进行比较与分析，</w:t>
      </w:r>
      <w:r>
        <w:rPr>
          <w:spacing w:val="-3"/>
        </w:rPr>
        <w:t>判断待估园地的价格水平，并</w:t>
      </w:r>
      <w:r>
        <w:t xml:space="preserve"> </w:t>
      </w:r>
      <w:r>
        <w:rPr>
          <w:spacing w:val="-3"/>
        </w:rPr>
        <w:t>选用适合的方法确定最终估价结果。</w:t>
      </w:r>
    </w:p>
    <w:p>
      <w:pPr>
        <w:spacing w:before="149" w:line="221" w:lineRule="auto"/>
        <w:ind w:left="3"/>
        <w:outlineLvl w:val="0"/>
        <w:rPr>
          <w:rFonts w:ascii="SimHei" w:eastAsia="SimHei" w:hAnsi="SimHei" w:cs="SimHei"/>
          <w:sz w:val="21"/>
          <w:szCs w:val="21"/>
        </w:rPr>
      </w:pPr>
      <w:r>
        <w:rPr>
          <w:rFonts w:ascii="SimHei" w:eastAsia="SimHei" w:hAnsi="SimHei" w:cs="SimHei"/>
          <w:b/>
          <w:bCs/>
          <w:spacing w:val="-4"/>
          <w:sz w:val="21"/>
          <w:szCs w:val="21"/>
        </w:rPr>
        <w:t>7.10</w:t>
      </w:r>
      <w:r>
        <w:rPr>
          <w:rFonts w:ascii="SimHei" w:eastAsia="SimHei" w:hAnsi="SimHei" w:cs="SimHei"/>
          <w:spacing w:val="89"/>
          <w:sz w:val="21"/>
          <w:szCs w:val="21"/>
        </w:rPr>
        <w:t xml:space="preserve"> </w:t>
      </w:r>
      <w:r>
        <w:rPr>
          <w:rFonts w:ascii="SimHei" w:eastAsia="SimHei" w:hAnsi="SimHei" w:cs="SimHei"/>
          <w:b/>
          <w:bCs/>
          <w:spacing w:val="-4"/>
          <w:sz w:val="21"/>
          <w:szCs w:val="21"/>
        </w:rPr>
        <w:t>编制宗地估价成果</w:t>
      </w:r>
    </w:p>
    <w:p>
      <w:pPr>
        <w:pStyle w:val="BodyText"/>
        <w:spacing w:before="161" w:line="228" w:lineRule="auto"/>
        <w:ind w:right="156" w:firstLine="419"/>
      </w:pPr>
      <w:r>
        <w:rPr>
          <w:spacing w:val="-2"/>
        </w:rPr>
        <w:t>宗地估价成果包括宗地估价结果报告、宗地估价技术报告以</w:t>
      </w:r>
      <w:r>
        <w:rPr>
          <w:spacing w:val="-3"/>
        </w:rPr>
        <w:t>及宗地估价附件，估价人员按规范格式</w:t>
      </w:r>
      <w:r>
        <w:t xml:space="preserve"> </w:t>
      </w:r>
      <w:r>
        <w:rPr>
          <w:spacing w:val="-2"/>
        </w:rPr>
        <w:t>撰写估价报告。估价报告规范格式参见GB/T</w:t>
      </w:r>
      <w:r>
        <w:rPr>
          <w:spacing w:val="43"/>
        </w:rPr>
        <w:t xml:space="preserve"> </w:t>
      </w:r>
      <w:r>
        <w:rPr>
          <w:spacing w:val="-2"/>
        </w:rPr>
        <w:t>28406-2012。</w:t>
      </w:r>
    </w:p>
    <w:p>
      <w:pPr>
        <w:spacing w:before="130" w:line="222" w:lineRule="auto"/>
        <w:ind w:left="3"/>
        <w:outlineLvl w:val="0"/>
        <w:rPr>
          <w:rFonts w:ascii="SimHei" w:eastAsia="SimHei" w:hAnsi="SimHei" w:cs="SimHei"/>
          <w:sz w:val="21"/>
          <w:szCs w:val="21"/>
        </w:rPr>
      </w:pPr>
      <w:r>
        <w:rPr>
          <w:rFonts w:ascii="SimHei" w:eastAsia="SimHei" w:hAnsi="SimHei" w:cs="SimHei"/>
          <w:b/>
          <w:bCs/>
          <w:spacing w:val="-4"/>
          <w:sz w:val="21"/>
          <w:szCs w:val="21"/>
        </w:rPr>
        <w:t>7.11</w:t>
      </w:r>
      <w:r>
        <w:rPr>
          <w:rFonts w:ascii="SimHei" w:eastAsia="SimHei" w:hAnsi="SimHei" w:cs="SimHei"/>
          <w:spacing w:val="96"/>
          <w:sz w:val="21"/>
          <w:szCs w:val="21"/>
        </w:rPr>
        <w:t xml:space="preserve"> </w:t>
      </w:r>
      <w:r>
        <w:rPr>
          <w:rFonts w:ascii="SimHei" w:eastAsia="SimHei" w:hAnsi="SimHei" w:cs="SimHei"/>
          <w:b/>
          <w:bCs/>
          <w:spacing w:val="-4"/>
          <w:sz w:val="21"/>
          <w:szCs w:val="21"/>
        </w:rPr>
        <w:t>估价报告备案、提交及归档</w:t>
      </w:r>
    </w:p>
    <w:p>
      <w:pPr>
        <w:pStyle w:val="BodyText"/>
        <w:spacing w:before="149" w:line="228" w:lineRule="auto"/>
        <w:ind w:right="155" w:firstLine="419"/>
      </w:pPr>
      <w:r>
        <w:rPr>
          <w:spacing w:val="-2"/>
        </w:rPr>
        <w:t>估价报告完成后，应及时提交自然资源行政主管部门备案，取</w:t>
      </w:r>
      <w:r>
        <w:rPr>
          <w:spacing w:val="-3"/>
        </w:rPr>
        <w:t>得电子监管号，并将价格评估结果报</w:t>
      </w:r>
      <w:r>
        <w:t xml:space="preserve"> </w:t>
      </w:r>
      <w:r>
        <w:rPr>
          <w:spacing w:val="-1"/>
        </w:rPr>
        <w:t>告提交给委托方。对所用估价资料和宗地估价报告书进行分类整理和归档保管，以</w:t>
      </w:r>
      <w:r>
        <w:rPr>
          <w:spacing w:val="-2"/>
        </w:rPr>
        <w:t>备查用。</w:t>
      </w:r>
    </w:p>
    <w:p>
      <w:pPr>
        <w:spacing w:before="269" w:line="222" w:lineRule="auto"/>
        <w:ind w:left="3"/>
        <w:rPr>
          <w:rFonts w:ascii="SimHei" w:eastAsia="SimHei" w:hAnsi="SimHei" w:cs="SimHei"/>
          <w:sz w:val="21"/>
          <w:szCs w:val="21"/>
        </w:rPr>
      </w:pPr>
      <w:r>
        <w:rPr>
          <w:rFonts w:ascii="SimHei" w:eastAsia="SimHei" w:hAnsi="SimHei" w:cs="SimHei"/>
          <w:b/>
          <w:bCs/>
          <w:spacing w:val="-4"/>
          <w:sz w:val="21"/>
          <w:szCs w:val="21"/>
        </w:rPr>
        <w:t>8</w:t>
      </w:r>
      <w:r>
        <w:rPr>
          <w:rFonts w:ascii="SimHei" w:eastAsia="SimHei" w:hAnsi="SimHei" w:cs="SimHei"/>
          <w:spacing w:val="102"/>
          <w:sz w:val="21"/>
          <w:szCs w:val="21"/>
        </w:rPr>
        <w:t xml:space="preserve"> </w:t>
      </w:r>
      <w:r>
        <w:rPr>
          <w:rFonts w:ascii="SimHei" w:eastAsia="SimHei" w:hAnsi="SimHei" w:cs="SimHei"/>
          <w:b/>
          <w:bCs/>
          <w:spacing w:val="-4"/>
          <w:sz w:val="21"/>
          <w:szCs w:val="21"/>
        </w:rPr>
        <w:t>不同估价目的园地宗地估价</w:t>
      </w:r>
    </w:p>
    <w:p>
      <w:pPr>
        <w:spacing w:before="258" w:line="222" w:lineRule="auto"/>
        <w:ind w:left="3"/>
        <w:outlineLvl w:val="0"/>
        <w:rPr>
          <w:rFonts w:ascii="SimHei" w:eastAsia="SimHei" w:hAnsi="SimHei" w:cs="SimHei"/>
          <w:sz w:val="21"/>
          <w:szCs w:val="21"/>
        </w:rPr>
      </w:pPr>
      <w:r>
        <w:rPr>
          <w:rFonts w:ascii="SimHei" w:eastAsia="SimHei" w:hAnsi="SimHei" w:cs="SimHei"/>
          <w:b/>
          <w:bCs/>
          <w:spacing w:val="-4"/>
          <w:sz w:val="21"/>
          <w:szCs w:val="21"/>
        </w:rPr>
        <w:t>8.1</w:t>
      </w:r>
      <w:r>
        <w:rPr>
          <w:rFonts w:ascii="SimHei" w:eastAsia="SimHei" w:hAnsi="SimHei" w:cs="SimHei"/>
          <w:spacing w:val="-4"/>
          <w:sz w:val="21"/>
          <w:szCs w:val="21"/>
        </w:rPr>
        <w:t xml:space="preserve">  </w:t>
      </w:r>
      <w:r>
        <w:rPr>
          <w:rFonts w:ascii="SimHei" w:eastAsia="SimHei" w:hAnsi="SimHei" w:cs="SimHei"/>
          <w:b/>
          <w:bCs/>
          <w:spacing w:val="-4"/>
          <w:sz w:val="21"/>
          <w:szCs w:val="21"/>
        </w:rPr>
        <w:t>园地承包经营的价格评估</w:t>
      </w:r>
    </w:p>
    <w:p>
      <w:pPr>
        <w:pStyle w:val="BodyText"/>
        <w:spacing w:before="150" w:line="223" w:lineRule="auto"/>
        <w:ind w:right="155" w:firstLine="419"/>
      </w:pPr>
      <w:r>
        <w:rPr>
          <w:spacing w:val="-2"/>
        </w:rPr>
        <w:t>园地承包经营价格评估指在承包年限内，园地承包经营权价格</w:t>
      </w:r>
      <w:r>
        <w:rPr>
          <w:spacing w:val="-3"/>
        </w:rPr>
        <w:t>、经营权价格、园地承包经营权承包</w:t>
      </w:r>
      <w:r>
        <w:t xml:space="preserve"> </w:t>
      </w:r>
      <w:r>
        <w:rPr>
          <w:spacing w:val="-4"/>
        </w:rPr>
        <w:t>费和经营权承包费等类型的评估。</w:t>
      </w:r>
    </w:p>
    <w:p>
      <w:pPr>
        <w:pStyle w:val="BodyText"/>
        <w:spacing w:before="12" w:line="231" w:lineRule="auto"/>
        <w:ind w:left="859" w:hanging="440"/>
      </w:pPr>
      <w:r>
        <w:rPr>
          <w:spacing w:val="-3"/>
        </w:rPr>
        <w:t>a)  园地承包经营价格估价过程中可根据具体估价目的，按</w:t>
      </w:r>
      <w:r>
        <w:rPr>
          <w:spacing w:val="-4"/>
        </w:rPr>
        <w:t>照待估园地的权利状况、经营使用年期、</w:t>
      </w:r>
      <w:r>
        <w:t xml:space="preserve"> </w:t>
      </w:r>
      <w:r>
        <w:rPr>
          <w:spacing w:val="-4"/>
        </w:rPr>
        <w:t xml:space="preserve">园地利用要求等，在符合现行法律法规要求的前提下，以具有法律效力的承包经营合同为依据  </w:t>
      </w:r>
      <w:r>
        <w:rPr>
          <w:spacing w:val="-3"/>
        </w:rPr>
        <w:t>确定待估园地的权利状况、价格类型。</w:t>
      </w:r>
    </w:p>
    <w:p>
      <w:pPr>
        <w:pStyle w:val="BodyText"/>
        <w:spacing w:before="30" w:line="235" w:lineRule="auto"/>
        <w:ind w:left="859" w:right="155" w:hanging="440"/>
        <w:sectPr>
          <w:headerReference w:type="default" r:id="rId109"/>
          <w:footerReference w:type="default" r:id="rId110"/>
          <w:pgSz w:w="11910" w:h="16840"/>
          <w:pgMar w:top="400" w:right="1004" w:bottom="1278" w:left="1400" w:header="0" w:footer="1139" w:gutter="0"/>
          <w:pgNumType w:start="21"/>
          <w:cols w:space="708"/>
        </w:sectPr>
      </w:pPr>
      <w:r>
        <w:rPr>
          <w:rFonts w:ascii="Times New Roman" w:eastAsia="Times New Roman" w:hAnsi="Times New Roman" w:cs="Times New Roman"/>
          <w:spacing w:val="-1"/>
        </w:rPr>
        <w:t xml:space="preserve">b)    </w:t>
      </w:r>
      <w:r>
        <w:rPr>
          <w:spacing w:val="-1"/>
        </w:rPr>
        <w:t>对评估对象构成是否包括地上定着物，依据委托</w:t>
      </w:r>
      <w:r>
        <w:rPr>
          <w:spacing w:val="-2"/>
        </w:rPr>
        <w:t>评估的有关文件确定，并在估价报告中进行准</w:t>
      </w:r>
      <w:r>
        <w:t xml:space="preserve"> </w:t>
      </w:r>
      <w:r>
        <w:rPr>
          <w:spacing w:val="-8"/>
        </w:rPr>
        <w:t>确表述。</w:t>
      </w:r>
    </w:p>
    <w:p>
      <w:pPr>
        <w:pStyle w:val="BodyText"/>
        <w:spacing w:before="27" w:line="231" w:lineRule="auto"/>
        <w:ind w:left="859" w:right="146" w:hanging="440"/>
      </w:pPr>
      <w:r>
        <w:rPr>
          <w:spacing w:val="-2"/>
        </w:rPr>
        <w:t>c)  园地承包经营价格评估需要综合考虑园地的土壤条件、收益水平</w:t>
      </w:r>
      <w:r>
        <w:rPr>
          <w:spacing w:val="-3"/>
        </w:rPr>
        <w:t>、园地承包经营期限、有无其</w:t>
      </w:r>
      <w:r>
        <w:t xml:space="preserve"> </w:t>
      </w:r>
      <w:r>
        <w:rPr>
          <w:spacing w:val="-3"/>
        </w:rPr>
        <w:t>他经营或权利限制、基础设施状况与水平、是否包含园地作物、待估园地的作物品种与区域园</w:t>
      </w:r>
      <w:r>
        <w:rPr>
          <w:spacing w:val="10"/>
        </w:rPr>
        <w:t xml:space="preserve"> </w:t>
      </w:r>
      <w:r>
        <w:rPr>
          <w:spacing w:val="-1"/>
        </w:rPr>
        <w:t>地作物品种的一致性与替换性、待估园地作</w:t>
      </w:r>
      <w:r>
        <w:rPr>
          <w:spacing w:val="-2"/>
        </w:rPr>
        <w:t>物的长势情况等因素。</w:t>
      </w:r>
    </w:p>
    <w:p>
      <w:pPr>
        <w:pStyle w:val="BodyText"/>
        <w:spacing w:before="13" w:line="236" w:lineRule="auto"/>
        <w:ind w:left="859" w:hanging="440"/>
      </w:pPr>
      <w:r>
        <w:rPr>
          <w:spacing w:val="-3"/>
        </w:rPr>
        <w:t>d)  园地承包经营权价格、经营权价格宜选用收益还原法、</w:t>
      </w:r>
      <w:r>
        <w:rPr>
          <w:spacing w:val="-4"/>
        </w:rPr>
        <w:t>市场比较法和公示地价系数修正法评估；</w:t>
      </w:r>
      <w:r>
        <w:t xml:space="preserve"> </w:t>
      </w:r>
      <w:r>
        <w:rPr>
          <w:spacing w:val="-1"/>
        </w:rPr>
        <w:t>园地承包费可采用承包案例比较、租赁案例比较、收益还原法倒算等方法评估。</w:t>
      </w:r>
    </w:p>
    <w:p>
      <w:pPr>
        <w:spacing w:before="140" w:line="222" w:lineRule="auto"/>
        <w:ind w:left="3"/>
        <w:outlineLvl w:val="0"/>
        <w:rPr>
          <w:rFonts w:ascii="SimHei" w:eastAsia="SimHei" w:hAnsi="SimHei" w:cs="SimHei"/>
          <w:sz w:val="21"/>
          <w:szCs w:val="21"/>
        </w:rPr>
      </w:pPr>
      <w:r>
        <w:rPr>
          <w:rFonts w:ascii="SimHei" w:eastAsia="SimHei" w:hAnsi="SimHei" w:cs="SimHei"/>
          <w:b/>
          <w:bCs/>
          <w:spacing w:val="-4"/>
          <w:sz w:val="21"/>
          <w:szCs w:val="21"/>
        </w:rPr>
        <w:t>8.2</w:t>
      </w:r>
      <w:r>
        <w:rPr>
          <w:rFonts w:ascii="SimHei" w:eastAsia="SimHei" w:hAnsi="SimHei" w:cs="SimHei"/>
          <w:spacing w:val="-4"/>
          <w:sz w:val="21"/>
          <w:szCs w:val="21"/>
        </w:rPr>
        <w:t xml:space="preserve">  </w:t>
      </w:r>
      <w:r>
        <w:rPr>
          <w:rFonts w:ascii="SimHei" w:eastAsia="SimHei" w:hAnsi="SimHei" w:cs="SimHei"/>
          <w:b/>
          <w:bCs/>
          <w:spacing w:val="-4"/>
          <w:sz w:val="21"/>
          <w:szCs w:val="21"/>
        </w:rPr>
        <w:t>园地转让价格评估</w:t>
      </w:r>
    </w:p>
    <w:p>
      <w:pPr>
        <w:pStyle w:val="BodyText"/>
        <w:spacing w:before="140" w:line="218" w:lineRule="auto"/>
        <w:ind w:left="419"/>
      </w:pPr>
      <w:r>
        <w:rPr>
          <w:spacing w:val="-1"/>
        </w:rPr>
        <w:t>园地转让价格是指转让园地经营权或承包经营权的价格。</w:t>
      </w:r>
    </w:p>
    <w:p>
      <w:pPr>
        <w:spacing w:line="218" w:lineRule="auto"/>
        <w:sectPr>
          <w:headerReference w:type="default" r:id="rId111"/>
          <w:footerReference w:type="default" r:id="rId112"/>
          <w:type w:val="nextPage"/>
          <w:pgSz w:w="11910" w:h="16840"/>
          <w:pgMar w:top="400" w:right="1004" w:bottom="1278" w:left="1400" w:header="0" w:footer="1139" w:gutter="0"/>
          <w:pgNumType w:start="22"/>
          <w:cols w:space="708"/>
          <w:titlePg w:val="0"/>
        </w:sectPr>
      </w:pPr>
    </w:p>
    <w:p>
      <w:pPr>
        <w:spacing w:line="263" w:lineRule="auto"/>
        <w:rPr>
          <w:rFonts w:ascii="Arial"/>
          <w:sz w:val="21"/>
        </w:r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43" w:line="188" w:lineRule="auto"/>
        <w:ind w:left="7689"/>
        <w:rPr>
          <w:rFonts w:ascii="Times New Roman" w:eastAsia="Times New Roman" w:hAnsi="Times New Roman" w:cs="Times New Roman"/>
          <w:sz w:val="15"/>
          <w:szCs w:val="15"/>
        </w:rPr>
      </w:pPr>
      <w:r>
        <w:rPr>
          <w:rFonts w:ascii="Times New Roman" w:eastAsia="Times New Roman" w:hAnsi="Times New Roman" w:cs="Times New Roman"/>
          <w:b/>
          <w:bCs/>
          <w:spacing w:val="-1"/>
          <w:sz w:val="15"/>
          <w:szCs w:val="15"/>
        </w:rPr>
        <w:t>TD/T</w:t>
      </w:r>
      <w:r>
        <w:rPr>
          <w:rFonts w:ascii="Times New Roman" w:eastAsia="Times New Roman" w:hAnsi="Times New Roman" w:cs="Times New Roman"/>
          <w:b/>
          <w:bCs/>
          <w:spacing w:val="4"/>
          <w:sz w:val="15"/>
          <w:szCs w:val="15"/>
        </w:rPr>
        <w:t xml:space="preserve">     </w:t>
      </w:r>
      <w:r>
        <w:rPr>
          <w:rFonts w:ascii="Times New Roman" w:eastAsia="Times New Roman" w:hAnsi="Times New Roman" w:cs="Times New Roman"/>
          <w:b/>
          <w:bCs/>
          <w:spacing w:val="-1"/>
          <w:sz w:val="15"/>
          <w:szCs w:val="15"/>
        </w:rPr>
        <w:t>XXXXX—XXXX</w:t>
      </w:r>
    </w:p>
    <w:p>
      <w:pPr>
        <w:spacing w:line="246" w:lineRule="auto"/>
        <w:rPr>
          <w:rFonts w:ascii="Arial"/>
          <w:sz w:val="21"/>
        </w:rPr>
      </w:pPr>
    </w:p>
    <w:p>
      <w:pPr>
        <w:pStyle w:val="BodyText"/>
        <w:spacing w:before="68" w:line="225" w:lineRule="auto"/>
        <w:ind w:left="839" w:right="149" w:hanging="430"/>
      </w:pPr>
      <w:r>
        <w:rPr>
          <w:spacing w:val="3"/>
        </w:rPr>
        <w:t>a)  园地转让价格评估实践中须根据有关法律及园地转</w:t>
      </w:r>
      <w:r>
        <w:rPr>
          <w:spacing w:val="2"/>
        </w:rPr>
        <w:t>让合同约定等判断和确定所评估权利的用</w:t>
      </w:r>
      <w:r>
        <w:t xml:space="preserve"> </w:t>
      </w:r>
      <w:r>
        <w:rPr>
          <w:spacing w:val="-2"/>
        </w:rPr>
        <w:t>益物权性质</w:t>
      </w:r>
      <w:r>
        <w:rPr>
          <w:color w:val="DE6F00"/>
          <w:spacing w:val="-2"/>
        </w:rPr>
        <w:t>。</w:t>
      </w:r>
    </w:p>
    <w:p>
      <w:pPr>
        <w:pStyle w:val="BodyText"/>
        <w:spacing w:before="20" w:line="219" w:lineRule="auto"/>
        <w:ind w:left="409"/>
      </w:pPr>
      <w:r>
        <w:t>b)  园地转让最高年限不能超过园地的剩余</w:t>
      </w:r>
      <w:r>
        <w:rPr>
          <w:spacing w:val="-1"/>
        </w:rPr>
        <w:t>承包年限。</w:t>
      </w:r>
    </w:p>
    <w:p>
      <w:pPr>
        <w:pStyle w:val="BodyText"/>
        <w:spacing w:before="18" w:line="232" w:lineRule="auto"/>
        <w:ind w:left="839" w:right="153" w:hanging="430"/>
      </w:pPr>
      <w:r>
        <w:rPr>
          <w:rFonts w:ascii="Times New Roman" w:eastAsia="Times New Roman" w:hAnsi="Times New Roman" w:cs="Times New Roman"/>
          <w:spacing w:val="-2"/>
        </w:rPr>
        <w:t xml:space="preserve">c)     </w:t>
      </w:r>
      <w:r>
        <w:rPr>
          <w:spacing w:val="-2"/>
        </w:rPr>
        <w:t>除一般情况外，转让园地的价格评估还需考虑原承包人投资改良土壤、</w:t>
      </w:r>
      <w:r>
        <w:rPr>
          <w:spacing w:val="-3"/>
        </w:rPr>
        <w:t>建设园地设施、改良品</w:t>
      </w:r>
      <w:r>
        <w:t xml:space="preserve"> </w:t>
      </w:r>
      <w:r>
        <w:rPr>
          <w:spacing w:val="-3"/>
        </w:rPr>
        <w:t>种、园地作物状况、待估园地的作物品种与区域园地作物品</w:t>
      </w:r>
      <w:r>
        <w:rPr>
          <w:spacing w:val="-4"/>
        </w:rPr>
        <w:t>种的一致性与替换性、待估园地作</w:t>
      </w:r>
      <w:r>
        <w:t xml:space="preserve"> </w:t>
      </w:r>
      <w:r>
        <w:rPr>
          <w:spacing w:val="-4"/>
        </w:rPr>
        <w:t>物的长势情况等因素。</w:t>
      </w:r>
    </w:p>
    <w:p>
      <w:pPr>
        <w:pStyle w:val="BodyText"/>
        <w:spacing w:before="17" w:line="212" w:lineRule="auto"/>
        <w:ind w:left="409"/>
      </w:pPr>
      <w:r>
        <w:rPr>
          <w:rFonts w:ascii="Times New Roman" w:eastAsia="Times New Roman" w:hAnsi="Times New Roman" w:cs="Times New Roman"/>
          <w:spacing w:val="-1"/>
        </w:rPr>
        <w:t xml:space="preserve">d)    </w:t>
      </w:r>
      <w:r>
        <w:rPr>
          <w:spacing w:val="-1"/>
        </w:rPr>
        <w:t>对评估对象构成是否包括地上定</w:t>
      </w:r>
      <w:r>
        <w:rPr>
          <w:spacing w:val="-2"/>
        </w:rPr>
        <w:t>着物，依据委托评估的有关文件确定，并在估价报告中进行准</w:t>
      </w:r>
    </w:p>
    <w:p>
      <w:pPr>
        <w:pStyle w:val="BodyText"/>
        <w:spacing w:before="63" w:line="209" w:lineRule="auto"/>
        <w:ind w:left="840"/>
      </w:pPr>
      <w:r>
        <w:rPr>
          <w:spacing w:val="-8"/>
        </w:rPr>
        <w:t>确表述。</w:t>
      </w:r>
    </w:p>
    <w:p>
      <w:pPr>
        <w:pStyle w:val="BodyText"/>
        <w:spacing w:before="2" w:line="237" w:lineRule="auto"/>
        <w:ind w:left="839" w:right="167" w:hanging="430"/>
      </w:pPr>
      <w:r>
        <w:rPr>
          <w:spacing w:val="-2"/>
        </w:rPr>
        <w:t>e)  园地转让价格的评估方法宜选用收益还</w:t>
      </w:r>
      <w:r>
        <w:rPr>
          <w:spacing w:val="-3"/>
        </w:rPr>
        <w:t>原法、市场比较法、公示地价系数修正法、成本逼近法</w:t>
      </w:r>
      <w:r>
        <w:t xml:space="preserve"> </w:t>
      </w:r>
      <w:r>
        <w:rPr>
          <w:spacing w:val="-4"/>
        </w:rPr>
        <w:t>等。</w:t>
      </w:r>
    </w:p>
    <w:p>
      <w:pPr>
        <w:spacing w:before="136" w:line="222" w:lineRule="auto"/>
        <w:ind w:left="3"/>
        <w:outlineLvl w:val="0"/>
        <w:rPr>
          <w:rFonts w:ascii="SimHei" w:eastAsia="SimHei" w:hAnsi="SimHei" w:cs="SimHei"/>
          <w:sz w:val="21"/>
          <w:szCs w:val="21"/>
        </w:rPr>
      </w:pPr>
      <w:r>
        <w:rPr>
          <w:rFonts w:ascii="SimHei" w:eastAsia="SimHei" w:hAnsi="SimHei" w:cs="SimHei"/>
          <w:b/>
          <w:bCs/>
          <w:spacing w:val="-4"/>
          <w:sz w:val="21"/>
          <w:szCs w:val="21"/>
        </w:rPr>
        <w:t>8.3</w:t>
      </w:r>
      <w:r>
        <w:rPr>
          <w:rFonts w:ascii="SimHei" w:eastAsia="SimHei" w:hAnsi="SimHei" w:cs="SimHei"/>
          <w:spacing w:val="-4"/>
          <w:sz w:val="21"/>
          <w:szCs w:val="21"/>
        </w:rPr>
        <w:t xml:space="preserve">  </w:t>
      </w:r>
      <w:r>
        <w:rPr>
          <w:rFonts w:ascii="SimHei" w:eastAsia="SimHei" w:hAnsi="SimHei" w:cs="SimHei"/>
          <w:b/>
          <w:bCs/>
          <w:spacing w:val="-4"/>
          <w:sz w:val="21"/>
          <w:szCs w:val="21"/>
        </w:rPr>
        <w:t>园地租赁评估</w:t>
      </w:r>
    </w:p>
    <w:p>
      <w:pPr>
        <w:pStyle w:val="BodyText"/>
        <w:spacing w:before="160" w:line="218" w:lineRule="auto"/>
        <w:ind w:left="409"/>
      </w:pPr>
      <w:r>
        <w:rPr>
          <w:spacing w:val="-1"/>
        </w:rPr>
        <w:t>园地租赁评估是指评估在公开市场条件下的园地经营权租赁年租金。</w:t>
      </w:r>
    </w:p>
    <w:p>
      <w:pPr>
        <w:pStyle w:val="BodyText"/>
        <w:spacing w:before="23" w:line="217" w:lineRule="auto"/>
        <w:ind w:left="409"/>
      </w:pPr>
      <w:r>
        <w:t>a)  园地租赁最高年限不能超过法律规定或</w:t>
      </w:r>
      <w:r>
        <w:rPr>
          <w:spacing w:val="-1"/>
        </w:rPr>
        <w:t>园地承包经营期限的剩余使用年限。</w:t>
      </w:r>
    </w:p>
    <w:p>
      <w:pPr>
        <w:pStyle w:val="BodyText"/>
        <w:spacing w:before="1" w:line="232" w:lineRule="auto"/>
        <w:ind w:left="839" w:right="156" w:hanging="430"/>
      </w:pPr>
      <w:r>
        <w:rPr>
          <w:rFonts w:ascii="Times New Roman" w:eastAsia="Times New Roman" w:hAnsi="Times New Roman" w:cs="Times New Roman"/>
          <w:spacing w:val="-2"/>
        </w:rPr>
        <w:t xml:space="preserve">b)    </w:t>
      </w:r>
      <w:r>
        <w:rPr>
          <w:spacing w:val="-2"/>
        </w:rPr>
        <w:t>园地租赁需要综合考虑园地的土壤条件、收益水平、有无其他经营或权利限制、基础设施状况</w:t>
      </w:r>
      <w:r>
        <w:rPr>
          <w:spacing w:val="16"/>
        </w:rPr>
        <w:t xml:space="preserve"> </w:t>
      </w:r>
      <w:r>
        <w:rPr>
          <w:spacing w:val="-3"/>
        </w:rPr>
        <w:t>与水平、园地作物状况、待估园地的作物品种与区域园地作物品种的一致性与替换性、待估园</w:t>
      </w:r>
      <w:r>
        <w:rPr>
          <w:spacing w:val="10"/>
        </w:rPr>
        <w:t xml:space="preserve"> </w:t>
      </w:r>
      <w:r>
        <w:rPr>
          <w:spacing w:val="-3"/>
        </w:rPr>
        <w:t>地作物的长势情况等方面因素。</w:t>
      </w:r>
    </w:p>
    <w:p>
      <w:pPr>
        <w:pStyle w:val="BodyText"/>
        <w:spacing w:before="28" w:line="239" w:lineRule="auto"/>
        <w:ind w:left="839" w:right="165" w:hanging="430"/>
      </w:pPr>
      <w:r>
        <w:rPr>
          <w:rFonts w:ascii="Times New Roman" w:eastAsia="Times New Roman" w:hAnsi="Times New Roman" w:cs="Times New Roman"/>
          <w:spacing w:val="-2"/>
        </w:rPr>
        <w:t xml:space="preserve">c)     </w:t>
      </w:r>
      <w:r>
        <w:rPr>
          <w:spacing w:val="-2"/>
        </w:rPr>
        <w:t>对评估对象构成是否包括地上定着物，依据委</w:t>
      </w:r>
      <w:r>
        <w:rPr>
          <w:spacing w:val="-3"/>
        </w:rPr>
        <w:t>托评估的有关文件确定，并在估价报告中进行准</w:t>
      </w:r>
      <w:r>
        <w:t xml:space="preserve"> </w:t>
      </w:r>
      <w:r>
        <w:rPr>
          <w:spacing w:val="-8"/>
        </w:rPr>
        <w:t>确表述。</w:t>
      </w:r>
    </w:p>
    <w:p>
      <w:pPr>
        <w:pStyle w:val="BodyText"/>
        <w:spacing w:before="8" w:line="218" w:lineRule="auto"/>
        <w:ind w:left="409"/>
      </w:pPr>
      <w:r>
        <w:t>d)  园地租赁评估宜选用租赁案例比较、承包案例比较、收益还原法反算等方</w:t>
      </w:r>
      <w:r>
        <w:rPr>
          <w:spacing w:val="-1"/>
        </w:rPr>
        <w:t>法进行评估。</w:t>
      </w:r>
    </w:p>
    <w:p>
      <w:pPr>
        <w:spacing w:before="139" w:line="222" w:lineRule="auto"/>
        <w:ind w:left="3"/>
        <w:outlineLvl w:val="0"/>
        <w:rPr>
          <w:rFonts w:ascii="SimHei" w:eastAsia="SimHei" w:hAnsi="SimHei" w:cs="SimHei"/>
          <w:sz w:val="21"/>
          <w:szCs w:val="21"/>
        </w:rPr>
      </w:pPr>
      <w:r>
        <w:rPr>
          <w:rFonts w:ascii="SimHei" w:eastAsia="SimHei" w:hAnsi="SimHei" w:cs="SimHei"/>
          <w:b/>
          <w:bCs/>
          <w:spacing w:val="-4"/>
          <w:sz w:val="21"/>
          <w:szCs w:val="21"/>
        </w:rPr>
        <w:t>8.4</w:t>
      </w:r>
      <w:r>
        <w:rPr>
          <w:rFonts w:ascii="SimHei" w:eastAsia="SimHei" w:hAnsi="SimHei" w:cs="SimHei"/>
          <w:spacing w:val="-4"/>
          <w:sz w:val="21"/>
          <w:szCs w:val="21"/>
        </w:rPr>
        <w:t xml:space="preserve">  </w:t>
      </w:r>
      <w:r>
        <w:rPr>
          <w:rFonts w:ascii="SimHei" w:eastAsia="SimHei" w:hAnsi="SimHei" w:cs="SimHei"/>
          <w:b/>
          <w:bCs/>
          <w:spacing w:val="-4"/>
          <w:sz w:val="21"/>
          <w:szCs w:val="21"/>
        </w:rPr>
        <w:t>园地抵押价格评估</w:t>
      </w:r>
    </w:p>
    <w:p>
      <w:pPr>
        <w:pStyle w:val="BodyText"/>
        <w:spacing w:before="159" w:line="228" w:lineRule="auto"/>
        <w:ind w:right="166" w:firstLine="409"/>
      </w:pPr>
      <w:r>
        <w:rPr>
          <w:spacing w:val="2"/>
        </w:rPr>
        <w:t>园地抵押价格评估是指将园地经营权或承租经营权作为抵押债权担保而设定抵押权时对其价格进</w:t>
      </w:r>
      <w:r>
        <w:rPr>
          <w:spacing w:val="13"/>
        </w:rPr>
        <w:t xml:space="preserve"> </w:t>
      </w:r>
      <w:r>
        <w:rPr>
          <w:spacing w:val="-7"/>
        </w:rPr>
        <w:t>行的评估。</w:t>
      </w:r>
    </w:p>
    <w:p>
      <w:pPr>
        <w:pStyle w:val="BodyText"/>
        <w:spacing w:before="2" w:line="237" w:lineRule="auto"/>
        <w:ind w:left="839" w:right="162" w:hanging="430"/>
      </w:pPr>
      <w:r>
        <w:rPr>
          <w:rFonts w:ascii="Times New Roman" w:eastAsia="Times New Roman" w:hAnsi="Times New Roman" w:cs="Times New Roman"/>
          <w:spacing w:val="-2"/>
        </w:rPr>
        <w:t xml:space="preserve">a)     </w:t>
      </w:r>
      <w:r>
        <w:rPr>
          <w:spacing w:val="-2"/>
        </w:rPr>
        <w:t>园地抵押价格评估，首先应根据委托估价文件要求</w:t>
      </w:r>
      <w:r>
        <w:rPr>
          <w:spacing w:val="-3"/>
        </w:rPr>
        <w:t>及评估对象具体情况，明确界定待估园地范</w:t>
      </w:r>
      <w:r>
        <w:t xml:space="preserve"> </w:t>
      </w:r>
      <w:r>
        <w:rPr>
          <w:spacing w:val="-3"/>
        </w:rPr>
        <w:t>围及其利用状况，然后根据评估对象的权利状况合理界定权利类型、剩余年限等，准确界定评</w:t>
      </w:r>
      <w:r>
        <w:t xml:space="preserve"> </w:t>
      </w:r>
      <w:r>
        <w:rPr>
          <w:spacing w:val="-6"/>
        </w:rPr>
        <w:t>估价格内涵。</w:t>
      </w:r>
    </w:p>
    <w:p>
      <w:pPr>
        <w:pStyle w:val="BodyText"/>
        <w:spacing w:before="11" w:line="237" w:lineRule="auto"/>
        <w:ind w:left="839" w:right="165" w:hanging="430"/>
      </w:pPr>
      <w:r>
        <w:rPr>
          <w:rFonts w:ascii="Times New Roman" w:eastAsia="Times New Roman" w:hAnsi="Times New Roman" w:cs="Times New Roman"/>
          <w:spacing w:val="3"/>
        </w:rPr>
        <w:t xml:space="preserve">b)    </w:t>
      </w:r>
      <w:r>
        <w:rPr>
          <w:spacing w:val="3"/>
        </w:rPr>
        <w:t>抵押价格评估过程中需要充分考虑并在估价报告中说明未来市场变化风险和预期</w:t>
      </w:r>
      <w:r>
        <w:rPr>
          <w:spacing w:val="2"/>
        </w:rPr>
        <w:t>强制处分等</w:t>
      </w:r>
      <w:r>
        <w:t xml:space="preserve"> </w:t>
      </w:r>
      <w:r>
        <w:rPr>
          <w:spacing w:val="-5"/>
        </w:rPr>
        <w:t>因素对抵押价格的影响。</w:t>
      </w:r>
    </w:p>
    <w:p>
      <w:pPr>
        <w:pStyle w:val="BodyText"/>
        <w:spacing w:line="237" w:lineRule="auto"/>
        <w:ind w:left="839" w:right="145" w:hanging="430"/>
      </w:pPr>
      <w:r>
        <w:rPr>
          <w:spacing w:val="-2"/>
        </w:rPr>
        <w:t>c)  对评估对象构成是否包括地上定着物，依据委托评估的有关文件确定，并在估价报告中进</w:t>
      </w:r>
      <w:r>
        <w:rPr>
          <w:spacing w:val="-3"/>
        </w:rPr>
        <w:t>行准</w:t>
      </w:r>
      <w:r>
        <w:t xml:space="preserve"> </w:t>
      </w:r>
      <w:r>
        <w:rPr>
          <w:spacing w:val="-8"/>
        </w:rPr>
        <w:t>确表述。</w:t>
      </w:r>
    </w:p>
    <w:p>
      <w:pPr>
        <w:pStyle w:val="BodyText"/>
        <w:spacing w:before="1" w:line="212" w:lineRule="auto"/>
        <w:ind w:left="409"/>
      </w:pPr>
      <w:r>
        <w:rPr>
          <w:rFonts w:ascii="Times New Roman" w:eastAsia="Times New Roman" w:hAnsi="Times New Roman" w:cs="Times New Roman"/>
        </w:rPr>
        <w:t xml:space="preserve">d)    </w:t>
      </w:r>
      <w:r>
        <w:t>园地抵押价格评估，可采用市场比较</w:t>
      </w:r>
      <w:r>
        <w:rPr>
          <w:spacing w:val="-1"/>
        </w:rPr>
        <w:t>法、收益还原法、公示地价系数修正进行评估。</w:t>
      </w:r>
    </w:p>
    <w:p>
      <w:pPr>
        <w:spacing w:before="167" w:line="221" w:lineRule="auto"/>
        <w:ind w:left="3"/>
        <w:outlineLvl w:val="0"/>
        <w:rPr>
          <w:rFonts w:ascii="SimHei" w:eastAsia="SimHei" w:hAnsi="SimHei" w:cs="SimHei"/>
          <w:sz w:val="21"/>
          <w:szCs w:val="21"/>
        </w:rPr>
      </w:pPr>
      <w:r>
        <w:rPr>
          <w:rFonts w:ascii="SimHei" w:eastAsia="SimHei" w:hAnsi="SimHei" w:cs="SimHei"/>
          <w:b/>
          <w:bCs/>
          <w:spacing w:val="8"/>
          <w:sz w:val="21"/>
          <w:szCs w:val="21"/>
        </w:rPr>
        <w:t>8.5</w:t>
      </w:r>
      <w:r>
        <w:rPr>
          <w:rFonts w:ascii="SimHei" w:eastAsia="SimHei" w:hAnsi="SimHei" w:cs="SimHei"/>
          <w:spacing w:val="8"/>
          <w:sz w:val="21"/>
          <w:szCs w:val="21"/>
        </w:rPr>
        <w:t xml:space="preserve">  </w:t>
      </w:r>
      <w:r>
        <w:rPr>
          <w:rFonts w:ascii="SimHei" w:eastAsia="SimHei" w:hAnsi="SimHei" w:cs="SimHei"/>
          <w:b/>
          <w:bCs/>
          <w:spacing w:val="8"/>
          <w:sz w:val="21"/>
          <w:szCs w:val="21"/>
        </w:rPr>
        <w:t>园地作价出资(入股)价格评估</w:t>
      </w:r>
    </w:p>
    <w:p>
      <w:pPr>
        <w:pStyle w:val="BodyText"/>
        <w:spacing w:before="131" w:line="239" w:lineRule="auto"/>
        <w:ind w:right="166" w:firstLine="409"/>
      </w:pPr>
      <w:r>
        <w:rPr>
          <w:spacing w:val="-1"/>
        </w:rPr>
        <w:t>园地作价出资(入股)是指以一定范围、</w:t>
      </w:r>
      <w:r>
        <w:rPr>
          <w:spacing w:val="45"/>
        </w:rPr>
        <w:t xml:space="preserve"> </w:t>
      </w:r>
      <w:r>
        <w:rPr>
          <w:spacing w:val="-1"/>
        </w:rPr>
        <w:t>一定年期的园地经营权，作为资本</w:t>
      </w:r>
      <w:r>
        <w:rPr>
          <w:spacing w:val="-2"/>
        </w:rPr>
        <w:t>进行投资入股并获取分</w:t>
      </w:r>
      <w:r>
        <w:t xml:space="preserve"> </w:t>
      </w:r>
      <w:r>
        <w:rPr>
          <w:spacing w:val="-7"/>
        </w:rPr>
        <w:t>红的行为。</w:t>
      </w:r>
    </w:p>
    <w:p>
      <w:pPr>
        <w:pStyle w:val="BodyText"/>
        <w:spacing w:before="27" w:line="225" w:lineRule="auto"/>
        <w:ind w:left="839" w:hanging="430"/>
        <w:sectPr>
          <w:headerReference w:type="default" r:id="rId113"/>
          <w:footerReference w:type="default" r:id="rId114"/>
          <w:pgSz w:w="11910" w:h="16840"/>
          <w:pgMar w:top="400" w:right="1005" w:bottom="1295" w:left="1410" w:header="0" w:footer="1146" w:gutter="0"/>
          <w:pgNumType w:start="23"/>
          <w:cols w:space="708"/>
        </w:sectPr>
      </w:pPr>
      <w:r>
        <w:rPr>
          <w:spacing w:val="2"/>
        </w:rPr>
        <w:t>a)  园地作价出资(入股)价格评估，首先应根据委托估</w:t>
      </w:r>
      <w:r>
        <w:rPr>
          <w:spacing w:val="1"/>
        </w:rPr>
        <w:t xml:space="preserve">价文件要求及评估对象具体情况，明确界  </w:t>
      </w:r>
      <w:r>
        <w:rPr>
          <w:spacing w:val="-4"/>
        </w:rPr>
        <w:t>定待估园地范围及其利用状况，然后根据评估对象的权利状况合理界定权利类型、使用期限等，</w:t>
      </w:r>
      <w:r>
        <w:rPr>
          <w:spacing w:val="1"/>
        </w:rPr>
        <w:t xml:space="preserve"> </w:t>
      </w:r>
      <w:r>
        <w:rPr>
          <w:spacing w:val="-4"/>
        </w:rPr>
        <w:t>准确界定评估价格内涵。</w:t>
      </w:r>
    </w:p>
    <w:p>
      <w:pPr>
        <w:pStyle w:val="BodyText"/>
        <w:spacing w:before="30" w:line="233" w:lineRule="auto"/>
        <w:ind w:left="839" w:right="164" w:hanging="430"/>
      </w:pPr>
      <w:r>
        <w:rPr>
          <w:rFonts w:ascii="Times New Roman" w:eastAsia="Times New Roman" w:hAnsi="Times New Roman" w:cs="Times New Roman"/>
          <w:spacing w:val="3"/>
        </w:rPr>
        <w:t xml:space="preserve">b)    </w:t>
      </w:r>
      <w:r>
        <w:rPr>
          <w:spacing w:val="3"/>
        </w:rPr>
        <w:t>对评估对象构成是否包括地上定着物，依据委托评估的有关文件及园地估价有关技</w:t>
      </w:r>
      <w:r>
        <w:rPr>
          <w:spacing w:val="2"/>
        </w:rPr>
        <w:t>术规范要</w:t>
      </w:r>
      <w:r>
        <w:t xml:space="preserve"> </w:t>
      </w:r>
      <w:r>
        <w:rPr>
          <w:spacing w:val="-3"/>
        </w:rPr>
        <w:t>求确定，并在估价报告中进行准确表述。</w:t>
      </w:r>
    </w:p>
    <w:p>
      <w:pPr>
        <w:pStyle w:val="BodyText"/>
        <w:spacing w:before="22" w:line="218" w:lineRule="auto"/>
        <w:ind w:left="409"/>
      </w:pPr>
      <w:r>
        <w:rPr>
          <w:spacing w:val="-3"/>
        </w:rPr>
        <w:t>c)  园地作价出资(入股)价格，宜选用市场比较法、收益还原法、公示地价系数修正法</w:t>
      </w:r>
      <w:r>
        <w:rPr>
          <w:spacing w:val="-4"/>
        </w:rPr>
        <w:t>进行评估。</w:t>
      </w:r>
    </w:p>
    <w:p>
      <w:pPr>
        <w:spacing w:before="259" w:line="221" w:lineRule="auto"/>
        <w:ind w:left="3"/>
        <w:rPr>
          <w:rFonts w:ascii="SimHei" w:eastAsia="SimHei" w:hAnsi="SimHei" w:cs="SimHei"/>
          <w:sz w:val="21"/>
          <w:szCs w:val="21"/>
        </w:rPr>
      </w:pPr>
      <w:r>
        <w:rPr>
          <w:rFonts w:ascii="SimHei" w:eastAsia="SimHei" w:hAnsi="SimHei" w:cs="SimHei"/>
          <w:b/>
          <w:bCs/>
          <w:spacing w:val="-4"/>
          <w:sz w:val="21"/>
          <w:szCs w:val="21"/>
        </w:rPr>
        <w:t>9</w:t>
      </w:r>
      <w:r>
        <w:rPr>
          <w:rFonts w:ascii="SimHei" w:eastAsia="SimHei" w:hAnsi="SimHei" w:cs="SimHei"/>
          <w:spacing w:val="99"/>
          <w:sz w:val="21"/>
          <w:szCs w:val="21"/>
        </w:rPr>
        <w:t xml:space="preserve"> </w:t>
      </w:r>
      <w:r>
        <w:rPr>
          <w:rFonts w:ascii="SimHei" w:eastAsia="SimHei" w:hAnsi="SimHei" w:cs="SimHei"/>
          <w:b/>
          <w:bCs/>
          <w:spacing w:val="-4"/>
          <w:sz w:val="21"/>
          <w:szCs w:val="21"/>
        </w:rPr>
        <w:t>不同类型园地宗地估价</w:t>
      </w:r>
    </w:p>
    <w:p>
      <w:pPr>
        <w:spacing w:before="279" w:line="222" w:lineRule="auto"/>
        <w:ind w:left="3"/>
        <w:outlineLvl w:val="0"/>
        <w:rPr>
          <w:rFonts w:ascii="SimHei" w:eastAsia="SimHei" w:hAnsi="SimHei" w:cs="SimHei"/>
          <w:sz w:val="21"/>
          <w:szCs w:val="21"/>
        </w:rPr>
      </w:pPr>
      <w:r>
        <w:rPr>
          <w:rFonts w:ascii="SimHei" w:eastAsia="SimHei" w:hAnsi="SimHei" w:cs="SimHei"/>
          <w:b/>
          <w:bCs/>
          <w:spacing w:val="-4"/>
          <w:sz w:val="21"/>
          <w:szCs w:val="21"/>
        </w:rPr>
        <w:t>9.1</w:t>
      </w:r>
      <w:r>
        <w:rPr>
          <w:rFonts w:ascii="SimHei" w:eastAsia="SimHei" w:hAnsi="SimHei" w:cs="SimHei"/>
          <w:spacing w:val="97"/>
          <w:sz w:val="21"/>
          <w:szCs w:val="21"/>
        </w:rPr>
        <w:t xml:space="preserve"> </w:t>
      </w:r>
      <w:r>
        <w:rPr>
          <w:rFonts w:ascii="SimHei" w:eastAsia="SimHei" w:hAnsi="SimHei" w:cs="SimHei"/>
          <w:b/>
          <w:bCs/>
          <w:spacing w:val="-4"/>
          <w:sz w:val="21"/>
          <w:szCs w:val="21"/>
        </w:rPr>
        <w:t>果园宗地价格评估</w:t>
      </w:r>
    </w:p>
    <w:p>
      <w:pPr>
        <w:pStyle w:val="BodyText"/>
        <w:spacing w:before="140" w:line="228" w:lineRule="auto"/>
        <w:ind w:right="162" w:firstLine="409"/>
      </w:pPr>
      <w:r>
        <w:rPr>
          <w:spacing w:val="-2"/>
        </w:rPr>
        <w:t>果园价格评估可根据其利用状况与所处地区条</w:t>
      </w:r>
      <w:r>
        <w:rPr>
          <w:spacing w:val="-3"/>
        </w:rPr>
        <w:t>件，采用市场比较法、收益还原法、成本逼近法、公</w:t>
      </w:r>
      <w:r>
        <w:t xml:space="preserve"> </w:t>
      </w:r>
      <w:r>
        <w:rPr>
          <w:spacing w:val="-1"/>
        </w:rPr>
        <w:t>示地价系数修正法等，各方法的具体公式、适用条件、参数要求等见GB/T</w:t>
      </w:r>
      <w:r>
        <w:rPr>
          <w:spacing w:val="37"/>
        </w:rPr>
        <w:t xml:space="preserve"> </w:t>
      </w:r>
      <w:r>
        <w:rPr>
          <w:spacing w:val="-1"/>
        </w:rPr>
        <w:t>28406-20</w:t>
      </w:r>
      <w:r>
        <w:rPr>
          <w:spacing w:val="-2"/>
        </w:rPr>
        <w:t>12。</w:t>
      </w:r>
    </w:p>
    <w:p>
      <w:pPr>
        <w:pStyle w:val="BodyText"/>
        <w:spacing w:before="22" w:line="218" w:lineRule="auto"/>
        <w:ind w:left="409"/>
      </w:pPr>
      <w:r>
        <w:rPr>
          <w:spacing w:val="-11"/>
        </w:rPr>
        <w:t>评估技术要点：</w:t>
      </w:r>
    </w:p>
    <w:p>
      <w:pPr>
        <w:spacing w:line="218" w:lineRule="auto"/>
        <w:sectPr>
          <w:headerReference w:type="default" r:id="rId115"/>
          <w:footerReference w:type="default" r:id="rId116"/>
          <w:type w:val="nextPage"/>
          <w:pgSz w:w="11910" w:h="16840"/>
          <w:pgMar w:top="400" w:right="1005" w:bottom="1295" w:left="1410" w:header="0" w:footer="1146" w:gutter="0"/>
          <w:pgNumType w:start="24"/>
          <w:cols w:space="708"/>
          <w:titlePg w:val="0"/>
        </w:sectPr>
      </w:pPr>
    </w:p>
    <w:p>
      <w:pPr>
        <w:pStyle w:val="BodyText"/>
        <w:spacing w:before="296" w:line="231" w:lineRule="auto"/>
        <w:ind w:left="863" w:right="53" w:hanging="427"/>
      </w:pPr>
      <w:r>
        <w:rPr>
          <w:spacing w:val="-2"/>
        </w:rPr>
        <w:t>a)  果园估价以大宗果品为主，区分不同果品主产区的地理条</w:t>
      </w:r>
      <w:r>
        <w:rPr>
          <w:spacing w:val="-3"/>
        </w:rPr>
        <w:t>件；区分热带、亚热带、温带等不同</w:t>
      </w:r>
      <w:r>
        <w:t xml:space="preserve"> </w:t>
      </w:r>
      <w:r>
        <w:rPr>
          <w:spacing w:val="-4"/>
        </w:rPr>
        <w:t>气候区果园的特点；</w:t>
      </w:r>
    </w:p>
    <w:p>
      <w:pPr>
        <w:pStyle w:val="BodyText"/>
        <w:spacing w:before="19" w:line="233" w:lineRule="auto"/>
        <w:ind w:left="862" w:right="53" w:hanging="430"/>
      </w:pPr>
      <w:r>
        <w:rPr>
          <w:spacing w:val="-4"/>
        </w:rPr>
        <w:t>b)  在评估果园价格时，</w:t>
      </w:r>
      <w:r>
        <w:rPr>
          <w:spacing w:val="-56"/>
        </w:rPr>
        <w:t xml:space="preserve"> </w:t>
      </w:r>
      <w:r>
        <w:rPr>
          <w:spacing w:val="-4"/>
        </w:rPr>
        <w:t>首先考虑是否包含果树，</w:t>
      </w:r>
      <w:r>
        <w:rPr>
          <w:spacing w:val="-59"/>
        </w:rPr>
        <w:t xml:space="preserve"> </w:t>
      </w:r>
      <w:r>
        <w:rPr>
          <w:spacing w:val="-4"/>
        </w:rPr>
        <w:t>若包含果</w:t>
      </w:r>
      <w:r>
        <w:rPr>
          <w:spacing w:val="-5"/>
        </w:rPr>
        <w:t>树，则应以果品产量为主要依据分析其</w:t>
      </w:r>
      <w:r>
        <w:t xml:space="preserve"> </w:t>
      </w:r>
      <w:r>
        <w:rPr>
          <w:spacing w:val="-3"/>
        </w:rPr>
        <w:t>生产能力和收益水平，考虑果树的品种、树龄、挂果期及有关设施对果园价格的影响；若不包</w:t>
      </w:r>
      <w:r>
        <w:rPr>
          <w:spacing w:val="10"/>
        </w:rPr>
        <w:t xml:space="preserve"> </w:t>
      </w:r>
      <w:r>
        <w:rPr>
          <w:spacing w:val="-1"/>
        </w:rPr>
        <w:t>含果树，应在最终价格中扣除地上附着果树</w:t>
      </w:r>
      <w:r>
        <w:rPr>
          <w:spacing w:val="-2"/>
        </w:rPr>
        <w:t>树体价值；</w:t>
      </w:r>
    </w:p>
    <w:p>
      <w:pPr>
        <w:pStyle w:val="BodyText"/>
        <w:spacing w:before="23" w:line="233" w:lineRule="auto"/>
        <w:ind w:left="862" w:right="54" w:hanging="422"/>
      </w:pPr>
      <w:r>
        <w:rPr>
          <w:spacing w:val="-5"/>
        </w:rPr>
        <w:t>c)  果树树体价格测算，</w:t>
      </w:r>
      <w:r>
        <w:rPr>
          <w:spacing w:val="-39"/>
        </w:rPr>
        <w:t xml:space="preserve"> </w:t>
      </w:r>
      <w:r>
        <w:rPr>
          <w:spacing w:val="-5"/>
        </w:rPr>
        <w:t>先明确树体是否具有作为园地继续使用价值，</w:t>
      </w:r>
      <w:r>
        <w:rPr>
          <w:spacing w:val="-56"/>
        </w:rPr>
        <w:t xml:space="preserve"> </w:t>
      </w:r>
      <w:r>
        <w:rPr>
          <w:spacing w:val="-5"/>
        </w:rPr>
        <w:t>如果附着苗木、果树具有继</w:t>
      </w:r>
      <w:r>
        <w:t xml:space="preserve"> </w:t>
      </w:r>
      <w:r>
        <w:rPr>
          <w:spacing w:val="-3"/>
        </w:rPr>
        <w:t>续使用的价值，则按苗木、果树种植培育过程中的树体市场价值进行测算；如果附着苗木、果</w:t>
      </w:r>
      <w:r>
        <w:rPr>
          <w:spacing w:val="8"/>
        </w:rPr>
        <w:t xml:space="preserve"> </w:t>
      </w:r>
      <w:r>
        <w:t>树不具有继续使用的价值，则按树体木材价值和砍伐成本进行</w:t>
      </w:r>
      <w:r>
        <w:rPr>
          <w:spacing w:val="-1"/>
        </w:rPr>
        <w:t>测算；</w:t>
      </w:r>
    </w:p>
    <w:p>
      <w:pPr>
        <w:pStyle w:val="BodyText"/>
        <w:spacing w:before="21" w:line="230" w:lineRule="auto"/>
        <w:ind w:left="862" w:right="54" w:hanging="422"/>
      </w:pPr>
      <w:r>
        <w:rPr>
          <w:spacing w:val="2"/>
        </w:rPr>
        <w:t>d)  名特优果品产区应适当考虑特殊土壤及气候条件对果园利用产生的垄断收益和垄断价格，包</w:t>
      </w:r>
      <w:r>
        <w:rPr>
          <w:spacing w:val="12"/>
        </w:rPr>
        <w:t xml:space="preserve"> </w:t>
      </w:r>
      <w:r>
        <w:rPr>
          <w:spacing w:val="-1"/>
        </w:rPr>
        <w:t>括土层厚度、土壤理化条件、名特优果品的市场价格变化等；</w:t>
      </w:r>
    </w:p>
    <w:p>
      <w:pPr>
        <w:pStyle w:val="BodyText"/>
        <w:spacing w:before="22" w:line="219" w:lineRule="auto"/>
        <w:ind w:left="440"/>
      </w:pPr>
      <w:r>
        <w:t>e)  采用收益还原法评估果园价格时，应关注以下内</w:t>
      </w:r>
      <w:r>
        <w:rPr>
          <w:spacing w:val="-1"/>
        </w:rPr>
        <w:t>容：</w:t>
      </w:r>
    </w:p>
    <w:p>
      <w:pPr>
        <w:pStyle w:val="BodyText"/>
        <w:spacing w:before="27" w:line="234" w:lineRule="auto"/>
        <w:ind w:left="1288" w:right="54" w:hanging="410"/>
      </w:pPr>
      <w:r>
        <w:rPr>
          <w:spacing w:val="-3"/>
        </w:rPr>
        <w:t>1)  考虑果树的生态习性、生长阶段，根据果树在幼树期、初果期、盛果期、衰老期的生产特</w:t>
      </w:r>
      <w:r>
        <w:t xml:space="preserve"> </w:t>
      </w:r>
      <w:r>
        <w:rPr>
          <w:spacing w:val="-3"/>
        </w:rPr>
        <w:t>点分析果园在不同时期的生产能力及其收益水平，以果品田间收购价格为依据，分阶</w:t>
      </w:r>
      <w:r>
        <w:rPr>
          <w:spacing w:val="-4"/>
        </w:rPr>
        <w:t>段计</w:t>
      </w:r>
      <w:r>
        <w:t xml:space="preserve"> </w:t>
      </w:r>
      <w:r>
        <w:rPr>
          <w:spacing w:val="-4"/>
        </w:rPr>
        <w:t>算年总收益及年总费用；</w:t>
      </w:r>
      <w:r>
        <w:rPr>
          <w:spacing w:val="-59"/>
        </w:rPr>
        <w:t xml:space="preserve"> </w:t>
      </w:r>
      <w:r>
        <w:rPr>
          <w:spacing w:val="-4"/>
        </w:rPr>
        <w:t>若存在园地间作、套种或种养结合等情形，</w:t>
      </w:r>
      <w:r>
        <w:rPr>
          <w:spacing w:val="-5"/>
        </w:rPr>
        <w:t>则需额外考虑其他经</w:t>
      </w:r>
      <w:r>
        <w:t xml:space="preserve"> </w:t>
      </w:r>
      <w:r>
        <w:rPr>
          <w:spacing w:val="-7"/>
        </w:rPr>
        <w:t>营年收入；</w:t>
      </w:r>
    </w:p>
    <w:p>
      <w:pPr>
        <w:pStyle w:val="BodyText"/>
        <w:spacing w:before="19" w:line="230" w:lineRule="auto"/>
        <w:ind w:left="866" w:right="197" w:hanging="1"/>
      </w:pPr>
      <w:r>
        <w:rPr>
          <w:spacing w:val="-1"/>
        </w:rPr>
        <w:t>2)  对于产量有大、小年规律的果树，收益和费用数据宜采用连续若干年期的</w:t>
      </w:r>
      <w:r>
        <w:rPr>
          <w:spacing w:val="-2"/>
        </w:rPr>
        <w:t>客观平均值；</w:t>
      </w:r>
      <w:r>
        <w:t xml:space="preserve"> </w:t>
      </w:r>
      <w:r>
        <w:rPr>
          <w:spacing w:val="-3"/>
        </w:rPr>
        <w:t>3)  在经济寿命周期末年，应根据估价设定条件，</w:t>
      </w:r>
      <w:r>
        <w:rPr>
          <w:spacing w:val="-19"/>
        </w:rPr>
        <w:t xml:space="preserve"> </w:t>
      </w:r>
      <w:r>
        <w:rPr>
          <w:spacing w:val="-3"/>
        </w:rPr>
        <w:t>考虑是否包含地上果树的木材收益；</w:t>
      </w:r>
    </w:p>
    <w:p>
      <w:pPr>
        <w:pStyle w:val="BodyText"/>
        <w:spacing w:before="22" w:line="220" w:lineRule="auto"/>
        <w:ind w:left="862"/>
      </w:pPr>
      <w:r>
        <w:rPr>
          <w:spacing w:val="-2"/>
        </w:rPr>
        <w:t>4)  年总费用核算时，应考虑销售费用；</w:t>
      </w:r>
    </w:p>
    <w:p>
      <w:pPr>
        <w:pStyle w:val="BodyText"/>
        <w:spacing w:before="23" w:line="221" w:lineRule="auto"/>
        <w:ind w:left="867"/>
      </w:pPr>
      <w:r>
        <w:rPr>
          <w:spacing w:val="-1"/>
        </w:rPr>
        <w:t>5)  对于投入所形成的固定资产，按其使用年限摊销费用；</w:t>
      </w:r>
    </w:p>
    <w:p>
      <w:pPr>
        <w:pStyle w:val="BodyText"/>
        <w:spacing w:before="20" w:line="230" w:lineRule="auto"/>
        <w:ind w:left="1294" w:right="54" w:hanging="430"/>
      </w:pPr>
      <w:r>
        <w:rPr>
          <w:spacing w:val="-5"/>
        </w:rPr>
        <w:t>6)  确定还原率时，</w:t>
      </w:r>
      <w:r>
        <w:rPr>
          <w:spacing w:val="-52"/>
        </w:rPr>
        <w:t xml:space="preserve"> </w:t>
      </w:r>
      <w:r>
        <w:rPr>
          <w:spacing w:val="-5"/>
        </w:rPr>
        <w:t>应综合考虑经营投入高、周期长、市场不确定性大等风险</w:t>
      </w:r>
      <w:r>
        <w:rPr>
          <w:spacing w:val="-6"/>
        </w:rPr>
        <w:t>，</w:t>
      </w:r>
      <w:r>
        <w:rPr>
          <w:spacing w:val="-51"/>
        </w:rPr>
        <w:t xml:space="preserve"> </w:t>
      </w:r>
      <w:r>
        <w:rPr>
          <w:spacing w:val="-6"/>
        </w:rPr>
        <w:t>可采用土地纯</w:t>
      </w:r>
      <w:r>
        <w:t xml:space="preserve"> </w:t>
      </w:r>
      <w:r>
        <w:rPr>
          <w:spacing w:val="-3"/>
        </w:rPr>
        <w:t>收益与价格比率法、安全利率加风险调整值法、投资风险与投资收益率</w:t>
      </w:r>
      <w:r>
        <w:rPr>
          <w:spacing w:val="-4"/>
        </w:rPr>
        <w:t>综合排序插入法等</w:t>
      </w:r>
    </w:p>
    <w:p>
      <w:pPr>
        <w:pStyle w:val="BodyText"/>
        <w:spacing w:before="21" w:line="241" w:lineRule="auto"/>
        <w:ind w:left="1288"/>
      </w:pPr>
      <w:r>
        <w:rPr>
          <w:spacing w:val="-1"/>
        </w:rPr>
        <w:t>方法确定还原率，具体参见</w:t>
      </w:r>
      <w:r>
        <w:rPr>
          <w:spacing w:val="-46"/>
        </w:rPr>
        <w:t xml:space="preserve"> </w:t>
      </w:r>
      <w:r>
        <w:rPr>
          <w:spacing w:val="-1"/>
        </w:rPr>
        <w:t>GB/T 18508-20</w:t>
      </w:r>
      <w:r>
        <w:rPr>
          <w:spacing w:val="-2"/>
        </w:rPr>
        <w:t>14 6.2.7</w:t>
      </w:r>
      <w:r>
        <w:rPr>
          <w:spacing w:val="-27"/>
        </w:rPr>
        <w:t xml:space="preserve"> </w:t>
      </w:r>
      <w:r>
        <w:rPr>
          <w:spacing w:val="-2"/>
        </w:rPr>
        <w:t>的要求执行。</w:t>
      </w:r>
    </w:p>
    <w:p>
      <w:pPr>
        <w:pStyle w:val="BodyText"/>
        <w:spacing w:before="1" w:line="219" w:lineRule="auto"/>
        <w:ind w:left="439"/>
      </w:pPr>
      <w:r>
        <w:t>f)  采用市场比较法评估果园价格时，应关注以下内容：</w:t>
      </w:r>
    </w:p>
    <w:p>
      <w:pPr>
        <w:pStyle w:val="BodyText"/>
        <w:spacing w:before="22" w:line="219" w:lineRule="auto"/>
        <w:ind w:left="878"/>
      </w:pPr>
      <w:r>
        <w:t>1)  应关注比较实例交易价格的构成与待估园地是否</w:t>
      </w:r>
      <w:r>
        <w:rPr>
          <w:spacing w:val="-1"/>
        </w:rPr>
        <w:t>一致，若不一致应进行调整；</w:t>
      </w:r>
    </w:p>
    <w:p>
      <w:pPr>
        <w:pStyle w:val="BodyText"/>
        <w:spacing w:before="24" w:line="220" w:lineRule="auto"/>
        <w:ind w:left="865"/>
      </w:pPr>
      <w:r>
        <w:rPr>
          <w:spacing w:val="-1"/>
        </w:rPr>
        <w:t>2)  比较实例一般应选择相同权属和权利状况的交易实例，需考虑年期不同的情况；</w:t>
      </w:r>
    </w:p>
    <w:p>
      <w:pPr>
        <w:pStyle w:val="BodyText"/>
        <w:spacing w:before="20" w:line="231" w:lineRule="auto"/>
        <w:ind w:left="1285" w:right="54" w:hanging="418"/>
      </w:pPr>
      <w:r>
        <w:rPr>
          <w:spacing w:val="-4"/>
        </w:rPr>
        <w:t>3)  若比较实例的果园类型、果树品种、果树生长期与待估园地不一致时，</w:t>
      </w:r>
      <w:r>
        <w:rPr>
          <w:spacing w:val="-50"/>
        </w:rPr>
        <w:t xml:space="preserve"> </w:t>
      </w:r>
      <w:r>
        <w:rPr>
          <w:spacing w:val="-4"/>
        </w:rPr>
        <w:t>应对比较实例价格</w:t>
      </w:r>
      <w:r>
        <w:t xml:space="preserve"> </w:t>
      </w:r>
      <w:r>
        <w:rPr>
          <w:spacing w:val="-6"/>
        </w:rPr>
        <w:t>进行修正；</w:t>
      </w:r>
    </w:p>
    <w:p>
      <w:pPr>
        <w:pStyle w:val="BodyText"/>
        <w:spacing w:before="21" w:line="230" w:lineRule="auto"/>
        <w:ind w:left="1285" w:right="54" w:hanging="423"/>
      </w:pPr>
      <w:r>
        <w:rPr>
          <w:spacing w:val="-3"/>
        </w:rPr>
        <w:t>4)  若比较实例地上附着物情况不一致时，可按照附着果树、苗木的市场价值或者果树树体砍</w:t>
      </w:r>
      <w:r>
        <w:rPr>
          <w:spacing w:val="17"/>
        </w:rPr>
        <w:t xml:space="preserve"> </w:t>
      </w:r>
      <w:r>
        <w:rPr>
          <w:spacing w:val="-3"/>
        </w:rPr>
        <w:t>伐成本来进行修正；</w:t>
      </w:r>
    </w:p>
    <w:p>
      <w:pPr>
        <w:pStyle w:val="BodyText"/>
        <w:spacing w:before="21" w:line="219" w:lineRule="auto"/>
        <w:jc w:val="right"/>
      </w:pPr>
      <w:r>
        <w:rPr>
          <w:spacing w:val="-1"/>
        </w:rPr>
        <w:t>5)  若比较实例的果园设施状况和经营方式与待</w:t>
      </w:r>
      <w:r>
        <w:rPr>
          <w:spacing w:val="-2"/>
        </w:rPr>
        <w:t>估果园的情况不一致时，应进行一致性修正；</w:t>
      </w:r>
    </w:p>
    <w:p>
      <w:pPr>
        <w:pStyle w:val="BodyText"/>
        <w:spacing w:before="26" w:line="229" w:lineRule="auto"/>
        <w:ind w:left="1287" w:right="53" w:hanging="423"/>
      </w:pPr>
      <w:r>
        <w:rPr>
          <w:spacing w:val="-4"/>
        </w:rPr>
        <w:t>6)  比较实例数量应达到 3 个以上（含 3 个</w:t>
      </w:r>
      <w:r>
        <w:rPr>
          <w:spacing w:val="-6"/>
        </w:rPr>
        <w:t>）</w:t>
      </w:r>
      <w:r>
        <w:rPr>
          <w:spacing w:val="-27"/>
        </w:rPr>
        <w:t xml:space="preserve"> </w:t>
      </w:r>
      <w:r>
        <w:rPr>
          <w:spacing w:val="-6"/>
        </w:rPr>
        <w:t>，</w:t>
      </w:r>
      <w:r>
        <w:rPr>
          <w:spacing w:val="-4"/>
        </w:rPr>
        <w:t>且估价期日距比较实例的交易日不宜超过 3</w:t>
      </w:r>
      <w:r>
        <w:t xml:space="preserve"> </w:t>
      </w:r>
      <w:r>
        <w:rPr>
          <w:spacing w:val="-10"/>
        </w:rPr>
        <w:t>年。</w:t>
      </w:r>
    </w:p>
    <w:p>
      <w:pPr>
        <w:spacing w:before="142" w:line="220" w:lineRule="auto"/>
        <w:rPr>
          <w:rFonts w:ascii="SimHei" w:eastAsia="SimHei" w:hAnsi="SimHei" w:cs="SimHei"/>
          <w:sz w:val="21"/>
          <w:szCs w:val="21"/>
        </w:rPr>
      </w:pPr>
      <w:r>
        <w:rPr>
          <w:rFonts w:ascii="SimHei" w:eastAsia="SimHei" w:hAnsi="SimHei" w:cs="SimHei"/>
          <w:sz w:val="21"/>
          <w:szCs w:val="21"/>
        </w:rPr>
        <w:drawing>
          <wp:inline distT="0" distB="0" distL="0" distR="0">
            <wp:extent cx="198119" cy="99059"/>
            <wp:effectExtent l="0" t="0" r="0" b="0"/>
            <wp:docPr id="184" name="IM 184"/>
            <wp:cNvGraphicFramePr/>
            <a:graphic xmlns:a="http://schemas.openxmlformats.org/drawingml/2006/main">
              <a:graphicData uri="http://schemas.openxmlformats.org/drawingml/2006/picture">
                <pic:pic xmlns:pic="http://schemas.openxmlformats.org/drawingml/2006/picture">
                  <pic:nvPicPr>
                    <pic:cNvPr id="184" name="IM 184"/>
                    <pic:cNvPicPr/>
                  </pic:nvPicPr>
                  <pic:blipFill>
                    <a:blip xmlns:r="http://schemas.openxmlformats.org/officeDocument/2006/relationships" r:embed="rId117"/>
                    <a:stretch>
                      <a:fillRect/>
                    </a:stretch>
                  </pic:blipFill>
                  <pic:spPr>
                    <a:xfrm>
                      <a:off x="0" y="0"/>
                      <a:ext cx="198119" cy="99059"/>
                    </a:xfrm>
                    <a:prstGeom prst="rect">
                      <a:avLst/>
                    </a:prstGeom>
                  </pic:spPr>
                </pic:pic>
              </a:graphicData>
            </a:graphic>
          </wp:inline>
        </w:drawing>
      </w:r>
      <w:r>
        <w:rPr>
          <w:rFonts w:ascii="SimHei" w:eastAsia="SimHei" w:hAnsi="SimHei" w:cs="SimHei"/>
          <w:spacing w:val="8"/>
          <w:sz w:val="21"/>
          <w:szCs w:val="21"/>
        </w:rPr>
        <w:t xml:space="preserve">  </w:t>
      </w:r>
      <w:r>
        <w:rPr>
          <w:rFonts w:ascii="SimHei" w:eastAsia="SimHei" w:hAnsi="SimHei" w:cs="SimHei"/>
          <w:spacing w:val="-1"/>
          <w:sz w:val="21"/>
          <w:szCs w:val="21"/>
        </w:rPr>
        <w:t>茶园宗地价格评估</w:t>
      </w:r>
    </w:p>
    <w:p>
      <w:pPr>
        <w:pStyle w:val="BodyText"/>
        <w:spacing w:before="142" w:line="230" w:lineRule="auto"/>
        <w:ind w:left="11" w:right="54" w:firstLine="421"/>
      </w:pPr>
      <w:r>
        <w:rPr>
          <w:spacing w:val="-4"/>
        </w:rPr>
        <w:t>茶园价格评估可根据其利用状况与所处地区条件，</w:t>
      </w:r>
      <w:r>
        <w:rPr>
          <w:spacing w:val="-36"/>
        </w:rPr>
        <w:t xml:space="preserve"> </w:t>
      </w:r>
      <w:r>
        <w:rPr>
          <w:spacing w:val="-4"/>
        </w:rPr>
        <w:t>采用市场比较法、收益还原法、成本逼近法、公</w:t>
      </w:r>
      <w:r>
        <w:t xml:space="preserve"> </w:t>
      </w:r>
      <w:r>
        <w:t>示地价系数修正法等，各方法的具体公式、适用条件、参数要求等见GB/T 28406-</w:t>
      </w:r>
      <w:r>
        <w:rPr>
          <w:spacing w:val="-1"/>
        </w:rPr>
        <w:t>2012。</w:t>
      </w:r>
    </w:p>
    <w:p>
      <w:pPr>
        <w:pStyle w:val="BodyText"/>
        <w:spacing w:before="22" w:line="219" w:lineRule="auto"/>
        <w:ind w:left="430"/>
      </w:pPr>
      <w:r>
        <w:rPr>
          <w:spacing w:val="-5"/>
        </w:rPr>
        <w:t>评估技术要点：</w:t>
      </w:r>
    </w:p>
    <w:p>
      <w:pPr>
        <w:pStyle w:val="BodyText"/>
        <w:spacing w:before="22" w:line="219" w:lineRule="auto"/>
        <w:ind w:left="436"/>
        <w:sectPr>
          <w:headerReference w:type="default" r:id="rId118"/>
          <w:footerReference w:type="default" r:id="rId119"/>
          <w:pgSz w:w="11907" w:h="16839"/>
          <w:pgMar w:top="1659" w:right="1074" w:bottom="1305" w:left="1416" w:header="1448" w:footer="1128" w:gutter="0"/>
          <w:pgNumType w:start="25"/>
          <w:cols w:space="708"/>
        </w:sectPr>
      </w:pPr>
      <w:r>
        <w:rPr>
          <w:spacing w:val="-1"/>
        </w:rPr>
        <w:t>a)  茶园价格评估应以茶青为主，并注意区分不同产茶区的自然地理条件；</w:t>
      </w:r>
    </w:p>
    <w:p>
      <w:pPr>
        <w:pStyle w:val="BodyText"/>
        <w:spacing w:before="24" w:line="229" w:lineRule="auto"/>
        <w:ind w:left="865" w:right="53" w:hanging="433"/>
      </w:pPr>
      <w:r>
        <w:rPr>
          <w:spacing w:val="-2"/>
        </w:rPr>
        <w:t>b)  根据估价设定条件，如包含地上茶园作物和有关基础设施，应考虑</w:t>
      </w:r>
      <w:r>
        <w:rPr>
          <w:spacing w:val="-3"/>
        </w:rPr>
        <w:t>茶园作物的现状价格或有关</w:t>
      </w:r>
      <w:r>
        <w:t xml:space="preserve"> </w:t>
      </w:r>
      <w:r>
        <w:rPr>
          <w:spacing w:val="-3"/>
        </w:rPr>
        <w:t>设施对茶园价格的影响；</w:t>
      </w:r>
    </w:p>
    <w:p>
      <w:pPr>
        <w:pStyle w:val="BodyText"/>
        <w:spacing w:before="24" w:line="219" w:lineRule="auto"/>
        <w:ind w:left="440"/>
      </w:pPr>
      <w:r>
        <w:rPr>
          <w:spacing w:val="-1"/>
        </w:rPr>
        <w:t>c)  适当考虑特殊土壤及气候条件对名茶种植产生的垄断收益和垄断价格；</w:t>
      </w:r>
    </w:p>
    <w:p>
      <w:pPr>
        <w:pStyle w:val="BodyText"/>
        <w:spacing w:before="22" w:line="235" w:lineRule="auto"/>
        <w:ind w:left="879" w:right="53" w:hanging="439"/>
      </w:pPr>
      <w:r>
        <w:rPr>
          <w:spacing w:val="-2"/>
        </w:rPr>
        <w:t>d)  采用收益还原法评估茶园价格，需注意不同茶种</w:t>
      </w:r>
      <w:r>
        <w:rPr>
          <w:spacing w:val="-3"/>
        </w:rPr>
        <w:t>的产量和收益差异，以及同一茶种不同季节的</w:t>
      </w:r>
      <w:r>
        <w:t xml:space="preserve"> </w:t>
      </w:r>
      <w:r>
        <w:rPr>
          <w:spacing w:val="-3"/>
        </w:rPr>
        <w:t>品质和收益差异；根据茶树所处幼苗期、幼龄期、成年期、衰老期不同的生长阶</w:t>
      </w:r>
      <w:r>
        <w:rPr>
          <w:spacing w:val="-4"/>
        </w:rPr>
        <w:t>段，确定茶园</w:t>
      </w:r>
      <w:r>
        <w:t xml:space="preserve"> </w:t>
      </w:r>
      <w:r>
        <w:rPr>
          <w:spacing w:val="-4"/>
        </w:rPr>
        <w:t>的生产能力及其收益水平；确定还原率时，</w:t>
      </w:r>
      <w:r>
        <w:rPr>
          <w:spacing w:val="-50"/>
        </w:rPr>
        <w:t xml:space="preserve"> </w:t>
      </w:r>
      <w:r>
        <w:rPr>
          <w:spacing w:val="-4"/>
        </w:rPr>
        <w:t>应充</w:t>
      </w:r>
      <w:r>
        <w:rPr>
          <w:spacing w:val="-5"/>
        </w:rPr>
        <w:t>分考虑经营投入、生长周期、市场供需变化等</w:t>
      </w:r>
      <w:r>
        <w:t xml:space="preserve"> </w:t>
      </w:r>
      <w:r>
        <w:rPr>
          <w:spacing w:val="-4"/>
        </w:rPr>
        <w:t>因素对茶园收益产生的风险；</w:t>
      </w:r>
    </w:p>
    <w:p>
      <w:pPr>
        <w:pStyle w:val="BodyText"/>
        <w:spacing w:before="21" w:line="233" w:lineRule="auto"/>
        <w:ind w:left="863" w:right="53" w:hanging="423"/>
      </w:pPr>
      <w:r>
        <w:rPr>
          <w:spacing w:val="-4"/>
        </w:rPr>
        <w:t>e)  采用市场比较法进行评估时，</w:t>
      </w:r>
      <w:r>
        <w:rPr>
          <w:spacing w:val="-36"/>
        </w:rPr>
        <w:t xml:space="preserve"> </w:t>
      </w:r>
      <w:r>
        <w:rPr>
          <w:spacing w:val="-4"/>
        </w:rPr>
        <w:t>比较实例的茶树品种、茶青采摘制度及茶园经营条件等因素需与</w:t>
      </w:r>
      <w:r>
        <w:t xml:space="preserve"> </w:t>
      </w:r>
      <w:r>
        <w:rPr>
          <w:spacing w:val="-4"/>
        </w:rPr>
        <w:t>待估园地一致或接近。比较实例数量应达到</w:t>
      </w:r>
      <w:r>
        <w:rPr>
          <w:spacing w:val="-39"/>
        </w:rPr>
        <w:t xml:space="preserve"> </w:t>
      </w:r>
      <w:r>
        <w:rPr>
          <w:spacing w:val="-4"/>
        </w:rPr>
        <w:t>3</w:t>
      </w:r>
      <w:r>
        <w:rPr>
          <w:spacing w:val="-46"/>
        </w:rPr>
        <w:t xml:space="preserve"> </w:t>
      </w:r>
      <w:r>
        <w:rPr>
          <w:spacing w:val="-4"/>
        </w:rPr>
        <w:t>个以上（含</w:t>
      </w:r>
      <w:r>
        <w:rPr>
          <w:spacing w:val="-40"/>
        </w:rPr>
        <w:t xml:space="preserve"> </w:t>
      </w:r>
      <w:r>
        <w:rPr>
          <w:spacing w:val="-4"/>
        </w:rPr>
        <w:t>3</w:t>
      </w:r>
      <w:r>
        <w:rPr>
          <w:spacing w:val="-46"/>
        </w:rPr>
        <w:t xml:space="preserve"> </w:t>
      </w:r>
      <w:r>
        <w:rPr>
          <w:spacing w:val="-4"/>
        </w:rPr>
        <w:t>个</w:t>
      </w:r>
      <w:r>
        <w:rPr>
          <w:spacing w:val="5"/>
        </w:rPr>
        <w:t>），</w:t>
      </w:r>
      <w:r>
        <w:rPr>
          <w:spacing w:val="-4"/>
        </w:rPr>
        <w:t>且估价期日</w:t>
      </w:r>
      <w:r>
        <w:rPr>
          <w:spacing w:val="-5"/>
        </w:rPr>
        <w:t>距比较实例的交</w:t>
      </w:r>
      <w:r>
        <w:t xml:space="preserve"> </w:t>
      </w:r>
      <w:r>
        <w:rPr>
          <w:spacing w:val="-5"/>
        </w:rPr>
        <w:t>易日不宜超过</w:t>
      </w:r>
      <w:r>
        <w:rPr>
          <w:spacing w:val="-34"/>
        </w:rPr>
        <w:t xml:space="preserve"> </w:t>
      </w:r>
      <w:r>
        <w:rPr>
          <w:spacing w:val="-5"/>
        </w:rPr>
        <w:t>3</w:t>
      </w:r>
      <w:r>
        <w:rPr>
          <w:spacing w:val="-45"/>
        </w:rPr>
        <w:t xml:space="preserve"> </w:t>
      </w:r>
      <w:r>
        <w:rPr>
          <w:spacing w:val="-5"/>
        </w:rPr>
        <w:t>年。</w:t>
      </w:r>
    </w:p>
    <w:p>
      <w:pPr>
        <w:spacing w:before="143" w:line="219" w:lineRule="auto"/>
        <w:rPr>
          <w:rFonts w:ascii="SimHei" w:eastAsia="SimHei" w:hAnsi="SimHei" w:cs="SimHei"/>
          <w:sz w:val="21"/>
          <w:szCs w:val="21"/>
        </w:rPr>
      </w:pPr>
      <w:r>
        <w:rPr>
          <w:rFonts w:ascii="SimHei" w:eastAsia="SimHei" w:hAnsi="SimHei" w:cs="SimHei"/>
          <w:sz w:val="21"/>
          <w:szCs w:val="21"/>
        </w:rPr>
        <w:drawing>
          <wp:inline distT="0" distB="0" distL="0" distR="0">
            <wp:extent cx="198119" cy="99060"/>
            <wp:effectExtent l="0" t="0" r="0" b="0"/>
            <wp:docPr id="186" name="IM 186"/>
            <wp:cNvGraphicFramePr/>
            <a:graphic xmlns:a="http://schemas.openxmlformats.org/drawingml/2006/main">
              <a:graphicData uri="http://schemas.openxmlformats.org/drawingml/2006/picture">
                <pic:pic xmlns:pic="http://schemas.openxmlformats.org/drawingml/2006/picture">
                  <pic:nvPicPr>
                    <pic:cNvPr id="186" name="IM 186"/>
                    <pic:cNvPicPr/>
                  </pic:nvPicPr>
                  <pic:blipFill>
                    <a:blip xmlns:r="http://schemas.openxmlformats.org/officeDocument/2006/relationships" r:embed="rId120"/>
                    <a:stretch>
                      <a:fillRect/>
                    </a:stretch>
                  </pic:blipFill>
                  <pic:spPr>
                    <a:xfrm>
                      <a:off x="0" y="0"/>
                      <a:ext cx="198119" cy="99060"/>
                    </a:xfrm>
                    <a:prstGeom prst="rect">
                      <a:avLst/>
                    </a:prstGeom>
                  </pic:spPr>
                </pic:pic>
              </a:graphicData>
            </a:graphic>
          </wp:inline>
        </w:drawing>
      </w:r>
      <w:r>
        <w:rPr>
          <w:rFonts w:ascii="SimHei" w:eastAsia="SimHei" w:hAnsi="SimHei" w:cs="SimHei"/>
          <w:spacing w:val="9"/>
          <w:sz w:val="21"/>
          <w:szCs w:val="21"/>
        </w:rPr>
        <w:t xml:space="preserve">  </w:t>
      </w:r>
      <w:r>
        <w:rPr>
          <w:rFonts w:ascii="SimHei" w:eastAsia="SimHei" w:hAnsi="SimHei" w:cs="SimHei"/>
          <w:spacing w:val="-1"/>
          <w:sz w:val="21"/>
          <w:szCs w:val="21"/>
        </w:rPr>
        <w:t>橡胶园宗地价格评估</w:t>
      </w:r>
    </w:p>
    <w:p>
      <w:pPr>
        <w:spacing w:line="219" w:lineRule="auto"/>
        <w:rPr>
          <w:rFonts w:ascii="SimHei" w:eastAsia="SimHei" w:hAnsi="SimHei" w:cs="SimHei"/>
          <w:sz w:val="21"/>
          <w:szCs w:val="21"/>
        </w:rPr>
        <w:sectPr>
          <w:headerReference w:type="default" r:id="rId121"/>
          <w:footerReference w:type="default" r:id="rId122"/>
          <w:type w:val="nextPage"/>
          <w:pgSz w:w="11907" w:h="16839"/>
          <w:pgMar w:top="1659" w:right="1074" w:bottom="1305" w:left="1416" w:header="1448" w:footer="1128" w:gutter="0"/>
          <w:pgNumType w:start="26"/>
          <w:cols w:space="708"/>
          <w:titlePg w:val="0"/>
        </w:sectPr>
      </w:pPr>
    </w:p>
    <w:p>
      <w:pPr>
        <w:pStyle w:val="BodyText"/>
        <w:spacing w:before="296" w:line="231" w:lineRule="auto"/>
        <w:ind w:left="11" w:firstLine="418"/>
      </w:pPr>
      <w:r>
        <w:rPr>
          <w:spacing w:val="-2"/>
        </w:rPr>
        <w:t>橡胶园价格评估可采用成本逼近法、市场比较法、收益还原法、公</w:t>
      </w:r>
      <w:r>
        <w:rPr>
          <w:spacing w:val="-3"/>
        </w:rPr>
        <w:t>示地价系数修正法等方法，各方</w:t>
      </w:r>
      <w:r>
        <w:t xml:space="preserve"> </w:t>
      </w:r>
      <w:r>
        <w:t>法的具体公式、适用条件、参数要求等见GB/T 28406-</w:t>
      </w:r>
      <w:r>
        <w:rPr>
          <w:spacing w:val="-1"/>
        </w:rPr>
        <w:t>2012。</w:t>
      </w:r>
    </w:p>
    <w:p>
      <w:pPr>
        <w:pStyle w:val="BodyText"/>
        <w:spacing w:before="20" w:line="219" w:lineRule="auto"/>
        <w:ind w:left="430"/>
      </w:pPr>
      <w:r>
        <w:rPr>
          <w:spacing w:val="-5"/>
        </w:rPr>
        <w:t>评估技术要点：</w:t>
      </w:r>
    </w:p>
    <w:p>
      <w:pPr>
        <w:pStyle w:val="BodyText"/>
        <w:spacing w:before="24" w:line="235" w:lineRule="auto"/>
        <w:ind w:left="862" w:right="2" w:hanging="426"/>
      </w:pPr>
      <w:r>
        <w:rPr>
          <w:spacing w:val="-3"/>
        </w:rPr>
        <w:t>a)  在评估橡胶园价格时，需考虑橡胶的品种，区</w:t>
      </w:r>
      <w:r>
        <w:rPr>
          <w:spacing w:val="-4"/>
        </w:rPr>
        <w:t>分实生橡胶和芽接橡胶；</w:t>
      </w:r>
      <w:r>
        <w:rPr>
          <w:spacing w:val="-58"/>
        </w:rPr>
        <w:t xml:space="preserve"> </w:t>
      </w:r>
      <w:r>
        <w:rPr>
          <w:spacing w:val="-4"/>
        </w:rPr>
        <w:t>考虑不同的种植方式、</w:t>
      </w:r>
      <w:r>
        <w:t xml:space="preserve"> </w:t>
      </w:r>
      <w:r>
        <w:t>种植强度等对橡胶园收益能力及价格的影响， 需以产胶</w:t>
      </w:r>
      <w:r>
        <w:rPr>
          <w:spacing w:val="-1"/>
        </w:rPr>
        <w:t>量为主要依据分析其生产能力和收益</w:t>
      </w:r>
      <w:r>
        <w:t xml:space="preserve"> </w:t>
      </w:r>
      <w:r>
        <w:rPr>
          <w:spacing w:val="-3"/>
        </w:rPr>
        <w:t>水平，重点分析胶园种植规模、定植数量、割株数量、割胶强度等因素对橡胶园收益能力的影</w:t>
      </w:r>
      <w:r>
        <w:rPr>
          <w:spacing w:val="8"/>
        </w:rPr>
        <w:t xml:space="preserve"> </w:t>
      </w:r>
      <w:r>
        <w:rPr>
          <w:spacing w:val="-14"/>
        </w:rPr>
        <w:t>响；</w:t>
      </w:r>
    </w:p>
    <w:p>
      <w:pPr>
        <w:pStyle w:val="BodyText"/>
        <w:spacing w:before="20" w:line="229" w:lineRule="auto"/>
        <w:ind w:left="861" w:hanging="429"/>
      </w:pPr>
      <w:r>
        <w:rPr>
          <w:spacing w:val="-4"/>
        </w:rPr>
        <w:t>b)  采用成本逼近法评估橡胶园价格时，</w:t>
      </w:r>
      <w:r>
        <w:rPr>
          <w:spacing w:val="-50"/>
        </w:rPr>
        <w:t xml:space="preserve"> </w:t>
      </w:r>
      <w:r>
        <w:rPr>
          <w:spacing w:val="-4"/>
        </w:rPr>
        <w:t>需根</w:t>
      </w:r>
      <w:r>
        <w:rPr>
          <w:spacing w:val="-5"/>
        </w:rPr>
        <w:t>据橡胶品种的不同，</w:t>
      </w:r>
      <w:r>
        <w:rPr>
          <w:spacing w:val="-60"/>
        </w:rPr>
        <w:t xml:space="preserve"> </w:t>
      </w:r>
      <w:r>
        <w:rPr>
          <w:spacing w:val="-5"/>
        </w:rPr>
        <w:t>考虑橡胶的开割时间与周期，以</w:t>
      </w:r>
      <w:r>
        <w:t xml:space="preserve"> </w:t>
      </w:r>
      <w:r>
        <w:rPr>
          <w:spacing w:val="-1"/>
        </w:rPr>
        <w:t>及橡胶园管护与割胶的人工成本；</w:t>
      </w:r>
    </w:p>
    <w:p>
      <w:pPr>
        <w:pStyle w:val="BodyText"/>
        <w:spacing w:before="23" w:line="229" w:lineRule="auto"/>
        <w:ind w:left="864" w:hanging="424"/>
      </w:pPr>
      <w:r>
        <w:rPr>
          <w:spacing w:val="-2"/>
        </w:rPr>
        <w:t>c)  采用收益还原法评估橡胶园价格时，其收益主要</w:t>
      </w:r>
      <w:r>
        <w:rPr>
          <w:spacing w:val="-3"/>
        </w:rPr>
        <w:t>是割胶收益，要考虑品种配置和割胶强度对收</w:t>
      </w:r>
      <w:r>
        <w:t xml:space="preserve"> </w:t>
      </w:r>
      <w:r>
        <w:rPr>
          <w:spacing w:val="-1"/>
        </w:rPr>
        <w:t>益和成本的影响；</w:t>
      </w:r>
    </w:p>
    <w:p>
      <w:pPr>
        <w:pStyle w:val="BodyText"/>
        <w:spacing w:before="25" w:line="233" w:lineRule="auto"/>
        <w:ind w:left="866" w:hanging="426"/>
      </w:pPr>
      <w:r>
        <w:rPr>
          <w:spacing w:val="-3"/>
        </w:rPr>
        <w:t>d)  采用市场比较法进行评估时，</w:t>
      </w:r>
      <w:r>
        <w:rPr>
          <w:spacing w:val="-54"/>
        </w:rPr>
        <w:t xml:space="preserve"> </w:t>
      </w:r>
      <w:r>
        <w:rPr>
          <w:spacing w:val="-3"/>
        </w:rPr>
        <w:t>比较</w:t>
      </w:r>
      <w:r>
        <w:rPr>
          <w:spacing w:val="-4"/>
        </w:rPr>
        <w:t>实例的橡胶品种、割胶制度及胶园经营规模等因素需与待估</w:t>
      </w:r>
      <w:r>
        <w:t xml:space="preserve"> </w:t>
      </w:r>
      <w:r>
        <w:rPr>
          <w:spacing w:val="-3"/>
        </w:rPr>
        <w:t>园地一致或接近。比较实例数量应达到</w:t>
      </w:r>
      <w:r>
        <w:rPr>
          <w:spacing w:val="-39"/>
        </w:rPr>
        <w:t xml:space="preserve"> </w:t>
      </w:r>
      <w:r>
        <w:rPr>
          <w:spacing w:val="-3"/>
        </w:rPr>
        <w:t>3</w:t>
      </w:r>
      <w:r>
        <w:rPr>
          <w:spacing w:val="-46"/>
        </w:rPr>
        <w:t xml:space="preserve"> </w:t>
      </w:r>
      <w:r>
        <w:rPr>
          <w:spacing w:val="-3"/>
        </w:rPr>
        <w:t>个以上（含</w:t>
      </w:r>
      <w:r>
        <w:rPr>
          <w:spacing w:val="-40"/>
        </w:rPr>
        <w:t xml:space="preserve"> </w:t>
      </w:r>
      <w:r>
        <w:rPr>
          <w:spacing w:val="-3"/>
        </w:rPr>
        <w:t>3</w:t>
      </w:r>
      <w:r>
        <w:rPr>
          <w:spacing w:val="-44"/>
        </w:rPr>
        <w:t xml:space="preserve"> </w:t>
      </w:r>
      <w:r>
        <w:rPr>
          <w:spacing w:val="-3"/>
        </w:rPr>
        <w:t>个</w:t>
      </w:r>
      <w:r>
        <w:rPr>
          <w:spacing w:val="-21"/>
        </w:rPr>
        <w:t>），</w:t>
      </w:r>
      <w:r>
        <w:rPr>
          <w:spacing w:val="-3"/>
        </w:rPr>
        <w:t>且估价期日距比较实例的交易日</w:t>
      </w:r>
      <w:r>
        <w:t xml:space="preserve"> </w:t>
      </w:r>
      <w:r>
        <w:rPr>
          <w:spacing w:val="-6"/>
        </w:rPr>
        <w:t>不宜超过</w:t>
      </w:r>
      <w:r>
        <w:rPr>
          <w:spacing w:val="-39"/>
        </w:rPr>
        <w:t xml:space="preserve"> </w:t>
      </w:r>
      <w:r>
        <w:rPr>
          <w:spacing w:val="-6"/>
        </w:rPr>
        <w:t>3</w:t>
      </w:r>
      <w:r>
        <w:rPr>
          <w:spacing w:val="-45"/>
        </w:rPr>
        <w:t xml:space="preserve"> </w:t>
      </w:r>
      <w:r>
        <w:rPr>
          <w:spacing w:val="-6"/>
        </w:rPr>
        <w:t>年。</w:t>
      </w:r>
    </w:p>
    <w:p>
      <w:pPr>
        <w:spacing w:before="140" w:line="220" w:lineRule="auto"/>
        <w:rPr>
          <w:rFonts w:ascii="SimHei" w:eastAsia="SimHei" w:hAnsi="SimHei" w:cs="SimHei"/>
          <w:sz w:val="21"/>
          <w:szCs w:val="21"/>
        </w:rPr>
      </w:pPr>
      <w:r>
        <w:rPr>
          <w:rFonts w:ascii="SimHei" w:eastAsia="SimHei" w:hAnsi="SimHei" w:cs="SimHei"/>
          <w:sz w:val="21"/>
          <w:szCs w:val="21"/>
        </w:rPr>
        <w:drawing>
          <wp:inline distT="0" distB="0" distL="0" distR="0">
            <wp:extent cx="204216" cy="99059"/>
            <wp:effectExtent l="0" t="0" r="0" b="0"/>
            <wp:docPr id="188" name="IM 188"/>
            <wp:cNvGraphicFramePr/>
            <a:graphic xmlns:a="http://schemas.openxmlformats.org/drawingml/2006/main">
              <a:graphicData uri="http://schemas.openxmlformats.org/drawingml/2006/picture">
                <pic:pic xmlns:pic="http://schemas.openxmlformats.org/drawingml/2006/picture">
                  <pic:nvPicPr>
                    <pic:cNvPr id="188" name="IM 188"/>
                    <pic:cNvPicPr/>
                  </pic:nvPicPr>
                  <pic:blipFill>
                    <a:blip xmlns:r="http://schemas.openxmlformats.org/officeDocument/2006/relationships" r:embed="rId123"/>
                    <a:stretch>
                      <a:fillRect/>
                    </a:stretch>
                  </pic:blipFill>
                  <pic:spPr>
                    <a:xfrm>
                      <a:off x="0" y="0"/>
                      <a:ext cx="204216" cy="99059"/>
                    </a:xfrm>
                    <a:prstGeom prst="rect">
                      <a:avLst/>
                    </a:prstGeom>
                  </pic:spPr>
                </pic:pic>
              </a:graphicData>
            </a:graphic>
          </wp:inline>
        </w:drawing>
      </w:r>
      <w:r>
        <w:rPr>
          <w:rFonts w:ascii="SimHei" w:eastAsia="SimHei" w:hAnsi="SimHei" w:cs="SimHei"/>
          <w:spacing w:val="4"/>
          <w:sz w:val="21"/>
          <w:szCs w:val="21"/>
        </w:rPr>
        <w:t xml:space="preserve">  </w:t>
      </w:r>
      <w:r>
        <w:rPr>
          <w:rFonts w:ascii="SimHei" w:eastAsia="SimHei" w:hAnsi="SimHei" w:cs="SimHei"/>
          <w:spacing w:val="-1"/>
          <w:sz w:val="21"/>
          <w:szCs w:val="21"/>
        </w:rPr>
        <w:t>其他园地宗地价格评估</w:t>
      </w:r>
    </w:p>
    <w:p>
      <w:pPr>
        <w:pStyle w:val="BodyText"/>
        <w:spacing w:before="141" w:line="230" w:lineRule="auto"/>
        <w:ind w:left="17" w:right="31" w:firstLine="414"/>
      </w:pPr>
      <w:r>
        <w:rPr>
          <w:spacing w:val="-8"/>
        </w:rPr>
        <w:t>其他园地价格评估根据其利用状况与所处地区条件，可采用市场比较法、收益还原法、成本逼近法、</w:t>
      </w:r>
      <w:r>
        <w:rPr>
          <w:spacing w:val="9"/>
        </w:rPr>
        <w:t xml:space="preserve"> </w:t>
      </w:r>
      <w:r>
        <w:t>公示地价系数修正法等方法，各方法的具体公式、适用条件、参数要求等见GB/T 28</w:t>
      </w:r>
      <w:r>
        <w:rPr>
          <w:spacing w:val="-1"/>
        </w:rPr>
        <w:t>406-2012。</w:t>
      </w:r>
    </w:p>
    <w:p>
      <w:pPr>
        <w:pStyle w:val="BodyText"/>
        <w:spacing w:before="22" w:line="219" w:lineRule="auto"/>
        <w:ind w:left="430"/>
      </w:pPr>
      <w:r>
        <w:rPr>
          <w:spacing w:val="-5"/>
        </w:rPr>
        <w:t>评估技术要点：</w:t>
      </w:r>
    </w:p>
    <w:p>
      <w:pPr>
        <w:pStyle w:val="BodyText"/>
        <w:spacing w:before="25" w:line="233" w:lineRule="auto"/>
        <w:ind w:left="863" w:hanging="427"/>
      </w:pPr>
      <w:r>
        <w:rPr>
          <w:spacing w:val="-2"/>
        </w:rPr>
        <w:t>a)  在评估其他园地价格时，需确定是否包含地上经济作物，</w:t>
      </w:r>
      <w:r>
        <w:rPr>
          <w:spacing w:val="-3"/>
        </w:rPr>
        <w:t>并以具体经济作物产量为主要依据分</w:t>
      </w:r>
      <w:r>
        <w:t xml:space="preserve"> </w:t>
      </w:r>
      <w:r>
        <w:rPr>
          <w:spacing w:val="-3"/>
        </w:rPr>
        <w:t>析其生产能力和收益水平，需要重点分析作物品种、作物生长期和生长阶段、种植规模、种植</w:t>
      </w:r>
      <w:r>
        <w:rPr>
          <w:spacing w:val="10"/>
        </w:rPr>
        <w:t xml:space="preserve"> </w:t>
      </w:r>
      <w:r>
        <w:rPr>
          <w:spacing w:val="-1"/>
        </w:rPr>
        <w:t>制度、种植条件等因素对其他园地收益能力的影响；</w:t>
      </w:r>
    </w:p>
    <w:p>
      <w:pPr>
        <w:pStyle w:val="BodyText"/>
        <w:spacing w:before="20" w:line="231" w:lineRule="auto"/>
        <w:ind w:left="863" w:hanging="431"/>
      </w:pPr>
      <w:r>
        <w:rPr>
          <w:spacing w:val="-2"/>
        </w:rPr>
        <w:t>b)  采用收益还原法评估其他园地价格时，其收益主要是作物产量收益</w:t>
      </w:r>
      <w:r>
        <w:rPr>
          <w:spacing w:val="-3"/>
        </w:rPr>
        <w:t>，计算纯收益时宜采用若干</w:t>
      </w:r>
      <w:r>
        <w:t xml:space="preserve"> </w:t>
      </w:r>
      <w:r>
        <w:rPr>
          <w:spacing w:val="-1"/>
        </w:rPr>
        <w:t>年收益和费用数据的客观平均值；</w:t>
      </w:r>
    </w:p>
    <w:p>
      <w:pPr>
        <w:pStyle w:val="BodyText"/>
        <w:spacing w:before="20" w:line="233" w:lineRule="auto"/>
        <w:ind w:left="866" w:hanging="426"/>
      </w:pPr>
      <w:r>
        <w:rPr>
          <w:spacing w:val="-3"/>
        </w:rPr>
        <w:t>c)  采用市场比较法进行评估时，</w:t>
      </w:r>
      <w:r>
        <w:rPr>
          <w:spacing w:val="-54"/>
        </w:rPr>
        <w:t xml:space="preserve"> </w:t>
      </w:r>
      <w:r>
        <w:rPr>
          <w:spacing w:val="-3"/>
        </w:rPr>
        <w:t>比较</w:t>
      </w:r>
      <w:r>
        <w:rPr>
          <w:spacing w:val="-4"/>
        </w:rPr>
        <w:t>实例的作物品种、种植制度及园圃经营情况等因素需与待估</w:t>
      </w:r>
      <w:r>
        <w:t xml:space="preserve"> </w:t>
      </w:r>
      <w:r>
        <w:rPr>
          <w:spacing w:val="-3"/>
        </w:rPr>
        <w:t>园地一致或接近。比较实例数量应达到</w:t>
      </w:r>
      <w:r>
        <w:rPr>
          <w:spacing w:val="-39"/>
        </w:rPr>
        <w:t xml:space="preserve"> </w:t>
      </w:r>
      <w:r>
        <w:rPr>
          <w:spacing w:val="-3"/>
        </w:rPr>
        <w:t>3</w:t>
      </w:r>
      <w:r>
        <w:rPr>
          <w:spacing w:val="-46"/>
        </w:rPr>
        <w:t xml:space="preserve"> </w:t>
      </w:r>
      <w:r>
        <w:rPr>
          <w:spacing w:val="-3"/>
        </w:rPr>
        <w:t>个以上（含</w:t>
      </w:r>
      <w:r>
        <w:rPr>
          <w:spacing w:val="-40"/>
        </w:rPr>
        <w:t xml:space="preserve"> </w:t>
      </w:r>
      <w:r>
        <w:rPr>
          <w:spacing w:val="-3"/>
        </w:rPr>
        <w:t>3</w:t>
      </w:r>
      <w:r>
        <w:rPr>
          <w:spacing w:val="-44"/>
        </w:rPr>
        <w:t xml:space="preserve"> </w:t>
      </w:r>
      <w:r>
        <w:rPr>
          <w:spacing w:val="-3"/>
        </w:rPr>
        <w:t>个</w:t>
      </w:r>
      <w:r>
        <w:rPr>
          <w:spacing w:val="-21"/>
        </w:rPr>
        <w:t>），</w:t>
      </w:r>
      <w:r>
        <w:rPr>
          <w:spacing w:val="-3"/>
        </w:rPr>
        <w:t>且估价期日距比较实例的交易日</w:t>
      </w:r>
      <w:r>
        <w:t xml:space="preserve"> </w:t>
      </w:r>
      <w:r>
        <w:rPr>
          <w:spacing w:val="-6"/>
        </w:rPr>
        <w:t>不宜超过</w:t>
      </w:r>
      <w:r>
        <w:rPr>
          <w:spacing w:val="-39"/>
        </w:rPr>
        <w:t xml:space="preserve"> </w:t>
      </w:r>
      <w:r>
        <w:rPr>
          <w:spacing w:val="-6"/>
        </w:rPr>
        <w:t>3</w:t>
      </w:r>
      <w:r>
        <w:rPr>
          <w:spacing w:val="-45"/>
        </w:rPr>
        <w:t xml:space="preserve"> </w:t>
      </w:r>
      <w:r>
        <w:rPr>
          <w:spacing w:val="-6"/>
        </w:rPr>
        <w:t>年。</w:t>
      </w:r>
    </w:p>
    <w:p>
      <w:pPr>
        <w:spacing w:line="233" w:lineRule="auto"/>
        <w:sectPr>
          <w:headerReference w:type="default" r:id="rId124"/>
          <w:footerReference w:type="default" r:id="rId125"/>
          <w:pgSz w:w="11907" w:h="16839"/>
          <w:pgMar w:top="1659" w:right="1128" w:bottom="1305" w:left="1416" w:header="1448" w:footer="1128" w:gutter="0"/>
          <w:pgNumType w:start="27"/>
          <w:cols w:space="708"/>
        </w:sectPr>
      </w:pPr>
    </w:p>
    <w:p>
      <w:pPr>
        <w:spacing w:line="331" w:lineRule="auto"/>
        <w:rPr>
          <w:rFonts w:ascii="Arial"/>
          <w:sz w:val="21"/>
        </w:rPr>
      </w:pPr>
    </w:p>
    <w:p>
      <w:pPr>
        <w:spacing w:line="332" w:lineRule="auto"/>
        <w:rPr>
          <w:rFonts w:ascii="Arial"/>
          <w:sz w:val="21"/>
        </w:rPr>
      </w:pPr>
    </w:p>
    <w:p>
      <w:pPr>
        <w:spacing w:before="69" w:line="241" w:lineRule="auto"/>
        <w:ind w:left="4184"/>
        <w:rPr>
          <w:rFonts w:ascii="SimHei" w:eastAsia="SimHei" w:hAnsi="SimHei" w:cs="SimHei"/>
          <w:sz w:val="21"/>
          <w:szCs w:val="21"/>
        </w:rPr>
      </w:pPr>
      <w:r>
        <w:rPr>
          <w:rFonts w:ascii="SimHei" w:eastAsia="SimHei" w:hAnsi="SimHei" w:cs="SimHei"/>
          <w:spacing w:val="-8"/>
          <w:sz w:val="21"/>
          <w:szCs w:val="21"/>
        </w:rPr>
        <w:t>附</w:t>
      </w:r>
      <w:r>
        <w:rPr>
          <w:rFonts w:ascii="SimHei" w:eastAsia="SimHei" w:hAnsi="SimHei" w:cs="SimHei"/>
          <w:spacing w:val="107"/>
          <w:sz w:val="21"/>
          <w:szCs w:val="21"/>
        </w:rPr>
        <w:t xml:space="preserve"> </w:t>
      </w:r>
      <w:r>
        <w:rPr>
          <w:rFonts w:ascii="SimHei" w:eastAsia="SimHei" w:hAnsi="SimHei" w:cs="SimHei"/>
          <w:spacing w:val="-8"/>
          <w:sz w:val="21"/>
          <w:szCs w:val="21"/>
        </w:rPr>
        <w:t>录</w:t>
      </w:r>
      <w:r>
        <w:rPr>
          <w:rFonts w:ascii="SimHei" w:eastAsia="SimHei" w:hAnsi="SimHei" w:cs="SimHei"/>
          <w:spacing w:val="-8"/>
          <w:sz w:val="21"/>
          <w:szCs w:val="21"/>
        </w:rPr>
        <w:t xml:space="preserve">  </w:t>
      </w:r>
      <w:r>
        <w:rPr>
          <w:rFonts w:ascii="SimHei" w:eastAsia="SimHei" w:hAnsi="SimHei" w:cs="SimHei"/>
          <w:spacing w:val="-8"/>
          <w:sz w:val="21"/>
          <w:szCs w:val="21"/>
        </w:rPr>
        <w:t>A</w:t>
      </w:r>
    </w:p>
    <w:p>
      <w:pPr>
        <w:spacing w:line="221" w:lineRule="auto"/>
        <w:ind w:left="4172"/>
        <w:rPr>
          <w:rFonts w:ascii="SimHei" w:eastAsia="SimHei" w:hAnsi="SimHei" w:cs="SimHei"/>
          <w:sz w:val="21"/>
          <w:szCs w:val="21"/>
        </w:rPr>
      </w:pPr>
      <w:r>
        <w:rPr>
          <w:rFonts w:ascii="SimHei" w:eastAsia="SimHei" w:hAnsi="SimHei" w:cs="SimHei"/>
          <w:spacing w:val="-8"/>
          <w:sz w:val="21"/>
          <w:szCs w:val="21"/>
        </w:rPr>
        <w:t>（规范性）</w:t>
      </w:r>
    </w:p>
    <w:p>
      <w:pPr>
        <w:spacing w:before="21" w:line="220" w:lineRule="auto"/>
        <w:ind w:left="3749"/>
        <w:rPr>
          <w:rFonts w:ascii="SimHei" w:eastAsia="SimHei" w:hAnsi="SimHei" w:cs="SimHei"/>
          <w:sz w:val="21"/>
          <w:szCs w:val="21"/>
        </w:rPr>
      </w:pPr>
      <w:r>
        <w:rPr>
          <w:rFonts w:ascii="SimHei" w:eastAsia="SimHei" w:hAnsi="SimHei" w:cs="SimHei"/>
          <w:spacing w:val="-2"/>
          <w:sz w:val="21"/>
          <w:szCs w:val="21"/>
        </w:rPr>
        <w:t>园地价格影响因素表</w:t>
      </w:r>
    </w:p>
    <w:p>
      <w:pPr>
        <w:pStyle w:val="BodyText"/>
        <w:spacing w:before="141" w:line="219" w:lineRule="auto"/>
        <w:ind w:left="445"/>
      </w:pPr>
      <w:r>
        <w:rPr>
          <w:spacing w:val="-2"/>
        </w:rPr>
        <w:t>园地价格影响因素表见表A.1。</w:t>
      </w:r>
    </w:p>
    <w:p>
      <w:pPr>
        <w:spacing w:before="24" w:line="212" w:lineRule="auto"/>
        <w:ind w:left="3374"/>
        <w:rPr>
          <w:rFonts w:ascii="SimHei" w:eastAsia="SimHei" w:hAnsi="SimHei" w:cs="SimHei"/>
          <w:sz w:val="21"/>
          <w:szCs w:val="21"/>
        </w:rPr>
      </w:pPr>
      <w:r>
        <w:rPr>
          <w:rFonts w:ascii="SimHei" w:eastAsia="SimHei" w:hAnsi="SimHei" w:cs="SimHei"/>
          <w:spacing w:val="-1"/>
          <w:sz w:val="21"/>
          <w:szCs w:val="21"/>
        </w:rPr>
        <w:t>表A.1</w:t>
      </w:r>
      <w:r>
        <w:rPr>
          <w:rFonts w:ascii="SimHei" w:eastAsia="SimHei" w:hAnsi="SimHei" w:cs="SimHei"/>
          <w:spacing w:val="-1"/>
          <w:sz w:val="21"/>
          <w:szCs w:val="21"/>
        </w:rPr>
        <w:t xml:space="preserve">  </w:t>
      </w:r>
      <w:r>
        <w:rPr>
          <w:rFonts w:ascii="SimHei" w:eastAsia="SimHei" w:hAnsi="SimHei" w:cs="SimHei"/>
          <w:spacing w:val="-1"/>
          <w:sz w:val="21"/>
          <w:szCs w:val="21"/>
        </w:rPr>
        <w:t>园地价格影响因素表</w:t>
      </w:r>
    </w:p>
    <w:tbl>
      <w:tblPr>
        <w:tblStyle w:val="TableNormal0"/>
        <w:tblW w:w="8606"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62"/>
        <w:gridCol w:w="2840"/>
        <w:gridCol w:w="3504"/>
      </w:tblGrid>
      <w:tr>
        <w:tblPrEx>
          <w:tblW w:w="8606"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75"/>
        </w:trPr>
        <w:tc>
          <w:tcPr>
            <w:tcW w:w="2262" w:type="dxa"/>
            <w:tcBorders>
              <w:top w:val="single" w:sz="10" w:space="0" w:color="000000"/>
              <w:left w:val="single" w:sz="10" w:space="0" w:color="000000"/>
            </w:tcBorders>
            <w:vAlign w:val="top"/>
          </w:tcPr>
          <w:p>
            <w:pPr>
              <w:spacing w:before="95" w:line="220" w:lineRule="auto"/>
              <w:ind w:left="955"/>
              <w:rPr>
                <w:rFonts w:ascii="SimSun" w:eastAsia="SimSun" w:hAnsi="SimSun" w:cs="SimSun"/>
                <w:sz w:val="18"/>
                <w:szCs w:val="18"/>
              </w:rPr>
            </w:pPr>
            <w:r>
              <w:rPr>
                <w:rFonts w:ascii="SimSun" w:eastAsia="SimSun" w:hAnsi="SimSun" w:cs="SimSun"/>
                <w:spacing w:val="-6"/>
                <w:sz w:val="18"/>
                <w:szCs w:val="18"/>
              </w:rPr>
              <w:t>因素</w:t>
            </w:r>
          </w:p>
        </w:tc>
        <w:tc>
          <w:tcPr>
            <w:tcW w:w="2840" w:type="dxa"/>
            <w:tcBorders>
              <w:top w:val="single" w:sz="10" w:space="0" w:color="000000"/>
            </w:tcBorders>
            <w:vAlign w:val="top"/>
          </w:tcPr>
          <w:p>
            <w:pPr>
              <w:spacing w:before="96" w:line="220" w:lineRule="auto"/>
              <w:ind w:left="1255"/>
              <w:rPr>
                <w:rFonts w:ascii="SimSun" w:eastAsia="SimSun" w:hAnsi="SimSun" w:cs="SimSun"/>
                <w:sz w:val="18"/>
                <w:szCs w:val="18"/>
              </w:rPr>
            </w:pPr>
            <w:r>
              <w:rPr>
                <w:rFonts w:ascii="SimSun" w:eastAsia="SimSun" w:hAnsi="SimSun" w:cs="SimSun"/>
                <w:spacing w:val="-6"/>
                <w:sz w:val="18"/>
                <w:szCs w:val="18"/>
              </w:rPr>
              <w:t>因子</w:t>
            </w:r>
          </w:p>
        </w:tc>
        <w:tc>
          <w:tcPr>
            <w:tcW w:w="3504" w:type="dxa"/>
            <w:tcBorders>
              <w:top w:val="single" w:sz="10" w:space="0" w:color="000000"/>
              <w:right w:val="single" w:sz="10" w:space="0" w:color="000000"/>
            </w:tcBorders>
            <w:vAlign w:val="top"/>
          </w:tcPr>
          <w:p>
            <w:pPr>
              <w:spacing w:before="96" w:line="220" w:lineRule="auto"/>
              <w:ind w:left="1577"/>
              <w:rPr>
                <w:rFonts w:ascii="SimSun" w:eastAsia="SimSun" w:hAnsi="SimSun" w:cs="SimSun"/>
                <w:sz w:val="18"/>
                <w:szCs w:val="18"/>
              </w:rPr>
            </w:pPr>
            <w:r>
              <w:rPr>
                <w:rFonts w:ascii="SimSun" w:eastAsia="SimSun" w:hAnsi="SimSun" w:cs="SimSun"/>
                <w:spacing w:val="-3"/>
                <w:sz w:val="18"/>
                <w:szCs w:val="18"/>
              </w:rPr>
              <w:t>指标</w:t>
            </w:r>
          </w:p>
        </w:tc>
      </w:tr>
      <w:tr>
        <w:tblPrEx>
          <w:tblW w:w="8606" w:type="dxa"/>
          <w:tblInd w:w="12" w:type="dxa"/>
          <w:tblLayout w:type="fixed"/>
        </w:tblPrEx>
        <w:trPr>
          <w:trHeight w:val="315"/>
        </w:trPr>
        <w:tc>
          <w:tcPr>
            <w:tcW w:w="2262" w:type="dxa"/>
            <w:vMerge w:val="restart"/>
            <w:tcBorders>
              <w:left w:val="single" w:sz="10" w:space="0" w:color="000000"/>
              <w:bottom w:val="nil"/>
            </w:tcBorders>
            <w:vAlign w:val="top"/>
          </w:tcPr>
          <w:p>
            <w:pPr>
              <w:pStyle w:val="TableText"/>
            </w:pPr>
          </w:p>
          <w:p>
            <w:pPr>
              <w:pStyle w:val="TableText"/>
            </w:pPr>
          </w:p>
          <w:p>
            <w:pPr>
              <w:pStyle w:val="TableText"/>
            </w:pPr>
          </w:p>
          <w:p>
            <w:pPr>
              <w:pStyle w:val="TableText"/>
            </w:pPr>
          </w:p>
          <w:p>
            <w:pPr>
              <w:pStyle w:val="TableText"/>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spacing w:before="59" w:line="220" w:lineRule="auto"/>
              <w:ind w:left="791"/>
              <w:rPr>
                <w:rFonts w:ascii="SimSun" w:eastAsia="SimSun" w:hAnsi="SimSun" w:cs="SimSun"/>
                <w:sz w:val="18"/>
                <w:szCs w:val="18"/>
              </w:rPr>
            </w:pPr>
            <w:r>
              <w:rPr>
                <w:rFonts w:ascii="SimSun" w:eastAsia="SimSun" w:hAnsi="SimSun" w:cs="SimSun"/>
                <w:spacing w:val="-7"/>
                <w:sz w:val="18"/>
                <w:szCs w:val="18"/>
              </w:rPr>
              <w:t>自然因素</w:t>
            </w:r>
          </w:p>
        </w:tc>
        <w:tc>
          <w:tcPr>
            <w:tcW w:w="2840" w:type="dxa"/>
            <w:vMerge w:val="restart"/>
            <w:tcBorders>
              <w:bottom w:val="nil"/>
            </w:tcBorders>
            <w:vAlign w:val="top"/>
          </w:tcPr>
          <w:p>
            <w:pPr>
              <w:pStyle w:val="TableText"/>
              <w:spacing w:line="269" w:lineRule="auto"/>
            </w:pPr>
          </w:p>
          <w:p>
            <w:pPr>
              <w:pStyle w:val="TableText"/>
              <w:spacing w:line="269" w:lineRule="auto"/>
            </w:pPr>
          </w:p>
          <w:p>
            <w:pPr>
              <w:pStyle w:val="TableText"/>
              <w:spacing w:line="269" w:lineRule="auto"/>
            </w:pPr>
          </w:p>
          <w:p>
            <w:pPr>
              <w:spacing w:before="58" w:line="220" w:lineRule="auto"/>
              <w:ind w:left="1062"/>
              <w:rPr>
                <w:rFonts w:ascii="SimSun" w:eastAsia="SimSun" w:hAnsi="SimSun" w:cs="SimSun"/>
                <w:sz w:val="18"/>
                <w:szCs w:val="18"/>
              </w:rPr>
            </w:pPr>
            <w:r>
              <w:rPr>
                <w:rFonts w:ascii="SimSun" w:eastAsia="SimSun" w:hAnsi="SimSun" w:cs="SimSun"/>
                <w:spacing w:val="-2"/>
                <w:sz w:val="18"/>
                <w:szCs w:val="18"/>
              </w:rPr>
              <w:t>气候条件</w:t>
            </w:r>
          </w:p>
        </w:tc>
        <w:tc>
          <w:tcPr>
            <w:tcW w:w="3504" w:type="dxa"/>
            <w:tcBorders>
              <w:right w:val="single" w:sz="10" w:space="0" w:color="000000"/>
            </w:tcBorders>
            <w:vAlign w:val="top"/>
          </w:tcPr>
          <w:p>
            <w:pPr>
              <w:spacing w:before="63" w:line="220" w:lineRule="auto"/>
              <w:ind w:left="1425"/>
              <w:rPr>
                <w:rFonts w:ascii="SimSun" w:eastAsia="SimSun" w:hAnsi="SimSun" w:cs="SimSun"/>
                <w:sz w:val="18"/>
                <w:szCs w:val="18"/>
              </w:rPr>
            </w:pPr>
            <w:r>
              <w:rPr>
                <w:rFonts w:ascii="SimSun" w:eastAsia="SimSun" w:hAnsi="SimSun" w:cs="SimSun"/>
                <w:spacing w:val="-8"/>
                <w:sz w:val="18"/>
                <w:szCs w:val="18"/>
              </w:rPr>
              <w:t>日照时数</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66" w:line="220" w:lineRule="auto"/>
              <w:ind w:left="1574"/>
              <w:rPr>
                <w:rFonts w:ascii="SimSun" w:eastAsia="SimSun" w:hAnsi="SimSun" w:cs="SimSun"/>
                <w:sz w:val="18"/>
                <w:szCs w:val="18"/>
              </w:rPr>
            </w:pPr>
            <w:r>
              <w:rPr>
                <w:rFonts w:ascii="SimSun" w:eastAsia="SimSun" w:hAnsi="SimSun" w:cs="SimSun"/>
                <w:spacing w:val="-2"/>
                <w:sz w:val="18"/>
                <w:szCs w:val="18"/>
              </w:rPr>
              <w:t>积温</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69" w:line="220" w:lineRule="auto"/>
              <w:ind w:left="1306"/>
              <w:rPr>
                <w:rFonts w:ascii="SimSun" w:eastAsia="SimSun" w:hAnsi="SimSun" w:cs="SimSun"/>
                <w:sz w:val="18"/>
                <w:szCs w:val="18"/>
              </w:rPr>
            </w:pPr>
            <w:r>
              <w:rPr>
                <w:rFonts w:ascii="SimSun" w:eastAsia="SimSun" w:hAnsi="SimSun" w:cs="SimSun"/>
                <w:spacing w:val="-2"/>
                <w:sz w:val="18"/>
                <w:szCs w:val="18"/>
              </w:rPr>
              <w:t>年均降水量</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70" w:line="220" w:lineRule="auto"/>
              <w:ind w:left="1394"/>
              <w:rPr>
                <w:rFonts w:ascii="SimSun" w:eastAsia="SimSun" w:hAnsi="SimSun" w:cs="SimSun"/>
                <w:sz w:val="18"/>
                <w:szCs w:val="18"/>
              </w:rPr>
            </w:pPr>
            <w:r>
              <w:rPr>
                <w:rFonts w:ascii="SimSun" w:eastAsia="SimSun" w:hAnsi="SimSun" w:cs="SimSun"/>
                <w:spacing w:val="-2"/>
                <w:sz w:val="18"/>
                <w:szCs w:val="18"/>
              </w:rPr>
              <w:t>相对湿度</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70" w:line="220" w:lineRule="auto"/>
              <w:ind w:left="1306"/>
              <w:rPr>
                <w:rFonts w:ascii="SimSun" w:eastAsia="SimSun" w:hAnsi="SimSun" w:cs="SimSun"/>
                <w:sz w:val="18"/>
                <w:szCs w:val="18"/>
              </w:rPr>
            </w:pPr>
            <w:r>
              <w:rPr>
                <w:rFonts w:ascii="SimSun" w:eastAsia="SimSun" w:hAnsi="SimSun" w:cs="SimSun"/>
                <w:spacing w:val="-2"/>
                <w:sz w:val="18"/>
                <w:szCs w:val="18"/>
              </w:rPr>
              <w:t>年极端低温</w:t>
            </w:r>
          </w:p>
        </w:tc>
      </w:tr>
      <w:tr>
        <w:tblPrEx>
          <w:tblW w:w="8606" w:type="dxa"/>
          <w:tblInd w:w="12" w:type="dxa"/>
          <w:tblLayout w:type="fixed"/>
        </w:tblPrEx>
        <w:trPr>
          <w:trHeight w:val="318"/>
        </w:trPr>
        <w:tc>
          <w:tcPr>
            <w:tcW w:w="2262" w:type="dxa"/>
            <w:vMerge/>
            <w:tcBorders>
              <w:top w:val="nil"/>
              <w:left w:val="single" w:sz="10" w:space="0" w:color="000000"/>
              <w:bottom w:val="nil"/>
            </w:tcBorders>
            <w:vAlign w:val="top"/>
          </w:tcPr>
          <w:p>
            <w:pPr>
              <w:pStyle w:val="TableText"/>
            </w:pPr>
          </w:p>
        </w:tc>
        <w:tc>
          <w:tcPr>
            <w:tcW w:w="2840" w:type="dxa"/>
            <w:vMerge/>
            <w:tcBorders>
              <w:top w:val="nil"/>
            </w:tcBorders>
            <w:vAlign w:val="top"/>
          </w:tcPr>
          <w:p>
            <w:pPr>
              <w:pStyle w:val="TableText"/>
            </w:pPr>
          </w:p>
        </w:tc>
        <w:tc>
          <w:tcPr>
            <w:tcW w:w="3504" w:type="dxa"/>
            <w:tcBorders>
              <w:right w:val="single" w:sz="10" w:space="0" w:color="000000"/>
            </w:tcBorders>
            <w:vAlign w:val="top"/>
          </w:tcPr>
          <w:p>
            <w:pPr>
              <w:spacing w:before="70" w:line="220" w:lineRule="auto"/>
              <w:ind w:left="1140"/>
              <w:rPr>
                <w:rFonts w:ascii="SimSun" w:eastAsia="SimSun" w:hAnsi="SimSun" w:cs="SimSun"/>
                <w:sz w:val="18"/>
                <w:szCs w:val="18"/>
              </w:rPr>
            </w:pPr>
            <w:r>
              <w:rPr>
                <w:rFonts w:ascii="Times New Roman" w:eastAsia="Times New Roman" w:hAnsi="Times New Roman" w:cs="Times New Roman"/>
                <w:spacing w:val="-3"/>
                <w:sz w:val="18"/>
                <w:szCs w:val="18"/>
              </w:rPr>
              <w:t>10</w:t>
            </w:r>
            <w:r>
              <w:rPr>
                <w:rFonts w:ascii="SimSun" w:eastAsia="SimSun" w:hAnsi="SimSun" w:cs="SimSun"/>
                <w:spacing w:val="-3"/>
                <w:sz w:val="18"/>
                <w:szCs w:val="18"/>
              </w:rPr>
              <w:t>级以上风次数</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val="restart"/>
            <w:tcBorders>
              <w:bottom w:val="nil"/>
            </w:tcBorders>
            <w:vAlign w:val="top"/>
          </w:tcPr>
          <w:p>
            <w:pPr>
              <w:pStyle w:val="TableText"/>
              <w:spacing w:line="330" w:lineRule="auto"/>
            </w:pPr>
          </w:p>
          <w:p>
            <w:pPr>
              <w:spacing w:before="59" w:line="220" w:lineRule="auto"/>
              <w:ind w:left="1061"/>
              <w:rPr>
                <w:rFonts w:ascii="SimSun" w:eastAsia="SimSun" w:hAnsi="SimSun" w:cs="SimSun"/>
                <w:sz w:val="18"/>
                <w:szCs w:val="18"/>
              </w:rPr>
            </w:pPr>
            <w:r>
              <w:rPr>
                <w:rFonts w:ascii="SimSun" w:eastAsia="SimSun" w:hAnsi="SimSun" w:cs="SimSun"/>
                <w:spacing w:val="-2"/>
                <w:sz w:val="18"/>
                <w:szCs w:val="18"/>
              </w:rPr>
              <w:t>地形条件</w:t>
            </w:r>
          </w:p>
        </w:tc>
        <w:tc>
          <w:tcPr>
            <w:tcW w:w="3504" w:type="dxa"/>
            <w:tcBorders>
              <w:right w:val="single" w:sz="10" w:space="0" w:color="000000"/>
            </w:tcBorders>
            <w:vAlign w:val="top"/>
          </w:tcPr>
          <w:p>
            <w:pPr>
              <w:spacing w:before="70" w:line="220" w:lineRule="auto"/>
              <w:ind w:left="1574"/>
              <w:rPr>
                <w:rFonts w:ascii="SimSun" w:eastAsia="SimSun" w:hAnsi="SimSun" w:cs="SimSun"/>
                <w:sz w:val="18"/>
                <w:szCs w:val="18"/>
              </w:rPr>
            </w:pPr>
            <w:r>
              <w:rPr>
                <w:rFonts w:ascii="SimSun" w:eastAsia="SimSun" w:hAnsi="SimSun" w:cs="SimSun"/>
                <w:spacing w:val="-2"/>
                <w:sz w:val="18"/>
                <w:szCs w:val="18"/>
              </w:rPr>
              <w:t>坡度</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70" w:line="220" w:lineRule="auto"/>
              <w:ind w:left="1574"/>
              <w:rPr>
                <w:rFonts w:ascii="SimSun" w:eastAsia="SimSun" w:hAnsi="SimSun" w:cs="SimSun"/>
                <w:sz w:val="18"/>
                <w:szCs w:val="18"/>
              </w:rPr>
            </w:pPr>
            <w:r>
              <w:rPr>
                <w:rFonts w:ascii="SimSun" w:eastAsia="SimSun" w:hAnsi="SimSun" w:cs="SimSun"/>
                <w:spacing w:val="-2"/>
                <w:sz w:val="18"/>
                <w:szCs w:val="18"/>
              </w:rPr>
              <w:t>坡向</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tcBorders>
            <w:vAlign w:val="top"/>
          </w:tcPr>
          <w:p>
            <w:pPr>
              <w:pStyle w:val="TableText"/>
            </w:pPr>
          </w:p>
        </w:tc>
        <w:tc>
          <w:tcPr>
            <w:tcW w:w="3504" w:type="dxa"/>
            <w:tcBorders>
              <w:right w:val="single" w:sz="10" w:space="0" w:color="000000"/>
            </w:tcBorders>
            <w:vAlign w:val="top"/>
          </w:tcPr>
          <w:p>
            <w:pPr>
              <w:spacing w:before="73" w:line="220" w:lineRule="auto"/>
              <w:ind w:left="1574"/>
              <w:rPr>
                <w:rFonts w:ascii="SimSun" w:eastAsia="SimSun" w:hAnsi="SimSun" w:cs="SimSun"/>
                <w:sz w:val="18"/>
                <w:szCs w:val="18"/>
              </w:rPr>
            </w:pPr>
            <w:r>
              <w:rPr>
                <w:rFonts w:ascii="SimSun" w:eastAsia="SimSun" w:hAnsi="SimSun" w:cs="SimSun"/>
                <w:spacing w:val="-2"/>
                <w:sz w:val="18"/>
                <w:szCs w:val="18"/>
              </w:rPr>
              <w:t>海拔</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val="restart"/>
            <w:tcBorders>
              <w:bottom w:val="nil"/>
            </w:tcBorders>
            <w:vAlign w:val="top"/>
          </w:tcPr>
          <w:p>
            <w:pPr>
              <w:pStyle w:val="TableText"/>
              <w:spacing w:line="327" w:lineRule="auto"/>
            </w:pPr>
          </w:p>
          <w:p>
            <w:pPr>
              <w:pStyle w:val="TableText"/>
              <w:spacing w:line="327" w:lineRule="auto"/>
            </w:pPr>
          </w:p>
          <w:p>
            <w:pPr>
              <w:spacing w:before="58" w:line="220" w:lineRule="auto"/>
              <w:ind w:left="1062"/>
              <w:rPr>
                <w:rFonts w:ascii="SimSun" w:eastAsia="SimSun" w:hAnsi="SimSun" w:cs="SimSun"/>
                <w:sz w:val="18"/>
                <w:szCs w:val="18"/>
              </w:rPr>
            </w:pPr>
            <w:r>
              <w:rPr>
                <w:rFonts w:ascii="SimSun" w:eastAsia="SimSun" w:hAnsi="SimSun" w:cs="SimSun"/>
                <w:spacing w:val="-2"/>
                <w:sz w:val="18"/>
                <w:szCs w:val="18"/>
              </w:rPr>
              <w:t>土壤条件</w:t>
            </w:r>
          </w:p>
        </w:tc>
        <w:tc>
          <w:tcPr>
            <w:tcW w:w="3504" w:type="dxa"/>
            <w:tcBorders>
              <w:right w:val="single" w:sz="10" w:space="0" w:color="000000"/>
            </w:tcBorders>
            <w:vAlign w:val="top"/>
          </w:tcPr>
          <w:p>
            <w:pPr>
              <w:spacing w:before="73" w:line="220" w:lineRule="auto"/>
              <w:ind w:left="1215"/>
              <w:rPr>
                <w:rFonts w:ascii="SimSun" w:eastAsia="SimSun" w:hAnsi="SimSun" w:cs="SimSun"/>
                <w:sz w:val="18"/>
                <w:szCs w:val="18"/>
              </w:rPr>
            </w:pPr>
            <w:r>
              <w:rPr>
                <w:rFonts w:ascii="SimSun" w:eastAsia="SimSun" w:hAnsi="SimSun" w:cs="SimSun"/>
                <w:spacing w:val="-2"/>
                <w:sz w:val="18"/>
                <w:szCs w:val="18"/>
              </w:rPr>
              <w:t>有效土层厚度</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74" w:line="213" w:lineRule="auto"/>
              <w:ind w:left="1376"/>
              <w:rPr>
                <w:rFonts w:ascii="SimSun" w:eastAsia="SimSun" w:hAnsi="SimSun" w:cs="SimSun"/>
                <w:sz w:val="18"/>
                <w:szCs w:val="18"/>
              </w:rPr>
            </w:pPr>
            <w:r>
              <w:rPr>
                <w:rFonts w:ascii="SimSun" w:eastAsia="SimSun" w:hAnsi="SimSun" w:cs="SimSun"/>
                <w:spacing w:val="-2"/>
                <w:sz w:val="18"/>
                <w:szCs w:val="18"/>
              </w:rPr>
              <w:t>土壤</w:t>
            </w:r>
            <w:r>
              <w:rPr>
                <w:rFonts w:ascii="Times New Roman" w:eastAsia="Times New Roman" w:hAnsi="Times New Roman" w:cs="Times New Roman"/>
                <w:spacing w:val="-2"/>
                <w:sz w:val="18"/>
                <w:szCs w:val="18"/>
              </w:rPr>
              <w:t>pH</w:t>
            </w:r>
            <w:r>
              <w:rPr>
                <w:rFonts w:ascii="SimSun" w:eastAsia="SimSun" w:hAnsi="SimSun" w:cs="SimSun"/>
                <w:spacing w:val="-2"/>
                <w:sz w:val="18"/>
                <w:szCs w:val="18"/>
              </w:rPr>
              <w:t>值</w:t>
            </w:r>
          </w:p>
        </w:tc>
      </w:tr>
      <w:tr>
        <w:tblPrEx>
          <w:tblW w:w="8606" w:type="dxa"/>
          <w:tblInd w:w="12" w:type="dxa"/>
          <w:tblLayout w:type="fixed"/>
        </w:tblPrEx>
        <w:trPr>
          <w:trHeight w:val="318"/>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75" w:line="219" w:lineRule="auto"/>
              <w:ind w:left="1126"/>
              <w:rPr>
                <w:rFonts w:ascii="SimSun" w:eastAsia="SimSun" w:hAnsi="SimSun" w:cs="SimSun"/>
                <w:sz w:val="18"/>
                <w:szCs w:val="18"/>
              </w:rPr>
            </w:pPr>
            <w:r>
              <w:rPr>
                <w:rFonts w:ascii="SimSun" w:eastAsia="SimSun" w:hAnsi="SimSun" w:cs="SimSun"/>
                <w:spacing w:val="-1"/>
                <w:sz w:val="18"/>
                <w:szCs w:val="18"/>
              </w:rPr>
              <w:t>土壤有机质含量</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74" w:line="220" w:lineRule="auto"/>
              <w:ind w:left="1395"/>
              <w:rPr>
                <w:rFonts w:ascii="SimSun" w:eastAsia="SimSun" w:hAnsi="SimSun" w:cs="SimSun"/>
                <w:sz w:val="18"/>
                <w:szCs w:val="18"/>
              </w:rPr>
            </w:pPr>
            <w:r>
              <w:rPr>
                <w:rFonts w:ascii="SimSun" w:eastAsia="SimSun" w:hAnsi="SimSun" w:cs="SimSun"/>
                <w:spacing w:val="-2"/>
                <w:sz w:val="18"/>
                <w:szCs w:val="18"/>
              </w:rPr>
              <w:t>土壤质地</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tcBorders>
            <w:vAlign w:val="top"/>
          </w:tcPr>
          <w:p>
            <w:pPr>
              <w:pStyle w:val="TableText"/>
            </w:pPr>
          </w:p>
        </w:tc>
        <w:tc>
          <w:tcPr>
            <w:tcW w:w="3504" w:type="dxa"/>
            <w:tcBorders>
              <w:right w:val="single" w:sz="10" w:space="0" w:color="000000"/>
            </w:tcBorders>
            <w:vAlign w:val="top"/>
          </w:tcPr>
          <w:p>
            <w:pPr>
              <w:spacing w:before="75" w:line="220" w:lineRule="auto"/>
              <w:ind w:left="1307"/>
              <w:rPr>
                <w:rFonts w:ascii="SimSun" w:eastAsia="SimSun" w:hAnsi="SimSun" w:cs="SimSun"/>
                <w:sz w:val="18"/>
                <w:szCs w:val="18"/>
              </w:rPr>
            </w:pPr>
            <w:r>
              <w:rPr>
                <w:rFonts w:ascii="SimSun" w:eastAsia="SimSun" w:hAnsi="SimSun" w:cs="SimSun"/>
                <w:spacing w:val="-2"/>
                <w:sz w:val="18"/>
                <w:szCs w:val="18"/>
              </w:rPr>
              <w:t>盐渍化程度</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val="restart"/>
            <w:tcBorders>
              <w:bottom w:val="nil"/>
            </w:tcBorders>
            <w:vAlign w:val="top"/>
          </w:tcPr>
          <w:p>
            <w:pPr>
              <w:spacing w:before="238" w:line="220" w:lineRule="auto"/>
              <w:ind w:left="1063"/>
              <w:rPr>
                <w:rFonts w:ascii="SimSun" w:eastAsia="SimSun" w:hAnsi="SimSun" w:cs="SimSun"/>
                <w:sz w:val="18"/>
                <w:szCs w:val="18"/>
              </w:rPr>
            </w:pPr>
            <w:r>
              <w:rPr>
                <w:rFonts w:ascii="SimSun" w:eastAsia="SimSun" w:hAnsi="SimSun" w:cs="SimSun"/>
                <w:spacing w:val="-2"/>
                <w:sz w:val="18"/>
                <w:szCs w:val="18"/>
              </w:rPr>
              <w:t>水文条件</w:t>
            </w:r>
          </w:p>
        </w:tc>
        <w:tc>
          <w:tcPr>
            <w:tcW w:w="3504" w:type="dxa"/>
            <w:tcBorders>
              <w:right w:val="single" w:sz="10" w:space="0" w:color="000000"/>
            </w:tcBorders>
            <w:vAlign w:val="top"/>
          </w:tcPr>
          <w:p>
            <w:pPr>
              <w:spacing w:before="77" w:line="220" w:lineRule="auto"/>
              <w:ind w:left="1306"/>
              <w:rPr>
                <w:rFonts w:ascii="SimSun" w:eastAsia="SimSun" w:hAnsi="SimSun" w:cs="SimSun"/>
                <w:sz w:val="18"/>
                <w:szCs w:val="18"/>
              </w:rPr>
            </w:pPr>
            <w:r>
              <w:rPr>
                <w:rFonts w:ascii="SimSun" w:eastAsia="SimSun" w:hAnsi="SimSun" w:cs="SimSun"/>
                <w:spacing w:val="-2"/>
                <w:sz w:val="18"/>
                <w:szCs w:val="18"/>
              </w:rPr>
              <w:t>地表水状况</w:t>
            </w:r>
          </w:p>
        </w:tc>
      </w:tr>
      <w:tr>
        <w:tblPrEx>
          <w:tblW w:w="8606" w:type="dxa"/>
          <w:tblInd w:w="12" w:type="dxa"/>
          <w:tblLayout w:type="fixed"/>
        </w:tblPrEx>
        <w:trPr>
          <w:trHeight w:val="316"/>
        </w:trPr>
        <w:tc>
          <w:tcPr>
            <w:tcW w:w="2262" w:type="dxa"/>
            <w:vMerge/>
            <w:tcBorders>
              <w:top w:val="nil"/>
              <w:left w:val="single" w:sz="10" w:space="0" w:color="000000"/>
            </w:tcBorders>
            <w:vAlign w:val="top"/>
          </w:tcPr>
          <w:p>
            <w:pPr>
              <w:pStyle w:val="TableText"/>
            </w:pPr>
          </w:p>
        </w:tc>
        <w:tc>
          <w:tcPr>
            <w:tcW w:w="2840" w:type="dxa"/>
            <w:vMerge/>
            <w:tcBorders>
              <w:top w:val="nil"/>
            </w:tcBorders>
            <w:vAlign w:val="top"/>
          </w:tcPr>
          <w:p>
            <w:pPr>
              <w:pStyle w:val="TableText"/>
            </w:pPr>
          </w:p>
        </w:tc>
        <w:tc>
          <w:tcPr>
            <w:tcW w:w="3504" w:type="dxa"/>
            <w:tcBorders>
              <w:right w:val="single" w:sz="10" w:space="0" w:color="000000"/>
            </w:tcBorders>
            <w:vAlign w:val="top"/>
          </w:tcPr>
          <w:p>
            <w:pPr>
              <w:spacing w:before="78" w:line="220" w:lineRule="auto"/>
              <w:ind w:left="1394"/>
              <w:rPr>
                <w:rFonts w:ascii="SimSun" w:eastAsia="SimSun" w:hAnsi="SimSun" w:cs="SimSun"/>
                <w:sz w:val="18"/>
                <w:szCs w:val="18"/>
              </w:rPr>
            </w:pPr>
            <w:r>
              <w:rPr>
                <w:rFonts w:ascii="SimSun" w:eastAsia="SimSun" w:hAnsi="SimSun" w:cs="SimSun"/>
                <w:spacing w:val="-2"/>
                <w:sz w:val="18"/>
                <w:szCs w:val="18"/>
              </w:rPr>
              <w:t>地下水位</w:t>
            </w:r>
          </w:p>
        </w:tc>
      </w:tr>
      <w:tr>
        <w:tblPrEx>
          <w:tblW w:w="8606" w:type="dxa"/>
          <w:tblInd w:w="12" w:type="dxa"/>
          <w:tblLayout w:type="fixed"/>
        </w:tblPrEx>
        <w:trPr>
          <w:trHeight w:val="316"/>
        </w:trPr>
        <w:tc>
          <w:tcPr>
            <w:tcW w:w="2262" w:type="dxa"/>
            <w:tcBorders>
              <w:left w:val="single" w:sz="10" w:space="0" w:color="000000"/>
              <w:bottom w:val="nil"/>
            </w:tcBorders>
            <w:vAlign w:val="top"/>
          </w:tcPr>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tc>
        <w:tc>
          <w:tcPr>
            <w:tcW w:w="2840" w:type="dxa"/>
            <w:tcBorders>
              <w:bottom w:val="nil"/>
            </w:tcBorders>
            <w:vAlign w:val="top"/>
          </w:tcPr>
          <w:p>
            <w:pPr>
              <w:pStyle w:val="TableText"/>
              <w:spacing w:line="339" w:lineRule="auto"/>
            </w:pPr>
          </w:p>
          <w:p>
            <w:pPr>
              <w:spacing w:before="59" w:line="219" w:lineRule="auto"/>
              <w:ind w:left="791"/>
              <w:rPr>
                <w:rFonts w:ascii="SimSun" w:eastAsia="SimSun" w:hAnsi="SimSun" w:cs="SimSun"/>
                <w:sz w:val="18"/>
                <w:szCs w:val="18"/>
              </w:rPr>
            </w:pPr>
            <w:r>
              <w:rPr>
                <w:rFonts w:ascii="SimSun" w:eastAsia="SimSun" w:hAnsi="SimSun" w:cs="SimSun"/>
                <w:spacing w:val="-1"/>
                <w:sz w:val="18"/>
                <w:szCs w:val="18"/>
              </w:rPr>
              <w:t>社会经济发展条件</w:t>
            </w:r>
          </w:p>
        </w:tc>
        <w:tc>
          <w:tcPr>
            <w:tcW w:w="3504" w:type="dxa"/>
            <w:tcBorders>
              <w:right w:val="single" w:sz="10" w:space="0" w:color="000000"/>
            </w:tcBorders>
            <w:vAlign w:val="top"/>
          </w:tcPr>
          <w:p>
            <w:pPr>
              <w:spacing w:before="78" w:line="220" w:lineRule="auto"/>
              <w:ind w:left="947"/>
              <w:rPr>
                <w:rFonts w:ascii="SimSun" w:eastAsia="SimSun" w:hAnsi="SimSun" w:cs="SimSun"/>
                <w:sz w:val="18"/>
                <w:szCs w:val="18"/>
              </w:rPr>
            </w:pPr>
            <w:r>
              <w:rPr>
                <w:rFonts w:ascii="SimSun" w:eastAsia="SimSun" w:hAnsi="SimSun" w:cs="SimSun"/>
                <w:spacing w:val="-1"/>
                <w:sz w:val="18"/>
                <w:szCs w:val="18"/>
              </w:rPr>
              <w:t>单位园地投入劳动力</w:t>
            </w:r>
          </w:p>
        </w:tc>
      </w:tr>
    </w:tbl>
    <w:p>
      <w:pPr>
        <w:sectPr>
          <w:headerReference w:type="default" r:id="rId126"/>
          <w:footerReference w:type="default" r:id="rId127"/>
          <w:pgSz w:w="11907" w:h="16839"/>
          <w:pgMar w:top="1659" w:right="1128" w:bottom="1305" w:left="1418" w:header="1448" w:footer="1128" w:gutter="0"/>
          <w:pgNumType w:start="28"/>
          <w:cols w:space="708"/>
        </w:sectPr>
      </w:pPr>
    </w:p>
    <w:tbl>
      <w:tblPr>
        <w:tblStyle w:val="TableNormal1"/>
        <w:tblW w:w="8606"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62"/>
        <w:gridCol w:w="2840"/>
        <w:gridCol w:w="3504"/>
      </w:tblGrid>
      <w:tr>
        <w:tblPrEx>
          <w:tblW w:w="8606"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6"/>
        </w:trPr>
        <w:tc>
          <w:tcPr>
            <w:tcW w:w="2262" w:type="dxa"/>
            <w:vMerge w:val="restart"/>
            <w:tcBorders>
              <w:left w:val="single" w:sz="10" w:space="0" w:color="000000"/>
              <w:bottom w:val="nil"/>
            </w:tcBorders>
            <w:vAlign w:val="top"/>
          </w:tcPr>
          <w:p>
            <w:pPr>
              <w:pStyle w:val="TableText"/>
              <w:spacing w:line="258" w:lineRule="auto"/>
            </w:pPr>
          </w:p>
          <w:p>
            <w:pPr>
              <w:pStyle w:val="TableText"/>
              <w:spacing w:line="258" w:lineRule="auto"/>
            </w:pPr>
          </w:p>
          <w:p>
            <w:pPr>
              <w:pStyle w:val="TableText"/>
              <w:spacing w:line="258" w:lineRule="auto"/>
            </w:pPr>
          </w:p>
          <w:p>
            <w:pPr>
              <w:pStyle w:val="TableText"/>
              <w:spacing w:line="258" w:lineRule="auto"/>
            </w:pPr>
          </w:p>
          <w:p>
            <w:pPr>
              <w:spacing w:before="58" w:line="219" w:lineRule="auto"/>
              <w:ind w:left="583"/>
              <w:rPr>
                <w:rFonts w:ascii="SimSun" w:eastAsia="SimSun" w:hAnsi="SimSun" w:cs="SimSun"/>
                <w:sz w:val="18"/>
                <w:szCs w:val="18"/>
              </w:rPr>
            </w:pPr>
            <w:r>
              <w:rPr>
                <w:rFonts w:ascii="SimSun" w:eastAsia="SimSun" w:hAnsi="SimSun" w:cs="SimSun"/>
                <w:spacing w:val="-2"/>
                <w:sz w:val="18"/>
                <w:szCs w:val="18"/>
              </w:rPr>
              <w:t>社会经济因素</w:t>
            </w:r>
          </w:p>
        </w:tc>
        <w:tc>
          <w:tcPr>
            <w:tcW w:w="2840" w:type="dxa"/>
            <w:vMerge w:val="restart"/>
            <w:tcBorders>
              <w:bottom w:val="nil"/>
            </w:tcBorders>
            <w:vAlign w:val="top"/>
          </w:tcPr>
          <w:p/>
        </w:tc>
        <w:tc>
          <w:tcPr>
            <w:tcW w:w="3504" w:type="dxa"/>
            <w:tcBorders>
              <w:right w:val="single" w:sz="10" w:space="0" w:color="000000"/>
            </w:tcBorders>
            <w:vAlign w:val="top"/>
          </w:tcPr>
          <w:p/>
        </w:tc>
      </w:tr>
      <w:tr>
        <w:tblPrEx>
          <w:tblW w:w="8606" w:type="dxa"/>
          <w:tblInd w:w="12" w:type="dxa"/>
          <w:tblLayout w:type="fixed"/>
        </w:tblPrEx>
        <w:trPr>
          <w:trHeight w:val="318"/>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79" w:line="219" w:lineRule="auto"/>
              <w:ind w:left="947"/>
              <w:rPr>
                <w:rFonts w:ascii="SimSun" w:eastAsia="SimSun" w:hAnsi="SimSun" w:cs="SimSun"/>
                <w:sz w:val="18"/>
                <w:szCs w:val="18"/>
              </w:rPr>
            </w:pPr>
            <w:r>
              <w:rPr>
                <w:rFonts w:ascii="SimSun" w:eastAsia="SimSun" w:hAnsi="SimSun" w:cs="SimSun"/>
                <w:spacing w:val="-1"/>
                <w:sz w:val="18"/>
                <w:szCs w:val="18"/>
              </w:rPr>
              <w:t>单位园地投入资本量</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tcBorders>
            <w:vAlign w:val="top"/>
          </w:tcPr>
          <w:p>
            <w:pPr>
              <w:pStyle w:val="TableText"/>
            </w:pPr>
          </w:p>
        </w:tc>
        <w:tc>
          <w:tcPr>
            <w:tcW w:w="3504" w:type="dxa"/>
            <w:tcBorders>
              <w:right w:val="single" w:sz="10" w:space="0" w:color="000000"/>
            </w:tcBorders>
            <w:vAlign w:val="top"/>
          </w:tcPr>
          <w:p>
            <w:pPr>
              <w:spacing w:before="78" w:line="219" w:lineRule="auto"/>
              <w:ind w:left="1219"/>
              <w:rPr>
                <w:rFonts w:ascii="SimSun" w:eastAsia="SimSun" w:hAnsi="SimSun" w:cs="SimSun"/>
                <w:sz w:val="18"/>
                <w:szCs w:val="18"/>
              </w:rPr>
            </w:pPr>
            <w:r>
              <w:rPr>
                <w:rFonts w:ascii="SimSun" w:eastAsia="SimSun" w:hAnsi="SimSun" w:cs="SimSun"/>
                <w:spacing w:val="-2"/>
                <w:sz w:val="18"/>
                <w:szCs w:val="18"/>
              </w:rPr>
              <w:t>市场供需状况</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val="restart"/>
            <w:tcBorders>
              <w:bottom w:val="nil"/>
            </w:tcBorders>
            <w:vAlign w:val="top"/>
          </w:tcPr>
          <w:p>
            <w:pPr>
              <w:pStyle w:val="TableText"/>
              <w:spacing w:line="330" w:lineRule="auto"/>
            </w:pPr>
          </w:p>
          <w:p>
            <w:pPr>
              <w:pStyle w:val="TableText"/>
              <w:spacing w:line="331" w:lineRule="auto"/>
            </w:pPr>
          </w:p>
          <w:p>
            <w:pPr>
              <w:spacing w:before="59" w:line="220" w:lineRule="auto"/>
              <w:ind w:left="1075"/>
              <w:rPr>
                <w:rFonts w:ascii="SimSun" w:eastAsia="SimSun" w:hAnsi="SimSun" w:cs="SimSun"/>
                <w:sz w:val="18"/>
                <w:szCs w:val="18"/>
              </w:rPr>
            </w:pPr>
            <w:r>
              <w:rPr>
                <w:rFonts w:ascii="SimSun" w:eastAsia="SimSun" w:hAnsi="SimSun" w:cs="SimSun"/>
                <w:spacing w:val="-4"/>
                <w:sz w:val="18"/>
                <w:szCs w:val="18"/>
              </w:rPr>
              <w:t>区位条件</w:t>
            </w:r>
          </w:p>
        </w:tc>
        <w:tc>
          <w:tcPr>
            <w:tcW w:w="3504" w:type="dxa"/>
            <w:tcBorders>
              <w:right w:val="single" w:sz="10" w:space="0" w:color="000000"/>
            </w:tcBorders>
            <w:vAlign w:val="top"/>
          </w:tcPr>
          <w:p>
            <w:pPr>
              <w:spacing w:before="78" w:line="220" w:lineRule="auto"/>
              <w:ind w:left="1143"/>
              <w:rPr>
                <w:rFonts w:ascii="SimSun" w:eastAsia="SimSun" w:hAnsi="SimSun" w:cs="SimSun"/>
                <w:sz w:val="18"/>
                <w:szCs w:val="18"/>
              </w:rPr>
            </w:pPr>
            <w:r>
              <w:rPr>
                <w:rFonts w:ascii="SimSun" w:eastAsia="SimSun" w:hAnsi="SimSun" w:cs="SimSun"/>
                <w:spacing w:val="-4"/>
                <w:sz w:val="18"/>
                <w:szCs w:val="18"/>
              </w:rPr>
              <w:t>中心城镇影响度</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81" w:line="220" w:lineRule="auto"/>
              <w:ind w:left="1125"/>
              <w:rPr>
                <w:rFonts w:ascii="SimSun" w:eastAsia="SimSun" w:hAnsi="SimSun" w:cs="SimSun"/>
                <w:sz w:val="18"/>
                <w:szCs w:val="18"/>
              </w:rPr>
            </w:pPr>
            <w:r>
              <w:rPr>
                <w:rFonts w:ascii="SimSun" w:eastAsia="SimSun" w:hAnsi="SimSun" w:cs="SimSun"/>
                <w:spacing w:val="-1"/>
                <w:sz w:val="18"/>
                <w:szCs w:val="18"/>
              </w:rPr>
              <w:t>对外交通便利度</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82" w:line="220" w:lineRule="auto"/>
              <w:ind w:left="1305"/>
              <w:rPr>
                <w:rFonts w:ascii="SimSun" w:eastAsia="SimSun" w:hAnsi="SimSun" w:cs="SimSun"/>
                <w:sz w:val="18"/>
                <w:szCs w:val="18"/>
              </w:rPr>
            </w:pPr>
            <w:r>
              <w:rPr>
                <w:rFonts w:ascii="SimSun" w:eastAsia="SimSun" w:hAnsi="SimSun" w:cs="SimSun"/>
                <w:spacing w:val="-2"/>
                <w:sz w:val="18"/>
                <w:szCs w:val="18"/>
              </w:rPr>
              <w:t>道路通达度</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83" w:line="220" w:lineRule="auto"/>
              <w:ind w:left="1126"/>
              <w:rPr>
                <w:rFonts w:ascii="SimSun" w:eastAsia="SimSun" w:hAnsi="SimSun" w:cs="SimSun"/>
                <w:sz w:val="18"/>
                <w:szCs w:val="18"/>
              </w:rPr>
            </w:pPr>
            <w:r>
              <w:rPr>
                <w:rFonts w:ascii="SimSun" w:eastAsia="SimSun" w:hAnsi="SimSun" w:cs="SimSun"/>
                <w:spacing w:val="-1"/>
                <w:sz w:val="18"/>
                <w:szCs w:val="18"/>
              </w:rPr>
              <w:t>农贸市场影响度</w:t>
            </w:r>
          </w:p>
        </w:tc>
      </w:tr>
      <w:tr>
        <w:tblPrEx>
          <w:tblW w:w="8606" w:type="dxa"/>
          <w:tblInd w:w="12" w:type="dxa"/>
          <w:tblLayout w:type="fixed"/>
        </w:tblPrEx>
        <w:trPr>
          <w:trHeight w:val="318"/>
        </w:trPr>
        <w:tc>
          <w:tcPr>
            <w:tcW w:w="2262" w:type="dxa"/>
            <w:vMerge/>
            <w:tcBorders>
              <w:top w:val="nil"/>
              <w:left w:val="single" w:sz="10" w:space="0" w:color="000000"/>
              <w:bottom w:val="nil"/>
            </w:tcBorders>
            <w:vAlign w:val="top"/>
          </w:tcPr>
          <w:p>
            <w:pPr>
              <w:pStyle w:val="TableText"/>
            </w:pPr>
          </w:p>
        </w:tc>
        <w:tc>
          <w:tcPr>
            <w:tcW w:w="2840" w:type="dxa"/>
            <w:vMerge/>
            <w:tcBorders>
              <w:top w:val="nil"/>
            </w:tcBorders>
            <w:vAlign w:val="top"/>
          </w:tcPr>
          <w:p>
            <w:pPr>
              <w:pStyle w:val="TableText"/>
            </w:pPr>
          </w:p>
        </w:tc>
        <w:tc>
          <w:tcPr>
            <w:tcW w:w="3504" w:type="dxa"/>
            <w:tcBorders>
              <w:right w:val="single" w:sz="10" w:space="0" w:color="000000"/>
            </w:tcBorders>
            <w:vAlign w:val="top"/>
          </w:tcPr>
          <w:p>
            <w:pPr>
              <w:spacing w:before="83" w:line="220" w:lineRule="auto"/>
              <w:ind w:left="1306"/>
              <w:rPr>
                <w:rFonts w:ascii="SimSun" w:eastAsia="SimSun" w:hAnsi="SimSun" w:cs="SimSun"/>
                <w:sz w:val="18"/>
                <w:szCs w:val="18"/>
              </w:rPr>
            </w:pPr>
            <w:r>
              <w:rPr>
                <w:rFonts w:ascii="SimSun" w:eastAsia="SimSun" w:hAnsi="SimSun" w:cs="SimSun"/>
                <w:spacing w:val="-2"/>
                <w:sz w:val="18"/>
                <w:szCs w:val="18"/>
              </w:rPr>
              <w:t>物流便利度</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val="restart"/>
            <w:tcBorders>
              <w:bottom w:val="nil"/>
            </w:tcBorders>
            <w:vAlign w:val="top"/>
          </w:tcPr>
          <w:p>
            <w:pPr>
              <w:pStyle w:val="TableText"/>
              <w:spacing w:line="275" w:lineRule="auto"/>
            </w:pPr>
          </w:p>
          <w:p>
            <w:pPr>
              <w:pStyle w:val="TableText"/>
              <w:spacing w:line="275" w:lineRule="auto"/>
            </w:pPr>
          </w:p>
          <w:p>
            <w:pPr>
              <w:pStyle w:val="TableText"/>
              <w:spacing w:line="275" w:lineRule="auto"/>
            </w:pPr>
          </w:p>
          <w:p>
            <w:pPr>
              <w:spacing w:before="58" w:line="220" w:lineRule="auto"/>
              <w:ind w:left="881"/>
              <w:rPr>
                <w:rFonts w:ascii="SimSun" w:eastAsia="SimSun" w:hAnsi="SimSun" w:cs="SimSun"/>
                <w:sz w:val="18"/>
                <w:szCs w:val="18"/>
              </w:rPr>
            </w:pPr>
            <w:r>
              <w:rPr>
                <w:rFonts w:ascii="SimSun" w:eastAsia="SimSun" w:hAnsi="SimSun" w:cs="SimSun"/>
                <w:spacing w:val="-1"/>
                <w:sz w:val="18"/>
                <w:szCs w:val="18"/>
              </w:rPr>
              <w:t>种植管理条件</w:t>
            </w:r>
          </w:p>
        </w:tc>
        <w:tc>
          <w:tcPr>
            <w:tcW w:w="3504" w:type="dxa"/>
            <w:tcBorders>
              <w:right w:val="single" w:sz="10" w:space="0" w:color="000000"/>
            </w:tcBorders>
            <w:vAlign w:val="top"/>
          </w:tcPr>
          <w:p>
            <w:pPr>
              <w:spacing w:before="82" w:line="220" w:lineRule="auto"/>
              <w:ind w:left="1308"/>
              <w:rPr>
                <w:rFonts w:ascii="SimSun" w:eastAsia="SimSun" w:hAnsi="SimSun" w:cs="SimSun"/>
                <w:sz w:val="18"/>
                <w:szCs w:val="18"/>
              </w:rPr>
            </w:pPr>
            <w:r>
              <w:rPr>
                <w:rFonts w:ascii="SimSun" w:eastAsia="SimSun" w:hAnsi="SimSun" w:cs="SimSun"/>
                <w:spacing w:val="-2"/>
                <w:sz w:val="18"/>
                <w:szCs w:val="18"/>
              </w:rPr>
              <w:t>水源保证率</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83" w:line="220" w:lineRule="auto"/>
              <w:ind w:left="1397"/>
              <w:rPr>
                <w:rFonts w:ascii="SimSun" w:eastAsia="SimSun" w:hAnsi="SimSun" w:cs="SimSun"/>
                <w:sz w:val="18"/>
                <w:szCs w:val="18"/>
              </w:rPr>
            </w:pPr>
            <w:r>
              <w:rPr>
                <w:rFonts w:ascii="SimSun" w:eastAsia="SimSun" w:hAnsi="SimSun" w:cs="SimSun"/>
                <w:spacing w:val="-2"/>
                <w:sz w:val="18"/>
                <w:szCs w:val="18"/>
              </w:rPr>
              <w:t>灌溉条件</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86" w:line="220" w:lineRule="auto"/>
              <w:ind w:left="1226"/>
              <w:rPr>
                <w:rFonts w:ascii="SimSun" w:eastAsia="SimSun" w:hAnsi="SimSun" w:cs="SimSun"/>
                <w:sz w:val="18"/>
                <w:szCs w:val="18"/>
              </w:rPr>
            </w:pPr>
            <w:r>
              <w:rPr>
                <w:rFonts w:ascii="SimSun" w:eastAsia="SimSun" w:hAnsi="SimSun" w:cs="SimSun"/>
                <w:spacing w:val="-3"/>
                <w:sz w:val="18"/>
                <w:szCs w:val="18"/>
              </w:rPr>
              <w:t>防洪排水条件</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86" w:line="220" w:lineRule="auto"/>
              <w:ind w:left="1306"/>
              <w:rPr>
                <w:rFonts w:ascii="SimSun" w:eastAsia="SimSun" w:hAnsi="SimSun" w:cs="SimSun"/>
                <w:sz w:val="18"/>
                <w:szCs w:val="18"/>
              </w:rPr>
            </w:pPr>
            <w:r>
              <w:rPr>
                <w:rFonts w:ascii="SimSun" w:eastAsia="SimSun" w:hAnsi="SimSun" w:cs="SimSun"/>
                <w:spacing w:val="-2"/>
                <w:sz w:val="18"/>
                <w:szCs w:val="18"/>
              </w:rPr>
              <w:t>林网化程度</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88" w:line="220" w:lineRule="auto"/>
              <w:ind w:left="1395"/>
              <w:rPr>
                <w:rFonts w:ascii="SimSun" w:eastAsia="SimSun" w:hAnsi="SimSun" w:cs="SimSun"/>
                <w:sz w:val="18"/>
                <w:szCs w:val="18"/>
              </w:rPr>
            </w:pPr>
            <w:r>
              <w:rPr>
                <w:rFonts w:ascii="SimSun" w:eastAsia="SimSun" w:hAnsi="SimSun" w:cs="SimSun"/>
                <w:spacing w:val="-2"/>
                <w:sz w:val="18"/>
                <w:szCs w:val="18"/>
              </w:rPr>
              <w:t>连片程度</w:t>
            </w:r>
          </w:p>
        </w:tc>
      </w:tr>
      <w:tr>
        <w:tblPrEx>
          <w:tblW w:w="8606" w:type="dxa"/>
          <w:tblInd w:w="12" w:type="dxa"/>
          <w:tblLayout w:type="fixed"/>
        </w:tblPrEx>
        <w:trPr>
          <w:trHeight w:val="318"/>
        </w:trPr>
        <w:tc>
          <w:tcPr>
            <w:tcW w:w="2262" w:type="dxa"/>
            <w:vMerge/>
            <w:tcBorders>
              <w:top w:val="nil"/>
              <w:left w:val="single" w:sz="10" w:space="0" w:color="000000"/>
              <w:bottom w:val="nil"/>
            </w:tcBorders>
            <w:vAlign w:val="top"/>
          </w:tcPr>
          <w:p>
            <w:pPr>
              <w:pStyle w:val="TableText"/>
            </w:pPr>
          </w:p>
        </w:tc>
        <w:tc>
          <w:tcPr>
            <w:tcW w:w="2840" w:type="dxa"/>
            <w:vMerge/>
            <w:tcBorders>
              <w:top w:val="nil"/>
            </w:tcBorders>
            <w:vAlign w:val="top"/>
          </w:tcPr>
          <w:p>
            <w:pPr>
              <w:pStyle w:val="TableText"/>
            </w:pPr>
          </w:p>
        </w:tc>
        <w:tc>
          <w:tcPr>
            <w:tcW w:w="3504" w:type="dxa"/>
            <w:tcBorders>
              <w:right w:val="single" w:sz="10" w:space="0" w:color="000000"/>
            </w:tcBorders>
            <w:vAlign w:val="top"/>
          </w:tcPr>
          <w:p>
            <w:pPr>
              <w:spacing w:before="87" w:line="220" w:lineRule="auto"/>
              <w:ind w:left="1394"/>
              <w:rPr>
                <w:rFonts w:ascii="SimSun" w:eastAsia="SimSun" w:hAnsi="SimSun" w:cs="SimSun"/>
                <w:sz w:val="18"/>
                <w:szCs w:val="18"/>
              </w:rPr>
            </w:pPr>
            <w:r>
              <w:rPr>
                <w:rFonts w:ascii="SimSun" w:eastAsia="SimSun" w:hAnsi="SimSun" w:cs="SimSun"/>
                <w:spacing w:val="-2"/>
                <w:sz w:val="18"/>
                <w:szCs w:val="18"/>
              </w:rPr>
              <w:t>产品认证</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val="restart"/>
            <w:tcBorders>
              <w:bottom w:val="nil"/>
            </w:tcBorders>
            <w:vAlign w:val="top"/>
          </w:tcPr>
          <w:p>
            <w:pPr>
              <w:pStyle w:val="TableText"/>
              <w:spacing w:line="347" w:lineRule="auto"/>
            </w:pPr>
          </w:p>
          <w:p>
            <w:pPr>
              <w:spacing w:before="58" w:line="220" w:lineRule="auto"/>
              <w:ind w:left="886"/>
              <w:rPr>
                <w:rFonts w:ascii="SimSun" w:eastAsia="SimSun" w:hAnsi="SimSun" w:cs="SimSun"/>
                <w:sz w:val="18"/>
                <w:szCs w:val="18"/>
              </w:rPr>
            </w:pPr>
            <w:r>
              <w:rPr>
                <w:rFonts w:ascii="SimSun" w:eastAsia="SimSun" w:hAnsi="SimSun" w:cs="SimSun"/>
                <w:spacing w:val="-2"/>
                <w:sz w:val="18"/>
                <w:szCs w:val="18"/>
              </w:rPr>
              <w:t>劳作便利条件</w:t>
            </w:r>
          </w:p>
        </w:tc>
        <w:tc>
          <w:tcPr>
            <w:tcW w:w="3504" w:type="dxa"/>
            <w:tcBorders>
              <w:right w:val="single" w:sz="10" w:space="0" w:color="000000"/>
            </w:tcBorders>
            <w:vAlign w:val="top"/>
          </w:tcPr>
          <w:p>
            <w:pPr>
              <w:spacing w:before="86" w:line="220" w:lineRule="auto"/>
              <w:ind w:left="1416"/>
              <w:rPr>
                <w:rFonts w:ascii="SimSun" w:eastAsia="SimSun" w:hAnsi="SimSun" w:cs="SimSun"/>
                <w:sz w:val="18"/>
                <w:szCs w:val="18"/>
              </w:rPr>
            </w:pPr>
            <w:r>
              <w:rPr>
                <w:rFonts w:ascii="SimSun" w:eastAsia="SimSun" w:hAnsi="SimSun" w:cs="SimSun"/>
                <w:spacing w:val="-6"/>
                <w:sz w:val="18"/>
                <w:szCs w:val="18"/>
              </w:rPr>
              <w:t>田块形状</w:t>
            </w:r>
          </w:p>
        </w:tc>
      </w:tr>
      <w:tr>
        <w:tblPrEx>
          <w:tblW w:w="8606" w:type="dxa"/>
          <w:tblInd w:w="12" w:type="dxa"/>
          <w:tblLayout w:type="fixed"/>
        </w:tblPrEx>
        <w:trPr>
          <w:trHeight w:val="316"/>
        </w:trPr>
        <w:tc>
          <w:tcPr>
            <w:tcW w:w="2262" w:type="dxa"/>
            <w:vMerge/>
            <w:tcBorders>
              <w:top w:val="nil"/>
              <w:left w:val="single" w:sz="10" w:space="0" w:color="000000"/>
              <w:bottom w:val="nil"/>
            </w:tcBorders>
            <w:vAlign w:val="top"/>
          </w:tcPr>
          <w:p>
            <w:pPr>
              <w:pStyle w:val="TableText"/>
            </w:pPr>
          </w:p>
        </w:tc>
        <w:tc>
          <w:tcPr>
            <w:tcW w:w="2840" w:type="dxa"/>
            <w:vMerge/>
            <w:tcBorders>
              <w:top w:val="nil"/>
              <w:bottom w:val="nil"/>
            </w:tcBorders>
            <w:vAlign w:val="top"/>
          </w:tcPr>
          <w:p>
            <w:pPr>
              <w:pStyle w:val="TableText"/>
            </w:pPr>
          </w:p>
        </w:tc>
        <w:tc>
          <w:tcPr>
            <w:tcW w:w="3504" w:type="dxa"/>
            <w:tcBorders>
              <w:right w:val="single" w:sz="10" w:space="0" w:color="000000"/>
            </w:tcBorders>
            <w:vAlign w:val="top"/>
          </w:tcPr>
          <w:p>
            <w:pPr>
              <w:spacing w:before="87" w:line="220" w:lineRule="auto"/>
              <w:ind w:left="1416"/>
              <w:rPr>
                <w:rFonts w:ascii="SimSun" w:eastAsia="SimSun" w:hAnsi="SimSun" w:cs="SimSun"/>
                <w:sz w:val="18"/>
                <w:szCs w:val="18"/>
              </w:rPr>
            </w:pPr>
            <w:r>
              <w:rPr>
                <w:rFonts w:ascii="SimSun" w:eastAsia="SimSun" w:hAnsi="SimSun" w:cs="SimSun"/>
                <w:spacing w:val="-6"/>
                <w:sz w:val="18"/>
                <w:szCs w:val="18"/>
              </w:rPr>
              <w:t>田块大小</w:t>
            </w:r>
          </w:p>
        </w:tc>
      </w:tr>
      <w:tr>
        <w:tblPrEx>
          <w:tblW w:w="8606" w:type="dxa"/>
          <w:tblInd w:w="12" w:type="dxa"/>
          <w:tblLayout w:type="fixed"/>
        </w:tblPrEx>
        <w:trPr>
          <w:trHeight w:val="340"/>
        </w:trPr>
        <w:tc>
          <w:tcPr>
            <w:tcW w:w="2262" w:type="dxa"/>
            <w:vMerge/>
            <w:tcBorders>
              <w:top w:val="nil"/>
              <w:left w:val="single" w:sz="10" w:space="0" w:color="000000"/>
              <w:bottom w:val="single" w:sz="10" w:space="0" w:color="000000"/>
            </w:tcBorders>
            <w:vAlign w:val="top"/>
          </w:tcPr>
          <w:p>
            <w:pPr>
              <w:pStyle w:val="TableText"/>
            </w:pPr>
          </w:p>
        </w:tc>
        <w:tc>
          <w:tcPr>
            <w:tcW w:w="2840" w:type="dxa"/>
            <w:vMerge/>
            <w:tcBorders>
              <w:top w:val="nil"/>
              <w:bottom w:val="single" w:sz="10" w:space="0" w:color="000000"/>
            </w:tcBorders>
            <w:vAlign w:val="top"/>
          </w:tcPr>
          <w:p>
            <w:pPr>
              <w:pStyle w:val="TableText"/>
            </w:pPr>
          </w:p>
        </w:tc>
        <w:tc>
          <w:tcPr>
            <w:tcW w:w="3504" w:type="dxa"/>
            <w:tcBorders>
              <w:bottom w:val="single" w:sz="10" w:space="0" w:color="000000"/>
              <w:right w:val="single" w:sz="10" w:space="0" w:color="000000"/>
            </w:tcBorders>
            <w:vAlign w:val="top"/>
          </w:tcPr>
          <w:p>
            <w:pPr>
              <w:spacing w:before="90" w:line="220" w:lineRule="auto"/>
              <w:ind w:left="1327"/>
              <w:rPr>
                <w:rFonts w:ascii="SimSun" w:eastAsia="SimSun" w:hAnsi="SimSun" w:cs="SimSun"/>
                <w:sz w:val="18"/>
                <w:szCs w:val="18"/>
              </w:rPr>
            </w:pPr>
            <w:r>
              <w:rPr>
                <w:rFonts w:ascii="SimSun" w:eastAsia="SimSun" w:hAnsi="SimSun" w:cs="SimSun"/>
                <w:spacing w:val="-5"/>
                <w:sz w:val="18"/>
                <w:szCs w:val="18"/>
              </w:rPr>
              <w:t>田块平整度</w:t>
            </w:r>
          </w:p>
        </w:tc>
      </w:tr>
    </w:tbl>
    <w:p>
      <w:pPr>
        <w:rPr>
          <w:rFonts w:ascii="Arial"/>
          <w:sz w:val="21"/>
        </w:rPr>
      </w:pPr>
    </w:p>
    <w:p>
      <w:pPr>
        <w:rPr>
          <w:rFonts w:ascii="Arial" w:eastAsia="Arial" w:hAnsi="Arial" w:cs="Arial"/>
          <w:sz w:val="21"/>
          <w:szCs w:val="21"/>
        </w:rPr>
        <w:sectPr>
          <w:headerReference w:type="default" r:id="rId128"/>
          <w:footerReference w:type="default" r:id="rId129"/>
          <w:type w:val="nextPage"/>
          <w:pgSz w:w="11907" w:h="16839"/>
          <w:pgMar w:top="1659" w:right="1128" w:bottom="1305" w:left="1418" w:header="1448" w:footer="1128" w:gutter="0"/>
          <w:pgNumType w:start="29"/>
          <w:cols w:space="708"/>
          <w:titlePg w:val="0"/>
        </w:sectPr>
      </w:pPr>
    </w:p>
    <w:p>
      <w:pPr>
        <w:pStyle w:val="BodyText"/>
        <w:spacing w:before="297" w:line="220" w:lineRule="auto"/>
        <w:ind w:left="3060"/>
      </w:pPr>
      <w:r>
        <w:rPr>
          <w:rFonts w:ascii="SimHei" w:eastAsia="SimHei" w:hAnsi="SimHei" w:cs="SimHei"/>
          <w:spacing w:val="-2"/>
        </w:rPr>
        <w:t>表A.1</w:t>
      </w:r>
      <w:r>
        <w:rPr>
          <w:rFonts w:ascii="SimHei" w:eastAsia="SimHei" w:hAnsi="SimHei" w:cs="SimHei"/>
          <w:spacing w:val="-2"/>
        </w:rPr>
        <w:t xml:space="preserve">  </w:t>
      </w:r>
      <w:r>
        <w:rPr>
          <w:rFonts w:ascii="SimHei" w:eastAsia="SimHei" w:hAnsi="SimHei" w:cs="SimHei"/>
          <w:spacing w:val="-2"/>
        </w:rPr>
        <w:t>园地价格影响因素表</w:t>
      </w:r>
      <w:r>
        <w:rPr>
          <w:spacing w:val="-2"/>
        </w:rPr>
        <w:t>（续）</w:t>
      </w:r>
    </w:p>
    <w:p>
      <w:pPr>
        <w:spacing w:line="113" w:lineRule="exact"/>
      </w:pPr>
    </w:p>
    <w:tbl>
      <w:tblPr>
        <w:tblStyle w:val="TableNormal2"/>
        <w:tblW w:w="860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64"/>
        <w:gridCol w:w="2841"/>
        <w:gridCol w:w="3504"/>
      </w:tblGrid>
      <w:tr>
        <w:tblPrEx>
          <w:tblW w:w="8609" w:type="dxa"/>
          <w:tblInd w:w="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8"/>
        </w:trPr>
        <w:tc>
          <w:tcPr>
            <w:tcW w:w="2264" w:type="dxa"/>
            <w:tcBorders>
              <w:top w:val="single" w:sz="10" w:space="0" w:color="000000"/>
              <w:left w:val="single" w:sz="10" w:space="0" w:color="000000"/>
            </w:tcBorders>
            <w:vAlign w:val="top"/>
          </w:tcPr>
          <w:p>
            <w:pPr>
              <w:spacing w:before="69" w:line="220" w:lineRule="auto"/>
              <w:ind w:left="958"/>
              <w:rPr>
                <w:rFonts w:ascii="SimSun" w:eastAsia="SimSun" w:hAnsi="SimSun" w:cs="SimSun"/>
                <w:sz w:val="18"/>
                <w:szCs w:val="18"/>
              </w:rPr>
            </w:pPr>
            <w:r>
              <w:rPr>
                <w:rFonts w:ascii="SimSun" w:eastAsia="SimSun" w:hAnsi="SimSun" w:cs="SimSun"/>
                <w:spacing w:val="-6"/>
                <w:sz w:val="18"/>
                <w:szCs w:val="18"/>
              </w:rPr>
              <w:t>因素</w:t>
            </w:r>
          </w:p>
        </w:tc>
        <w:tc>
          <w:tcPr>
            <w:tcW w:w="2841" w:type="dxa"/>
            <w:tcBorders>
              <w:top w:val="single" w:sz="10" w:space="0" w:color="000000"/>
            </w:tcBorders>
            <w:vAlign w:val="top"/>
          </w:tcPr>
          <w:p>
            <w:pPr>
              <w:spacing w:before="70" w:line="220" w:lineRule="auto"/>
              <w:ind w:left="1256"/>
              <w:rPr>
                <w:rFonts w:ascii="SimSun" w:eastAsia="SimSun" w:hAnsi="SimSun" w:cs="SimSun"/>
                <w:sz w:val="18"/>
                <w:szCs w:val="18"/>
              </w:rPr>
            </w:pPr>
            <w:r>
              <w:rPr>
                <w:rFonts w:ascii="SimSun" w:eastAsia="SimSun" w:hAnsi="SimSun" w:cs="SimSun"/>
                <w:spacing w:val="-6"/>
                <w:sz w:val="18"/>
                <w:szCs w:val="18"/>
              </w:rPr>
              <w:t>因子</w:t>
            </w:r>
          </w:p>
        </w:tc>
        <w:tc>
          <w:tcPr>
            <w:tcW w:w="3504" w:type="dxa"/>
            <w:tcBorders>
              <w:top w:val="single" w:sz="10" w:space="0" w:color="000000"/>
              <w:right w:val="single" w:sz="10" w:space="0" w:color="000000"/>
            </w:tcBorders>
            <w:vAlign w:val="top"/>
          </w:tcPr>
          <w:p>
            <w:pPr>
              <w:spacing w:before="70" w:line="220" w:lineRule="auto"/>
              <w:ind w:left="1578"/>
              <w:rPr>
                <w:rFonts w:ascii="SimSun" w:eastAsia="SimSun" w:hAnsi="SimSun" w:cs="SimSun"/>
                <w:sz w:val="18"/>
                <w:szCs w:val="18"/>
              </w:rPr>
            </w:pPr>
            <w:r>
              <w:rPr>
                <w:rFonts w:ascii="SimSun" w:eastAsia="SimSun" w:hAnsi="SimSun" w:cs="SimSun"/>
                <w:spacing w:val="-3"/>
                <w:sz w:val="18"/>
                <w:szCs w:val="18"/>
              </w:rPr>
              <w:t>指标</w:t>
            </w:r>
          </w:p>
        </w:tc>
      </w:tr>
      <w:tr>
        <w:tblPrEx>
          <w:tblW w:w="8609" w:type="dxa"/>
          <w:tblInd w:w="12" w:type="dxa"/>
          <w:tblLayout w:type="fixed"/>
        </w:tblPrEx>
        <w:trPr>
          <w:trHeight w:val="315"/>
        </w:trPr>
        <w:tc>
          <w:tcPr>
            <w:tcW w:w="2264" w:type="dxa"/>
            <w:vMerge w:val="restart"/>
            <w:tcBorders>
              <w:left w:val="single" w:sz="10" w:space="0" w:color="000000"/>
              <w:bottom w:val="nil"/>
            </w:tcBorders>
            <w:vAlign w:val="top"/>
          </w:tcPr>
          <w:p>
            <w:pPr>
              <w:pStyle w:val="TableText"/>
              <w:spacing w:line="329" w:lineRule="auto"/>
            </w:pPr>
          </w:p>
          <w:p>
            <w:pPr>
              <w:spacing w:before="58" w:line="219" w:lineRule="auto"/>
              <w:ind w:left="585"/>
              <w:rPr>
                <w:rFonts w:ascii="SimSun" w:eastAsia="SimSun" w:hAnsi="SimSun" w:cs="SimSun"/>
                <w:sz w:val="18"/>
                <w:szCs w:val="18"/>
              </w:rPr>
            </w:pPr>
            <w:r>
              <w:rPr>
                <w:rFonts w:ascii="SimSun" w:eastAsia="SimSun" w:hAnsi="SimSun" w:cs="SimSun"/>
                <w:spacing w:val="-2"/>
                <w:sz w:val="18"/>
                <w:szCs w:val="18"/>
              </w:rPr>
              <w:t>社会经济因素</w:t>
            </w:r>
          </w:p>
        </w:tc>
        <w:tc>
          <w:tcPr>
            <w:tcW w:w="2841" w:type="dxa"/>
            <w:vMerge w:val="restart"/>
            <w:tcBorders>
              <w:bottom w:val="nil"/>
            </w:tcBorders>
            <w:vAlign w:val="top"/>
          </w:tcPr>
          <w:p>
            <w:pPr>
              <w:pStyle w:val="TableText"/>
              <w:spacing w:line="329" w:lineRule="auto"/>
            </w:pPr>
          </w:p>
          <w:p>
            <w:pPr>
              <w:spacing w:before="58" w:line="220" w:lineRule="auto"/>
              <w:ind w:left="886"/>
              <w:rPr>
                <w:rFonts w:ascii="SimSun" w:eastAsia="SimSun" w:hAnsi="SimSun" w:cs="SimSun"/>
                <w:sz w:val="18"/>
                <w:szCs w:val="18"/>
              </w:rPr>
            </w:pPr>
            <w:r>
              <w:rPr>
                <w:rFonts w:ascii="SimSun" w:eastAsia="SimSun" w:hAnsi="SimSun" w:cs="SimSun"/>
                <w:spacing w:val="-2"/>
                <w:sz w:val="18"/>
                <w:szCs w:val="18"/>
              </w:rPr>
              <w:t>劳作便利条件</w:t>
            </w:r>
          </w:p>
        </w:tc>
        <w:tc>
          <w:tcPr>
            <w:tcW w:w="3504" w:type="dxa"/>
            <w:tcBorders>
              <w:right w:val="single" w:sz="10" w:space="0" w:color="000000"/>
            </w:tcBorders>
            <w:vAlign w:val="top"/>
          </w:tcPr>
          <w:p>
            <w:pPr>
              <w:spacing w:before="68" w:line="220" w:lineRule="auto"/>
              <w:ind w:left="1401"/>
              <w:rPr>
                <w:rFonts w:ascii="SimSun" w:eastAsia="SimSun" w:hAnsi="SimSun" w:cs="SimSun"/>
                <w:sz w:val="18"/>
                <w:szCs w:val="18"/>
              </w:rPr>
            </w:pPr>
            <w:r>
              <w:rPr>
                <w:rFonts w:ascii="SimSun" w:eastAsia="SimSun" w:hAnsi="SimSun" w:cs="SimSun"/>
                <w:spacing w:val="-3"/>
                <w:sz w:val="18"/>
                <w:szCs w:val="18"/>
              </w:rPr>
              <w:t>劳作距离</w:t>
            </w:r>
          </w:p>
        </w:tc>
      </w:tr>
      <w:tr>
        <w:tblPrEx>
          <w:tblW w:w="8609" w:type="dxa"/>
          <w:tblInd w:w="12" w:type="dxa"/>
          <w:tblLayout w:type="fixed"/>
        </w:tblPrEx>
        <w:trPr>
          <w:trHeight w:val="317"/>
        </w:trPr>
        <w:tc>
          <w:tcPr>
            <w:tcW w:w="2264" w:type="dxa"/>
            <w:vMerge/>
            <w:tcBorders>
              <w:top w:val="nil"/>
              <w:left w:val="single" w:sz="10" w:space="0" w:color="000000"/>
              <w:bottom w:val="nil"/>
            </w:tcBorders>
            <w:vAlign w:val="top"/>
          </w:tcPr>
          <w:p>
            <w:pPr>
              <w:pStyle w:val="TableText"/>
            </w:pPr>
          </w:p>
        </w:tc>
        <w:tc>
          <w:tcPr>
            <w:tcW w:w="2841" w:type="dxa"/>
            <w:vMerge/>
            <w:tcBorders>
              <w:top w:val="nil"/>
              <w:bottom w:val="nil"/>
            </w:tcBorders>
            <w:vAlign w:val="top"/>
          </w:tcPr>
          <w:p>
            <w:pPr>
              <w:pStyle w:val="TableText"/>
            </w:pPr>
          </w:p>
        </w:tc>
        <w:tc>
          <w:tcPr>
            <w:tcW w:w="3504" w:type="dxa"/>
            <w:tcBorders>
              <w:right w:val="single" w:sz="10" w:space="0" w:color="000000"/>
            </w:tcBorders>
            <w:vAlign w:val="top"/>
          </w:tcPr>
          <w:p>
            <w:pPr>
              <w:spacing w:before="69" w:line="220" w:lineRule="auto"/>
              <w:ind w:left="1418"/>
              <w:rPr>
                <w:rFonts w:ascii="SimSun" w:eastAsia="SimSun" w:hAnsi="SimSun" w:cs="SimSun"/>
                <w:sz w:val="18"/>
                <w:szCs w:val="18"/>
              </w:rPr>
            </w:pPr>
            <w:r>
              <w:rPr>
                <w:rFonts w:ascii="SimSun" w:eastAsia="SimSun" w:hAnsi="SimSun" w:cs="SimSun"/>
                <w:spacing w:val="-6"/>
                <w:sz w:val="18"/>
                <w:szCs w:val="18"/>
              </w:rPr>
              <w:t>田间路网</w:t>
            </w:r>
          </w:p>
        </w:tc>
      </w:tr>
      <w:tr>
        <w:tblPrEx>
          <w:tblW w:w="8609" w:type="dxa"/>
          <w:tblInd w:w="12" w:type="dxa"/>
          <w:tblLayout w:type="fixed"/>
        </w:tblPrEx>
        <w:trPr>
          <w:trHeight w:val="315"/>
        </w:trPr>
        <w:tc>
          <w:tcPr>
            <w:tcW w:w="2264" w:type="dxa"/>
            <w:vMerge/>
            <w:tcBorders>
              <w:top w:val="nil"/>
              <w:left w:val="single" w:sz="10" w:space="0" w:color="000000"/>
            </w:tcBorders>
            <w:vAlign w:val="top"/>
          </w:tcPr>
          <w:p>
            <w:pPr>
              <w:pStyle w:val="TableText"/>
            </w:pPr>
          </w:p>
        </w:tc>
        <w:tc>
          <w:tcPr>
            <w:tcW w:w="2841" w:type="dxa"/>
            <w:vMerge/>
            <w:tcBorders>
              <w:top w:val="nil"/>
            </w:tcBorders>
            <w:vAlign w:val="top"/>
          </w:tcPr>
          <w:p>
            <w:pPr>
              <w:pStyle w:val="TableText"/>
            </w:pPr>
          </w:p>
        </w:tc>
        <w:tc>
          <w:tcPr>
            <w:tcW w:w="3504" w:type="dxa"/>
            <w:tcBorders>
              <w:right w:val="single" w:sz="10" w:space="0" w:color="000000"/>
            </w:tcBorders>
            <w:vAlign w:val="top"/>
          </w:tcPr>
          <w:p>
            <w:pPr>
              <w:spacing w:before="69" w:line="219" w:lineRule="auto"/>
              <w:ind w:left="1396"/>
              <w:rPr>
                <w:rFonts w:ascii="SimSun" w:eastAsia="SimSun" w:hAnsi="SimSun" w:cs="SimSun"/>
                <w:sz w:val="18"/>
                <w:szCs w:val="18"/>
              </w:rPr>
            </w:pPr>
            <w:r>
              <w:rPr>
                <w:rFonts w:ascii="SimSun" w:eastAsia="SimSun" w:hAnsi="SimSun" w:cs="SimSun"/>
                <w:spacing w:val="-2"/>
                <w:sz w:val="18"/>
                <w:szCs w:val="18"/>
              </w:rPr>
              <w:t>采摘条件</w:t>
            </w:r>
          </w:p>
        </w:tc>
      </w:tr>
      <w:tr>
        <w:tblPrEx>
          <w:tblW w:w="8609" w:type="dxa"/>
          <w:tblInd w:w="12" w:type="dxa"/>
          <w:tblLayout w:type="fixed"/>
        </w:tblPrEx>
        <w:trPr>
          <w:trHeight w:val="315"/>
        </w:trPr>
        <w:tc>
          <w:tcPr>
            <w:tcW w:w="2264" w:type="dxa"/>
            <w:vMerge w:val="restart"/>
            <w:tcBorders>
              <w:left w:val="single" w:sz="10" w:space="0" w:color="000000"/>
              <w:bottom w:val="nil"/>
            </w:tcBorders>
            <w:vAlign w:val="top"/>
          </w:tcPr>
          <w:p>
            <w:pPr>
              <w:pStyle w:val="TableText"/>
              <w:spacing w:line="283" w:lineRule="auto"/>
            </w:pPr>
          </w:p>
          <w:p>
            <w:pPr>
              <w:pStyle w:val="TableText"/>
              <w:spacing w:line="283" w:lineRule="auto"/>
            </w:pPr>
          </w:p>
          <w:p>
            <w:pPr>
              <w:pStyle w:val="TableText"/>
              <w:spacing w:line="284" w:lineRule="auto"/>
            </w:pPr>
          </w:p>
          <w:p>
            <w:pPr>
              <w:pStyle w:val="TableText"/>
              <w:spacing w:line="284" w:lineRule="auto"/>
            </w:pPr>
          </w:p>
          <w:p>
            <w:pPr>
              <w:spacing w:before="58" w:line="220" w:lineRule="auto"/>
              <w:ind w:left="764"/>
              <w:rPr>
                <w:rFonts w:ascii="SimSun" w:eastAsia="SimSun" w:hAnsi="SimSun" w:cs="SimSun"/>
                <w:sz w:val="18"/>
                <w:szCs w:val="18"/>
              </w:rPr>
            </w:pPr>
            <w:r>
              <w:rPr>
                <w:rFonts w:ascii="SimSun" w:eastAsia="SimSun" w:hAnsi="SimSun" w:cs="SimSun"/>
                <w:spacing w:val="-2"/>
                <w:sz w:val="18"/>
                <w:szCs w:val="18"/>
              </w:rPr>
              <w:t>特定因素</w:t>
            </w:r>
          </w:p>
        </w:tc>
        <w:tc>
          <w:tcPr>
            <w:tcW w:w="2841" w:type="dxa"/>
            <w:vMerge w:val="restart"/>
            <w:tcBorders>
              <w:bottom w:val="nil"/>
            </w:tcBorders>
            <w:vAlign w:val="top"/>
          </w:tcPr>
          <w:p>
            <w:pPr>
              <w:pStyle w:val="TableText"/>
              <w:spacing w:line="247" w:lineRule="auto"/>
            </w:pPr>
          </w:p>
          <w:p>
            <w:pPr>
              <w:pStyle w:val="TableText"/>
              <w:spacing w:line="247" w:lineRule="auto"/>
            </w:pPr>
          </w:p>
          <w:p>
            <w:pPr>
              <w:spacing w:before="58" w:line="220" w:lineRule="auto"/>
              <w:ind w:left="882"/>
              <w:rPr>
                <w:rFonts w:ascii="SimSun" w:eastAsia="SimSun" w:hAnsi="SimSun" w:cs="SimSun"/>
                <w:sz w:val="18"/>
                <w:szCs w:val="18"/>
              </w:rPr>
            </w:pPr>
            <w:r>
              <w:rPr>
                <w:rFonts w:ascii="SimSun" w:eastAsia="SimSun" w:hAnsi="SimSun" w:cs="SimSun"/>
                <w:spacing w:val="-2"/>
                <w:sz w:val="18"/>
                <w:szCs w:val="18"/>
              </w:rPr>
              <w:t>作物特定条件</w:t>
            </w:r>
          </w:p>
        </w:tc>
        <w:tc>
          <w:tcPr>
            <w:tcW w:w="3504" w:type="dxa"/>
            <w:tcBorders>
              <w:right w:val="single" w:sz="10" w:space="0" w:color="000000"/>
            </w:tcBorders>
            <w:vAlign w:val="top"/>
          </w:tcPr>
          <w:p>
            <w:pPr>
              <w:spacing w:before="71" w:line="220" w:lineRule="auto"/>
              <w:ind w:left="1397"/>
              <w:rPr>
                <w:rFonts w:ascii="SimSun" w:eastAsia="SimSun" w:hAnsi="SimSun" w:cs="SimSun"/>
                <w:sz w:val="18"/>
                <w:szCs w:val="18"/>
              </w:rPr>
            </w:pPr>
            <w:r>
              <w:rPr>
                <w:rFonts w:ascii="SimSun" w:eastAsia="SimSun" w:hAnsi="SimSun" w:cs="SimSun"/>
                <w:spacing w:val="-2"/>
                <w:sz w:val="18"/>
                <w:szCs w:val="18"/>
              </w:rPr>
              <w:t>作物品种</w:t>
            </w:r>
          </w:p>
        </w:tc>
      </w:tr>
      <w:tr>
        <w:tblPrEx>
          <w:tblW w:w="8609" w:type="dxa"/>
          <w:tblInd w:w="12" w:type="dxa"/>
          <w:tblLayout w:type="fixed"/>
        </w:tblPrEx>
        <w:trPr>
          <w:trHeight w:val="315"/>
        </w:trPr>
        <w:tc>
          <w:tcPr>
            <w:tcW w:w="2264" w:type="dxa"/>
            <w:vMerge/>
            <w:tcBorders>
              <w:top w:val="nil"/>
              <w:left w:val="single" w:sz="10" w:space="0" w:color="000000"/>
              <w:bottom w:val="nil"/>
            </w:tcBorders>
            <w:vAlign w:val="top"/>
          </w:tcPr>
          <w:p>
            <w:pPr>
              <w:pStyle w:val="TableText"/>
            </w:pPr>
          </w:p>
        </w:tc>
        <w:tc>
          <w:tcPr>
            <w:tcW w:w="2841" w:type="dxa"/>
            <w:vMerge/>
            <w:tcBorders>
              <w:top w:val="nil"/>
              <w:bottom w:val="nil"/>
            </w:tcBorders>
            <w:vAlign w:val="top"/>
          </w:tcPr>
          <w:p>
            <w:pPr>
              <w:pStyle w:val="TableText"/>
            </w:pPr>
          </w:p>
        </w:tc>
        <w:tc>
          <w:tcPr>
            <w:tcW w:w="3504" w:type="dxa"/>
            <w:tcBorders>
              <w:right w:val="single" w:sz="10" w:space="0" w:color="000000"/>
            </w:tcBorders>
            <w:vAlign w:val="top"/>
          </w:tcPr>
          <w:p>
            <w:pPr>
              <w:spacing w:before="75" w:line="220" w:lineRule="auto"/>
              <w:ind w:left="1217"/>
              <w:rPr>
                <w:rFonts w:ascii="SimSun" w:eastAsia="SimSun" w:hAnsi="SimSun" w:cs="SimSun"/>
                <w:sz w:val="18"/>
                <w:szCs w:val="18"/>
              </w:rPr>
            </w:pPr>
            <w:r>
              <w:rPr>
                <w:rFonts w:ascii="SimSun" w:eastAsia="SimSun" w:hAnsi="SimSun" w:cs="SimSun"/>
                <w:spacing w:val="-2"/>
                <w:sz w:val="18"/>
                <w:szCs w:val="18"/>
              </w:rPr>
              <w:t>作物生长阶段</w:t>
            </w:r>
          </w:p>
        </w:tc>
      </w:tr>
      <w:tr>
        <w:tblPrEx>
          <w:tblW w:w="8609" w:type="dxa"/>
          <w:tblInd w:w="12" w:type="dxa"/>
          <w:tblLayout w:type="fixed"/>
        </w:tblPrEx>
        <w:trPr>
          <w:trHeight w:val="315"/>
        </w:trPr>
        <w:tc>
          <w:tcPr>
            <w:tcW w:w="2264" w:type="dxa"/>
            <w:vMerge/>
            <w:tcBorders>
              <w:top w:val="nil"/>
              <w:left w:val="single" w:sz="10" w:space="0" w:color="000000"/>
              <w:bottom w:val="nil"/>
            </w:tcBorders>
            <w:vAlign w:val="top"/>
          </w:tcPr>
          <w:p>
            <w:pPr>
              <w:pStyle w:val="TableText"/>
            </w:pPr>
          </w:p>
        </w:tc>
        <w:tc>
          <w:tcPr>
            <w:tcW w:w="2841" w:type="dxa"/>
            <w:vMerge/>
            <w:tcBorders>
              <w:top w:val="nil"/>
              <w:bottom w:val="nil"/>
            </w:tcBorders>
            <w:vAlign w:val="top"/>
          </w:tcPr>
          <w:p>
            <w:pPr>
              <w:pStyle w:val="TableText"/>
            </w:pPr>
          </w:p>
        </w:tc>
        <w:tc>
          <w:tcPr>
            <w:tcW w:w="3504" w:type="dxa"/>
            <w:tcBorders>
              <w:right w:val="single" w:sz="10" w:space="0" w:color="000000"/>
            </w:tcBorders>
            <w:vAlign w:val="top"/>
          </w:tcPr>
          <w:p>
            <w:pPr>
              <w:spacing w:before="76" w:line="220" w:lineRule="auto"/>
              <w:ind w:left="1217"/>
              <w:rPr>
                <w:rFonts w:ascii="SimSun" w:eastAsia="SimSun" w:hAnsi="SimSun" w:cs="SimSun"/>
                <w:sz w:val="18"/>
                <w:szCs w:val="18"/>
              </w:rPr>
            </w:pPr>
            <w:r>
              <w:rPr>
                <w:rFonts w:ascii="SimSun" w:eastAsia="SimSun" w:hAnsi="SimSun" w:cs="SimSun"/>
                <w:spacing w:val="-2"/>
                <w:sz w:val="18"/>
                <w:szCs w:val="18"/>
              </w:rPr>
              <w:t>作物生长状况</w:t>
            </w:r>
          </w:p>
        </w:tc>
      </w:tr>
      <w:tr>
        <w:tblPrEx>
          <w:tblW w:w="8609" w:type="dxa"/>
          <w:tblInd w:w="12" w:type="dxa"/>
          <w:tblLayout w:type="fixed"/>
        </w:tblPrEx>
        <w:trPr>
          <w:trHeight w:val="315"/>
        </w:trPr>
        <w:tc>
          <w:tcPr>
            <w:tcW w:w="2264" w:type="dxa"/>
            <w:vMerge/>
            <w:tcBorders>
              <w:top w:val="nil"/>
              <w:left w:val="single" w:sz="10" w:space="0" w:color="000000"/>
              <w:bottom w:val="nil"/>
            </w:tcBorders>
            <w:vAlign w:val="top"/>
          </w:tcPr>
          <w:p>
            <w:pPr>
              <w:pStyle w:val="TableText"/>
            </w:pPr>
          </w:p>
        </w:tc>
        <w:tc>
          <w:tcPr>
            <w:tcW w:w="2841" w:type="dxa"/>
            <w:vMerge/>
            <w:tcBorders>
              <w:top w:val="nil"/>
            </w:tcBorders>
            <w:vAlign w:val="top"/>
          </w:tcPr>
          <w:p>
            <w:pPr>
              <w:pStyle w:val="TableText"/>
            </w:pPr>
          </w:p>
        </w:tc>
        <w:tc>
          <w:tcPr>
            <w:tcW w:w="3504" w:type="dxa"/>
            <w:tcBorders>
              <w:right w:val="single" w:sz="10" w:space="0" w:color="000000"/>
            </w:tcBorders>
            <w:vAlign w:val="top"/>
          </w:tcPr>
          <w:p>
            <w:pPr>
              <w:spacing w:before="78" w:line="220" w:lineRule="auto"/>
              <w:ind w:left="1306"/>
              <w:rPr>
                <w:rFonts w:ascii="SimSun" w:eastAsia="SimSun" w:hAnsi="SimSun" w:cs="SimSun"/>
                <w:sz w:val="18"/>
                <w:szCs w:val="18"/>
              </w:rPr>
            </w:pPr>
            <w:r>
              <w:rPr>
                <w:rFonts w:ascii="SimSun" w:eastAsia="SimSun" w:hAnsi="SimSun" w:cs="SimSun"/>
                <w:spacing w:val="-2"/>
                <w:sz w:val="18"/>
                <w:szCs w:val="18"/>
              </w:rPr>
              <w:t>作物病虫害</w:t>
            </w:r>
          </w:p>
        </w:tc>
      </w:tr>
      <w:tr>
        <w:tblPrEx>
          <w:tblW w:w="8609" w:type="dxa"/>
          <w:tblInd w:w="12" w:type="dxa"/>
          <w:tblLayout w:type="fixed"/>
        </w:tblPrEx>
        <w:trPr>
          <w:trHeight w:val="317"/>
        </w:trPr>
        <w:tc>
          <w:tcPr>
            <w:tcW w:w="2264" w:type="dxa"/>
            <w:vMerge/>
            <w:tcBorders>
              <w:top w:val="nil"/>
              <w:left w:val="single" w:sz="10" w:space="0" w:color="000000"/>
              <w:bottom w:val="nil"/>
            </w:tcBorders>
            <w:vAlign w:val="top"/>
          </w:tcPr>
          <w:p>
            <w:pPr>
              <w:pStyle w:val="TableText"/>
            </w:pPr>
          </w:p>
        </w:tc>
        <w:tc>
          <w:tcPr>
            <w:tcW w:w="2841" w:type="dxa"/>
            <w:vMerge w:val="restart"/>
            <w:tcBorders>
              <w:bottom w:val="nil"/>
            </w:tcBorders>
            <w:vAlign w:val="top"/>
          </w:tcPr>
          <w:p>
            <w:pPr>
              <w:pStyle w:val="TableText"/>
              <w:spacing w:line="250" w:lineRule="auto"/>
            </w:pPr>
          </w:p>
          <w:p>
            <w:pPr>
              <w:pStyle w:val="TableText"/>
              <w:spacing w:line="251" w:lineRule="auto"/>
            </w:pPr>
          </w:p>
          <w:p>
            <w:pPr>
              <w:spacing w:before="58" w:line="220" w:lineRule="auto"/>
              <w:ind w:left="882"/>
              <w:rPr>
                <w:rFonts w:ascii="SimSun" w:eastAsia="SimSun" w:hAnsi="SimSun" w:cs="SimSun"/>
                <w:sz w:val="18"/>
                <w:szCs w:val="18"/>
              </w:rPr>
            </w:pPr>
            <w:r>
              <w:rPr>
                <w:rFonts w:ascii="SimSun" w:eastAsia="SimSun" w:hAnsi="SimSun" w:cs="SimSun"/>
                <w:spacing w:val="-2"/>
                <w:sz w:val="18"/>
                <w:szCs w:val="18"/>
              </w:rPr>
              <w:t>其他特定条件</w:t>
            </w:r>
          </w:p>
        </w:tc>
        <w:tc>
          <w:tcPr>
            <w:tcW w:w="3504" w:type="dxa"/>
            <w:tcBorders>
              <w:right w:val="single" w:sz="10" w:space="0" w:color="000000"/>
            </w:tcBorders>
            <w:vAlign w:val="top"/>
          </w:tcPr>
          <w:p>
            <w:pPr>
              <w:spacing w:before="81" w:line="220" w:lineRule="auto"/>
              <w:ind w:left="1396"/>
              <w:rPr>
                <w:rFonts w:ascii="SimSun" w:eastAsia="SimSun" w:hAnsi="SimSun" w:cs="SimSun"/>
                <w:sz w:val="18"/>
                <w:szCs w:val="18"/>
              </w:rPr>
            </w:pPr>
            <w:r>
              <w:rPr>
                <w:rFonts w:ascii="SimSun" w:eastAsia="SimSun" w:hAnsi="SimSun" w:cs="SimSun"/>
                <w:spacing w:val="-2"/>
                <w:sz w:val="18"/>
                <w:szCs w:val="18"/>
              </w:rPr>
              <w:t>地质灾害</w:t>
            </w:r>
          </w:p>
        </w:tc>
      </w:tr>
      <w:tr>
        <w:tblPrEx>
          <w:tblW w:w="8609" w:type="dxa"/>
          <w:tblInd w:w="12" w:type="dxa"/>
          <w:tblLayout w:type="fixed"/>
        </w:tblPrEx>
        <w:trPr>
          <w:trHeight w:val="315"/>
        </w:trPr>
        <w:tc>
          <w:tcPr>
            <w:tcW w:w="2264" w:type="dxa"/>
            <w:vMerge/>
            <w:tcBorders>
              <w:top w:val="nil"/>
              <w:left w:val="single" w:sz="10" w:space="0" w:color="000000"/>
              <w:bottom w:val="nil"/>
            </w:tcBorders>
            <w:vAlign w:val="top"/>
          </w:tcPr>
          <w:p>
            <w:pPr>
              <w:pStyle w:val="TableText"/>
            </w:pPr>
          </w:p>
        </w:tc>
        <w:tc>
          <w:tcPr>
            <w:tcW w:w="2841" w:type="dxa"/>
            <w:vMerge/>
            <w:tcBorders>
              <w:top w:val="nil"/>
              <w:bottom w:val="nil"/>
            </w:tcBorders>
            <w:vAlign w:val="top"/>
          </w:tcPr>
          <w:p>
            <w:pPr>
              <w:pStyle w:val="TableText"/>
            </w:pPr>
          </w:p>
        </w:tc>
        <w:tc>
          <w:tcPr>
            <w:tcW w:w="3504" w:type="dxa"/>
            <w:tcBorders>
              <w:right w:val="single" w:sz="10" w:space="0" w:color="000000"/>
            </w:tcBorders>
            <w:vAlign w:val="top"/>
          </w:tcPr>
          <w:p>
            <w:pPr>
              <w:spacing w:before="79" w:line="220" w:lineRule="auto"/>
              <w:ind w:left="1036"/>
              <w:rPr>
                <w:rFonts w:ascii="SimSun" w:eastAsia="SimSun" w:hAnsi="SimSun" w:cs="SimSun"/>
                <w:sz w:val="18"/>
                <w:szCs w:val="18"/>
              </w:rPr>
            </w:pPr>
            <w:r>
              <w:rPr>
                <w:rFonts w:ascii="SimSun" w:eastAsia="SimSun" w:hAnsi="SimSun" w:cs="SimSun"/>
                <w:spacing w:val="-1"/>
                <w:sz w:val="18"/>
                <w:szCs w:val="18"/>
              </w:rPr>
              <w:t>特殊的小气候条件</w:t>
            </w:r>
          </w:p>
        </w:tc>
      </w:tr>
      <w:tr>
        <w:tblPrEx>
          <w:tblW w:w="8609" w:type="dxa"/>
          <w:tblInd w:w="12" w:type="dxa"/>
          <w:tblLayout w:type="fixed"/>
        </w:tblPrEx>
        <w:trPr>
          <w:trHeight w:val="315"/>
        </w:trPr>
        <w:tc>
          <w:tcPr>
            <w:tcW w:w="2264" w:type="dxa"/>
            <w:vMerge/>
            <w:tcBorders>
              <w:top w:val="nil"/>
              <w:left w:val="single" w:sz="10" w:space="0" w:color="000000"/>
              <w:bottom w:val="nil"/>
            </w:tcBorders>
            <w:vAlign w:val="top"/>
          </w:tcPr>
          <w:p>
            <w:pPr>
              <w:pStyle w:val="TableText"/>
            </w:pPr>
          </w:p>
        </w:tc>
        <w:tc>
          <w:tcPr>
            <w:tcW w:w="2841" w:type="dxa"/>
            <w:vMerge/>
            <w:tcBorders>
              <w:top w:val="nil"/>
              <w:bottom w:val="nil"/>
            </w:tcBorders>
            <w:vAlign w:val="top"/>
          </w:tcPr>
          <w:p>
            <w:pPr>
              <w:pStyle w:val="TableText"/>
            </w:pPr>
          </w:p>
        </w:tc>
        <w:tc>
          <w:tcPr>
            <w:tcW w:w="3504" w:type="dxa"/>
            <w:tcBorders>
              <w:right w:val="single" w:sz="10" w:space="0" w:color="000000"/>
            </w:tcBorders>
            <w:vAlign w:val="top"/>
          </w:tcPr>
          <w:p>
            <w:pPr>
              <w:spacing w:before="81" w:line="220" w:lineRule="auto"/>
              <w:ind w:left="1125"/>
              <w:rPr>
                <w:rFonts w:ascii="SimSun" w:eastAsia="SimSun" w:hAnsi="SimSun" w:cs="SimSun"/>
                <w:sz w:val="18"/>
                <w:szCs w:val="18"/>
              </w:rPr>
            </w:pPr>
            <w:r>
              <w:rPr>
                <w:rFonts w:ascii="SimSun" w:eastAsia="SimSun" w:hAnsi="SimSun" w:cs="SimSun"/>
                <w:spacing w:val="-1"/>
                <w:sz w:val="18"/>
                <w:szCs w:val="18"/>
              </w:rPr>
              <w:t>特殊的土壤条件</w:t>
            </w:r>
          </w:p>
        </w:tc>
      </w:tr>
      <w:tr>
        <w:tblPrEx>
          <w:tblW w:w="8609" w:type="dxa"/>
          <w:tblInd w:w="12" w:type="dxa"/>
          <w:tblLayout w:type="fixed"/>
        </w:tblPrEx>
        <w:trPr>
          <w:trHeight w:val="315"/>
        </w:trPr>
        <w:tc>
          <w:tcPr>
            <w:tcW w:w="2264" w:type="dxa"/>
            <w:vMerge/>
            <w:tcBorders>
              <w:top w:val="nil"/>
              <w:left w:val="single" w:sz="10" w:space="0" w:color="000000"/>
            </w:tcBorders>
            <w:vAlign w:val="top"/>
          </w:tcPr>
          <w:p>
            <w:pPr>
              <w:pStyle w:val="TableText"/>
            </w:pPr>
          </w:p>
        </w:tc>
        <w:tc>
          <w:tcPr>
            <w:tcW w:w="2841" w:type="dxa"/>
            <w:vMerge/>
            <w:tcBorders>
              <w:top w:val="nil"/>
            </w:tcBorders>
            <w:vAlign w:val="top"/>
          </w:tcPr>
          <w:p>
            <w:pPr>
              <w:pStyle w:val="TableText"/>
            </w:pPr>
          </w:p>
        </w:tc>
        <w:tc>
          <w:tcPr>
            <w:tcW w:w="3504" w:type="dxa"/>
            <w:tcBorders>
              <w:right w:val="single" w:sz="10" w:space="0" w:color="000000"/>
            </w:tcBorders>
            <w:vAlign w:val="top"/>
          </w:tcPr>
          <w:p>
            <w:pPr>
              <w:spacing w:before="85" w:line="220" w:lineRule="auto"/>
              <w:ind w:left="1216"/>
              <w:rPr>
                <w:rFonts w:ascii="SimSun" w:eastAsia="SimSun" w:hAnsi="SimSun" w:cs="SimSun"/>
                <w:sz w:val="18"/>
                <w:szCs w:val="18"/>
              </w:rPr>
            </w:pPr>
            <w:r>
              <w:rPr>
                <w:rFonts w:ascii="SimSun" w:eastAsia="SimSun" w:hAnsi="SimSun" w:cs="SimSun"/>
                <w:spacing w:val="-1"/>
                <w:sz w:val="18"/>
                <w:szCs w:val="18"/>
              </w:rPr>
              <w:t>旅游景观收入</w:t>
            </w:r>
          </w:p>
        </w:tc>
      </w:tr>
      <w:tr>
        <w:tblPrEx>
          <w:tblW w:w="8609" w:type="dxa"/>
          <w:tblInd w:w="12" w:type="dxa"/>
          <w:tblLayout w:type="fixed"/>
        </w:tblPrEx>
        <w:trPr>
          <w:trHeight w:val="493"/>
        </w:trPr>
        <w:tc>
          <w:tcPr>
            <w:tcW w:w="8609" w:type="dxa"/>
            <w:gridSpan w:val="3"/>
            <w:tcBorders>
              <w:left w:val="single" w:sz="10" w:space="0" w:color="000000"/>
              <w:bottom w:val="single" w:sz="10" w:space="0" w:color="000000"/>
              <w:right w:val="single" w:sz="10" w:space="0" w:color="000000"/>
            </w:tcBorders>
            <w:vAlign w:val="top"/>
          </w:tcPr>
          <w:p>
            <w:pPr>
              <w:spacing w:before="46" w:line="224" w:lineRule="auto"/>
              <w:ind w:left="835" w:right="94" w:hanging="373"/>
              <w:rPr>
                <w:rFonts w:ascii="SimSun" w:eastAsia="SimSun" w:hAnsi="SimSun" w:cs="SimSun"/>
                <w:sz w:val="18"/>
                <w:szCs w:val="18"/>
              </w:rPr>
            </w:pPr>
            <w:r>
              <w:rPr>
                <w:rFonts w:ascii="SimSun" w:eastAsia="SimSun" w:hAnsi="SimSun" w:cs="SimSun"/>
                <w:sz w:val="18"/>
                <w:szCs w:val="18"/>
              </w:rPr>
              <w:t>注：评估过程中，根据实际情况可增补和选用具体的影响因素。</w:t>
            </w:r>
            <w:r>
              <w:rPr>
                <w:rFonts w:ascii="SimSun" w:eastAsia="SimSun" w:hAnsi="SimSun" w:cs="SimSun"/>
                <w:spacing w:val="-1"/>
                <w:sz w:val="18"/>
                <w:szCs w:val="18"/>
              </w:rPr>
              <w:t>部分因子的解释说明可参见</w:t>
            </w:r>
            <w:r>
              <w:rPr>
                <w:rFonts w:ascii="Times New Roman" w:eastAsia="Times New Roman" w:hAnsi="Times New Roman" w:cs="Times New Roman"/>
                <w:spacing w:val="-1"/>
                <w:sz w:val="18"/>
                <w:szCs w:val="18"/>
              </w:rPr>
              <w:t>TD/T</w:t>
            </w:r>
            <w:r>
              <w:rPr>
                <w:rFonts w:ascii="Times New Roman" w:eastAsia="Times New Roman" w:hAnsi="Times New Roman" w:cs="Times New Roman"/>
                <w:spacing w:val="41"/>
                <w:w w:val="101"/>
                <w:sz w:val="18"/>
                <w:szCs w:val="18"/>
              </w:rPr>
              <w:t xml:space="preserve"> </w:t>
            </w:r>
            <w:r>
              <w:rPr>
                <w:rFonts w:ascii="Times New Roman" w:eastAsia="Times New Roman" w:hAnsi="Times New Roman" w:cs="Times New Roman"/>
                <w:spacing w:val="-1"/>
                <w:sz w:val="18"/>
                <w:szCs w:val="18"/>
              </w:rPr>
              <w:t>1071</w:t>
            </w:r>
            <w:r>
              <w:rPr>
                <w:rFonts w:ascii="Times New Roman" w:eastAsia="Times New Roman" w:hAnsi="Times New Roman" w:cs="Times New Roman"/>
                <w:sz w:val="18"/>
                <w:szCs w:val="18"/>
              </w:rPr>
              <w:t xml:space="preserve"> </w:t>
            </w:r>
            <w:r>
              <w:rPr>
                <w:rFonts w:ascii="SimSun" w:eastAsia="SimSun" w:hAnsi="SimSun" w:cs="SimSun"/>
                <w:spacing w:val="-5"/>
                <w:sz w:val="18"/>
                <w:szCs w:val="18"/>
              </w:rPr>
              <w:t>附录</w:t>
            </w:r>
            <w:r>
              <w:rPr>
                <w:rFonts w:ascii="Times New Roman" w:eastAsia="Times New Roman" w:hAnsi="Times New Roman" w:cs="Times New Roman"/>
                <w:spacing w:val="-5"/>
                <w:sz w:val="18"/>
                <w:szCs w:val="18"/>
              </w:rPr>
              <w:t>E</w:t>
            </w:r>
            <w:r>
              <w:rPr>
                <w:rFonts w:ascii="SimSun" w:eastAsia="SimSun" w:hAnsi="SimSun" w:cs="SimSun"/>
                <w:spacing w:val="-5"/>
                <w:sz w:val="18"/>
                <w:szCs w:val="18"/>
              </w:rPr>
              <w:t>的相关规定。</w:t>
            </w:r>
          </w:p>
        </w:tc>
      </w:tr>
    </w:tbl>
    <w:p>
      <w:pPr>
        <w:rPr>
          <w:rFonts w:ascii="Arial"/>
          <w:sz w:val="21"/>
        </w:rPr>
      </w:pPr>
    </w:p>
    <w:p>
      <w:pPr>
        <w:rPr>
          <w:rFonts w:ascii="Arial" w:eastAsia="Arial" w:hAnsi="Arial" w:cs="Arial"/>
          <w:sz w:val="21"/>
          <w:szCs w:val="21"/>
        </w:rPr>
        <w:sectPr>
          <w:headerReference w:type="default" r:id="rId130"/>
          <w:footerReference w:type="default" r:id="rId131"/>
          <w:pgSz w:w="11907" w:h="16839"/>
          <w:pgMar w:top="1659" w:right="1128" w:bottom="1305" w:left="1418" w:header="1448" w:footer="1128" w:gutter="0"/>
          <w:pgNumType w:start="30"/>
          <w:cols w:space="708"/>
        </w:sectPr>
      </w:pPr>
    </w:p>
    <w:p>
      <w:pPr>
        <w:spacing w:line="268" w:lineRule="auto"/>
        <w:rPr>
          <w:rFonts w:ascii="Arial"/>
          <w:sz w:val="21"/>
        </w:rPr>
      </w:pPr>
    </w:p>
    <w:p>
      <w:pPr>
        <w:spacing w:line="269" w:lineRule="auto"/>
        <w:rPr>
          <w:rFonts w:ascii="Arial"/>
          <w:sz w:val="21"/>
        </w:rPr>
      </w:pPr>
    </w:p>
    <w:p>
      <w:pPr>
        <w:spacing w:before="7" w:line="14" w:lineRule="exact"/>
        <w:ind w:left="4651"/>
        <w:rPr>
          <w:rFonts w:ascii="SimHei" w:eastAsia="SimHei" w:hAnsi="SimHei" w:cs="SimHei"/>
          <w:sz w:val="2"/>
          <w:szCs w:val="2"/>
        </w:rPr>
      </w:pPr>
      <w:r>
        <w:rPr>
          <w:rFonts w:ascii="SimHei" w:eastAsia="SimHei" w:hAnsi="SimHei" w:cs="SimHei"/>
          <w:sz w:val="2"/>
          <w:szCs w:val="2"/>
        </w:rPr>
        <w:t>B</w:t>
      </w:r>
    </w:p>
    <w:p>
      <w:pPr>
        <w:pStyle w:val="BodyText"/>
        <w:spacing w:line="174" w:lineRule="auto"/>
        <w:ind w:left="4855"/>
        <w:rPr>
          <w:sz w:val="2"/>
          <w:szCs w:val="2"/>
        </w:rPr>
      </w:pPr>
      <w:r>
        <w:rPr>
          <w:sz w:val="2"/>
          <w:szCs w:val="2"/>
        </w:rPr>
        <w:t>B</w:t>
      </w:r>
    </w:p>
    <w:p>
      <w:pPr>
        <w:spacing w:line="258" w:lineRule="auto"/>
        <w:rPr>
          <w:rFonts w:ascii="Arial"/>
          <w:sz w:val="21"/>
        </w:rPr>
      </w:pPr>
    </w:p>
    <w:p>
      <w:pPr>
        <w:spacing w:line="258" w:lineRule="auto"/>
        <w:rPr>
          <w:rFonts w:ascii="Arial"/>
          <w:sz w:val="21"/>
        </w:rPr>
      </w:pPr>
    </w:p>
    <w:p>
      <w:pPr>
        <w:spacing w:before="69" w:line="238" w:lineRule="auto"/>
        <w:ind w:left="4159"/>
        <w:rPr>
          <w:rFonts w:ascii="SimHei" w:eastAsia="SimHei" w:hAnsi="SimHei" w:cs="SimHei"/>
          <w:sz w:val="21"/>
          <w:szCs w:val="21"/>
        </w:rPr>
      </w:pPr>
      <w:r>
        <w:rPr>
          <w:rFonts w:ascii="SimHei" w:eastAsia="SimHei" w:hAnsi="SimHei" w:cs="SimHei"/>
          <w:spacing w:val="-10"/>
          <w:sz w:val="21"/>
          <w:szCs w:val="21"/>
        </w:rPr>
        <w:t>附</w:t>
      </w:r>
      <w:r>
        <w:rPr>
          <w:rFonts w:ascii="SimHei" w:eastAsia="SimHei" w:hAnsi="SimHei" w:cs="SimHei"/>
          <w:spacing w:val="105"/>
          <w:sz w:val="21"/>
          <w:szCs w:val="21"/>
        </w:rPr>
        <w:t xml:space="preserve"> </w:t>
      </w:r>
      <w:r>
        <w:rPr>
          <w:rFonts w:ascii="SimHei" w:eastAsia="SimHei" w:hAnsi="SimHei" w:cs="SimHei"/>
          <w:spacing w:val="-10"/>
          <w:sz w:val="21"/>
          <w:szCs w:val="21"/>
        </w:rPr>
        <w:t>录</w:t>
      </w:r>
      <w:r>
        <w:rPr>
          <w:rFonts w:ascii="SimHei" w:eastAsia="SimHei" w:hAnsi="SimHei" w:cs="SimHei"/>
          <w:spacing w:val="104"/>
          <w:sz w:val="21"/>
          <w:szCs w:val="21"/>
        </w:rPr>
        <w:t xml:space="preserve"> </w:t>
      </w:r>
      <w:r>
        <w:rPr>
          <w:rFonts w:ascii="SimHei" w:eastAsia="SimHei" w:hAnsi="SimHei" w:cs="SimHei"/>
          <w:spacing w:val="-10"/>
          <w:sz w:val="21"/>
          <w:szCs w:val="21"/>
        </w:rPr>
        <w:t>B</w:t>
      </w:r>
    </w:p>
    <w:p>
      <w:pPr>
        <w:spacing w:line="221" w:lineRule="auto"/>
        <w:ind w:left="4147"/>
        <w:rPr>
          <w:rFonts w:ascii="SimHei" w:eastAsia="SimHei" w:hAnsi="SimHei" w:cs="SimHei"/>
          <w:sz w:val="21"/>
          <w:szCs w:val="21"/>
        </w:rPr>
      </w:pPr>
      <w:r>
        <w:rPr>
          <w:rFonts w:ascii="SimHei" w:eastAsia="SimHei" w:hAnsi="SimHei" w:cs="SimHei"/>
          <w:spacing w:val="-8"/>
          <w:sz w:val="21"/>
          <w:szCs w:val="21"/>
        </w:rPr>
        <w:t>（规范性）</w:t>
      </w:r>
    </w:p>
    <w:p>
      <w:pPr>
        <w:spacing w:before="21" w:line="392" w:lineRule="exact"/>
        <w:ind w:left="3724"/>
        <w:rPr>
          <w:rFonts w:ascii="SimHei" w:eastAsia="SimHei" w:hAnsi="SimHei" w:cs="SimHei"/>
          <w:sz w:val="21"/>
          <w:szCs w:val="21"/>
        </w:rPr>
      </w:pPr>
      <w:r>
        <w:rPr>
          <w:rFonts w:ascii="SimHei" w:eastAsia="SimHei" w:hAnsi="SimHei" w:cs="SimHei"/>
          <w:spacing w:val="-2"/>
          <w:position w:val="13"/>
          <w:sz w:val="21"/>
          <w:szCs w:val="21"/>
        </w:rPr>
        <w:t>园地价格评估工作表</w:t>
      </w:r>
    </w:p>
    <w:p>
      <w:pPr>
        <w:pStyle w:val="BodyText"/>
        <w:spacing w:line="219" w:lineRule="auto"/>
        <w:ind w:left="619"/>
      </w:pPr>
      <w:r>
        <w:rPr>
          <w:spacing w:val="-1"/>
        </w:rPr>
        <w:t>园地价格评估工作附表见表B.1-表B.15。</w:t>
      </w:r>
    </w:p>
    <w:p>
      <w:pPr>
        <w:spacing w:before="144" w:line="220" w:lineRule="auto"/>
        <w:ind w:left="3034"/>
        <w:rPr>
          <w:rFonts w:ascii="SimHei" w:eastAsia="SimHei" w:hAnsi="SimHei" w:cs="SimHei"/>
          <w:sz w:val="21"/>
          <w:szCs w:val="21"/>
        </w:rPr>
      </w:pPr>
      <w:r>
        <w:rPr>
          <w:rFonts w:ascii="SimHei" w:eastAsia="SimHei" w:hAnsi="SimHei" w:cs="SimHei"/>
          <w:spacing w:val="-1"/>
          <w:sz w:val="21"/>
          <w:szCs w:val="21"/>
        </w:rPr>
        <w:t>表B.1</w:t>
      </w:r>
      <w:r>
        <w:rPr>
          <w:rFonts w:ascii="SimHei" w:eastAsia="SimHei" w:hAnsi="SimHei" w:cs="SimHei"/>
          <w:spacing w:val="-1"/>
          <w:sz w:val="21"/>
          <w:szCs w:val="21"/>
        </w:rPr>
        <w:t xml:space="preserve"> </w:t>
      </w:r>
      <w:r>
        <w:rPr>
          <w:rFonts w:ascii="SimHei" w:eastAsia="SimHei" w:hAnsi="SimHei" w:cs="SimHei"/>
          <w:spacing w:val="-1"/>
          <w:sz w:val="21"/>
          <w:szCs w:val="21"/>
        </w:rPr>
        <w:t>园地价格影响因素调查表</w:t>
      </w:r>
    </w:p>
    <w:p>
      <w:pPr>
        <w:spacing w:line="111" w:lineRule="exact"/>
      </w:pPr>
    </w:p>
    <w:tbl>
      <w:tblPr>
        <w:tblStyle w:val="TableNormal3"/>
        <w:tblW w:w="8926" w:type="dxa"/>
        <w:tblInd w:w="1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83"/>
        <w:gridCol w:w="1566"/>
        <w:gridCol w:w="1975"/>
        <w:gridCol w:w="1137"/>
        <w:gridCol w:w="1130"/>
        <w:gridCol w:w="1132"/>
        <w:gridCol w:w="1003"/>
      </w:tblGrid>
      <w:tr>
        <w:tblPrEx>
          <w:tblW w:w="8926" w:type="dxa"/>
          <w:tblInd w:w="18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99"/>
        </w:trPr>
        <w:tc>
          <w:tcPr>
            <w:tcW w:w="8926" w:type="dxa"/>
            <w:gridSpan w:val="7"/>
            <w:tcBorders>
              <w:top w:val="single" w:sz="10" w:space="0" w:color="000000"/>
              <w:left w:val="single" w:sz="10" w:space="0" w:color="000000"/>
              <w:right w:val="single" w:sz="10" w:space="0" w:color="000000"/>
            </w:tcBorders>
            <w:vAlign w:val="top"/>
          </w:tcPr>
          <w:p>
            <w:pPr>
              <w:spacing w:before="269" w:line="219" w:lineRule="auto"/>
              <w:ind w:left="119"/>
              <w:rPr>
                <w:rFonts w:ascii="SimSun" w:eastAsia="SimSun" w:hAnsi="SimSun" w:cs="SimSun"/>
                <w:sz w:val="18"/>
                <w:szCs w:val="18"/>
              </w:rPr>
            </w:pPr>
            <w:r>
              <w:rPr>
                <w:rFonts w:ascii="SimSun" w:eastAsia="SimSun" w:hAnsi="SimSun" w:cs="SimSun"/>
                <w:spacing w:val="-9"/>
                <w:sz w:val="18"/>
                <w:szCs w:val="18"/>
              </w:rPr>
              <w:t xml:space="preserve">园地位置： </w:t>
            </w:r>
            <w:r>
              <w:rPr>
                <w:rFonts w:ascii="SimSun" w:eastAsia="SimSun" w:hAnsi="SimSun" w:cs="SimSun"/>
                <w:spacing w:val="-9"/>
                <w:sz w:val="18"/>
                <w:szCs w:val="18"/>
                <w:u w:val="single" w:color="auto"/>
              </w:rPr>
              <w:t xml:space="preserve">               </w:t>
            </w:r>
            <w:r>
              <w:rPr>
                <w:rFonts w:ascii="SimSun" w:eastAsia="SimSun" w:hAnsi="SimSun" w:cs="SimSun"/>
                <w:spacing w:val="-82"/>
                <w:sz w:val="18"/>
                <w:szCs w:val="18"/>
              </w:rPr>
              <w:t xml:space="preserve"> </w:t>
            </w:r>
            <w:r>
              <w:rPr>
                <w:rFonts w:ascii="SimSun" w:eastAsia="SimSun" w:hAnsi="SimSun" w:cs="SimSun"/>
                <w:spacing w:val="-9"/>
                <w:sz w:val="18"/>
                <w:szCs w:val="18"/>
              </w:rPr>
              <w:t>县（市</w:t>
            </w:r>
            <w:r>
              <w:rPr>
                <w:rFonts w:ascii="SimSun" w:eastAsia="SimSun" w:hAnsi="SimSun" w:cs="SimSun"/>
                <w:spacing w:val="-10"/>
                <w:sz w:val="18"/>
                <w:szCs w:val="18"/>
              </w:rPr>
              <w:t>、区）</w:t>
            </w:r>
            <w:r>
              <w:rPr>
                <w:rFonts w:ascii="SimSun" w:eastAsia="SimSun" w:hAnsi="SimSun" w:cs="SimSun"/>
                <w:spacing w:val="12"/>
                <w:sz w:val="18"/>
                <w:szCs w:val="18"/>
              </w:rPr>
              <w:t xml:space="preserve"> </w:t>
            </w:r>
            <w:r>
              <w:rPr>
                <w:rFonts w:ascii="SimSun" w:eastAsia="SimSun" w:hAnsi="SimSun" w:cs="SimSun"/>
                <w:sz w:val="18"/>
                <w:szCs w:val="18"/>
                <w:u w:val="single" w:color="auto"/>
              </w:rPr>
              <w:t xml:space="preserve">           </w:t>
            </w:r>
            <w:r>
              <w:rPr>
                <w:rFonts w:ascii="SimSun" w:eastAsia="SimSun" w:hAnsi="SimSun" w:cs="SimSun"/>
                <w:spacing w:val="-72"/>
                <w:sz w:val="18"/>
                <w:szCs w:val="18"/>
              </w:rPr>
              <w:t xml:space="preserve"> </w:t>
            </w:r>
            <w:r>
              <w:rPr>
                <w:rFonts w:ascii="SimSun" w:eastAsia="SimSun" w:hAnsi="SimSun" w:cs="SimSun"/>
                <w:spacing w:val="-10"/>
                <w:sz w:val="18"/>
                <w:szCs w:val="18"/>
              </w:rPr>
              <w:t>乡（镇）</w:t>
            </w:r>
            <w:r>
              <w:rPr>
                <w:rFonts w:ascii="SimSun" w:eastAsia="SimSun" w:hAnsi="SimSun" w:cs="SimSun"/>
                <w:spacing w:val="-10"/>
                <w:sz w:val="18"/>
                <w:szCs w:val="18"/>
                <w:u w:val="single" w:color="auto"/>
              </w:rPr>
              <w:t xml:space="preserve">            </w:t>
            </w:r>
            <w:r>
              <w:rPr>
                <w:rFonts w:ascii="SimSun" w:eastAsia="SimSun" w:hAnsi="SimSun" w:cs="SimSun"/>
                <w:spacing w:val="-82"/>
                <w:sz w:val="18"/>
                <w:szCs w:val="18"/>
              </w:rPr>
              <w:t xml:space="preserve"> </w:t>
            </w:r>
            <w:r>
              <w:rPr>
                <w:rFonts w:ascii="SimSun" w:eastAsia="SimSun" w:hAnsi="SimSun" w:cs="SimSun"/>
                <w:spacing w:val="-10"/>
                <w:sz w:val="18"/>
                <w:szCs w:val="18"/>
              </w:rPr>
              <w:t>村</w:t>
            </w:r>
          </w:p>
          <w:p>
            <w:pPr>
              <w:spacing w:before="136" w:line="219" w:lineRule="auto"/>
              <w:ind w:left="103"/>
              <w:rPr>
                <w:rFonts w:ascii="SimSun" w:eastAsia="SimSun" w:hAnsi="SimSun" w:cs="SimSun"/>
                <w:sz w:val="18"/>
                <w:szCs w:val="18"/>
              </w:rPr>
            </w:pPr>
            <w:r>
              <w:rPr>
                <w:rFonts w:ascii="SimSun" w:eastAsia="SimSun" w:hAnsi="SimSun" w:cs="SimSun"/>
                <w:spacing w:val="-22"/>
                <w:sz w:val="18"/>
                <w:szCs w:val="18"/>
              </w:rPr>
              <w:t>样本编号：</w:t>
            </w:r>
            <w:r>
              <w:rPr>
                <w:rFonts w:ascii="SimSun" w:eastAsia="SimSun" w:hAnsi="SimSun" w:cs="SimSun"/>
                <w:spacing w:val="22"/>
                <w:sz w:val="18"/>
                <w:szCs w:val="18"/>
              </w:rPr>
              <w:t xml:space="preserve"> </w:t>
            </w:r>
            <w:r>
              <w:rPr>
                <w:rFonts w:ascii="SimSun" w:eastAsia="SimSun" w:hAnsi="SimSun" w:cs="SimSun"/>
                <w:sz w:val="18"/>
                <w:szCs w:val="18"/>
                <w:u w:val="single" w:color="auto"/>
              </w:rPr>
              <w:t xml:space="preserve">              </w:t>
            </w:r>
            <w:r>
              <w:rPr>
                <w:rFonts w:ascii="SimSun" w:eastAsia="SimSun" w:hAnsi="SimSun" w:cs="SimSun"/>
                <w:spacing w:val="-81"/>
                <w:sz w:val="18"/>
                <w:szCs w:val="18"/>
              </w:rPr>
              <w:t xml:space="preserve"> </w:t>
            </w:r>
            <w:r>
              <w:rPr>
                <w:rFonts w:ascii="SimSun" w:eastAsia="SimSun" w:hAnsi="SimSun" w:cs="SimSun"/>
                <w:spacing w:val="-22"/>
                <w:sz w:val="18"/>
                <w:szCs w:val="18"/>
              </w:rPr>
              <w:t>样点经纬度：</w:t>
            </w:r>
            <w:r>
              <w:rPr>
                <w:rFonts w:ascii="SimSun" w:eastAsia="SimSun" w:hAnsi="SimSun" w:cs="SimSun"/>
                <w:spacing w:val="42"/>
                <w:sz w:val="18"/>
                <w:szCs w:val="18"/>
              </w:rPr>
              <w:t xml:space="preserve"> </w:t>
            </w:r>
            <w:r>
              <w:rPr>
                <w:rFonts w:ascii="SimSun" w:eastAsia="SimSun" w:hAnsi="SimSun" w:cs="SimSun"/>
                <w:sz w:val="18"/>
                <w:szCs w:val="18"/>
                <w:u w:val="single" w:color="auto"/>
              </w:rPr>
              <w:t xml:space="preserve">             </w:t>
            </w:r>
            <w:r>
              <w:rPr>
                <w:rFonts w:ascii="SimSun" w:eastAsia="SimSun" w:hAnsi="SimSun" w:cs="SimSun"/>
                <w:spacing w:val="-65"/>
                <w:sz w:val="18"/>
                <w:szCs w:val="18"/>
              </w:rPr>
              <w:t xml:space="preserve"> </w:t>
            </w:r>
            <w:r>
              <w:rPr>
                <w:rFonts w:ascii="SimSun" w:eastAsia="SimSun" w:hAnsi="SimSun" w:cs="SimSun"/>
                <w:spacing w:val="-22"/>
                <w:sz w:val="18"/>
                <w:szCs w:val="18"/>
              </w:rPr>
              <w:t xml:space="preserve">园地作物： </w:t>
            </w:r>
            <w:r>
              <w:rPr>
                <w:rFonts w:ascii="SimSun" w:eastAsia="SimSun" w:hAnsi="SimSun" w:cs="SimSun"/>
                <w:sz w:val="18"/>
                <w:szCs w:val="18"/>
                <w:u w:val="single" w:color="auto"/>
              </w:rPr>
              <w:t xml:space="preserve">            </w:t>
            </w:r>
          </w:p>
          <w:p>
            <w:pPr>
              <w:spacing w:before="136" w:line="220" w:lineRule="auto"/>
              <w:ind w:left="105"/>
              <w:rPr>
                <w:rFonts w:ascii="SimSun" w:eastAsia="SimSun" w:hAnsi="SimSun" w:cs="SimSun"/>
                <w:sz w:val="18"/>
                <w:szCs w:val="18"/>
              </w:rPr>
            </w:pPr>
            <w:r>
              <w:rPr>
                <w:rFonts w:ascii="SimSun" w:eastAsia="SimSun" w:hAnsi="SimSun" w:cs="SimSun"/>
                <w:spacing w:val="-17"/>
                <w:sz w:val="18"/>
                <w:szCs w:val="18"/>
              </w:rPr>
              <w:t>调查人员：</w:t>
            </w:r>
            <w:r>
              <w:rPr>
                <w:rFonts w:ascii="SimSun" w:eastAsia="SimSun" w:hAnsi="SimSun" w:cs="SimSun"/>
                <w:spacing w:val="18"/>
                <w:sz w:val="18"/>
                <w:szCs w:val="18"/>
              </w:rPr>
              <w:t xml:space="preserve"> </w:t>
            </w:r>
            <w:r>
              <w:rPr>
                <w:rFonts w:ascii="SimSun" w:eastAsia="SimSun" w:hAnsi="SimSun" w:cs="SimSun"/>
                <w:sz w:val="18"/>
                <w:szCs w:val="18"/>
                <w:u w:val="single" w:color="auto"/>
              </w:rPr>
              <w:t xml:space="preserve">              </w:t>
            </w:r>
            <w:r>
              <w:rPr>
                <w:rFonts w:ascii="SimSun" w:eastAsia="SimSun" w:hAnsi="SimSun" w:cs="SimSun"/>
                <w:spacing w:val="-79"/>
                <w:sz w:val="18"/>
                <w:szCs w:val="18"/>
              </w:rPr>
              <w:t xml:space="preserve"> </w:t>
            </w:r>
            <w:r>
              <w:rPr>
                <w:rFonts w:ascii="SimSun" w:eastAsia="SimSun" w:hAnsi="SimSun" w:cs="SimSun"/>
                <w:spacing w:val="-17"/>
                <w:sz w:val="18"/>
                <w:szCs w:val="18"/>
              </w:rPr>
              <w:t xml:space="preserve">调查时间： </w:t>
            </w:r>
            <w:r>
              <w:rPr>
                <w:rFonts w:ascii="SimSun" w:eastAsia="SimSun" w:hAnsi="SimSun" w:cs="SimSun"/>
                <w:sz w:val="18"/>
                <w:szCs w:val="18"/>
                <w:u w:val="single" w:color="auto"/>
              </w:rPr>
              <w:t xml:space="preserve">          </w:t>
            </w:r>
            <w:r>
              <w:rPr>
                <w:rFonts w:ascii="SimSun" w:eastAsia="SimSun" w:hAnsi="SimSun" w:cs="SimSun"/>
                <w:spacing w:val="-79"/>
                <w:sz w:val="18"/>
                <w:szCs w:val="18"/>
              </w:rPr>
              <w:t xml:space="preserve"> </w:t>
            </w:r>
            <w:r>
              <w:rPr>
                <w:rFonts w:ascii="SimSun" w:eastAsia="SimSun" w:hAnsi="SimSun" w:cs="SimSun"/>
                <w:spacing w:val="-17"/>
                <w:sz w:val="18"/>
                <w:szCs w:val="18"/>
              </w:rPr>
              <w:t>年</w:t>
            </w:r>
            <w:r>
              <w:rPr>
                <w:rFonts w:ascii="SimSun" w:eastAsia="SimSun" w:hAnsi="SimSun" w:cs="SimSun"/>
                <w:spacing w:val="-1"/>
                <w:sz w:val="18"/>
                <w:szCs w:val="18"/>
              </w:rPr>
              <w:t xml:space="preserve"> </w:t>
            </w:r>
            <w:r>
              <w:rPr>
                <w:rFonts w:ascii="SimSun" w:eastAsia="SimSun" w:hAnsi="SimSun" w:cs="SimSun"/>
                <w:sz w:val="18"/>
                <w:szCs w:val="18"/>
                <w:u w:val="single" w:color="auto"/>
              </w:rPr>
              <w:t xml:space="preserve">         </w:t>
            </w:r>
            <w:r>
              <w:rPr>
                <w:rFonts w:ascii="SimSun" w:eastAsia="SimSun" w:hAnsi="SimSun" w:cs="SimSun"/>
                <w:spacing w:val="-75"/>
                <w:sz w:val="18"/>
                <w:szCs w:val="18"/>
              </w:rPr>
              <w:t xml:space="preserve"> </w:t>
            </w:r>
            <w:r>
              <w:rPr>
                <w:rFonts w:ascii="SimSun" w:eastAsia="SimSun" w:hAnsi="SimSun" w:cs="SimSun"/>
                <w:spacing w:val="-17"/>
                <w:sz w:val="18"/>
                <w:szCs w:val="18"/>
              </w:rPr>
              <w:t>月</w:t>
            </w:r>
            <w:r>
              <w:rPr>
                <w:rFonts w:ascii="SimSun" w:eastAsia="SimSun" w:hAnsi="SimSun" w:cs="SimSun"/>
                <w:spacing w:val="-1"/>
                <w:sz w:val="18"/>
                <w:szCs w:val="18"/>
              </w:rPr>
              <w:t xml:space="preserve"> </w:t>
            </w:r>
            <w:r>
              <w:rPr>
                <w:rFonts w:ascii="SimSun" w:eastAsia="SimSun" w:hAnsi="SimSun" w:cs="SimSun"/>
                <w:sz w:val="18"/>
                <w:szCs w:val="18"/>
                <w:u w:val="single" w:color="auto"/>
              </w:rPr>
              <w:t xml:space="preserve">        </w:t>
            </w:r>
            <w:r>
              <w:rPr>
                <w:rFonts w:ascii="SimSun" w:eastAsia="SimSun" w:hAnsi="SimSun" w:cs="SimSun"/>
                <w:spacing w:val="-52"/>
                <w:sz w:val="18"/>
                <w:szCs w:val="18"/>
              </w:rPr>
              <w:t xml:space="preserve"> </w:t>
            </w:r>
            <w:r>
              <w:rPr>
                <w:rFonts w:ascii="SimSun" w:eastAsia="SimSun" w:hAnsi="SimSun" w:cs="SimSun"/>
                <w:spacing w:val="-17"/>
                <w:sz w:val="18"/>
                <w:szCs w:val="18"/>
              </w:rPr>
              <w:t>日</w:t>
            </w:r>
          </w:p>
        </w:tc>
      </w:tr>
      <w:tr>
        <w:tblPrEx>
          <w:tblW w:w="8926" w:type="dxa"/>
          <w:tblInd w:w="188" w:type="dxa"/>
          <w:tblLayout w:type="fixed"/>
        </w:tblPrEx>
        <w:trPr>
          <w:trHeight w:val="315"/>
        </w:trPr>
        <w:tc>
          <w:tcPr>
            <w:tcW w:w="983" w:type="dxa"/>
            <w:vMerge w:val="restart"/>
            <w:tcBorders>
              <w:left w:val="single" w:sz="10" w:space="0" w:color="000000"/>
              <w:bottom w:val="nil"/>
            </w:tcBorders>
            <w:vAlign w:val="top"/>
          </w:tcPr>
          <w:p>
            <w:pPr>
              <w:spacing w:before="227" w:line="220" w:lineRule="auto"/>
              <w:ind w:left="315"/>
              <w:rPr>
                <w:rFonts w:ascii="SimSun" w:eastAsia="SimSun" w:hAnsi="SimSun" w:cs="SimSun"/>
                <w:sz w:val="18"/>
                <w:szCs w:val="18"/>
              </w:rPr>
            </w:pPr>
            <w:r>
              <w:rPr>
                <w:rFonts w:ascii="SimSun" w:eastAsia="SimSun" w:hAnsi="SimSun" w:cs="SimSun"/>
                <w:spacing w:val="-6"/>
                <w:sz w:val="18"/>
                <w:szCs w:val="18"/>
              </w:rPr>
              <w:t>因素</w:t>
            </w:r>
          </w:p>
        </w:tc>
        <w:tc>
          <w:tcPr>
            <w:tcW w:w="1566" w:type="dxa"/>
            <w:vMerge w:val="restart"/>
            <w:tcBorders>
              <w:bottom w:val="nil"/>
            </w:tcBorders>
            <w:vAlign w:val="top"/>
          </w:tcPr>
          <w:p>
            <w:pPr>
              <w:spacing w:before="228" w:line="220" w:lineRule="auto"/>
              <w:ind w:left="614"/>
              <w:rPr>
                <w:rFonts w:ascii="SimSun" w:eastAsia="SimSun" w:hAnsi="SimSun" w:cs="SimSun"/>
                <w:sz w:val="18"/>
                <w:szCs w:val="18"/>
              </w:rPr>
            </w:pPr>
            <w:r>
              <w:rPr>
                <w:rFonts w:ascii="SimSun" w:eastAsia="SimSun" w:hAnsi="SimSun" w:cs="SimSun"/>
                <w:spacing w:val="-6"/>
                <w:sz w:val="18"/>
                <w:szCs w:val="18"/>
              </w:rPr>
              <w:t>因子</w:t>
            </w:r>
          </w:p>
        </w:tc>
        <w:tc>
          <w:tcPr>
            <w:tcW w:w="1975" w:type="dxa"/>
            <w:vMerge w:val="restart"/>
            <w:tcBorders>
              <w:bottom w:val="nil"/>
            </w:tcBorders>
            <w:vAlign w:val="top"/>
          </w:tcPr>
          <w:p>
            <w:pPr>
              <w:spacing w:before="228" w:line="220" w:lineRule="auto"/>
              <w:ind w:left="810"/>
              <w:rPr>
                <w:rFonts w:ascii="SimSun" w:eastAsia="SimSun" w:hAnsi="SimSun" w:cs="SimSun"/>
                <w:sz w:val="18"/>
                <w:szCs w:val="18"/>
              </w:rPr>
            </w:pPr>
            <w:r>
              <w:rPr>
                <w:rFonts w:ascii="SimSun" w:eastAsia="SimSun" w:hAnsi="SimSun" w:cs="SimSun"/>
                <w:spacing w:val="-3"/>
                <w:sz w:val="18"/>
                <w:szCs w:val="18"/>
              </w:rPr>
              <w:t>指标</w:t>
            </w:r>
          </w:p>
        </w:tc>
        <w:tc>
          <w:tcPr>
            <w:tcW w:w="4402" w:type="dxa"/>
            <w:gridSpan w:val="4"/>
            <w:tcBorders>
              <w:right w:val="single" w:sz="10" w:space="0" w:color="000000"/>
            </w:tcBorders>
            <w:vAlign w:val="top"/>
          </w:tcPr>
          <w:p>
            <w:pPr>
              <w:spacing w:before="66" w:line="220" w:lineRule="auto"/>
              <w:ind w:left="1126"/>
              <w:rPr>
                <w:rFonts w:ascii="SimSun" w:eastAsia="SimSun" w:hAnsi="SimSun" w:cs="SimSun"/>
                <w:sz w:val="18"/>
                <w:szCs w:val="18"/>
              </w:rPr>
            </w:pPr>
            <w:r>
              <w:rPr>
                <w:rFonts w:ascii="SimSun" w:eastAsia="SimSun" w:hAnsi="SimSun" w:cs="SimSun"/>
                <w:spacing w:val="-1"/>
                <w:sz w:val="18"/>
                <w:szCs w:val="18"/>
              </w:rPr>
              <w:t>不同园地利用类型因子状况</w:t>
            </w:r>
          </w:p>
        </w:tc>
      </w:tr>
      <w:tr>
        <w:tblPrEx>
          <w:tblW w:w="8926" w:type="dxa"/>
          <w:tblInd w:w="188" w:type="dxa"/>
          <w:tblLayout w:type="fixed"/>
        </w:tblPrEx>
        <w:trPr>
          <w:trHeight w:val="316"/>
        </w:trPr>
        <w:tc>
          <w:tcPr>
            <w:tcW w:w="983" w:type="dxa"/>
            <w:vMerge/>
            <w:tcBorders>
              <w:top w:val="nil"/>
              <w:left w:val="single" w:sz="10" w:space="0" w:color="000000"/>
            </w:tcBorders>
            <w:vAlign w:val="top"/>
          </w:tcPr>
          <w:p>
            <w:pPr>
              <w:pStyle w:val="TableText"/>
            </w:pPr>
          </w:p>
        </w:tc>
        <w:tc>
          <w:tcPr>
            <w:tcW w:w="1566" w:type="dxa"/>
            <w:vMerge/>
            <w:tcBorders>
              <w:top w:val="nil"/>
            </w:tcBorders>
            <w:vAlign w:val="top"/>
          </w:tcPr>
          <w:p>
            <w:pPr>
              <w:pStyle w:val="TableText"/>
            </w:pPr>
          </w:p>
        </w:tc>
        <w:tc>
          <w:tcPr>
            <w:tcW w:w="1975" w:type="dxa"/>
            <w:vMerge/>
            <w:tcBorders>
              <w:top w:val="nil"/>
            </w:tcBorders>
            <w:vAlign w:val="top"/>
          </w:tcPr>
          <w:p>
            <w:pPr>
              <w:pStyle w:val="TableText"/>
            </w:pPr>
          </w:p>
        </w:tc>
        <w:tc>
          <w:tcPr>
            <w:tcW w:w="1137" w:type="dxa"/>
            <w:vAlign w:val="top"/>
          </w:tcPr>
          <w:p>
            <w:pPr>
              <w:spacing w:before="69" w:line="220" w:lineRule="auto"/>
              <w:ind w:left="397"/>
              <w:rPr>
                <w:rFonts w:ascii="SimSun" w:eastAsia="SimSun" w:hAnsi="SimSun" w:cs="SimSun"/>
                <w:sz w:val="18"/>
                <w:szCs w:val="18"/>
              </w:rPr>
            </w:pPr>
            <w:r>
              <w:rPr>
                <w:rFonts w:ascii="SimSun" w:eastAsia="SimSun" w:hAnsi="SimSun" w:cs="SimSun"/>
                <w:spacing w:val="-3"/>
                <w:sz w:val="18"/>
                <w:szCs w:val="18"/>
              </w:rPr>
              <w:t>果园</w:t>
            </w:r>
          </w:p>
        </w:tc>
        <w:tc>
          <w:tcPr>
            <w:tcW w:w="1130" w:type="dxa"/>
            <w:vAlign w:val="top"/>
          </w:tcPr>
          <w:p>
            <w:pPr>
              <w:spacing w:before="68" w:line="221" w:lineRule="auto"/>
              <w:ind w:left="394"/>
              <w:rPr>
                <w:rFonts w:ascii="SimSun" w:eastAsia="SimSun" w:hAnsi="SimSun" w:cs="SimSun"/>
                <w:sz w:val="18"/>
                <w:szCs w:val="18"/>
              </w:rPr>
            </w:pPr>
            <w:r>
              <w:rPr>
                <w:rFonts w:ascii="SimSun" w:eastAsia="SimSun" w:hAnsi="SimSun" w:cs="SimSun"/>
                <w:spacing w:val="-3"/>
                <w:sz w:val="18"/>
                <w:szCs w:val="18"/>
              </w:rPr>
              <w:t>茶园</w:t>
            </w:r>
          </w:p>
        </w:tc>
        <w:tc>
          <w:tcPr>
            <w:tcW w:w="1132" w:type="dxa"/>
            <w:vAlign w:val="top"/>
          </w:tcPr>
          <w:p>
            <w:pPr>
              <w:spacing w:before="68" w:line="220" w:lineRule="auto"/>
              <w:ind w:left="305"/>
              <w:rPr>
                <w:rFonts w:ascii="SimSun" w:eastAsia="SimSun" w:hAnsi="SimSun" w:cs="SimSun"/>
                <w:sz w:val="18"/>
                <w:szCs w:val="18"/>
              </w:rPr>
            </w:pPr>
            <w:r>
              <w:rPr>
                <w:rFonts w:ascii="SimSun" w:eastAsia="SimSun" w:hAnsi="SimSun" w:cs="SimSun"/>
                <w:spacing w:val="-2"/>
                <w:sz w:val="18"/>
                <w:szCs w:val="18"/>
              </w:rPr>
              <w:t>橡胶园</w:t>
            </w:r>
          </w:p>
        </w:tc>
        <w:tc>
          <w:tcPr>
            <w:tcW w:w="1003" w:type="dxa"/>
            <w:tcBorders>
              <w:right w:val="single" w:sz="10" w:space="0" w:color="000000"/>
            </w:tcBorders>
            <w:vAlign w:val="top"/>
          </w:tcPr>
          <w:p>
            <w:pPr>
              <w:spacing w:before="69" w:line="220" w:lineRule="auto"/>
              <w:ind w:left="149"/>
              <w:rPr>
                <w:rFonts w:ascii="SimSun" w:eastAsia="SimSun" w:hAnsi="SimSun" w:cs="SimSun"/>
                <w:sz w:val="18"/>
                <w:szCs w:val="18"/>
              </w:rPr>
            </w:pPr>
            <w:r>
              <w:rPr>
                <w:rFonts w:ascii="SimSun" w:eastAsia="SimSun" w:hAnsi="SimSun" w:cs="SimSun"/>
                <w:spacing w:val="-2"/>
                <w:sz w:val="18"/>
                <w:szCs w:val="18"/>
              </w:rPr>
              <w:t>其他园地</w:t>
            </w:r>
          </w:p>
        </w:tc>
      </w:tr>
      <w:tr>
        <w:tblPrEx>
          <w:tblW w:w="8926" w:type="dxa"/>
          <w:tblInd w:w="188" w:type="dxa"/>
          <w:tblLayout w:type="fixed"/>
        </w:tblPrEx>
        <w:trPr>
          <w:trHeight w:val="315"/>
        </w:trPr>
        <w:tc>
          <w:tcPr>
            <w:tcW w:w="983" w:type="dxa"/>
            <w:vMerge w:val="restart"/>
            <w:tcBorders>
              <w:left w:val="single" w:sz="10" w:space="0" w:color="000000"/>
              <w:bottom w:val="nil"/>
            </w:tcBorders>
            <w:vAlign w:val="top"/>
          </w:tcPr>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1" w:lineRule="auto"/>
            </w:pPr>
          </w:p>
          <w:p>
            <w:pPr>
              <w:pStyle w:val="TableText"/>
              <w:spacing w:line="242" w:lineRule="auto"/>
            </w:pPr>
          </w:p>
          <w:p>
            <w:pPr>
              <w:pStyle w:val="TableText"/>
              <w:spacing w:line="242" w:lineRule="auto"/>
            </w:pPr>
          </w:p>
          <w:p>
            <w:pPr>
              <w:spacing w:before="59" w:line="220" w:lineRule="auto"/>
              <w:ind w:left="150"/>
              <w:rPr>
                <w:rFonts w:ascii="SimSun" w:eastAsia="SimSun" w:hAnsi="SimSun" w:cs="SimSun"/>
                <w:sz w:val="18"/>
                <w:szCs w:val="18"/>
              </w:rPr>
            </w:pPr>
            <w:r>
              <w:rPr>
                <w:rFonts w:ascii="SimSun" w:eastAsia="SimSun" w:hAnsi="SimSun" w:cs="SimSun"/>
                <w:spacing w:val="-7"/>
                <w:sz w:val="18"/>
                <w:szCs w:val="18"/>
              </w:rPr>
              <w:t>自然因素</w:t>
            </w:r>
          </w:p>
        </w:tc>
        <w:tc>
          <w:tcPr>
            <w:tcW w:w="1566" w:type="dxa"/>
            <w:vMerge w:val="restart"/>
            <w:tcBorders>
              <w:bottom w:val="nil"/>
            </w:tcBorders>
            <w:vAlign w:val="top"/>
          </w:tcPr>
          <w:p>
            <w:pPr>
              <w:pStyle w:val="TableText"/>
              <w:spacing w:line="270" w:lineRule="auto"/>
            </w:pPr>
          </w:p>
          <w:p>
            <w:pPr>
              <w:pStyle w:val="TableText"/>
              <w:spacing w:line="271" w:lineRule="auto"/>
            </w:pPr>
          </w:p>
          <w:p>
            <w:pPr>
              <w:pStyle w:val="TableText"/>
              <w:spacing w:line="271" w:lineRule="auto"/>
            </w:pPr>
          </w:p>
          <w:p>
            <w:pPr>
              <w:spacing w:before="58" w:line="220" w:lineRule="auto"/>
              <w:ind w:left="420"/>
              <w:rPr>
                <w:rFonts w:ascii="SimSun" w:eastAsia="SimSun" w:hAnsi="SimSun" w:cs="SimSun"/>
                <w:sz w:val="18"/>
                <w:szCs w:val="18"/>
              </w:rPr>
            </w:pPr>
            <w:r>
              <w:rPr>
                <w:rFonts w:ascii="SimSun" w:eastAsia="SimSun" w:hAnsi="SimSun" w:cs="SimSun"/>
                <w:spacing w:val="-2"/>
                <w:sz w:val="18"/>
                <w:szCs w:val="18"/>
              </w:rPr>
              <w:t>气候条件</w:t>
            </w:r>
          </w:p>
        </w:tc>
        <w:tc>
          <w:tcPr>
            <w:tcW w:w="1975" w:type="dxa"/>
            <w:vAlign w:val="top"/>
          </w:tcPr>
          <w:p>
            <w:pPr>
              <w:spacing w:before="69" w:line="220" w:lineRule="auto"/>
              <w:ind w:left="659"/>
              <w:rPr>
                <w:rFonts w:ascii="SimSun" w:eastAsia="SimSun" w:hAnsi="SimSun" w:cs="SimSun"/>
                <w:sz w:val="18"/>
                <w:szCs w:val="18"/>
              </w:rPr>
            </w:pPr>
            <w:r>
              <w:rPr>
                <w:rFonts w:ascii="SimSun" w:eastAsia="SimSun" w:hAnsi="SimSun" w:cs="SimSun"/>
                <w:spacing w:val="-8"/>
                <w:sz w:val="18"/>
                <w:szCs w:val="18"/>
              </w:rPr>
              <w:t>日照时数</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6"/>
        </w:trPr>
        <w:tc>
          <w:tcPr>
            <w:tcW w:w="983" w:type="dxa"/>
            <w:vMerge/>
            <w:tcBorders>
              <w:top w:val="nil"/>
              <w:left w:val="single" w:sz="10" w:space="0" w:color="000000"/>
              <w:bottom w:val="nil"/>
            </w:tcBorders>
            <w:vAlign w:val="top"/>
          </w:tcPr>
          <w:p>
            <w:pPr>
              <w:pStyle w:val="TableText"/>
            </w:pPr>
          </w:p>
        </w:tc>
        <w:tc>
          <w:tcPr>
            <w:tcW w:w="1566" w:type="dxa"/>
            <w:vMerge/>
            <w:tcBorders>
              <w:top w:val="nil"/>
              <w:bottom w:val="nil"/>
            </w:tcBorders>
            <w:vAlign w:val="top"/>
          </w:tcPr>
          <w:p>
            <w:pPr>
              <w:pStyle w:val="TableText"/>
            </w:pPr>
          </w:p>
        </w:tc>
        <w:tc>
          <w:tcPr>
            <w:tcW w:w="1975" w:type="dxa"/>
            <w:vAlign w:val="top"/>
          </w:tcPr>
          <w:p>
            <w:pPr>
              <w:spacing w:before="73" w:line="220" w:lineRule="auto"/>
              <w:ind w:left="808"/>
              <w:rPr>
                <w:rFonts w:ascii="SimSun" w:eastAsia="SimSun" w:hAnsi="SimSun" w:cs="SimSun"/>
                <w:sz w:val="18"/>
                <w:szCs w:val="18"/>
              </w:rPr>
            </w:pPr>
            <w:r>
              <w:rPr>
                <w:rFonts w:ascii="SimSun" w:eastAsia="SimSun" w:hAnsi="SimSun" w:cs="SimSun"/>
                <w:spacing w:val="-2"/>
                <w:sz w:val="18"/>
                <w:szCs w:val="18"/>
              </w:rPr>
              <w:t>积温</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6"/>
        </w:trPr>
        <w:tc>
          <w:tcPr>
            <w:tcW w:w="983" w:type="dxa"/>
            <w:vMerge/>
            <w:tcBorders>
              <w:top w:val="nil"/>
              <w:left w:val="single" w:sz="10" w:space="0" w:color="000000"/>
              <w:bottom w:val="nil"/>
            </w:tcBorders>
            <w:vAlign w:val="top"/>
          </w:tcPr>
          <w:p>
            <w:pPr>
              <w:pStyle w:val="TableText"/>
            </w:pPr>
          </w:p>
        </w:tc>
        <w:tc>
          <w:tcPr>
            <w:tcW w:w="1566" w:type="dxa"/>
            <w:vMerge/>
            <w:tcBorders>
              <w:top w:val="nil"/>
              <w:bottom w:val="nil"/>
            </w:tcBorders>
            <w:vAlign w:val="top"/>
          </w:tcPr>
          <w:p>
            <w:pPr>
              <w:pStyle w:val="TableText"/>
            </w:pPr>
          </w:p>
        </w:tc>
        <w:tc>
          <w:tcPr>
            <w:tcW w:w="1975" w:type="dxa"/>
            <w:vAlign w:val="top"/>
          </w:tcPr>
          <w:p>
            <w:pPr>
              <w:spacing w:before="73" w:line="220" w:lineRule="auto"/>
              <w:ind w:left="540"/>
              <w:rPr>
                <w:rFonts w:ascii="SimSun" w:eastAsia="SimSun" w:hAnsi="SimSun" w:cs="SimSun"/>
                <w:sz w:val="18"/>
                <w:szCs w:val="18"/>
              </w:rPr>
            </w:pPr>
            <w:r>
              <w:rPr>
                <w:rFonts w:ascii="SimSun" w:eastAsia="SimSun" w:hAnsi="SimSun" w:cs="SimSun"/>
                <w:spacing w:val="-2"/>
                <w:sz w:val="18"/>
                <w:szCs w:val="18"/>
              </w:rPr>
              <w:t>年均降水量</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8"/>
        </w:trPr>
        <w:tc>
          <w:tcPr>
            <w:tcW w:w="983" w:type="dxa"/>
            <w:vMerge/>
            <w:tcBorders>
              <w:top w:val="nil"/>
              <w:left w:val="single" w:sz="10" w:space="0" w:color="000000"/>
              <w:bottom w:val="nil"/>
            </w:tcBorders>
            <w:vAlign w:val="top"/>
          </w:tcPr>
          <w:p>
            <w:pPr>
              <w:pStyle w:val="TableText"/>
            </w:pPr>
          </w:p>
        </w:tc>
        <w:tc>
          <w:tcPr>
            <w:tcW w:w="1566" w:type="dxa"/>
            <w:vMerge/>
            <w:tcBorders>
              <w:top w:val="nil"/>
              <w:bottom w:val="nil"/>
            </w:tcBorders>
            <w:vAlign w:val="top"/>
          </w:tcPr>
          <w:p>
            <w:pPr>
              <w:pStyle w:val="TableText"/>
            </w:pPr>
          </w:p>
        </w:tc>
        <w:tc>
          <w:tcPr>
            <w:tcW w:w="1975" w:type="dxa"/>
            <w:vAlign w:val="top"/>
          </w:tcPr>
          <w:p>
            <w:pPr>
              <w:spacing w:before="75" w:line="220" w:lineRule="auto"/>
              <w:ind w:left="628"/>
              <w:rPr>
                <w:rFonts w:ascii="SimSun" w:eastAsia="SimSun" w:hAnsi="SimSun" w:cs="SimSun"/>
                <w:sz w:val="18"/>
                <w:szCs w:val="18"/>
              </w:rPr>
            </w:pPr>
            <w:r>
              <w:rPr>
                <w:rFonts w:ascii="SimSun" w:eastAsia="SimSun" w:hAnsi="SimSun" w:cs="SimSun"/>
                <w:spacing w:val="-2"/>
                <w:sz w:val="18"/>
                <w:szCs w:val="18"/>
              </w:rPr>
              <w:t>相对湿度</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6"/>
        </w:trPr>
        <w:tc>
          <w:tcPr>
            <w:tcW w:w="983" w:type="dxa"/>
            <w:vMerge/>
            <w:tcBorders>
              <w:top w:val="nil"/>
              <w:left w:val="single" w:sz="10" w:space="0" w:color="000000"/>
              <w:bottom w:val="nil"/>
            </w:tcBorders>
            <w:vAlign w:val="top"/>
          </w:tcPr>
          <w:p>
            <w:pPr>
              <w:pStyle w:val="TableText"/>
            </w:pPr>
          </w:p>
        </w:tc>
        <w:tc>
          <w:tcPr>
            <w:tcW w:w="1566" w:type="dxa"/>
            <w:vMerge/>
            <w:tcBorders>
              <w:top w:val="nil"/>
              <w:bottom w:val="nil"/>
            </w:tcBorders>
            <w:vAlign w:val="top"/>
          </w:tcPr>
          <w:p>
            <w:pPr>
              <w:pStyle w:val="TableText"/>
            </w:pPr>
          </w:p>
        </w:tc>
        <w:tc>
          <w:tcPr>
            <w:tcW w:w="1975" w:type="dxa"/>
            <w:vAlign w:val="top"/>
          </w:tcPr>
          <w:p>
            <w:pPr>
              <w:spacing w:before="72" w:line="220" w:lineRule="auto"/>
              <w:ind w:left="540"/>
              <w:rPr>
                <w:rFonts w:ascii="SimSun" w:eastAsia="SimSun" w:hAnsi="SimSun" w:cs="SimSun"/>
                <w:sz w:val="18"/>
                <w:szCs w:val="18"/>
              </w:rPr>
            </w:pPr>
            <w:r>
              <w:rPr>
                <w:rFonts w:ascii="SimSun" w:eastAsia="SimSun" w:hAnsi="SimSun" w:cs="SimSun"/>
                <w:spacing w:val="-2"/>
                <w:sz w:val="18"/>
                <w:szCs w:val="18"/>
              </w:rPr>
              <w:t>年极端低温</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6"/>
        </w:trPr>
        <w:tc>
          <w:tcPr>
            <w:tcW w:w="983" w:type="dxa"/>
            <w:vMerge/>
            <w:tcBorders>
              <w:top w:val="nil"/>
              <w:left w:val="single" w:sz="10" w:space="0" w:color="000000"/>
              <w:bottom w:val="nil"/>
            </w:tcBorders>
            <w:vAlign w:val="top"/>
          </w:tcPr>
          <w:p>
            <w:pPr>
              <w:pStyle w:val="TableText"/>
            </w:pPr>
          </w:p>
        </w:tc>
        <w:tc>
          <w:tcPr>
            <w:tcW w:w="1566" w:type="dxa"/>
            <w:vMerge/>
            <w:tcBorders>
              <w:top w:val="nil"/>
            </w:tcBorders>
            <w:vAlign w:val="top"/>
          </w:tcPr>
          <w:p>
            <w:pPr>
              <w:pStyle w:val="TableText"/>
            </w:pPr>
          </w:p>
        </w:tc>
        <w:tc>
          <w:tcPr>
            <w:tcW w:w="1975" w:type="dxa"/>
            <w:vAlign w:val="top"/>
          </w:tcPr>
          <w:p>
            <w:pPr>
              <w:spacing w:before="73" w:line="220" w:lineRule="auto"/>
              <w:ind w:left="373"/>
              <w:rPr>
                <w:rFonts w:ascii="SimSun" w:eastAsia="SimSun" w:hAnsi="SimSun" w:cs="SimSun"/>
                <w:sz w:val="18"/>
                <w:szCs w:val="18"/>
              </w:rPr>
            </w:pPr>
            <w:r>
              <w:rPr>
                <w:rFonts w:ascii="Times New Roman" w:eastAsia="Times New Roman" w:hAnsi="Times New Roman" w:cs="Times New Roman"/>
                <w:spacing w:val="-3"/>
                <w:sz w:val="18"/>
                <w:szCs w:val="18"/>
              </w:rPr>
              <w:t>10</w:t>
            </w:r>
            <w:r>
              <w:rPr>
                <w:rFonts w:ascii="SimSun" w:eastAsia="SimSun" w:hAnsi="SimSun" w:cs="SimSun"/>
                <w:spacing w:val="-3"/>
                <w:sz w:val="18"/>
                <w:szCs w:val="18"/>
              </w:rPr>
              <w:t>级以上风次数</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6"/>
        </w:trPr>
        <w:tc>
          <w:tcPr>
            <w:tcW w:w="983" w:type="dxa"/>
            <w:vMerge/>
            <w:tcBorders>
              <w:top w:val="nil"/>
              <w:left w:val="single" w:sz="10" w:space="0" w:color="000000"/>
              <w:bottom w:val="nil"/>
            </w:tcBorders>
            <w:vAlign w:val="top"/>
          </w:tcPr>
          <w:p>
            <w:pPr>
              <w:pStyle w:val="TableText"/>
            </w:pPr>
          </w:p>
        </w:tc>
        <w:tc>
          <w:tcPr>
            <w:tcW w:w="1566" w:type="dxa"/>
            <w:vMerge w:val="restart"/>
            <w:tcBorders>
              <w:bottom w:val="nil"/>
            </w:tcBorders>
            <w:vAlign w:val="top"/>
          </w:tcPr>
          <w:p>
            <w:pPr>
              <w:pStyle w:val="TableText"/>
              <w:spacing w:line="337" w:lineRule="auto"/>
            </w:pPr>
          </w:p>
          <w:p>
            <w:pPr>
              <w:spacing w:before="59" w:line="220" w:lineRule="auto"/>
              <w:ind w:left="420"/>
              <w:rPr>
                <w:rFonts w:ascii="SimSun" w:eastAsia="SimSun" w:hAnsi="SimSun" w:cs="SimSun"/>
                <w:sz w:val="18"/>
                <w:szCs w:val="18"/>
              </w:rPr>
            </w:pPr>
            <w:r>
              <w:rPr>
                <w:rFonts w:ascii="SimSun" w:eastAsia="SimSun" w:hAnsi="SimSun" w:cs="SimSun"/>
                <w:spacing w:val="-2"/>
                <w:sz w:val="18"/>
                <w:szCs w:val="18"/>
              </w:rPr>
              <w:t>地形条件</w:t>
            </w:r>
          </w:p>
        </w:tc>
        <w:tc>
          <w:tcPr>
            <w:tcW w:w="1975" w:type="dxa"/>
            <w:vAlign w:val="top"/>
          </w:tcPr>
          <w:p>
            <w:pPr>
              <w:spacing w:before="75" w:line="220" w:lineRule="auto"/>
              <w:ind w:left="808"/>
              <w:rPr>
                <w:rFonts w:ascii="SimSun" w:eastAsia="SimSun" w:hAnsi="SimSun" w:cs="SimSun"/>
                <w:sz w:val="18"/>
                <w:szCs w:val="18"/>
              </w:rPr>
            </w:pPr>
            <w:r>
              <w:rPr>
                <w:rFonts w:ascii="SimSun" w:eastAsia="SimSun" w:hAnsi="SimSun" w:cs="SimSun"/>
                <w:spacing w:val="-2"/>
                <w:sz w:val="18"/>
                <w:szCs w:val="18"/>
              </w:rPr>
              <w:t>坡度</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6"/>
        </w:trPr>
        <w:tc>
          <w:tcPr>
            <w:tcW w:w="983" w:type="dxa"/>
            <w:vMerge/>
            <w:tcBorders>
              <w:top w:val="nil"/>
              <w:left w:val="single" w:sz="10" w:space="0" w:color="000000"/>
              <w:bottom w:val="nil"/>
            </w:tcBorders>
            <w:vAlign w:val="top"/>
          </w:tcPr>
          <w:p>
            <w:pPr>
              <w:pStyle w:val="TableText"/>
            </w:pPr>
          </w:p>
        </w:tc>
        <w:tc>
          <w:tcPr>
            <w:tcW w:w="1566" w:type="dxa"/>
            <w:vMerge/>
            <w:tcBorders>
              <w:top w:val="nil"/>
              <w:bottom w:val="nil"/>
            </w:tcBorders>
            <w:vAlign w:val="top"/>
          </w:tcPr>
          <w:p>
            <w:pPr>
              <w:pStyle w:val="TableText"/>
            </w:pPr>
          </w:p>
        </w:tc>
        <w:tc>
          <w:tcPr>
            <w:tcW w:w="1975" w:type="dxa"/>
            <w:vAlign w:val="top"/>
          </w:tcPr>
          <w:p>
            <w:pPr>
              <w:spacing w:before="78" w:line="220" w:lineRule="auto"/>
              <w:ind w:left="808"/>
              <w:rPr>
                <w:rFonts w:ascii="SimSun" w:eastAsia="SimSun" w:hAnsi="SimSun" w:cs="SimSun"/>
                <w:sz w:val="18"/>
                <w:szCs w:val="18"/>
              </w:rPr>
            </w:pPr>
            <w:r>
              <w:rPr>
                <w:rFonts w:ascii="SimSun" w:eastAsia="SimSun" w:hAnsi="SimSun" w:cs="SimSun"/>
                <w:spacing w:val="-2"/>
                <w:sz w:val="18"/>
                <w:szCs w:val="18"/>
              </w:rPr>
              <w:t>坡向</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6"/>
        </w:trPr>
        <w:tc>
          <w:tcPr>
            <w:tcW w:w="983" w:type="dxa"/>
            <w:vMerge/>
            <w:tcBorders>
              <w:top w:val="nil"/>
              <w:left w:val="single" w:sz="10" w:space="0" w:color="000000"/>
              <w:bottom w:val="nil"/>
            </w:tcBorders>
            <w:vAlign w:val="top"/>
          </w:tcPr>
          <w:p>
            <w:pPr>
              <w:pStyle w:val="TableText"/>
            </w:pPr>
          </w:p>
        </w:tc>
        <w:tc>
          <w:tcPr>
            <w:tcW w:w="1566" w:type="dxa"/>
            <w:vMerge/>
            <w:tcBorders>
              <w:top w:val="nil"/>
            </w:tcBorders>
            <w:vAlign w:val="top"/>
          </w:tcPr>
          <w:p>
            <w:pPr>
              <w:pStyle w:val="TableText"/>
            </w:pPr>
          </w:p>
        </w:tc>
        <w:tc>
          <w:tcPr>
            <w:tcW w:w="1975" w:type="dxa"/>
            <w:vAlign w:val="top"/>
          </w:tcPr>
          <w:p>
            <w:pPr>
              <w:spacing w:before="78" w:line="220" w:lineRule="auto"/>
              <w:ind w:left="807"/>
              <w:rPr>
                <w:rFonts w:ascii="SimSun" w:eastAsia="SimSun" w:hAnsi="SimSun" w:cs="SimSun"/>
                <w:sz w:val="18"/>
                <w:szCs w:val="18"/>
              </w:rPr>
            </w:pPr>
            <w:r>
              <w:rPr>
                <w:rFonts w:ascii="SimSun" w:eastAsia="SimSun" w:hAnsi="SimSun" w:cs="SimSun"/>
                <w:spacing w:val="-2"/>
                <w:sz w:val="18"/>
                <w:szCs w:val="18"/>
              </w:rPr>
              <w:t>海拔</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8"/>
        </w:trPr>
        <w:tc>
          <w:tcPr>
            <w:tcW w:w="983" w:type="dxa"/>
            <w:vMerge/>
            <w:tcBorders>
              <w:top w:val="nil"/>
              <w:left w:val="single" w:sz="10" w:space="0" w:color="000000"/>
              <w:bottom w:val="nil"/>
            </w:tcBorders>
            <w:vAlign w:val="top"/>
          </w:tcPr>
          <w:p>
            <w:pPr>
              <w:pStyle w:val="TableText"/>
            </w:pPr>
          </w:p>
        </w:tc>
        <w:tc>
          <w:tcPr>
            <w:tcW w:w="1566" w:type="dxa"/>
            <w:vMerge w:val="restart"/>
            <w:tcBorders>
              <w:bottom w:val="nil"/>
            </w:tcBorders>
            <w:vAlign w:val="top"/>
          </w:tcPr>
          <w:p>
            <w:pPr>
              <w:pStyle w:val="TableText"/>
              <w:spacing w:line="329" w:lineRule="auto"/>
            </w:pPr>
          </w:p>
          <w:p>
            <w:pPr>
              <w:pStyle w:val="TableText"/>
              <w:spacing w:line="330" w:lineRule="auto"/>
            </w:pPr>
          </w:p>
          <w:p>
            <w:pPr>
              <w:spacing w:before="58" w:line="220" w:lineRule="auto"/>
              <w:ind w:left="375"/>
              <w:rPr>
                <w:rFonts w:ascii="SimSun" w:eastAsia="SimSun" w:hAnsi="SimSun" w:cs="SimSun"/>
                <w:sz w:val="18"/>
                <w:szCs w:val="18"/>
              </w:rPr>
            </w:pPr>
            <w:r>
              <w:rPr>
                <w:rFonts w:ascii="SimSun" w:eastAsia="SimSun" w:hAnsi="SimSun" w:cs="SimSun"/>
                <w:spacing w:val="-2"/>
                <w:sz w:val="18"/>
                <w:szCs w:val="18"/>
              </w:rPr>
              <w:t>土壤条件</w:t>
            </w:r>
          </w:p>
        </w:tc>
        <w:tc>
          <w:tcPr>
            <w:tcW w:w="1975" w:type="dxa"/>
            <w:vAlign w:val="top"/>
          </w:tcPr>
          <w:p>
            <w:pPr>
              <w:spacing w:before="78" w:line="220" w:lineRule="auto"/>
              <w:ind w:left="449"/>
              <w:rPr>
                <w:rFonts w:ascii="SimSun" w:eastAsia="SimSun" w:hAnsi="SimSun" w:cs="SimSun"/>
                <w:sz w:val="18"/>
                <w:szCs w:val="18"/>
              </w:rPr>
            </w:pPr>
            <w:r>
              <w:rPr>
                <w:rFonts w:ascii="SimSun" w:eastAsia="SimSun" w:hAnsi="SimSun" w:cs="SimSun"/>
                <w:spacing w:val="-2"/>
                <w:sz w:val="18"/>
                <w:szCs w:val="18"/>
              </w:rPr>
              <w:t>有效土层厚度</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6"/>
        </w:trPr>
        <w:tc>
          <w:tcPr>
            <w:tcW w:w="983" w:type="dxa"/>
            <w:vMerge/>
            <w:tcBorders>
              <w:top w:val="nil"/>
              <w:left w:val="single" w:sz="10" w:space="0" w:color="000000"/>
              <w:bottom w:val="nil"/>
            </w:tcBorders>
            <w:vAlign w:val="top"/>
          </w:tcPr>
          <w:p>
            <w:pPr>
              <w:pStyle w:val="TableText"/>
            </w:pPr>
          </w:p>
        </w:tc>
        <w:tc>
          <w:tcPr>
            <w:tcW w:w="1566" w:type="dxa"/>
            <w:vMerge/>
            <w:tcBorders>
              <w:top w:val="nil"/>
              <w:bottom w:val="nil"/>
            </w:tcBorders>
            <w:vAlign w:val="top"/>
          </w:tcPr>
          <w:p>
            <w:pPr>
              <w:pStyle w:val="TableText"/>
            </w:pPr>
          </w:p>
        </w:tc>
        <w:tc>
          <w:tcPr>
            <w:tcW w:w="1975" w:type="dxa"/>
            <w:vAlign w:val="top"/>
          </w:tcPr>
          <w:p>
            <w:pPr>
              <w:spacing w:before="77" w:line="213" w:lineRule="auto"/>
              <w:ind w:left="609"/>
              <w:rPr>
                <w:rFonts w:ascii="SimSun" w:eastAsia="SimSun" w:hAnsi="SimSun" w:cs="SimSun"/>
                <w:sz w:val="18"/>
                <w:szCs w:val="18"/>
              </w:rPr>
            </w:pPr>
            <w:r>
              <w:rPr>
                <w:rFonts w:ascii="SimSun" w:eastAsia="SimSun" w:hAnsi="SimSun" w:cs="SimSun"/>
                <w:spacing w:val="-2"/>
                <w:sz w:val="18"/>
                <w:szCs w:val="18"/>
              </w:rPr>
              <w:t>土壤</w:t>
            </w:r>
            <w:r>
              <w:rPr>
                <w:rFonts w:ascii="Times New Roman" w:eastAsia="Times New Roman" w:hAnsi="Times New Roman" w:cs="Times New Roman"/>
                <w:spacing w:val="-2"/>
                <w:sz w:val="18"/>
                <w:szCs w:val="18"/>
              </w:rPr>
              <w:t>pH</w:t>
            </w:r>
            <w:r>
              <w:rPr>
                <w:rFonts w:ascii="SimSun" w:eastAsia="SimSun" w:hAnsi="SimSun" w:cs="SimSun"/>
                <w:spacing w:val="-2"/>
                <w:sz w:val="18"/>
                <w:szCs w:val="18"/>
              </w:rPr>
              <w:t>值</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6"/>
        </w:trPr>
        <w:tc>
          <w:tcPr>
            <w:tcW w:w="983" w:type="dxa"/>
            <w:vMerge/>
            <w:tcBorders>
              <w:top w:val="nil"/>
              <w:left w:val="single" w:sz="10" w:space="0" w:color="000000"/>
              <w:bottom w:val="nil"/>
            </w:tcBorders>
            <w:vAlign w:val="top"/>
          </w:tcPr>
          <w:p>
            <w:pPr>
              <w:pStyle w:val="TableText"/>
            </w:pPr>
          </w:p>
        </w:tc>
        <w:tc>
          <w:tcPr>
            <w:tcW w:w="1566" w:type="dxa"/>
            <w:vMerge/>
            <w:tcBorders>
              <w:top w:val="nil"/>
              <w:bottom w:val="nil"/>
            </w:tcBorders>
            <w:vAlign w:val="top"/>
          </w:tcPr>
          <w:p>
            <w:pPr>
              <w:pStyle w:val="TableText"/>
            </w:pPr>
          </w:p>
        </w:tc>
        <w:tc>
          <w:tcPr>
            <w:tcW w:w="1975" w:type="dxa"/>
            <w:vAlign w:val="top"/>
          </w:tcPr>
          <w:p>
            <w:pPr>
              <w:spacing w:before="78" w:line="219" w:lineRule="auto"/>
              <w:ind w:left="360"/>
              <w:rPr>
                <w:rFonts w:ascii="SimSun" w:eastAsia="SimSun" w:hAnsi="SimSun" w:cs="SimSun"/>
                <w:sz w:val="18"/>
                <w:szCs w:val="18"/>
              </w:rPr>
            </w:pPr>
            <w:r>
              <w:rPr>
                <w:rFonts w:ascii="SimSun" w:eastAsia="SimSun" w:hAnsi="SimSun" w:cs="SimSun"/>
                <w:spacing w:val="-1"/>
                <w:sz w:val="18"/>
                <w:szCs w:val="18"/>
              </w:rPr>
              <w:t>土壤有机质含量</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r>
        <w:tblPrEx>
          <w:tblW w:w="8926" w:type="dxa"/>
          <w:tblInd w:w="188" w:type="dxa"/>
          <w:tblLayout w:type="fixed"/>
        </w:tblPrEx>
        <w:trPr>
          <w:trHeight w:val="316"/>
        </w:trPr>
        <w:tc>
          <w:tcPr>
            <w:tcW w:w="983" w:type="dxa"/>
            <w:vMerge/>
            <w:tcBorders>
              <w:top w:val="nil"/>
              <w:left w:val="single" w:sz="10" w:space="0" w:color="000000"/>
              <w:bottom w:val="nil"/>
            </w:tcBorders>
            <w:vAlign w:val="top"/>
          </w:tcPr>
          <w:p>
            <w:pPr>
              <w:pStyle w:val="TableText"/>
            </w:pPr>
          </w:p>
        </w:tc>
        <w:tc>
          <w:tcPr>
            <w:tcW w:w="1566" w:type="dxa"/>
            <w:vMerge/>
            <w:tcBorders>
              <w:top w:val="nil"/>
              <w:bottom w:val="nil"/>
            </w:tcBorders>
            <w:vAlign w:val="top"/>
          </w:tcPr>
          <w:p>
            <w:pPr>
              <w:pStyle w:val="TableText"/>
            </w:pPr>
          </w:p>
        </w:tc>
        <w:tc>
          <w:tcPr>
            <w:tcW w:w="1975" w:type="dxa"/>
            <w:vAlign w:val="top"/>
          </w:tcPr>
          <w:p>
            <w:pPr>
              <w:spacing w:before="79" w:line="220" w:lineRule="auto"/>
              <w:ind w:left="629"/>
              <w:rPr>
                <w:rFonts w:ascii="SimSun" w:eastAsia="SimSun" w:hAnsi="SimSun" w:cs="SimSun"/>
                <w:sz w:val="18"/>
                <w:szCs w:val="18"/>
              </w:rPr>
            </w:pPr>
            <w:r>
              <w:rPr>
                <w:rFonts w:ascii="SimSun" w:eastAsia="SimSun" w:hAnsi="SimSun" w:cs="SimSun"/>
                <w:spacing w:val="-2"/>
                <w:sz w:val="18"/>
                <w:szCs w:val="18"/>
              </w:rPr>
              <w:t>土壤质地</w:t>
            </w:r>
          </w:p>
        </w:tc>
        <w:tc>
          <w:tcPr>
            <w:tcW w:w="1137" w:type="dxa"/>
            <w:vAlign w:val="top"/>
          </w:tcPr>
          <w:p>
            <w:pPr>
              <w:pStyle w:val="TableText"/>
            </w:pPr>
          </w:p>
        </w:tc>
        <w:tc>
          <w:tcPr>
            <w:tcW w:w="1130" w:type="dxa"/>
            <w:vAlign w:val="top"/>
          </w:tcPr>
          <w:p>
            <w:pPr>
              <w:pStyle w:val="TableText"/>
            </w:pPr>
          </w:p>
        </w:tc>
        <w:tc>
          <w:tcPr>
            <w:tcW w:w="1132" w:type="dxa"/>
            <w:vAlign w:val="top"/>
          </w:tcPr>
          <w:p>
            <w:pPr>
              <w:pStyle w:val="TableText"/>
            </w:pPr>
          </w:p>
        </w:tc>
        <w:tc>
          <w:tcPr>
            <w:tcW w:w="1003" w:type="dxa"/>
            <w:tcBorders>
              <w:right w:val="single" w:sz="10" w:space="0" w:color="000000"/>
            </w:tcBorders>
            <w:vAlign w:val="top"/>
          </w:tcPr>
          <w:p>
            <w:pPr>
              <w:pStyle w:val="TableText"/>
            </w:pP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32" w:history="1">
        <w:r>
          <w:rPr>
            <w:rFonts w:ascii="SimSun" w:eastAsia="SimSun" w:hAnsi="SimSun" w:cs="SimSun"/>
            <w:b/>
            <w:bCs/>
            <w:noProof w:val="0"/>
            <w:snapToGrid/>
            <w:color w:val="0000EE"/>
            <w:kern w:val="0"/>
            <w:sz w:val="30"/>
            <w:szCs w:val="30"/>
            <w:u w:val="single" w:color="0000EE"/>
          </w:rPr>
          <w:t>https://d.book118.com/558054055015006037</w:t>
        </w:r>
      </w:hyperlink>
    </w:p>
    <w:p/>
    <w:sectPr>
      <w:headerReference w:type="default" r:id="rId133"/>
      <w:footerReference w:type="default" r:id="rId134"/>
      <w:pgSz w:w="11907" w:h="16839"/>
      <w:pgMar w:top="1659" w:right="1128" w:bottom="1704" w:left="1444" w:header="1448" w:footer="1526" w:gutter="0"/>
      <w:pgNumType w:start="3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rPr>
        <w:sz w:val="15"/>
        <w:szCs w:val="15"/>
      </w:rPr>
    </w:pPr>
    <w:r>
      <w:rPr>
        <w:sz w:val="15"/>
        <w:szCs w:val="15"/>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rPr>
        <w:sz w:val="15"/>
        <w:szCs w:val="15"/>
      </w:rPr>
    </w:pPr>
    <w:r>
      <w:rPr>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20"/>
      <w:rPr>
        <w:sz w:val="15"/>
        <w:szCs w:val="15"/>
      </w:rPr>
    </w:pPr>
    <w:r>
      <w:rPr>
        <w:sz w:val="15"/>
        <w:szCs w:val="15"/>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20"/>
      <w:rPr>
        <w:sz w:val="15"/>
        <w:szCs w:val="15"/>
      </w:rPr>
    </w:pPr>
    <w:r>
      <w:rPr>
        <w:sz w:val="15"/>
        <w:szCs w:val="15"/>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7"/>
      <w:rPr>
        <w:sz w:val="18"/>
        <w:szCs w:val="18"/>
      </w:rPr>
    </w:pPr>
    <w:r>
      <w:rPr>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7"/>
      <w:rPr>
        <w:sz w:val="18"/>
        <w:szCs w:val="18"/>
      </w:rPr>
    </w:pPr>
    <w:r>
      <w:rPr>
        <w:sz w:val="18"/>
        <w:szCs w:val="18"/>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
      <w:rPr>
        <w:sz w:val="18"/>
        <w:szCs w:val="18"/>
      </w:rPr>
    </w:pPr>
    <w:r>
      <w:rPr>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
      <w:rPr>
        <w:sz w:val="18"/>
        <w:szCs w:val="18"/>
      </w:rPr>
    </w:pPr>
    <w:r>
      <w:rPr>
        <w:sz w:val="18"/>
        <w:szCs w:val="18"/>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3"/>
      <w:rPr>
        <w:sz w:val="18"/>
        <w:szCs w:val="18"/>
      </w:rPr>
    </w:pPr>
    <w:r>
      <w:rPr>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3"/>
      <w:rPr>
        <w:sz w:val="18"/>
        <w:szCs w:val="18"/>
      </w:rPr>
    </w:pPr>
    <w:r>
      <w:rPr>
        <w:sz w:val="18"/>
        <w:szCs w:val="18"/>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4"/>
      <w:rPr>
        <w:sz w:val="18"/>
        <w:szCs w:val="18"/>
      </w:rPr>
    </w:pPr>
    <w:r>
      <w:rPr>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4"/>
      <w:rPr>
        <w:sz w:val="18"/>
        <w:szCs w:val="18"/>
      </w:rPr>
    </w:pPr>
    <w:r>
      <w:rPr>
        <w:sz w:val="18"/>
        <w:szCs w:val="18"/>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3"/>
      <w:rPr>
        <w:sz w:val="18"/>
        <w:szCs w:val="18"/>
      </w:rPr>
    </w:pPr>
    <w:r>
      <w:rPr>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9033"/>
      <w:rPr>
        <w:sz w:val="18"/>
        <w:szCs w:val="18"/>
      </w:rPr>
    </w:pPr>
    <w:r>
      <w:rPr>
        <w:sz w:val="18"/>
        <w:szCs w:val="18"/>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5"/>
        <w:szCs w:val="15"/>
      </w:rPr>
    </w:pPr>
    <w:r>
      <w:rPr>
        <w:sz w:val="15"/>
        <w:szCs w:val="15"/>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5"/>
        <w:szCs w:val="15"/>
      </w:rPr>
    </w:pPr>
    <w:r>
      <w:rPr>
        <w:sz w:val="15"/>
        <w:szCs w:val="15"/>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4" w:lineRule="auto"/>
      <w:ind w:left="8970"/>
    </w:pPr>
    <w:r>
      <w:rPr>
        <w:spacing w:val="-6"/>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before="1" w:line="174" w:lineRule="auto"/>
      <w:ind w:left="8970"/>
    </w:pPr>
    <w:r>
      <w:rPr>
        <w:spacing w:val="-6"/>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4"/>
        <w:szCs w:val="14"/>
      </w:rPr>
    </w:pPr>
    <w:r>
      <w:rPr>
        <w:spacing w:val="-4"/>
        <w:sz w:val="14"/>
        <w:szCs w:val="14"/>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rPr>
        <w:sz w:val="14"/>
        <w:szCs w:val="14"/>
      </w:rPr>
    </w:pPr>
    <w:r>
      <w:rPr>
        <w:spacing w:val="-4"/>
        <w:sz w:val="14"/>
        <w:szCs w:val="14"/>
      </w:rPr>
      <w:t>11</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50"/>
      <w:rPr>
        <w:sz w:val="15"/>
        <w:szCs w:val="15"/>
      </w:rPr>
    </w:pPr>
    <w:r>
      <w:rPr>
        <w:spacing w:val="-5"/>
        <w:sz w:val="15"/>
        <w:szCs w:val="15"/>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50"/>
      <w:rPr>
        <w:sz w:val="15"/>
        <w:szCs w:val="15"/>
      </w:rPr>
    </w:pPr>
    <w:r>
      <w:rPr>
        <w:spacing w:val="-5"/>
        <w:sz w:val="15"/>
        <w:szCs w:val="15"/>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8"/>
      <w:rPr>
        <w:sz w:val="18"/>
        <w:szCs w:val="18"/>
      </w:rPr>
    </w:pPr>
    <w:r>
      <w:rPr>
        <w:spacing w:val="-5"/>
        <w:sz w:val="18"/>
        <w:szCs w:val="18"/>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8"/>
      <w:rPr>
        <w:sz w:val="18"/>
        <w:szCs w:val="18"/>
      </w:rPr>
    </w:pPr>
    <w:r>
      <w:rPr>
        <w:spacing w:val="-5"/>
        <w:sz w:val="18"/>
        <w:szCs w:val="18"/>
      </w:rPr>
      <w:t>13</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64"/>
      <w:rPr>
        <w:sz w:val="18"/>
        <w:szCs w:val="18"/>
      </w:rPr>
    </w:pPr>
    <w:r>
      <w:rPr>
        <w:spacing w:val="-5"/>
        <w:sz w:val="18"/>
        <w:szCs w:val="18"/>
      </w:rPr>
      <w:t>14</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5"/>
      <w:rPr>
        <w:sz w:val="18"/>
        <w:szCs w:val="18"/>
      </w:rPr>
    </w:pPr>
    <w:r>
      <w:rPr>
        <w:spacing w:val="-5"/>
        <w:sz w:val="18"/>
        <w:szCs w:val="18"/>
      </w:rPr>
      <w:t>15</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25"/>
      <w:rPr>
        <w:sz w:val="18"/>
        <w:szCs w:val="18"/>
      </w:rPr>
    </w:pPr>
    <w:r>
      <w:rPr>
        <w:spacing w:val="-5"/>
        <w:sz w:val="18"/>
        <w:szCs w:val="18"/>
      </w:rPr>
      <w:t>15</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61"/>
      <w:rPr>
        <w:sz w:val="18"/>
        <w:szCs w:val="18"/>
      </w:rPr>
    </w:pPr>
    <w:r>
      <w:rPr>
        <w:spacing w:val="-5"/>
        <w:sz w:val="18"/>
        <w:szCs w:val="18"/>
      </w:rPr>
      <w:t>16</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rPr>
        <w:sz w:val="18"/>
        <w:szCs w:val="18"/>
      </w:rPr>
    </w:pPr>
    <w:r>
      <w:rPr>
        <w:spacing w:val="-5"/>
        <w:sz w:val="18"/>
        <w:szCs w:val="18"/>
      </w:rPr>
      <w:t>17</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3"/>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3"/>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8"/>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78"/>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3"/>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3"/>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8"/>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7688"/>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jc w:val="right"/>
      <w:rPr>
        <w:rFonts w:ascii="SimHei" w:eastAsia="SimHei" w:hAnsi="SimHei" w:cs="SimHei"/>
      </w:rPr>
    </w:pPr>
    <w:r>
      <w:rPr>
        <w:rFonts w:ascii="SimHei" w:eastAsia="SimHei" w:hAnsi="SimHei" w:cs="SimHei"/>
        <w:spacing w:val="-1"/>
      </w:rPr>
      <w:t>TD/T</w:t>
    </w:r>
    <w:r>
      <w:rPr>
        <w:rFonts w:ascii="SimHei" w:eastAsia="SimHei" w:hAnsi="SimHei" w:cs="SimHei"/>
        <w:spacing w:val="-1"/>
      </w:rPr>
      <w:t xml:space="preserve"> </w:t>
    </w:r>
    <w:r>
      <w:rPr>
        <w:rFonts w:ascii="SimHei" w:eastAsia="SimHei" w:hAnsi="SimHei" w:cs="SimHei"/>
        <w:spacing w:val="-1"/>
      </w:rPr>
      <w:t>XXXXX</w:t>
    </w:r>
    <w:r>
      <w:rPr>
        <w:spacing w:val="-1"/>
      </w:rPr>
      <w:t>—</w:t>
    </w:r>
    <w:r>
      <w:rPr>
        <w:rFonts w:ascii="SimHei" w:eastAsia="SimHei" w:hAnsi="SimHei" w:cs="SimHei"/>
        <w:spacing w:val="-1"/>
      </w:rPr>
      <w:t>XXXX</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1.png" /><Relationship Id="rId100" Type="http://schemas.openxmlformats.org/officeDocument/2006/relationships/footer" Target="footer16.xml" /><Relationship Id="rId101" Type="http://schemas.openxmlformats.org/officeDocument/2006/relationships/header" Target="header11.xml" /><Relationship Id="rId102" Type="http://schemas.openxmlformats.org/officeDocument/2006/relationships/footer" Target="footer17.xml" /><Relationship Id="rId103" Type="http://schemas.openxmlformats.org/officeDocument/2006/relationships/header" Target="header12.xml" /><Relationship Id="rId104" Type="http://schemas.openxmlformats.org/officeDocument/2006/relationships/footer" Target="footer18.xml" /><Relationship Id="rId105" Type="http://schemas.openxmlformats.org/officeDocument/2006/relationships/header" Target="header13.xml" /><Relationship Id="rId106" Type="http://schemas.openxmlformats.org/officeDocument/2006/relationships/footer" Target="footer19.xml" /><Relationship Id="rId107" Type="http://schemas.openxmlformats.org/officeDocument/2006/relationships/header" Target="header14.xml" /><Relationship Id="rId108" Type="http://schemas.openxmlformats.org/officeDocument/2006/relationships/footer" Target="footer20.xml" /><Relationship Id="rId109" Type="http://schemas.openxmlformats.org/officeDocument/2006/relationships/header" Target="header15.xml" /><Relationship Id="rId11" Type="http://schemas.openxmlformats.org/officeDocument/2006/relationships/image" Target="media/image2.png" /><Relationship Id="rId110" Type="http://schemas.openxmlformats.org/officeDocument/2006/relationships/footer" Target="footer21.xml" /><Relationship Id="rId111" Type="http://schemas.openxmlformats.org/officeDocument/2006/relationships/header" Target="header16.xml" /><Relationship Id="rId112" Type="http://schemas.openxmlformats.org/officeDocument/2006/relationships/footer" Target="footer22.xml" /><Relationship Id="rId113" Type="http://schemas.openxmlformats.org/officeDocument/2006/relationships/header" Target="header17.xml" /><Relationship Id="rId114" Type="http://schemas.openxmlformats.org/officeDocument/2006/relationships/footer" Target="footer23.xml" /><Relationship Id="rId115" Type="http://schemas.openxmlformats.org/officeDocument/2006/relationships/header" Target="header18.xml" /><Relationship Id="rId116" Type="http://schemas.openxmlformats.org/officeDocument/2006/relationships/footer" Target="footer24.xml" /><Relationship Id="rId117" Type="http://schemas.openxmlformats.org/officeDocument/2006/relationships/image" Target="media/image56.png" /><Relationship Id="rId118" Type="http://schemas.openxmlformats.org/officeDocument/2006/relationships/header" Target="header19.xml" /><Relationship Id="rId119" Type="http://schemas.openxmlformats.org/officeDocument/2006/relationships/footer" Target="footer25.xml" /><Relationship Id="rId12" Type="http://schemas.openxmlformats.org/officeDocument/2006/relationships/hyperlink" Target="6.8.1.1" TargetMode="External" /><Relationship Id="rId120" Type="http://schemas.openxmlformats.org/officeDocument/2006/relationships/image" Target="media/image57.png" /><Relationship Id="rId121" Type="http://schemas.openxmlformats.org/officeDocument/2006/relationships/header" Target="header20.xml" /><Relationship Id="rId122" Type="http://schemas.openxmlformats.org/officeDocument/2006/relationships/footer" Target="footer26.xml" /><Relationship Id="rId123" Type="http://schemas.openxmlformats.org/officeDocument/2006/relationships/image" Target="media/image58.png" /><Relationship Id="rId124" Type="http://schemas.openxmlformats.org/officeDocument/2006/relationships/header" Target="header21.xml" /><Relationship Id="rId125" Type="http://schemas.openxmlformats.org/officeDocument/2006/relationships/footer" Target="footer27.xml" /><Relationship Id="rId126" Type="http://schemas.openxmlformats.org/officeDocument/2006/relationships/header" Target="header22.xml" /><Relationship Id="rId127" Type="http://schemas.openxmlformats.org/officeDocument/2006/relationships/footer" Target="footer28.xml" /><Relationship Id="rId128" Type="http://schemas.openxmlformats.org/officeDocument/2006/relationships/header" Target="header23.xml" /><Relationship Id="rId129" Type="http://schemas.openxmlformats.org/officeDocument/2006/relationships/footer" Target="footer29.xml" /><Relationship Id="rId13" Type="http://schemas.openxmlformats.org/officeDocument/2006/relationships/header" Target="header1.xml" /><Relationship Id="rId130" Type="http://schemas.openxmlformats.org/officeDocument/2006/relationships/header" Target="header24.xml" /><Relationship Id="rId131" Type="http://schemas.openxmlformats.org/officeDocument/2006/relationships/footer" Target="footer30.xml" /><Relationship Id="rId132" Type="http://schemas.openxmlformats.org/officeDocument/2006/relationships/hyperlink" Target="https://d.book118.com/558054055015006037" TargetMode="External" /><Relationship Id="rId133" Type="http://schemas.openxmlformats.org/officeDocument/2006/relationships/header" Target="header25.xml" /><Relationship Id="rId134" Type="http://schemas.openxmlformats.org/officeDocument/2006/relationships/footer" Target="footer31.xml" /><Relationship Id="rId135" Type="http://schemas.openxmlformats.org/officeDocument/2006/relationships/theme" Target="theme/theme1.xml" /><Relationship Id="rId136" Type="http://schemas.openxmlformats.org/officeDocument/2006/relationships/styles" Target="styles.xml" /><Relationship Id="rId14" Type="http://schemas.openxmlformats.org/officeDocument/2006/relationships/footer" Target="footer7.xml" /><Relationship Id="rId15" Type="http://schemas.openxmlformats.org/officeDocument/2006/relationships/hyperlink" Target="6.8.1.2" TargetMode="External" /><Relationship Id="rId16" Type="http://schemas.openxmlformats.org/officeDocument/2006/relationships/header" Target="header2.xml" /><Relationship Id="rId17" Type="http://schemas.openxmlformats.org/officeDocument/2006/relationships/footer" Target="footer8.xml" /><Relationship Id="rId18" Type="http://schemas.openxmlformats.org/officeDocument/2006/relationships/hyperlink" Target="6.8.1.3" TargetMode="External" /><Relationship Id="rId19" Type="http://schemas.openxmlformats.org/officeDocument/2006/relationships/hyperlink" Target="6.8.1.4" TargetMode="External"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image" Target="media/image4.png" /><Relationship Id="rId22" Type="http://schemas.openxmlformats.org/officeDocument/2006/relationships/image" Target="media/image5.png" /><Relationship Id="rId23" Type="http://schemas.openxmlformats.org/officeDocument/2006/relationships/image" Target="media/image6.png" /><Relationship Id="rId24" Type="http://schemas.openxmlformats.org/officeDocument/2006/relationships/image" Target="media/image7.png" /><Relationship Id="rId25" Type="http://schemas.openxmlformats.org/officeDocument/2006/relationships/image" Target="media/image8.png" /><Relationship Id="rId26" Type="http://schemas.openxmlformats.org/officeDocument/2006/relationships/image" Target="media/image9.png" /><Relationship Id="rId27" Type="http://schemas.openxmlformats.org/officeDocument/2006/relationships/image" Target="media/image10.png" /><Relationship Id="rId28" Type="http://schemas.openxmlformats.org/officeDocument/2006/relationships/image" Target="media/image11.png" /><Relationship Id="rId29" Type="http://schemas.openxmlformats.org/officeDocument/2006/relationships/image" Target="media/image12.png"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image" Target="media/image14.png" /><Relationship Id="rId32" Type="http://schemas.openxmlformats.org/officeDocument/2006/relationships/image" Target="media/image15.png" /><Relationship Id="rId33" Type="http://schemas.openxmlformats.org/officeDocument/2006/relationships/image" Target="media/image16.png" /><Relationship Id="rId34" Type="http://schemas.openxmlformats.org/officeDocument/2006/relationships/image" Target="media/image17.png" /><Relationship Id="rId35" Type="http://schemas.openxmlformats.org/officeDocument/2006/relationships/image" Target="media/image18.png" /><Relationship Id="rId36" Type="http://schemas.openxmlformats.org/officeDocument/2006/relationships/image" Target="media/image19.png" /><Relationship Id="rId37" Type="http://schemas.openxmlformats.org/officeDocument/2006/relationships/image" Target="media/image20.png" /><Relationship Id="rId38" Type="http://schemas.openxmlformats.org/officeDocument/2006/relationships/header" Target="header3.xml" /><Relationship Id="rId39" Type="http://schemas.openxmlformats.org/officeDocument/2006/relationships/footer" Target="footer9.xml" /><Relationship Id="rId4" Type="http://schemas.openxmlformats.org/officeDocument/2006/relationships/footer" Target="footer1.xml" /><Relationship Id="rId40" Type="http://schemas.openxmlformats.org/officeDocument/2006/relationships/image" Target="media/image21.png" /><Relationship Id="rId41" Type="http://schemas.openxmlformats.org/officeDocument/2006/relationships/image" Target="media/image22.png" /><Relationship Id="rId42" Type="http://schemas.openxmlformats.org/officeDocument/2006/relationships/image" Target="media/image23.png" /><Relationship Id="rId43" Type="http://schemas.openxmlformats.org/officeDocument/2006/relationships/image" Target="media/image24.png" /><Relationship Id="rId44" Type="http://schemas.openxmlformats.org/officeDocument/2006/relationships/image" Target="media/image25.png" /><Relationship Id="rId45" Type="http://schemas.openxmlformats.org/officeDocument/2006/relationships/image" Target="media/image26.png" /><Relationship Id="rId46" Type="http://schemas.openxmlformats.org/officeDocument/2006/relationships/image" Target="media/image27.png" /><Relationship Id="rId47" Type="http://schemas.openxmlformats.org/officeDocument/2006/relationships/image" Target="media/image28.png" /><Relationship Id="rId48" Type="http://schemas.openxmlformats.org/officeDocument/2006/relationships/image" Target="media/image29.png" /><Relationship Id="rId49" Type="http://schemas.openxmlformats.org/officeDocument/2006/relationships/image" Target="media/image30.png" /><Relationship Id="rId5" Type="http://schemas.openxmlformats.org/officeDocument/2006/relationships/footer" Target="footer2.xml" /><Relationship Id="rId50" Type="http://schemas.openxmlformats.org/officeDocument/2006/relationships/image" Target="media/image31.png" /><Relationship Id="rId51" Type="http://schemas.openxmlformats.org/officeDocument/2006/relationships/image" Target="media/image32.png" /><Relationship Id="rId52" Type="http://schemas.openxmlformats.org/officeDocument/2006/relationships/header" Target="header4.xml" /><Relationship Id="rId53" Type="http://schemas.openxmlformats.org/officeDocument/2006/relationships/footer" Target="footer10.xml" /><Relationship Id="rId54" Type="http://schemas.openxmlformats.org/officeDocument/2006/relationships/hyperlink" Target="6.8.1.5" TargetMode="External" /><Relationship Id="rId55" Type="http://schemas.openxmlformats.org/officeDocument/2006/relationships/hyperlink" Target="6.8.2.1" TargetMode="External" /><Relationship Id="rId56" Type="http://schemas.openxmlformats.org/officeDocument/2006/relationships/header" Target="header5.xml" /><Relationship Id="rId57" Type="http://schemas.openxmlformats.org/officeDocument/2006/relationships/footer" Target="footer11.xml" /><Relationship Id="rId58" Type="http://schemas.openxmlformats.org/officeDocument/2006/relationships/hyperlink" Target="6.8.2.2" TargetMode="External" /><Relationship Id="rId59" Type="http://schemas.openxmlformats.org/officeDocument/2006/relationships/hyperlink" Target="6.8.2.3" TargetMode="External" /><Relationship Id="rId6" Type="http://schemas.openxmlformats.org/officeDocument/2006/relationships/footer" Target="footer3.xml" /><Relationship Id="rId60" Type="http://schemas.openxmlformats.org/officeDocument/2006/relationships/header" Target="header6.xml" /><Relationship Id="rId61" Type="http://schemas.openxmlformats.org/officeDocument/2006/relationships/footer" Target="footer12.xml" /><Relationship Id="rId62" Type="http://schemas.openxmlformats.org/officeDocument/2006/relationships/hyperlink" Target="6.8.2.4" TargetMode="External" /><Relationship Id="rId63" Type="http://schemas.openxmlformats.org/officeDocument/2006/relationships/hyperlink" Target="6.8.2.5" TargetMode="External" /><Relationship Id="rId64" Type="http://schemas.openxmlformats.org/officeDocument/2006/relationships/hyperlink" Target="6.8.2.6" TargetMode="External" /><Relationship Id="rId65" Type="http://schemas.openxmlformats.org/officeDocument/2006/relationships/hyperlink" Target="6.8.3.1" TargetMode="External" /><Relationship Id="rId66" Type="http://schemas.openxmlformats.org/officeDocument/2006/relationships/hyperlink" Target="6.8.3.2" TargetMode="External" /><Relationship Id="rId67" Type="http://schemas.openxmlformats.org/officeDocument/2006/relationships/hyperlink" Target="6.8.3.3" TargetMode="External" /><Relationship Id="rId68" Type="http://schemas.openxmlformats.org/officeDocument/2006/relationships/hyperlink" Target="6.8.3.4" TargetMode="External" /><Relationship Id="rId69" Type="http://schemas.openxmlformats.org/officeDocument/2006/relationships/hyperlink" Target="6.8.3.5" TargetMode="External" /><Relationship Id="rId7" Type="http://schemas.openxmlformats.org/officeDocument/2006/relationships/footer" Target="footer4.xml" /><Relationship Id="rId70" Type="http://schemas.openxmlformats.org/officeDocument/2006/relationships/header" Target="header7.xml" /><Relationship Id="rId71" Type="http://schemas.openxmlformats.org/officeDocument/2006/relationships/footer" Target="footer13.xml" /><Relationship Id="rId72" Type="http://schemas.openxmlformats.org/officeDocument/2006/relationships/image" Target="media/image33.png" /><Relationship Id="rId73" Type="http://schemas.openxmlformats.org/officeDocument/2006/relationships/image" Target="media/image34.png" /><Relationship Id="rId74" Type="http://schemas.openxmlformats.org/officeDocument/2006/relationships/header" Target="header8.xml" /><Relationship Id="rId75" Type="http://schemas.openxmlformats.org/officeDocument/2006/relationships/footer" Target="footer14.xml" /><Relationship Id="rId76" Type="http://schemas.openxmlformats.org/officeDocument/2006/relationships/image" Target="media/image35.png" /><Relationship Id="rId77" Type="http://schemas.openxmlformats.org/officeDocument/2006/relationships/image" Target="media/image36.png" /><Relationship Id="rId78" Type="http://schemas.openxmlformats.org/officeDocument/2006/relationships/image" Target="media/image37.png" /><Relationship Id="rId79" Type="http://schemas.openxmlformats.org/officeDocument/2006/relationships/image" Target="media/image38.png" /><Relationship Id="rId8" Type="http://schemas.openxmlformats.org/officeDocument/2006/relationships/footer" Target="footer5.xml" /><Relationship Id="rId80" Type="http://schemas.openxmlformats.org/officeDocument/2006/relationships/image" Target="media/image39.png" /><Relationship Id="rId81" Type="http://schemas.openxmlformats.org/officeDocument/2006/relationships/image" Target="media/image40.png" /><Relationship Id="rId82" Type="http://schemas.openxmlformats.org/officeDocument/2006/relationships/image" Target="media/image41.png" /><Relationship Id="rId83" Type="http://schemas.openxmlformats.org/officeDocument/2006/relationships/image" Target="media/image42.png" /><Relationship Id="rId84" Type="http://schemas.openxmlformats.org/officeDocument/2006/relationships/image" Target="media/image43.png" /><Relationship Id="rId85" Type="http://schemas.openxmlformats.org/officeDocument/2006/relationships/image" Target="media/image44.png" /><Relationship Id="rId86" Type="http://schemas.openxmlformats.org/officeDocument/2006/relationships/image" Target="media/image45.png" /><Relationship Id="rId87" Type="http://schemas.openxmlformats.org/officeDocument/2006/relationships/image" Target="media/image46.png" /><Relationship Id="rId88" Type="http://schemas.openxmlformats.org/officeDocument/2006/relationships/image" Target="media/image47.png" /><Relationship Id="rId89" Type="http://schemas.openxmlformats.org/officeDocument/2006/relationships/image" Target="media/image48.png" /><Relationship Id="rId9" Type="http://schemas.openxmlformats.org/officeDocument/2006/relationships/footer" Target="footer6.xml" /><Relationship Id="rId90" Type="http://schemas.openxmlformats.org/officeDocument/2006/relationships/image" Target="media/image49.png" /><Relationship Id="rId91" Type="http://schemas.openxmlformats.org/officeDocument/2006/relationships/image" Target="media/image50.png" /><Relationship Id="rId92" Type="http://schemas.openxmlformats.org/officeDocument/2006/relationships/image" Target="media/image51.png" /><Relationship Id="rId93" Type="http://schemas.openxmlformats.org/officeDocument/2006/relationships/header" Target="header9.xml" /><Relationship Id="rId94" Type="http://schemas.openxmlformats.org/officeDocument/2006/relationships/footer" Target="footer15.xml" /><Relationship Id="rId95" Type="http://schemas.openxmlformats.org/officeDocument/2006/relationships/image" Target="media/image52.png" /><Relationship Id="rId96" Type="http://schemas.openxmlformats.org/officeDocument/2006/relationships/image" Target="media/image53.png" /><Relationship Id="rId97" Type="http://schemas.openxmlformats.org/officeDocument/2006/relationships/image" Target="media/image54.png" /><Relationship Id="rId98" Type="http://schemas.openxmlformats.org/officeDocument/2006/relationships/image" Target="media/image55.png" /><Relationship Id="rId99" Type="http://schemas.openxmlformats.org/officeDocument/2006/relationships/header" Target="header10.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2024-02-20T22:27:41Z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2024-02-20T22:27:48Z</vt:filetime>
  </property>
  <property fmtid="{D5CDD505-2E9C-101B-9397-08002B2CF9AE}" pid="3" name="CRO">
    <vt:lpwstr>wqlLaW5nc29mdCBQREYgdG8gV1BTIDkw</vt:lpwstr>
  </property>
  <property fmtid="{D5CDD505-2E9C-101B-9397-08002B2CF9AE}" pid="4" name="UsrData">
    <vt:lpwstr>65d4b6da7a7039001fcf7dafwl</vt:lpwstr>
  </property>
</Properties>
</file>