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7" w:line="986" w:lineRule="exact"/>
        <w:ind w:firstLine="716"/>
      </w:pPr>
      <w:r>
        <mc:AlternateContent>
          <mc:Choice Requires="wps">
            <w:drawing>
              <wp:anchor distT="0" distB="0" distL="0" distR="0" simplePos="0" relativeHeight="251659264" behindDoc="1" locked="0" layoutInCell="0" allowOverlap="1">
                <wp:simplePos x="0" y="0"/>
                <wp:positionH relativeFrom="page">
                  <wp:posOffset>1141095</wp:posOffset>
                </wp:positionH>
                <wp:positionV relativeFrom="page">
                  <wp:posOffset>683894</wp:posOffset>
                </wp:positionV>
                <wp:extent cx="5278754" cy="9525"/>
                <wp:effectExtent l="0" t="0" r="0" b="0"/>
                <wp:wrapNone/>
                <wp:docPr id="2" name="Rect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1141095" y="683894"/>
                          <a:ext cx="5278754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2" o:spid="_x0000_s1025" style="width:415.65pt;height:0.75pt;margin-top:53.85pt;margin-left:89.85pt;mso-position-horizontal-relative:page;mso-position-vertical-relative:page;mso-wrap-distance-bottom:0;mso-wrap-distance-left:0;mso-wrap-distance-right:0;mso-wrap-distance-top:0;position:absolute;v-text-anchor:top;z-index:-251658240" o:allowincell="f" fillcolor="black" stroked="f"/>
            </w:pict>
          </mc:Fallback>
        </mc:AlternateContent>
      </w:r>
      <w:r>
        <w:pict>
          <v:rect id="_x0000_s1026" style="width:183pt;height:62.4pt;margin-top:26.28pt;margin-left:197.16pt;mso-position-horizontal-relative:page;mso-position-vertical-relative:page;position:absolute;z-index:251661312" o:allowincell="f" filled="t" fillcolor="white" stroked="f"/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111.6pt;height:13.4pt;margin-top:60.11pt;margin-left:92.22pt;mso-position-horizontal-relative:page;mso-position-vertical-relative:page;position:absolute;z-index:251662336" o:allowincell="f" filled="f" stroked="f">
            <o:lock v:ext="edit" aspectratio="f"/>
            <v:textbox inset="0,0,0,0">
              <w:txbxContent>
                <w:p>
                  <w:pPr>
                    <w:spacing w:before="20" w:line="205" w:lineRule="auto"/>
                    <w:ind w:left="20"/>
                    <w:rPr>
                      <w:rFonts w:ascii="STXihei" w:eastAsia="STXihei" w:hAnsi="STXihei" w:cs="STXihei"/>
                      <w:sz w:val="19"/>
                      <w:szCs w:val="19"/>
                    </w:rPr>
                  </w:pPr>
                  <w:r>
                    <w:rPr>
                      <w:rFonts w:ascii="STXihei" w:eastAsia="STXihei" w:hAnsi="STXihei" w:cs="STXihei"/>
                      <w:color w:val="990000"/>
                      <w:spacing w:val="9"/>
                      <w:sz w:val="19"/>
                      <w:szCs w:val="19"/>
                      <w14:textOutline w14:w="3614" w14:cap="sq">
                        <w14:solidFill>
                          <w14:srgbClr w14:val="990000"/>
                        </w14:solidFill>
                        <w14:prstDash w14:val="solid"/>
                        <w14:bevel/>
                      </w14:textOutline>
                    </w:rPr>
                    <w:t>北京中指信息技术研究院</w:t>
                  </w:r>
                </w:p>
              </w:txbxContent>
            </v:textbox>
          </v:shape>
        </w:pict>
      </w:r>
      <w:r>
        <w:pict>
          <v:shape id="_x0000_s1028" type="#_x0000_t202" style="width:220.55pt;height:62.4pt;margin-top:43.2pt;margin-left:374.76pt;mso-position-horizontal-relative:page;mso-position-vertical-relative:page;position:absolute;z-index:-251656192" o:allowincell="f" filled="t" fillcolor="white" stroked="f">
            <o:lock v:ext="edit" aspectratio="f"/>
            <v:textbox inset="0,0,0,0">
              <w:txbxContent>
                <w:p>
                  <w:pPr>
                    <w:pStyle w:val="BodyText"/>
                    <w:spacing w:before="124" w:line="262" w:lineRule="exact"/>
                    <w:ind w:left="169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position w:val="5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中指研究院大数据中心</w:t>
                  </w:r>
                </w:p>
                <w:p>
                  <w:pPr>
                    <w:pStyle w:val="BodyText"/>
                    <w:spacing w:line="237" w:lineRule="auto"/>
                    <w:ind w:left="165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电</w:t>
                  </w:r>
                  <w:r>
                    <w:rPr>
                      <w:spacing w:val="-2"/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-2"/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话：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18"/>
                      <w:szCs w:val="18"/>
                    </w:rPr>
                    <w:t>400-630-6618</w:t>
                  </w:r>
                </w:p>
                <w:p>
                  <w:pPr>
                    <w:pStyle w:val="BodyText"/>
                    <w:spacing w:before="27" w:line="212" w:lineRule="auto"/>
                    <w:ind w:left="152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查看往期全文：</w:t>
                  </w: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https</w:t>
                  </w:r>
                  <w:r>
                    <w:rPr>
                      <w:sz w:val="18"/>
                      <w:szCs w:val="18"/>
                      <w14:textOutline w14:w="3268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：</w:t>
                  </w: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// www.c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18"/>
                      <w:szCs w:val="18"/>
                    </w:rPr>
                    <w:t>ih-index.com/</w:t>
                  </w:r>
                </w:p>
              </w:txbxContent>
            </v:textbox>
          </v:shape>
        </w:pict>
      </w:r>
      <w:r>
        <w:rPr>
          <w:position w:val="-19"/>
        </w:rPr>
        <w:drawing>
          <wp:inline distT="0" distB="0" distL="0" distR="0">
            <wp:extent cx="624305" cy="625928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4305" cy="62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97" w:lineRule="auto"/>
        <w:rPr>
          <w:rFonts w:ascii="Arial"/>
          <w:sz w:val="21"/>
        </w:rPr>
      </w:pPr>
    </w:p>
    <w:p>
      <w:pPr>
        <w:pStyle w:val="BodyText"/>
        <w:spacing w:line="810" w:lineRule="exact"/>
      </w:pPr>
      <w:r>
        <w:rPr>
          <w:position w:val="-16"/>
        </w:rPr>
        <w:pict>
          <v:shape id="_x0000_i1029" type="#_x0000_t202" style="width:595.3pt;height:40.5pt;mso-position-horizontal-relative:char;mso-position-vertical-relative:line" filled="t" fillcolor="#c8d6ee" stroked="f">
            <o:lock v:ext="edit" aspectratio="f"/>
            <v:textbox inset="0,0,0,0">
              <w:txbxContent>
                <w:p>
                  <w:pPr>
                    <w:spacing w:before="263" w:line="223" w:lineRule="auto"/>
                    <w:ind w:left="385"/>
                    <w:rPr>
                      <w:rFonts w:ascii="KaiTi" w:eastAsia="KaiTi" w:hAnsi="KaiTi" w:cs="KaiTi"/>
                      <w:sz w:val="24"/>
                      <w:szCs w:val="24"/>
                    </w:rPr>
                  </w:pPr>
                  <w:r>
                    <w:rPr>
                      <w:rFonts w:ascii="KaiTi" w:eastAsia="KaiTi" w:hAnsi="KaiTi" w:cs="KaiTi"/>
                      <w:color w:val="244061"/>
                      <w:spacing w:val="-3"/>
                      <w:sz w:val="30"/>
                      <w:szCs w:val="30"/>
                      <w14:textOutline w14:w="5448" w14:cap="sq">
                        <w14:solidFill>
                          <w14:srgbClr w14:val="244061"/>
                        </w14:solidFill>
                        <w14:prstDash w14:val="solid"/>
                        <w14:bevel/>
                      </w14:textOutline>
                    </w:rPr>
                    <w:t>中国房地产企业监测报告</w:t>
                  </w:r>
                  <w:r>
                    <w:rPr>
                      <w:rFonts w:ascii="KaiTi" w:eastAsia="KaiTi" w:hAnsi="KaiTi" w:cs="KaiTi"/>
                      <w:color w:val="244061"/>
                      <w:spacing w:val="-3"/>
                      <w:sz w:val="24"/>
                      <w:szCs w:val="24"/>
                      <w14:textOutline w14:w="4358" w14:cap="sq">
                        <w14:solidFill>
                          <w14:srgbClr w14:val="244061"/>
                        </w14:solidFill>
                        <w14:prstDash w14:val="solid"/>
                        <w14:bevel/>
                      </w14:textOutline>
                    </w:rPr>
                    <w:t>（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44061"/>
                      <w:spacing w:val="-3"/>
                      <w:sz w:val="24"/>
                      <w:szCs w:val="24"/>
                    </w:rPr>
                    <w:t xml:space="preserve">2024 </w:t>
                  </w:r>
                  <w:r>
                    <w:rPr>
                      <w:rFonts w:ascii="KaiTi" w:eastAsia="KaiTi" w:hAnsi="KaiTi" w:cs="KaiTi"/>
                      <w:color w:val="244061"/>
                      <w:spacing w:val="-3"/>
                      <w:sz w:val="24"/>
                      <w:szCs w:val="24"/>
                      <w14:textOutline w14:w="4358" w14:cap="sq">
                        <w14:solidFill>
                          <w14:srgbClr w14:val="244061"/>
                        </w14:solidFill>
                        <w14:prstDash w14:val="solid"/>
                        <w14:bevel/>
                      </w14:textOutline>
                    </w:rPr>
                    <w:t>年</w:t>
                  </w:r>
                  <w:r>
                    <w:rPr>
                      <w:rFonts w:ascii="KaiTi" w:eastAsia="KaiTi" w:hAnsi="KaiTi" w:cs="KaiTi"/>
                      <w:color w:val="244061"/>
                      <w:spacing w:val="-3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44061"/>
                      <w:spacing w:val="-3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44061"/>
                      <w:spacing w:val="-4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color w:val="244061"/>
                      <w:spacing w:val="-4"/>
                      <w:sz w:val="24"/>
                      <w:szCs w:val="24"/>
                      <w14:textOutline w14:w="4358" w14:cap="sq">
                        <w14:solidFill>
                          <w14:srgbClr w14:val="244061"/>
                        </w14:solidFill>
                        <w14:prstDash w14:val="solid"/>
                        <w14:bevel/>
                      </w14:textOutline>
                    </w:rPr>
                    <w:t>月）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before="331" w:line="338" w:lineRule="auto"/>
        <w:ind w:left="1800" w:right="3419" w:firstLine="4"/>
        <w:outlineLvl w:val="0"/>
        <w:rPr>
          <w:sz w:val="24"/>
          <w:szCs w:val="24"/>
        </w:rPr>
      </w:pPr>
      <w:r>
        <w:rPr>
          <w:sz w:val="28"/>
          <w:szCs w:val="28"/>
          <w14:textOutline w14:w="5103" w14:cap="sq">
            <w14:solidFill>
              <w14:srgbClr w14:val="000000"/>
            </w14:solidFill>
            <w14:prstDash w14:val="solid"/>
            <w14:bevel/>
          </w14:textOutline>
        </w:rPr>
        <w:t>企业：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1 </w:t>
      </w:r>
      <w:r>
        <w:rPr>
          <w:sz w:val="28"/>
          <w:szCs w:val="28"/>
          <w14:textOutline w14:w="5103" w14:cap="sq">
            <w14:solidFill>
              <w14:srgbClr w14:val="000000"/>
            </w14:solidFill>
            <w14:prstDash w14:val="solid"/>
            <w14:bevel/>
          </w14:textOutline>
        </w:rPr>
        <w:t>月龙头房企业绩环比整体下降，融资规模下降</w:t>
      </w:r>
      <w:r>
        <w:rPr>
          <w:spacing w:val="6"/>
          <w:sz w:val="28"/>
          <w:szCs w:val="28"/>
        </w:rPr>
        <w:t xml:space="preserve"> </w:t>
      </w:r>
      <w:r>
        <w:rPr>
          <w:spacing w:val="-1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【</w:t>
      </w:r>
      <w:r>
        <w:rPr>
          <w:spacing w:val="-1"/>
          <w:sz w:val="24"/>
          <w:szCs w:val="24"/>
        </w:rPr>
        <w:t>本月导读</w:t>
      </w:r>
      <w:r>
        <w:rPr>
          <w:spacing w:val="-1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】</w:t>
      </w:r>
    </w:p>
    <w:p>
      <w:pPr>
        <w:pStyle w:val="BodyText"/>
        <w:spacing w:before="262" w:line="266" w:lineRule="exact"/>
        <w:ind w:left="3658"/>
      </w:pPr>
      <w:r>
        <w:rPr>
          <w:rFonts w:ascii="Wingdings" w:eastAsia="Wingdings" w:hAnsi="Wingdings" w:cs="Wingdings"/>
          <w:spacing w:val="7"/>
          <w:position w:val="1"/>
        </w:rPr>
        <w:sym w:font="Wingdings" w:char="F075"/>
      </w:r>
      <w:r>
        <w:rPr>
          <w:rFonts w:ascii="Wingdings" w:eastAsia="Wingdings" w:hAnsi="Wingdings" w:cs="Wingdings"/>
          <w:spacing w:val="-116"/>
          <w:position w:val="1"/>
        </w:rPr>
        <w:t xml:space="preserve"> </w:t>
      </w:r>
      <w:r>
        <w:rPr>
          <w:spacing w:val="7"/>
          <w:position w:val="1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市场需求：</w:t>
      </w:r>
      <w:r>
        <w:rPr>
          <w:rFonts w:ascii="Arial" w:eastAsia="Arial" w:hAnsi="Arial" w:cs="Arial"/>
          <w:b/>
          <w:bCs/>
          <w:spacing w:val="7"/>
          <w:position w:val="1"/>
        </w:rPr>
        <w:t xml:space="preserve">1 </w:t>
      </w:r>
      <w:r>
        <w:rPr>
          <w:spacing w:val="7"/>
          <w:position w:val="1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月一二三线楼市成交量环比下降。</w:t>
      </w:r>
    </w:p>
    <w:p>
      <w:pPr>
        <w:pStyle w:val="BodyText"/>
        <w:spacing w:before="200" w:line="254" w:lineRule="auto"/>
        <w:ind w:left="3934" w:right="1734" w:hanging="3"/>
        <w:jc w:val="both"/>
        <w:rPr>
          <w:sz w:val="22"/>
          <w:szCs w:val="22"/>
        </w:rPr>
      </w:pPr>
      <w:r>
        <w:rPr>
          <w:spacing w:val="-2"/>
          <w:sz w:val="22"/>
          <w:szCs w:val="22"/>
        </w:rPr>
        <w:t>CREIS</w:t>
      </w:r>
      <w:r>
        <w:rPr>
          <w:spacing w:val="-2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中指数据显示，2024</w:t>
      </w:r>
      <w:r>
        <w:rPr>
          <w:spacing w:val="-4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年</w:t>
      </w:r>
      <w:r>
        <w:rPr>
          <w:spacing w:val="-3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1</w:t>
      </w:r>
      <w:r>
        <w:rPr>
          <w:spacing w:val="-3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月，一线城市商品住宅平均成交</w:t>
      </w:r>
      <w:r>
        <w:rPr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面积为</w:t>
      </w:r>
      <w:r>
        <w:rPr>
          <w:spacing w:val="-5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57.64</w:t>
      </w:r>
      <w:r>
        <w:rPr>
          <w:spacing w:val="-3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万㎡，同比下降</w:t>
      </w:r>
      <w:r>
        <w:rPr>
          <w:spacing w:val="-4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3.40%，环比下降</w:t>
      </w:r>
      <w:r>
        <w:rPr>
          <w:spacing w:val="-3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18.28%；二线城</w:t>
      </w:r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市商品住宅平均成交面积为</w:t>
      </w:r>
      <w:r>
        <w:rPr>
          <w:spacing w:val="-4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31.29</w:t>
      </w:r>
      <w:r>
        <w:rPr>
          <w:spacing w:val="-4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万㎡，同比下降</w:t>
      </w:r>
      <w:r>
        <w:rPr>
          <w:spacing w:val="-5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21.72%，</w:t>
      </w:r>
      <w:r>
        <w:rPr>
          <w:spacing w:val="-3"/>
          <w:sz w:val="22"/>
          <w:szCs w:val="22"/>
        </w:rPr>
        <w:t>环比</w:t>
      </w:r>
      <w:r>
        <w:rPr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t>下降</w:t>
      </w:r>
      <w:r>
        <w:rPr>
          <w:spacing w:val="-64"/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t>44.79%；三线代表城市商品住宅平均成交面积为</w:t>
      </w:r>
      <w:r>
        <w:rPr>
          <w:spacing w:val="-47"/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t>15.11</w:t>
      </w:r>
      <w:r>
        <w:rPr>
          <w:spacing w:val="-48"/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t>万</w:t>
      </w:r>
      <w:r>
        <w:rPr>
          <w:spacing w:val="-7"/>
          <w:sz w:val="22"/>
          <w:szCs w:val="22"/>
        </w:rPr>
        <w:t>㎡，</w:t>
      </w:r>
      <w:r>
        <w:rPr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同比下降</w:t>
      </w:r>
      <w:r>
        <w:rPr>
          <w:spacing w:val="-4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20.53%，环比下降</w:t>
      </w:r>
      <w:r>
        <w:rPr>
          <w:spacing w:val="-5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28.96</w:t>
      </w:r>
      <w:r>
        <w:rPr>
          <w:spacing w:val="-2"/>
          <w:sz w:val="22"/>
          <w:szCs w:val="22"/>
        </w:rPr>
        <w:t>%。</w:t>
      </w:r>
    </w:p>
    <w:p>
      <w:pPr>
        <w:pStyle w:val="BodyText"/>
        <w:spacing w:before="204" w:line="267" w:lineRule="exact"/>
        <w:ind w:left="3658"/>
      </w:pPr>
      <w:r>
        <w:rPr>
          <w:rFonts w:ascii="Wingdings" w:eastAsia="Wingdings" w:hAnsi="Wingdings" w:cs="Wingdings"/>
          <w:spacing w:val="8"/>
          <w:position w:val="1"/>
        </w:rPr>
        <w:sym w:font="Wingdings" w:char="F075"/>
      </w:r>
      <w:r>
        <w:rPr>
          <w:rFonts w:ascii="Wingdings" w:eastAsia="Wingdings" w:hAnsi="Wingdings" w:cs="Wingdings"/>
          <w:spacing w:val="-124"/>
          <w:position w:val="1"/>
        </w:rPr>
        <w:t xml:space="preserve"> </w:t>
      </w:r>
      <w:r>
        <w:rPr>
          <w:spacing w:val="8"/>
          <w:position w:val="1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销售情况：九成的龙头房企业绩成环比下降。</w:t>
      </w:r>
    </w:p>
    <w:p>
      <w:pPr>
        <w:pStyle w:val="BodyText"/>
        <w:spacing w:before="171" w:line="289" w:lineRule="auto"/>
        <w:ind w:left="3928" w:right="1796" w:firstLine="18"/>
        <w:jc w:val="both"/>
      </w:pPr>
      <w:r>
        <w:rPr>
          <w:rFonts w:ascii="Arial" w:eastAsia="Arial" w:hAnsi="Arial" w:cs="Arial"/>
          <w:spacing w:val="7"/>
        </w:rPr>
        <w:t xml:space="preserve">1 </w:t>
      </w:r>
      <w:r>
        <w:rPr>
          <w:spacing w:val="7"/>
        </w:rPr>
        <w:t>月监测的品牌房企销售额整体较上月下降</w:t>
      </w:r>
      <w:r>
        <w:rPr>
          <w:spacing w:val="-45"/>
        </w:rPr>
        <w:t xml:space="preserve"> </w:t>
      </w:r>
      <w:r>
        <w:rPr>
          <w:rFonts w:ascii="Arial" w:eastAsia="Arial" w:hAnsi="Arial" w:cs="Arial"/>
          <w:spacing w:val="7"/>
        </w:rPr>
        <w:t>45.06%</w:t>
      </w:r>
      <w:r>
        <w:rPr>
          <w:rFonts w:ascii="Arial" w:eastAsia="Arial" w:hAnsi="Arial" w:cs="Arial"/>
          <w:spacing w:val="-24"/>
        </w:rPr>
        <w:t xml:space="preserve"> </w:t>
      </w:r>
      <w:r>
        <w:rPr>
          <w:spacing w:val="7"/>
        </w:rPr>
        <w:t>。环比</w:t>
      </w:r>
      <w:r>
        <w:rPr>
          <w:spacing w:val="6"/>
        </w:rPr>
        <w:t>来看，监</w:t>
      </w:r>
      <w:r>
        <w:t xml:space="preserve"> </w:t>
      </w:r>
      <w:r>
        <w:rPr>
          <w:spacing w:val="3"/>
        </w:rPr>
        <w:t>测的</w:t>
      </w:r>
      <w:r>
        <w:rPr>
          <w:spacing w:val="-12"/>
        </w:rPr>
        <w:t xml:space="preserve"> </w:t>
      </w:r>
      <w:r>
        <w:rPr>
          <w:rFonts w:ascii="Arial" w:eastAsia="Arial" w:hAnsi="Arial" w:cs="Arial"/>
          <w:spacing w:val="3"/>
        </w:rPr>
        <w:t>10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spacing w:val="3"/>
        </w:rPr>
        <w:t>家房企中，碧桂园有增幅，增长</w:t>
      </w:r>
      <w:r>
        <w:rPr>
          <w:spacing w:val="-25"/>
        </w:rPr>
        <w:t xml:space="preserve"> </w:t>
      </w:r>
      <w:r>
        <w:rPr>
          <w:rFonts w:ascii="Arial" w:eastAsia="Arial" w:hAnsi="Arial" w:cs="Arial"/>
          <w:spacing w:val="3"/>
        </w:rPr>
        <w:t>10.27%</w:t>
      </w:r>
      <w:r>
        <w:rPr>
          <w:rFonts w:ascii="Arial" w:eastAsia="Arial" w:hAnsi="Arial" w:cs="Arial"/>
          <w:spacing w:val="-29"/>
        </w:rPr>
        <w:t xml:space="preserve"> </w:t>
      </w:r>
      <w:r>
        <w:rPr>
          <w:spacing w:val="3"/>
        </w:rPr>
        <w:t>。同比来看，</w:t>
      </w:r>
      <w:r>
        <w:rPr>
          <w:rFonts w:ascii="Arial" w:eastAsia="Arial" w:hAnsi="Arial" w:cs="Arial"/>
          <w:spacing w:val="3"/>
        </w:rPr>
        <w:t>10</w:t>
      </w:r>
      <w:r>
        <w:rPr>
          <w:rFonts w:ascii="Arial" w:eastAsia="Arial" w:hAnsi="Arial" w:cs="Arial"/>
          <w:spacing w:val="29"/>
          <w:w w:val="101"/>
        </w:rPr>
        <w:t xml:space="preserve"> </w:t>
      </w:r>
      <w:r>
        <w:rPr>
          <w:spacing w:val="3"/>
        </w:rPr>
        <w:t>家</w:t>
      </w:r>
      <w:r>
        <w:t xml:space="preserve"> </w:t>
      </w:r>
      <w:r>
        <w:rPr>
          <w:spacing w:val="18"/>
        </w:rPr>
        <w:t>房企销售业绩</w:t>
      </w:r>
      <w:r>
        <w:rPr>
          <w:spacing w:val="-27"/>
        </w:rPr>
        <w:t xml:space="preserve"> </w:t>
      </w:r>
      <w:r>
        <w:rPr>
          <w:rFonts w:ascii="Arial" w:eastAsia="Arial" w:hAnsi="Arial" w:cs="Arial"/>
          <w:spacing w:val="18"/>
        </w:rPr>
        <w:t>9</w:t>
      </w:r>
      <w:r>
        <w:rPr>
          <w:rFonts w:ascii="Arial" w:eastAsia="Arial" w:hAnsi="Arial" w:cs="Arial"/>
          <w:spacing w:val="37"/>
          <w:w w:val="101"/>
        </w:rPr>
        <w:t xml:space="preserve"> </w:t>
      </w:r>
      <w:r>
        <w:rPr>
          <w:spacing w:val="18"/>
        </w:rPr>
        <w:t>家企业同比下降，其中碧桂园同比降幅</w:t>
      </w:r>
      <w:r>
        <w:rPr>
          <w:spacing w:val="17"/>
        </w:rPr>
        <w:t>最大，为</w:t>
      </w:r>
      <w:r>
        <w:t xml:space="preserve"> </w:t>
      </w:r>
      <w:r>
        <w:rPr>
          <w:rFonts w:ascii="Arial" w:eastAsia="Arial" w:hAnsi="Arial" w:cs="Arial"/>
          <w:spacing w:val="6"/>
        </w:rPr>
        <w:t>65.38%</w:t>
      </w:r>
      <w:r>
        <w:rPr>
          <w:rFonts w:ascii="Arial" w:eastAsia="Arial" w:hAnsi="Arial" w:cs="Arial"/>
          <w:spacing w:val="-19"/>
        </w:rPr>
        <w:t xml:space="preserve"> </w:t>
      </w:r>
      <w:r>
        <w:rPr>
          <w:spacing w:val="6"/>
        </w:rPr>
        <w:t>。整体企业销售额相比去年同期下降</w:t>
      </w:r>
      <w:r>
        <w:rPr>
          <w:spacing w:val="-38"/>
        </w:rPr>
        <w:t xml:space="preserve"> </w:t>
      </w:r>
      <w:r>
        <w:rPr>
          <w:rFonts w:ascii="Arial" w:eastAsia="Arial" w:hAnsi="Arial" w:cs="Arial"/>
          <w:spacing w:val="6"/>
        </w:rPr>
        <w:t>35.97%</w:t>
      </w:r>
      <w:r>
        <w:rPr>
          <w:spacing w:val="6"/>
        </w:rPr>
        <w:t>。</w:t>
      </w:r>
    </w:p>
    <w:p>
      <w:pPr>
        <w:pStyle w:val="BodyText"/>
        <w:spacing w:before="266" w:line="264" w:lineRule="exact"/>
        <w:ind w:left="3658"/>
      </w:pPr>
      <w:r>
        <w:rPr>
          <w:rFonts w:ascii="Wingdings" w:eastAsia="Wingdings" w:hAnsi="Wingdings" w:cs="Wingdings"/>
          <w:spacing w:val="6"/>
          <w:position w:val="1"/>
        </w:rPr>
        <w:sym w:font="Wingdings" w:char="F075"/>
      </w:r>
      <w:r>
        <w:rPr>
          <w:rFonts w:ascii="Wingdings" w:eastAsia="Wingdings" w:hAnsi="Wingdings" w:cs="Wingdings"/>
          <w:spacing w:val="-117"/>
          <w:position w:val="1"/>
        </w:rPr>
        <w:t xml:space="preserve"> </w:t>
      </w:r>
      <w:r>
        <w:rPr>
          <w:spacing w:val="6"/>
          <w:position w:val="1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拿地情况：</w:t>
      </w:r>
      <w:r>
        <w:rPr>
          <w:rFonts w:ascii="Arial" w:eastAsia="Arial" w:hAnsi="Arial" w:cs="Arial"/>
          <w:b/>
          <w:bCs/>
          <w:spacing w:val="6"/>
          <w:position w:val="1"/>
        </w:rPr>
        <w:t xml:space="preserve">1 </w:t>
      </w:r>
      <w:r>
        <w:rPr>
          <w:spacing w:val="6"/>
          <w:position w:val="1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月品牌房企拿地下降。</w:t>
      </w:r>
    </w:p>
    <w:p>
      <w:pPr>
        <w:pStyle w:val="BodyText"/>
        <w:spacing w:before="210" w:line="276" w:lineRule="auto"/>
        <w:ind w:left="3930" w:right="1797" w:firstLine="16"/>
        <w:jc w:val="both"/>
      </w:pPr>
      <w:r>
        <w:rPr>
          <w:rFonts w:ascii="Arial" w:eastAsia="Arial" w:hAnsi="Arial" w:cs="Arial"/>
          <w:spacing w:val="7"/>
        </w:rPr>
        <w:t xml:space="preserve">1 </w:t>
      </w:r>
      <w:r>
        <w:rPr>
          <w:spacing w:val="7"/>
        </w:rPr>
        <w:t>月重点监测品牌房企累计新增土地面积</w:t>
      </w:r>
      <w:r>
        <w:rPr>
          <w:spacing w:val="-37"/>
        </w:rPr>
        <w:t xml:space="preserve"> </w:t>
      </w:r>
      <w:r>
        <w:rPr>
          <w:rFonts w:ascii="Arial" w:eastAsia="Arial" w:hAnsi="Arial" w:cs="Arial"/>
          <w:spacing w:val="7"/>
        </w:rPr>
        <w:t>3.</w:t>
      </w:r>
      <w:r>
        <w:rPr>
          <w:rFonts w:ascii="Arial" w:eastAsia="Arial" w:hAnsi="Arial" w:cs="Arial"/>
          <w:spacing w:val="-33"/>
        </w:rPr>
        <w:t xml:space="preserve"> </w:t>
      </w:r>
      <w:r>
        <w:rPr>
          <w:rFonts w:ascii="Arial" w:eastAsia="Arial" w:hAnsi="Arial" w:cs="Arial"/>
          <w:spacing w:val="7"/>
        </w:rPr>
        <w:t>1</w:t>
      </w:r>
      <w:r>
        <w:rPr>
          <w:rFonts w:ascii="Arial" w:eastAsia="Arial" w:hAnsi="Arial" w:cs="Arial"/>
          <w:spacing w:val="6"/>
        </w:rPr>
        <w:t xml:space="preserve">4 </w:t>
      </w:r>
      <w:r>
        <w:rPr>
          <w:spacing w:val="6"/>
        </w:rPr>
        <w:t>万平方米，环比下降</w:t>
      </w:r>
      <w:r>
        <w:t xml:space="preserve"> </w:t>
      </w:r>
      <w:r>
        <w:rPr>
          <w:rFonts w:ascii="Arial" w:eastAsia="Arial" w:hAnsi="Arial" w:cs="Arial"/>
          <w:spacing w:val="5"/>
        </w:rPr>
        <w:t>98.43%</w:t>
      </w:r>
      <w:r>
        <w:rPr>
          <w:rFonts w:ascii="Arial" w:eastAsia="Arial" w:hAnsi="Arial" w:cs="Arial"/>
          <w:spacing w:val="-15"/>
        </w:rPr>
        <w:t xml:space="preserve"> </w:t>
      </w:r>
      <w:r>
        <w:rPr>
          <w:spacing w:val="5"/>
        </w:rPr>
        <w:t>；规划建筑面积为</w:t>
      </w:r>
      <w:r>
        <w:rPr>
          <w:spacing w:val="-39"/>
        </w:rPr>
        <w:t xml:space="preserve"> </w:t>
      </w:r>
      <w:r>
        <w:rPr>
          <w:rFonts w:ascii="Arial" w:eastAsia="Arial" w:hAnsi="Arial" w:cs="Arial"/>
          <w:spacing w:val="5"/>
        </w:rPr>
        <w:t>8.32</w:t>
      </w:r>
      <w:r>
        <w:rPr>
          <w:rFonts w:ascii="Arial" w:eastAsia="Arial" w:hAnsi="Arial" w:cs="Arial"/>
          <w:spacing w:val="16"/>
          <w:w w:val="101"/>
        </w:rPr>
        <w:t xml:space="preserve"> </w:t>
      </w:r>
      <w:r>
        <w:rPr>
          <w:spacing w:val="5"/>
        </w:rPr>
        <w:t>万</w:t>
      </w:r>
      <w:r>
        <w:rPr>
          <w:spacing w:val="4"/>
        </w:rPr>
        <w:t>平方米，环比下降</w:t>
      </w:r>
      <w:r>
        <w:rPr>
          <w:spacing w:val="-39"/>
        </w:rPr>
        <w:t xml:space="preserve"> </w:t>
      </w:r>
      <w:r>
        <w:rPr>
          <w:rFonts w:ascii="Arial" w:eastAsia="Arial" w:hAnsi="Arial" w:cs="Arial"/>
          <w:spacing w:val="4"/>
        </w:rPr>
        <w:t>98.33%</w:t>
      </w:r>
      <w:r>
        <w:rPr>
          <w:rFonts w:ascii="Arial" w:eastAsia="Arial" w:hAnsi="Arial" w:cs="Arial"/>
          <w:spacing w:val="-25"/>
        </w:rPr>
        <w:t xml:space="preserve"> </w:t>
      </w:r>
      <w:r>
        <w:rPr>
          <w:spacing w:val="4"/>
        </w:rPr>
        <w:t>。拿地</w:t>
      </w:r>
      <w:r>
        <w:t xml:space="preserve"> </w:t>
      </w:r>
      <w:r>
        <w:rPr>
          <w:spacing w:val="9"/>
        </w:rPr>
        <w:t>成本</w:t>
      </w:r>
      <w:r>
        <w:rPr>
          <w:spacing w:val="-37"/>
        </w:rPr>
        <w:t xml:space="preserve"> </w:t>
      </w:r>
      <w:r>
        <w:rPr>
          <w:rFonts w:ascii="Arial" w:eastAsia="Arial" w:hAnsi="Arial" w:cs="Arial"/>
          <w:spacing w:val="9"/>
        </w:rPr>
        <w:t xml:space="preserve">8.89 </w:t>
      </w:r>
      <w:r>
        <w:rPr>
          <w:spacing w:val="9"/>
        </w:rPr>
        <w:t>亿元，环比下降</w:t>
      </w:r>
      <w:r>
        <w:rPr>
          <w:spacing w:val="-33"/>
        </w:rPr>
        <w:t xml:space="preserve"> </w:t>
      </w:r>
      <w:r>
        <w:rPr>
          <w:rFonts w:ascii="Arial" w:eastAsia="Arial" w:hAnsi="Arial" w:cs="Arial"/>
          <w:spacing w:val="9"/>
        </w:rPr>
        <w:t>98.58</w:t>
      </w:r>
      <w:r>
        <w:rPr>
          <w:rFonts w:ascii="Arial" w:eastAsia="Arial" w:hAnsi="Arial" w:cs="Arial"/>
          <w:spacing w:val="8"/>
        </w:rPr>
        <w:t>%</w:t>
      </w:r>
      <w:r>
        <w:rPr>
          <w:rFonts w:ascii="Arial" w:eastAsia="Arial" w:hAnsi="Arial" w:cs="Arial"/>
          <w:spacing w:val="-23"/>
        </w:rPr>
        <w:t xml:space="preserve"> </w:t>
      </w:r>
      <w:r>
        <w:rPr>
          <w:spacing w:val="8"/>
        </w:rPr>
        <w:t>。本月绿城中国土地出让金额最</w:t>
      </w:r>
      <w:r>
        <w:t xml:space="preserve"> </w:t>
      </w:r>
      <w:r>
        <w:rPr>
          <w:spacing w:val="6"/>
        </w:rPr>
        <w:t>多，拿地</w:t>
      </w:r>
      <w:r>
        <w:rPr>
          <w:spacing w:val="-12"/>
        </w:rPr>
        <w:t xml:space="preserve"> </w:t>
      </w:r>
      <w:r>
        <w:rPr>
          <w:rFonts w:ascii="Arial" w:eastAsia="Arial" w:hAnsi="Arial" w:cs="Arial"/>
          <w:spacing w:val="6"/>
        </w:rPr>
        <w:t>1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spacing w:val="6"/>
        </w:rPr>
        <w:t>宗，增加占地面积和规划建筑面积分别为</w:t>
      </w:r>
      <w:r>
        <w:rPr>
          <w:spacing w:val="-39"/>
        </w:rPr>
        <w:t xml:space="preserve"> </w:t>
      </w:r>
      <w:r>
        <w:rPr>
          <w:rFonts w:ascii="Arial" w:eastAsia="Arial" w:hAnsi="Arial" w:cs="Arial"/>
          <w:spacing w:val="6"/>
        </w:rPr>
        <w:t xml:space="preserve">2.75 </w:t>
      </w:r>
      <w:r>
        <w:rPr>
          <w:spacing w:val="6"/>
        </w:rPr>
        <w:t>万平方米</w:t>
      </w:r>
      <w:r>
        <w:t xml:space="preserve"> </w:t>
      </w:r>
      <w:r>
        <w:rPr>
          <w:spacing w:val="2"/>
        </w:rPr>
        <w:t>和</w:t>
      </w:r>
      <w:r>
        <w:rPr>
          <w:spacing w:val="-25"/>
        </w:rPr>
        <w:t xml:space="preserve"> </w:t>
      </w:r>
      <w:r>
        <w:rPr>
          <w:rFonts w:ascii="Arial" w:eastAsia="Arial" w:hAnsi="Arial" w:cs="Arial"/>
          <w:spacing w:val="2"/>
        </w:rPr>
        <w:t>7.</w:t>
      </w:r>
      <w:r>
        <w:rPr>
          <w:rFonts w:ascii="Arial" w:eastAsia="Arial" w:hAnsi="Arial" w:cs="Arial"/>
          <w:spacing w:val="-33"/>
        </w:rPr>
        <w:t xml:space="preserve"> </w:t>
      </w:r>
      <w:r>
        <w:rPr>
          <w:rFonts w:ascii="Arial" w:eastAsia="Arial" w:hAnsi="Arial" w:cs="Arial"/>
          <w:spacing w:val="2"/>
        </w:rPr>
        <w:t xml:space="preserve">16 </w:t>
      </w:r>
      <w:r>
        <w:rPr>
          <w:spacing w:val="2"/>
        </w:rPr>
        <w:t>万平方米，</w:t>
      </w:r>
      <w:r>
        <w:rPr>
          <w:spacing w:val="-60"/>
        </w:rPr>
        <w:t xml:space="preserve"> </w:t>
      </w:r>
      <w:r>
        <w:rPr>
          <w:spacing w:val="2"/>
        </w:rPr>
        <w:t>出让金为</w:t>
      </w:r>
      <w:r>
        <w:rPr>
          <w:spacing w:val="-36"/>
        </w:rPr>
        <w:t xml:space="preserve"> </w:t>
      </w:r>
      <w:r>
        <w:rPr>
          <w:rFonts w:ascii="Arial" w:eastAsia="Arial" w:hAnsi="Arial" w:cs="Arial"/>
          <w:spacing w:val="2"/>
        </w:rPr>
        <w:t xml:space="preserve">8.29 </w:t>
      </w:r>
      <w:r>
        <w:rPr>
          <w:spacing w:val="2"/>
        </w:rPr>
        <w:t>亿元。</w:t>
      </w:r>
    </w:p>
    <w:p>
      <w:pPr>
        <w:pStyle w:val="BodyText"/>
        <w:spacing w:before="299" w:line="267" w:lineRule="exact"/>
        <w:ind w:left="3658"/>
      </w:pPr>
      <w:r>
        <w:rPr>
          <w:rFonts w:ascii="Wingdings" w:eastAsia="Wingdings" w:hAnsi="Wingdings" w:cs="Wingdings"/>
          <w:spacing w:val="6"/>
          <w:position w:val="1"/>
        </w:rPr>
        <w:sym w:font="Wingdings" w:char="F075"/>
      </w:r>
      <w:r>
        <w:rPr>
          <w:rFonts w:ascii="Wingdings" w:eastAsia="Wingdings" w:hAnsi="Wingdings" w:cs="Wingdings"/>
          <w:spacing w:val="-103"/>
          <w:position w:val="1"/>
        </w:rPr>
        <w:t xml:space="preserve"> </w:t>
      </w:r>
      <w:r>
        <w:rPr>
          <w:spacing w:val="6"/>
          <w:position w:val="1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融资情况：</w:t>
      </w:r>
      <w:r>
        <w:rPr>
          <w:rFonts w:ascii="Arial" w:eastAsia="Arial" w:hAnsi="Arial" w:cs="Arial"/>
          <w:b/>
          <w:bCs/>
          <w:spacing w:val="6"/>
          <w:position w:val="1"/>
        </w:rPr>
        <w:t xml:space="preserve">1 </w:t>
      </w:r>
      <w:r>
        <w:rPr>
          <w:spacing w:val="6"/>
          <w:position w:val="1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月房企融资规模较上月下降。</w:t>
      </w:r>
    </w:p>
    <w:p>
      <w:pPr>
        <w:pStyle w:val="BodyText"/>
        <w:spacing w:before="205" w:line="269" w:lineRule="auto"/>
        <w:ind w:left="3941" w:right="1797" w:firstLine="5"/>
        <w:jc w:val="both"/>
      </w:pPr>
      <w:r>
        <w:rPr>
          <w:rFonts w:ascii="Arial" w:eastAsia="Arial" w:hAnsi="Arial" w:cs="Arial"/>
          <w:spacing w:val="6"/>
        </w:rPr>
        <w:t xml:space="preserve">1 </w:t>
      </w:r>
      <w:r>
        <w:rPr>
          <w:spacing w:val="6"/>
        </w:rPr>
        <w:t>月房企融资规模较上月下降。重点监测房企发生融资</w:t>
      </w:r>
      <w:r>
        <w:rPr>
          <w:spacing w:val="-31"/>
        </w:rPr>
        <w:t xml:space="preserve"> </w:t>
      </w:r>
      <w:r>
        <w:rPr>
          <w:rFonts w:ascii="Arial" w:eastAsia="Arial" w:hAnsi="Arial" w:cs="Arial"/>
          <w:spacing w:val="6"/>
        </w:rPr>
        <w:t>34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spacing w:val="6"/>
        </w:rPr>
        <w:t>笔，</w:t>
      </w:r>
      <w:r>
        <w:rPr>
          <w:spacing w:val="-57"/>
        </w:rPr>
        <w:t xml:space="preserve"> </w:t>
      </w:r>
      <w:r>
        <w:rPr>
          <w:spacing w:val="6"/>
        </w:rPr>
        <w:t>累计</w:t>
      </w:r>
      <w:r>
        <w:t xml:space="preserve"> </w:t>
      </w:r>
      <w:r>
        <w:rPr>
          <w:spacing w:val="7"/>
        </w:rPr>
        <w:t>融资金额合计</w:t>
      </w:r>
      <w:r>
        <w:rPr>
          <w:spacing w:val="-36"/>
        </w:rPr>
        <w:t xml:space="preserve"> </w:t>
      </w:r>
      <w:r>
        <w:rPr>
          <w:rFonts w:ascii="Arial" w:eastAsia="Arial" w:hAnsi="Arial" w:cs="Arial"/>
          <w:spacing w:val="7"/>
        </w:rPr>
        <w:t>371.</w:t>
      </w:r>
      <w:r>
        <w:rPr>
          <w:rFonts w:ascii="Arial" w:eastAsia="Arial" w:hAnsi="Arial" w:cs="Arial"/>
          <w:spacing w:val="-30"/>
        </w:rPr>
        <w:t xml:space="preserve"> </w:t>
      </w:r>
      <w:r>
        <w:rPr>
          <w:rFonts w:ascii="Arial" w:eastAsia="Arial" w:hAnsi="Arial" w:cs="Arial"/>
          <w:spacing w:val="7"/>
        </w:rPr>
        <w:t xml:space="preserve">17 </w:t>
      </w:r>
      <w:r>
        <w:rPr>
          <w:spacing w:val="7"/>
        </w:rPr>
        <w:t>亿元，金额较上月下降</w:t>
      </w:r>
      <w:r>
        <w:rPr>
          <w:spacing w:val="-39"/>
        </w:rPr>
        <w:t xml:space="preserve"> </w:t>
      </w:r>
      <w:r>
        <w:rPr>
          <w:rFonts w:ascii="Arial" w:eastAsia="Arial" w:hAnsi="Arial" w:cs="Arial"/>
          <w:spacing w:val="7"/>
        </w:rPr>
        <w:t>24.51%</w:t>
      </w:r>
      <w:r>
        <w:rPr>
          <w:rFonts w:ascii="Arial" w:eastAsia="Arial" w:hAnsi="Arial" w:cs="Arial"/>
          <w:spacing w:val="-27"/>
        </w:rPr>
        <w:t xml:space="preserve"> </w:t>
      </w:r>
      <w:r>
        <w:rPr>
          <w:spacing w:val="6"/>
        </w:rPr>
        <w:t>，其中融资单</w:t>
      </w:r>
      <w:r>
        <w:t xml:space="preserve"> </w:t>
      </w:r>
      <w:r>
        <w:rPr>
          <w:spacing w:val="6"/>
        </w:rPr>
        <w:t>笔最高为厦门象屿公司债</w:t>
      </w:r>
      <w:r>
        <w:rPr>
          <w:spacing w:val="-34"/>
        </w:rPr>
        <w:t xml:space="preserve"> </w:t>
      </w:r>
      <w:r>
        <w:rPr>
          <w:rFonts w:ascii="Arial" w:eastAsia="Arial" w:hAnsi="Arial" w:cs="Arial"/>
          <w:spacing w:val="6"/>
        </w:rPr>
        <w:t xml:space="preserve">80 </w:t>
      </w:r>
      <w:r>
        <w:rPr>
          <w:spacing w:val="6"/>
        </w:rPr>
        <w:t>亿元。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  <w:sectPr>
          <w:headerReference w:type="default" r:id="rId5"/>
          <w:pgSz w:w="11906" w:h="16839"/>
          <w:pgMar w:top="400" w:right="0" w:bottom="0" w:left="0" w:header="0" w:footer="0" w:gutter="0"/>
          <w:cols w:space="708"/>
        </w:sect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" w:line="45" w:lineRule="exact"/>
        <w:ind w:firstLine="1796"/>
      </w:pPr>
      <w:r>
        <w:drawing>
          <wp:inline distT="0" distB="0" distL="0" distR="0">
            <wp:extent cx="5267350" cy="2857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5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75" w:line="232" w:lineRule="auto"/>
        <w:ind w:left="1808"/>
        <w:rPr>
          <w:sz w:val="14"/>
          <w:szCs w:val="14"/>
        </w:rPr>
      </w:pPr>
      <w:r>
        <w:rPr>
          <w:color w:val="24405B"/>
          <w:spacing w:val="8"/>
          <w:sz w:val="14"/>
          <w:szCs w:val="14"/>
          <w14:textOutline w14:w="2705" w14:cap="sq">
            <w14:solidFill>
              <w14:srgbClr w14:val="24405B"/>
            </w14:solidFill>
            <w14:prstDash w14:val="solid"/>
            <w14:bevel/>
          </w14:textOutline>
        </w:rPr>
        <w:t>本报告数据来自于中指研究院大数据中心。如有疑问，请咨询</w:t>
      </w:r>
      <w:r>
        <w:rPr>
          <w:color w:val="24405B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4405B"/>
          <w:spacing w:val="8"/>
          <w:sz w:val="14"/>
          <w:szCs w:val="14"/>
        </w:rPr>
        <w:t>400-630-6618</w:t>
      </w:r>
      <w:r>
        <w:rPr>
          <w:color w:val="24405B"/>
          <w:spacing w:val="8"/>
          <w:sz w:val="14"/>
          <w:szCs w:val="14"/>
          <w14:textOutline w14:w="2705" w14:cap="sq">
            <w14:solidFill>
              <w14:srgbClr w14:val="24405B"/>
            </w14:solidFill>
            <w14:prstDash w14:val="solid"/>
            <w14:bevel/>
          </w14:textOutline>
        </w:rPr>
        <w:t>。</w:t>
      </w:r>
    </w:p>
    <w:p>
      <w:pPr>
        <w:spacing w:line="232" w:lineRule="auto"/>
        <w:rPr>
          <w:sz w:val="14"/>
          <w:szCs w:val="14"/>
        </w:rPr>
        <w:sectPr>
          <w:headerReference w:type="default" r:id="rId7"/>
          <w:type w:val="nextPage"/>
          <w:pgSz w:w="11906" w:h="16839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spacing w:line="414" w:lineRule="auto"/>
        <w:rPr>
          <w:rFonts w:ascii="Arial"/>
          <w:sz w:val="21"/>
        </w:rPr>
      </w:pP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5251703</wp:posOffset>
            </wp:positionH>
            <wp:positionV relativeFrom="page">
              <wp:posOffset>204215</wp:posOffset>
            </wp:positionV>
            <wp:extent cx="1517903" cy="44958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7903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5" w:line="226" w:lineRule="auto"/>
        <w:ind w:left="3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中国房地产企业监测报告（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 xml:space="preserve">2024 </w:t>
      </w:r>
      <w:r>
        <w:rPr>
          <w:rFonts w:ascii="SimSun" w:eastAsia="SimSun" w:hAnsi="SimSun" w:cs="SimSun"/>
          <w:spacing w:val="5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rFonts w:ascii="SimSun" w:eastAsia="SimSun" w:hAnsi="SimSun" w:cs="SimSun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 xml:space="preserve">1 </w:t>
      </w:r>
      <w:r>
        <w:rPr>
          <w:rFonts w:ascii="SimSun" w:eastAsia="SimSun" w:hAnsi="SimSun" w:cs="SimSun"/>
          <w:spacing w:val="5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月）</w:t>
      </w:r>
    </w:p>
    <w:p>
      <w:pPr>
        <w:spacing w:before="15" w:line="29" w:lineRule="exact"/>
        <w:ind w:firstLine="11"/>
      </w:pPr>
      <w:r>
        <w:pict>
          <v:shape id="_x0000_i1030" style="width:415.65pt;height:1.45pt;mso-position-horizontal-relative:char;mso-position-vertical-relative:line" coordorigin="0,0" coordsize="8312,29" path="m,l8312,l8312,28l,28l,xe" filled="t" fillcolor="#1f497d" stroked="f">
            <w10:wrap type="none"/>
          </v:shape>
        </w:pic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sdt>
      <w:sdtPr>
        <w:rPr>
          <w:rFonts w:ascii="KaiTi" w:eastAsia="KaiTi" w:hAnsi="KaiTi" w:cs="KaiTi"/>
          <w:sz w:val="30"/>
          <w:szCs w:val="30"/>
        </w:rPr>
        <w:id w:val="1098109142"/>
        <w:docPartObj>
          <w:docPartGallery w:val="Table of Contents"/>
          <w:docPartUnique/>
        </w:docPartObj>
      </w:sdtPr>
      <w:sdtEndPr>
        <w:rPr>
          <w:rFonts w:ascii="KaiTi" w:eastAsia="KaiTi" w:hAnsi="KaiTi" w:cs="KaiTi"/>
          <w:sz w:val="20"/>
          <w:szCs w:val="20"/>
        </w:rPr>
      </w:sdtEndPr>
      <w:sdtContent>
        <w:p>
          <w:pPr>
            <w:pStyle w:val="BodyText"/>
            <w:spacing w:before="98" w:line="227" w:lineRule="auto"/>
            <w:ind w:left="89"/>
            <w:rPr>
              <w:sz w:val="30"/>
              <w:szCs w:val="30"/>
            </w:rPr>
          </w:pPr>
          <w:bookmarkStart w:id="0" w:name="bookmark1"/>
          <w:bookmarkEnd w:id="0"/>
          <w:r>
            <w:rPr>
              <w:color w:val="1F497D"/>
              <w:spacing w:val="-39"/>
              <w:sz w:val="30"/>
              <w:szCs w:val="30"/>
              <w14:textOutline w14:w="5448" w14:cap="sq">
                <w14:solidFill>
                  <w14:srgbClr w14:val="1F497D"/>
                </w14:solidFill>
                <w14:prstDash w14:val="solid"/>
                <w14:bevel/>
              </w14:textOutline>
            </w:rPr>
            <w:t>目录</w:t>
          </w:r>
        </w:p>
        <w:p>
          <w:pPr>
            <w:pStyle w:val="BodyText"/>
            <w:tabs>
              <w:tab w:val="right" w:leader="dot" w:pos="8320"/>
            </w:tabs>
            <w:spacing w:before="299" w:line="232" w:lineRule="auto"/>
            <w:ind w:left="30"/>
          </w:pPr>
          <w:r>
            <w:rPr>
              <w:color w:val="1F4E79"/>
              <w:spacing w:val="6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1</w:t>
          </w:r>
          <w:r>
            <w:rPr>
              <w:color w:val="1F4E79"/>
              <w:spacing w:val="6"/>
            </w:rPr>
            <w:t xml:space="preserve">  </w:t>
          </w:r>
          <w:r>
            <w:rPr>
              <w:color w:val="1F4E79"/>
              <w:spacing w:val="6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2024</w:t>
          </w:r>
          <w:r>
            <w:rPr>
              <w:color w:val="1F4E79"/>
              <w:spacing w:val="-37"/>
            </w:rPr>
            <w:t xml:space="preserve"> </w:t>
          </w:r>
          <w:r>
            <w:rPr>
              <w:color w:val="1F4E79"/>
              <w:spacing w:val="6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年</w:t>
          </w:r>
          <w:r>
            <w:rPr>
              <w:color w:val="1F4E79"/>
              <w:spacing w:val="-29"/>
            </w:rPr>
            <w:t xml:space="preserve"> </w:t>
          </w:r>
          <w:r>
            <w:rPr>
              <w:color w:val="1F4E79"/>
              <w:spacing w:val="6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1</w:t>
          </w:r>
          <w:r>
            <w:rPr>
              <w:color w:val="1F4E79"/>
              <w:spacing w:val="-25"/>
            </w:rPr>
            <w:t xml:space="preserve"> </w:t>
          </w:r>
          <w:r>
            <w:rPr>
              <w:color w:val="1F4E79"/>
              <w:spacing w:val="6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月中国房地产企业整体经</w:t>
          </w:r>
          <w:r>
            <w:rPr>
              <w:color w:val="1F4E79"/>
              <w:spacing w:val="5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营状况</w:t>
          </w:r>
          <w:r>
            <w:rPr>
              <w:color w:val="1F4E79"/>
              <w:spacing w:val="-33"/>
            </w:rPr>
            <w:t xml:space="preserve"> </w:t>
          </w:r>
          <w:r>
            <w:rPr>
              <w:color w:val="1F4E79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ab/>
          </w:r>
          <w:r>
            <w:rPr>
              <w:color w:val="1F4E79"/>
              <w:spacing w:val="23"/>
            </w:rPr>
            <w:t xml:space="preserve"> </w:t>
          </w:r>
          <w:hyperlink w:anchor="bookmark2" w:history="1">
            <w:r>
              <w:rPr>
                <w:color w:val="1F4E79"/>
                <w14:textOutline w14:w="3795" w14:cap="sq">
                  <w14:solidFill>
                    <w14:srgbClr w14:val="1F4E79"/>
                  </w14:solidFill>
                  <w14:prstDash w14:val="solid"/>
                  <w14:bevel/>
                </w14:textOutline>
              </w:rPr>
              <w:t>1</w:t>
            </w:r>
          </w:hyperlink>
        </w:p>
        <w:p>
          <w:pPr>
            <w:pStyle w:val="BodyText"/>
            <w:tabs>
              <w:tab w:val="right" w:leader="dot" w:pos="8320"/>
            </w:tabs>
            <w:spacing w:before="218" w:line="234" w:lineRule="auto"/>
            <w:ind w:left="450"/>
          </w:pPr>
          <w:r>
            <w:rPr>
              <w:color w:val="1F4E79"/>
              <w:spacing w:val="4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1.1</w:t>
          </w:r>
          <w:r>
            <w:rPr>
              <w:color w:val="1F4E79"/>
              <w:spacing w:val="33"/>
            </w:rPr>
            <w:t xml:space="preserve"> </w:t>
          </w:r>
          <w:r>
            <w:rPr>
              <w:color w:val="1F4E79"/>
              <w:spacing w:val="4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1</w:t>
          </w:r>
          <w:r>
            <w:rPr>
              <w:color w:val="1F4E79"/>
              <w:spacing w:val="-28"/>
            </w:rPr>
            <w:t xml:space="preserve"> </w:t>
          </w:r>
          <w:r>
            <w:rPr>
              <w:color w:val="1F4E79"/>
              <w:spacing w:val="4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月全国市场整体情况</w:t>
          </w:r>
          <w:r>
            <w:rPr>
              <w:color w:val="1F4E79"/>
              <w:spacing w:val="-33"/>
            </w:rPr>
            <w:t xml:space="preserve"> </w:t>
          </w:r>
          <w:r>
            <w:rPr>
              <w:color w:val="1F4E79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ab/>
          </w:r>
          <w:r>
            <w:rPr>
              <w:color w:val="1F4E79"/>
              <w:spacing w:val="-74"/>
            </w:rPr>
            <w:t xml:space="preserve"> </w:t>
          </w:r>
          <w:hyperlink w:anchor="bookmark3" w:history="1">
            <w:r>
              <w:rPr>
                <w:color w:val="1F4E79"/>
                <w14:textOutline w14:w="3795" w14:cap="sq">
                  <w14:solidFill>
                    <w14:srgbClr w14:val="1F4E79"/>
                  </w14:solidFill>
                  <w14:prstDash w14:val="solid"/>
                  <w14:bevel/>
                </w14:textOutline>
              </w:rPr>
              <w:t>1</w:t>
            </w:r>
          </w:hyperlink>
        </w:p>
        <w:p>
          <w:pPr>
            <w:pStyle w:val="BodyText"/>
            <w:tabs>
              <w:tab w:val="right" w:leader="dot" w:pos="8322"/>
            </w:tabs>
            <w:spacing w:before="214" w:line="232" w:lineRule="auto"/>
            <w:ind w:left="870"/>
            <w:rPr>
              <w:rFonts w:ascii="Arial" w:eastAsia="Arial" w:hAnsi="Arial" w:cs="Arial"/>
            </w:rPr>
          </w:pPr>
          <w:r>
            <w:rPr>
              <w:color w:val="1F4E79"/>
              <w:spacing w:val="4"/>
            </w:rPr>
            <w:t>1.1.1</w:t>
          </w:r>
          <w:r>
            <w:rPr>
              <w:color w:val="1F4E79"/>
              <w:spacing w:val="4"/>
            </w:rPr>
            <w:t xml:space="preserve"> </w:t>
          </w:r>
          <w:r>
            <w:rPr>
              <w:color w:val="1F4E79"/>
              <w:spacing w:val="4"/>
            </w:rPr>
            <w:t>市场需求</w:t>
          </w:r>
          <w:r>
            <w:rPr>
              <w:color w:val="1F4E79"/>
              <w:spacing w:val="-44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34"/>
            </w:rPr>
            <w:t xml:space="preserve"> </w:t>
          </w:r>
          <w:hyperlink w:anchor="bookmark4" w:history="1">
            <w:r>
              <w:rPr>
                <w:rFonts w:ascii="Arial" w:eastAsia="Arial" w:hAnsi="Arial" w:cs="Arial"/>
                <w:color w:val="1F4E79"/>
              </w:rPr>
              <w:t>1</w:t>
            </w:r>
          </w:hyperlink>
        </w:p>
        <w:p>
          <w:pPr>
            <w:pStyle w:val="BodyText"/>
            <w:tabs>
              <w:tab w:val="right" w:leader="dot" w:pos="8322"/>
            </w:tabs>
            <w:spacing w:before="61" w:line="235" w:lineRule="auto"/>
            <w:ind w:left="870"/>
            <w:rPr>
              <w:rFonts w:ascii="Arial" w:eastAsia="Arial" w:hAnsi="Arial" w:cs="Arial"/>
            </w:rPr>
          </w:pPr>
          <w:r>
            <w:rPr>
              <w:color w:val="1F4E79"/>
              <w:spacing w:val="4"/>
            </w:rPr>
            <w:t>1.1.2</w:t>
          </w:r>
          <w:r>
            <w:rPr>
              <w:color w:val="1F4E79"/>
              <w:spacing w:val="4"/>
            </w:rPr>
            <w:t xml:space="preserve"> </w:t>
          </w:r>
          <w:r>
            <w:rPr>
              <w:color w:val="1F4E79"/>
              <w:spacing w:val="4"/>
            </w:rPr>
            <w:t>供求情况</w:t>
          </w:r>
          <w:r>
            <w:rPr>
              <w:color w:val="1F4E79"/>
              <w:spacing w:val="-44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34"/>
            </w:rPr>
            <w:t xml:space="preserve"> </w:t>
          </w:r>
          <w:hyperlink w:anchor="bookmark5" w:history="1">
            <w:r>
              <w:rPr>
                <w:rFonts w:ascii="Arial" w:eastAsia="Arial" w:hAnsi="Arial" w:cs="Arial"/>
                <w:color w:val="1F4E79"/>
              </w:rPr>
              <w:t>1</w:t>
            </w:r>
          </w:hyperlink>
        </w:p>
        <w:p>
          <w:pPr>
            <w:pStyle w:val="BodyText"/>
            <w:tabs>
              <w:tab w:val="right" w:leader="dot" w:pos="8322"/>
            </w:tabs>
            <w:spacing w:before="57" w:line="232" w:lineRule="auto"/>
            <w:ind w:left="870"/>
            <w:rPr>
              <w:rFonts w:ascii="Arial" w:eastAsia="Arial" w:hAnsi="Arial" w:cs="Arial"/>
            </w:rPr>
          </w:pPr>
          <w:r>
            <w:rPr>
              <w:color w:val="1F4E79"/>
              <w:spacing w:val="4"/>
            </w:rPr>
            <w:t>1.1.3</w:t>
          </w:r>
          <w:r>
            <w:rPr>
              <w:color w:val="1F4E79"/>
              <w:spacing w:val="4"/>
            </w:rPr>
            <w:t xml:space="preserve"> </w:t>
          </w:r>
          <w:r>
            <w:rPr>
              <w:color w:val="1F4E79"/>
              <w:spacing w:val="4"/>
            </w:rPr>
            <w:t>政策盘点</w:t>
          </w:r>
          <w:r>
            <w:rPr>
              <w:color w:val="1F4E79"/>
              <w:spacing w:val="-44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34"/>
            </w:rPr>
            <w:t xml:space="preserve"> </w:t>
          </w:r>
          <w:hyperlink w:anchor="bookmark6" w:history="1">
            <w:r>
              <w:rPr>
                <w:rFonts w:ascii="Arial" w:eastAsia="Arial" w:hAnsi="Arial" w:cs="Arial"/>
                <w:color w:val="1F4E79"/>
              </w:rPr>
              <w:t>1</w:t>
            </w:r>
          </w:hyperlink>
        </w:p>
        <w:p>
          <w:pPr>
            <w:pStyle w:val="BodyText"/>
            <w:tabs>
              <w:tab w:val="right" w:leader="dot" w:pos="8320"/>
            </w:tabs>
            <w:spacing w:before="217" w:line="234" w:lineRule="auto"/>
            <w:ind w:left="450"/>
          </w:pPr>
          <w:r>
            <w:rPr>
              <w:color w:val="1F4E79"/>
              <w:spacing w:val="4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1.2</w:t>
          </w:r>
          <w:r>
            <w:rPr>
              <w:color w:val="1F4E79"/>
              <w:spacing w:val="19"/>
            </w:rPr>
            <w:t xml:space="preserve">  </w:t>
          </w:r>
          <w:r>
            <w:rPr>
              <w:color w:val="1F4E79"/>
              <w:spacing w:val="4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1</w:t>
          </w:r>
          <w:r>
            <w:rPr>
              <w:color w:val="1F4E79"/>
              <w:spacing w:val="-28"/>
            </w:rPr>
            <w:t xml:space="preserve"> </w:t>
          </w:r>
          <w:r>
            <w:rPr>
              <w:color w:val="1F4E79"/>
              <w:spacing w:val="4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月重点企业整体情况</w:t>
          </w:r>
          <w:r>
            <w:rPr>
              <w:color w:val="1F4E79"/>
              <w:spacing w:val="-32"/>
            </w:rPr>
            <w:t xml:space="preserve"> </w:t>
          </w:r>
          <w:r>
            <w:rPr>
              <w:color w:val="1F4E79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ab/>
          </w:r>
          <w:hyperlink w:anchor="bookmark1" w:history="1">
            <w:r>
              <w:rPr>
                <w:color w:val="1F4E79"/>
                <w:spacing w:val="10"/>
                <w14:textOutline w14:w="3795" w14:cap="sq">
                  <w14:solidFill>
                    <w14:srgbClr w14:val="1F4E79"/>
                  </w14:solidFill>
                  <w14:prstDash w14:val="solid"/>
                  <w14:bevel/>
                </w14:textOutline>
              </w:rPr>
              <w:t>2</w:t>
            </w:r>
          </w:hyperlink>
        </w:p>
        <w:p>
          <w:pPr>
            <w:pStyle w:val="BodyText"/>
            <w:tabs>
              <w:tab w:val="right" w:leader="dot" w:pos="8320"/>
            </w:tabs>
            <w:spacing w:before="215" w:line="234" w:lineRule="auto"/>
            <w:ind w:left="870"/>
            <w:rPr>
              <w:rFonts w:ascii="Arial" w:eastAsia="Arial" w:hAnsi="Arial" w:cs="Arial"/>
            </w:rPr>
          </w:pPr>
          <w:r>
            <w:rPr>
              <w:color w:val="1F4E79"/>
              <w:spacing w:val="5"/>
            </w:rPr>
            <w:t>1.2.1</w:t>
          </w:r>
          <w:r>
            <w:rPr>
              <w:color w:val="1F4E79"/>
              <w:spacing w:val="5"/>
            </w:rPr>
            <w:t xml:space="preserve"> </w:t>
          </w:r>
          <w:r>
            <w:rPr>
              <w:color w:val="1F4E79"/>
              <w:spacing w:val="5"/>
            </w:rPr>
            <w:t>1</w:t>
          </w:r>
          <w:r>
            <w:rPr>
              <w:color w:val="1F4E79"/>
              <w:spacing w:val="-27"/>
            </w:rPr>
            <w:t xml:space="preserve"> </w:t>
          </w:r>
          <w:r>
            <w:rPr>
              <w:color w:val="1F4E79"/>
              <w:spacing w:val="5"/>
            </w:rPr>
            <w:t>月重点企业拿地情况</w:t>
          </w:r>
          <w:r>
            <w:rPr>
              <w:color w:val="1F4E79"/>
              <w:spacing w:val="-49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63"/>
            </w:rPr>
            <w:t xml:space="preserve"> </w:t>
          </w:r>
          <w:hyperlink w:anchor="bookmark1" w:history="1">
            <w:r>
              <w:rPr>
                <w:rFonts w:ascii="Arial" w:eastAsia="Arial" w:hAnsi="Arial" w:cs="Arial"/>
                <w:color w:val="1F4E79"/>
              </w:rPr>
              <w:t>2</w:t>
            </w:r>
          </w:hyperlink>
        </w:p>
        <w:p>
          <w:pPr>
            <w:pStyle w:val="BodyText"/>
            <w:tabs>
              <w:tab w:val="right" w:leader="dot" w:pos="8322"/>
            </w:tabs>
            <w:spacing w:before="57" w:line="234" w:lineRule="auto"/>
            <w:ind w:left="870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1.2.2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重点企业销售情况</w:t>
          </w:r>
          <w:r>
            <w:rPr>
              <w:color w:val="1F4E79"/>
              <w:spacing w:val="-48"/>
            </w:rPr>
            <w:t xml:space="preserve"> </w:t>
          </w:r>
          <w:r>
            <w:rPr>
              <w:color w:val="1F4E79"/>
            </w:rPr>
            <w:tab/>
          </w:r>
          <w:hyperlink w:anchor="bookmark1" w:history="1">
            <w:r>
              <w:rPr>
                <w:rFonts w:ascii="Arial" w:eastAsia="Arial" w:hAnsi="Arial" w:cs="Arial"/>
                <w:color w:val="1F4E79"/>
                <w:spacing w:val="6"/>
              </w:rPr>
              <w:t>2</w:t>
            </w:r>
          </w:hyperlink>
        </w:p>
        <w:p>
          <w:pPr>
            <w:pStyle w:val="BodyText"/>
            <w:tabs>
              <w:tab w:val="right" w:leader="dot" w:pos="8322"/>
            </w:tabs>
            <w:spacing w:before="59" w:line="234" w:lineRule="auto"/>
            <w:ind w:left="870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1.2.3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重点企业融资情况</w:t>
          </w:r>
          <w:r>
            <w:rPr>
              <w:color w:val="1F4E79"/>
              <w:spacing w:val="-48"/>
            </w:rPr>
            <w:t xml:space="preserve"> </w:t>
          </w:r>
          <w:r>
            <w:rPr>
              <w:color w:val="1F4E79"/>
            </w:rPr>
            <w:tab/>
          </w:r>
          <w:hyperlink w:anchor="bookmark7" w:history="1">
            <w:r>
              <w:rPr>
                <w:rFonts w:ascii="Arial" w:eastAsia="Arial" w:hAnsi="Arial" w:cs="Arial"/>
                <w:color w:val="1F4E79"/>
                <w:spacing w:val="6"/>
              </w:rPr>
              <w:t>3</w:t>
            </w:r>
          </w:hyperlink>
        </w:p>
        <w:p>
          <w:pPr>
            <w:pStyle w:val="BodyText"/>
            <w:tabs>
              <w:tab w:val="right" w:leader="dot" w:pos="8320"/>
            </w:tabs>
            <w:spacing w:before="214" w:line="231" w:lineRule="auto"/>
            <w:ind w:left="18"/>
          </w:pPr>
          <w:r>
            <w:rPr>
              <w:color w:val="1F4E79"/>
              <w:spacing w:val="6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2</w:t>
          </w:r>
          <w:r>
            <w:rPr>
              <w:color w:val="1F4E79"/>
              <w:spacing w:val="6"/>
            </w:rPr>
            <w:t xml:space="preserve">  </w:t>
          </w:r>
          <w:r>
            <w:rPr>
              <w:color w:val="1F4E79"/>
              <w:spacing w:val="6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2024</w:t>
          </w:r>
          <w:r>
            <w:rPr>
              <w:color w:val="1F4E79"/>
              <w:spacing w:val="-38"/>
            </w:rPr>
            <w:t xml:space="preserve"> </w:t>
          </w:r>
          <w:r>
            <w:rPr>
              <w:color w:val="1F4E79"/>
              <w:spacing w:val="6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年</w:t>
          </w:r>
          <w:r>
            <w:rPr>
              <w:color w:val="1F4E79"/>
              <w:spacing w:val="-29"/>
            </w:rPr>
            <w:t xml:space="preserve"> </w:t>
          </w:r>
          <w:r>
            <w:rPr>
              <w:color w:val="1F4E79"/>
              <w:spacing w:val="6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1</w:t>
          </w:r>
          <w:r>
            <w:rPr>
              <w:color w:val="1F4E79"/>
              <w:spacing w:val="-25"/>
            </w:rPr>
            <w:t xml:space="preserve"> </w:t>
          </w:r>
          <w:r>
            <w:rPr>
              <w:color w:val="1F4E79"/>
              <w:spacing w:val="6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月品牌房地产企业经营状况</w:t>
          </w:r>
          <w:r>
            <w:rPr>
              <w:color w:val="1F4E79"/>
              <w:spacing w:val="-33"/>
            </w:rPr>
            <w:t xml:space="preserve"> </w:t>
          </w:r>
          <w:r>
            <w:rPr>
              <w:color w:val="1F4E79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ab/>
          </w:r>
          <w:hyperlink w:anchor="bookmark8" w:history="1">
            <w:r>
              <w:rPr>
                <w:color w:val="1F4E79"/>
                <w:spacing w:val="5"/>
                <w14:textOutline w14:w="3795" w14:cap="sq">
                  <w14:solidFill>
                    <w14:srgbClr w14:val="1F4E79"/>
                  </w14:solidFill>
                  <w14:prstDash w14:val="solid"/>
                  <w14:bevel/>
                </w14:textOutline>
              </w:rPr>
              <w:t>1</w:t>
            </w:r>
          </w:hyperlink>
          <w:r>
            <w:rPr>
              <w:color w:val="1F4E79"/>
              <w:spacing w:val="5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4</w:t>
          </w:r>
        </w:p>
        <w:p>
          <w:pPr>
            <w:pStyle w:val="BodyText"/>
            <w:tabs>
              <w:tab w:val="right" w:leader="dot" w:pos="8320"/>
            </w:tabs>
            <w:spacing w:before="218" w:line="236" w:lineRule="auto"/>
            <w:ind w:left="438"/>
          </w:pPr>
          <w:r>
            <w:rPr>
              <w:color w:val="1F4E79"/>
              <w:spacing w:val="2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2.1</w:t>
          </w:r>
          <w:r>
            <w:rPr>
              <w:color w:val="1F4E79"/>
              <w:spacing w:val="15"/>
            </w:rPr>
            <w:t xml:space="preserve">  </w:t>
          </w:r>
          <w:r>
            <w:rPr>
              <w:color w:val="1F4E79"/>
              <w:spacing w:val="2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万科</w:t>
          </w:r>
          <w:r>
            <w:rPr>
              <w:color w:val="1F4E79"/>
              <w:spacing w:val="-33"/>
            </w:rPr>
            <w:t xml:space="preserve"> </w:t>
          </w:r>
          <w:r>
            <w:rPr>
              <w:color w:val="1F4E79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ab/>
          </w:r>
          <w:r>
            <w:rPr>
              <w:color w:val="1F4E79"/>
              <w:spacing w:val="-16"/>
            </w:rPr>
            <w:t xml:space="preserve"> </w:t>
          </w:r>
          <w:hyperlink w:anchor="bookmark9" w:history="1">
            <w:r>
              <w:rPr>
                <w:color w:val="1F4E79"/>
                <w:spacing w:val="-5"/>
                <w14:textOutline w14:w="3795" w14:cap="sq">
                  <w14:solidFill>
                    <w14:srgbClr w14:val="1F4E79"/>
                  </w14:solidFill>
                  <w14:prstDash w14:val="solid"/>
                  <w14:bevel/>
                </w14:textOutline>
              </w:rPr>
              <w:t>1</w:t>
            </w:r>
          </w:hyperlink>
          <w:r>
            <w:rPr>
              <w:color w:val="1F4E79"/>
              <w:spacing w:val="-5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4</w:t>
          </w:r>
        </w:p>
        <w:p>
          <w:pPr>
            <w:pStyle w:val="BodyText"/>
            <w:tabs>
              <w:tab w:val="right" w:leader="dot" w:pos="8320"/>
            </w:tabs>
            <w:spacing w:before="212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2.1.1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新增土地储备</w:t>
          </w:r>
          <w:r>
            <w:rPr>
              <w:color w:val="1F4E79"/>
              <w:spacing w:val="-43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59"/>
            </w:rPr>
            <w:t xml:space="preserve"> </w:t>
          </w:r>
          <w:hyperlink w:anchor="bookmark10" w:history="1">
            <w:r>
              <w:rPr>
                <w:rFonts w:ascii="Arial" w:eastAsia="Arial" w:hAnsi="Arial" w:cs="Arial"/>
                <w:color w:val="1F4E79"/>
                <w:spacing w:val="-7"/>
              </w:rPr>
              <w:t>1</w:t>
            </w:r>
          </w:hyperlink>
          <w:r>
            <w:rPr>
              <w:rFonts w:ascii="Arial" w:eastAsia="Arial" w:hAnsi="Arial" w:cs="Arial"/>
              <w:color w:val="1F4E79"/>
              <w:spacing w:val="-7"/>
            </w:rPr>
            <w:t>4</w:t>
          </w:r>
        </w:p>
        <w:p>
          <w:pPr>
            <w:pStyle w:val="BodyText"/>
            <w:tabs>
              <w:tab w:val="right" w:leader="dot" w:pos="8320"/>
            </w:tabs>
            <w:spacing w:before="59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2.1.2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全国销售情况</w:t>
          </w:r>
          <w:r>
            <w:rPr>
              <w:color w:val="1F4E79"/>
              <w:spacing w:val="-43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59"/>
            </w:rPr>
            <w:t xml:space="preserve"> </w:t>
          </w:r>
          <w:hyperlink w:anchor="bookmark11" w:history="1">
            <w:r>
              <w:rPr>
                <w:rFonts w:ascii="Arial" w:eastAsia="Arial" w:hAnsi="Arial" w:cs="Arial"/>
                <w:color w:val="1F4E79"/>
                <w:spacing w:val="-7"/>
              </w:rPr>
              <w:t>1</w:t>
            </w:r>
          </w:hyperlink>
          <w:r>
            <w:rPr>
              <w:rFonts w:ascii="Arial" w:eastAsia="Arial" w:hAnsi="Arial" w:cs="Arial"/>
              <w:color w:val="1F4E79"/>
              <w:spacing w:val="-7"/>
            </w:rPr>
            <w:t>4</w:t>
          </w:r>
        </w:p>
        <w:p>
          <w:pPr>
            <w:pStyle w:val="BodyText"/>
            <w:tabs>
              <w:tab w:val="right" w:leader="dot" w:pos="8320"/>
            </w:tabs>
            <w:spacing w:before="59" w:line="237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4"/>
            </w:rPr>
            <w:t>2.1.3</w:t>
          </w:r>
          <w:r>
            <w:rPr>
              <w:color w:val="1F4E79"/>
              <w:spacing w:val="23"/>
            </w:rPr>
            <w:t xml:space="preserve"> </w:t>
          </w:r>
          <w:r>
            <w:rPr>
              <w:color w:val="1F4E79"/>
              <w:spacing w:val="4"/>
            </w:rPr>
            <w:t>热销项目</w:t>
          </w:r>
          <w:r>
            <w:rPr>
              <w:color w:val="1F4E79"/>
              <w:spacing w:val="-50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38"/>
            </w:rPr>
            <w:t xml:space="preserve"> </w:t>
          </w:r>
          <w:hyperlink w:anchor="bookmark12" w:history="1">
            <w:r>
              <w:rPr>
                <w:rFonts w:ascii="Arial" w:eastAsia="Arial" w:hAnsi="Arial" w:cs="Arial"/>
                <w:color w:val="1F4E79"/>
                <w:spacing w:val="-7"/>
              </w:rPr>
              <w:t>1</w:t>
            </w:r>
          </w:hyperlink>
          <w:r>
            <w:rPr>
              <w:rFonts w:ascii="Arial" w:eastAsia="Arial" w:hAnsi="Arial" w:cs="Arial"/>
              <w:color w:val="1F4E79"/>
              <w:spacing w:val="-7"/>
            </w:rPr>
            <w:t>5</w:t>
          </w:r>
        </w:p>
        <w:p>
          <w:pPr>
            <w:pStyle w:val="BodyText"/>
            <w:tabs>
              <w:tab w:val="right" w:leader="dot" w:pos="8320"/>
            </w:tabs>
            <w:spacing w:before="211" w:line="232" w:lineRule="auto"/>
            <w:ind w:left="438"/>
          </w:pPr>
          <w:r>
            <w:rPr>
              <w:color w:val="1F4E79"/>
              <w:spacing w:val="6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2.2</w:t>
          </w:r>
          <w:r>
            <w:rPr>
              <w:color w:val="1F4E79"/>
              <w:spacing w:val="6"/>
            </w:rPr>
            <w:t xml:space="preserve">  </w:t>
          </w:r>
          <w:r>
            <w:rPr>
              <w:color w:val="1F4E79"/>
              <w:spacing w:val="6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保利发展</w:t>
          </w:r>
          <w:r>
            <w:rPr>
              <w:color w:val="1F4E79"/>
              <w:spacing w:val="-24"/>
            </w:rPr>
            <w:t xml:space="preserve"> </w:t>
          </w:r>
          <w:r>
            <w:rPr>
              <w:color w:val="1F4E79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ab/>
          </w:r>
          <w:r>
            <w:rPr>
              <w:color w:val="1F4E79"/>
              <w:spacing w:val="-19"/>
            </w:rPr>
            <w:t xml:space="preserve"> </w:t>
          </w:r>
          <w:hyperlink w:anchor="bookmark13" w:history="1">
            <w:r>
              <w:rPr>
                <w:color w:val="1F4E79"/>
                <w:spacing w:val="-5"/>
                <w14:textOutline w14:w="3795" w14:cap="sq">
                  <w14:solidFill>
                    <w14:srgbClr w14:val="1F4E79"/>
                  </w14:solidFill>
                  <w14:prstDash w14:val="solid"/>
                  <w14:bevel/>
                </w14:textOutline>
              </w:rPr>
              <w:t>1</w:t>
            </w:r>
          </w:hyperlink>
          <w:r>
            <w:rPr>
              <w:color w:val="1F4E79"/>
              <w:spacing w:val="-5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6</w:t>
          </w:r>
        </w:p>
        <w:p>
          <w:pPr>
            <w:pStyle w:val="BodyText"/>
            <w:tabs>
              <w:tab w:val="right" w:leader="dot" w:pos="8320"/>
            </w:tabs>
            <w:spacing w:before="216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2.2.1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新增土地储备</w:t>
          </w:r>
          <w:r>
            <w:rPr>
              <w:color w:val="1F4E79"/>
              <w:spacing w:val="-43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59"/>
            </w:rPr>
            <w:t xml:space="preserve"> </w:t>
          </w:r>
          <w:hyperlink w:anchor="bookmark14" w:history="1">
            <w:r>
              <w:rPr>
                <w:rFonts w:ascii="Arial" w:eastAsia="Arial" w:hAnsi="Arial" w:cs="Arial"/>
                <w:color w:val="1F4E79"/>
                <w:spacing w:val="-7"/>
              </w:rPr>
              <w:t>1</w:t>
            </w:r>
          </w:hyperlink>
          <w:r>
            <w:rPr>
              <w:rFonts w:ascii="Arial" w:eastAsia="Arial" w:hAnsi="Arial" w:cs="Arial"/>
              <w:color w:val="1F4E79"/>
              <w:spacing w:val="-7"/>
            </w:rPr>
            <w:t>6</w:t>
          </w:r>
        </w:p>
        <w:p>
          <w:pPr>
            <w:pStyle w:val="BodyText"/>
            <w:tabs>
              <w:tab w:val="right" w:leader="dot" w:pos="8320"/>
            </w:tabs>
            <w:spacing w:before="59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2.2.2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全国销售情况</w:t>
          </w:r>
          <w:r>
            <w:rPr>
              <w:color w:val="1F4E79"/>
              <w:spacing w:val="-43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59"/>
            </w:rPr>
            <w:t xml:space="preserve"> </w:t>
          </w:r>
          <w:hyperlink w:anchor="bookmark15" w:history="1">
            <w:r>
              <w:rPr>
                <w:rFonts w:ascii="Arial" w:eastAsia="Arial" w:hAnsi="Arial" w:cs="Arial"/>
                <w:color w:val="1F4E79"/>
                <w:spacing w:val="-7"/>
              </w:rPr>
              <w:t>1</w:t>
            </w:r>
          </w:hyperlink>
          <w:r>
            <w:rPr>
              <w:rFonts w:ascii="Arial" w:eastAsia="Arial" w:hAnsi="Arial" w:cs="Arial"/>
              <w:color w:val="1F4E79"/>
              <w:spacing w:val="-7"/>
            </w:rPr>
            <w:t>6</w:t>
          </w:r>
        </w:p>
        <w:p>
          <w:pPr>
            <w:pStyle w:val="BodyText"/>
            <w:tabs>
              <w:tab w:val="right" w:leader="dot" w:pos="8320"/>
            </w:tabs>
            <w:spacing w:before="59" w:line="237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4"/>
            </w:rPr>
            <w:t>2.2.3</w:t>
          </w:r>
          <w:r>
            <w:rPr>
              <w:color w:val="1F4E79"/>
              <w:spacing w:val="23"/>
            </w:rPr>
            <w:t xml:space="preserve"> </w:t>
          </w:r>
          <w:r>
            <w:rPr>
              <w:color w:val="1F4E79"/>
              <w:spacing w:val="4"/>
            </w:rPr>
            <w:t>热销项目</w:t>
          </w:r>
          <w:r>
            <w:rPr>
              <w:color w:val="1F4E79"/>
              <w:spacing w:val="-50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38"/>
            </w:rPr>
            <w:t xml:space="preserve"> </w:t>
          </w:r>
          <w:hyperlink w:anchor="bookmark16" w:history="1">
            <w:r>
              <w:rPr>
                <w:rFonts w:ascii="Arial" w:eastAsia="Arial" w:hAnsi="Arial" w:cs="Arial"/>
                <w:color w:val="1F4E79"/>
                <w:spacing w:val="-7"/>
              </w:rPr>
              <w:t>1</w:t>
            </w:r>
          </w:hyperlink>
          <w:r>
            <w:rPr>
              <w:rFonts w:ascii="Arial" w:eastAsia="Arial" w:hAnsi="Arial" w:cs="Arial"/>
              <w:color w:val="1F4E79"/>
              <w:spacing w:val="-7"/>
            </w:rPr>
            <w:t>7</w:t>
          </w:r>
        </w:p>
        <w:p>
          <w:pPr>
            <w:pStyle w:val="BodyText"/>
            <w:tabs>
              <w:tab w:val="right" w:leader="dot" w:pos="8320"/>
            </w:tabs>
            <w:spacing w:before="210" w:line="232" w:lineRule="auto"/>
            <w:ind w:left="438"/>
          </w:pPr>
          <w:r>
            <w:rPr>
              <w:color w:val="1F4E79"/>
              <w:spacing w:val="2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2.3</w:t>
          </w:r>
          <w:r>
            <w:rPr>
              <w:color w:val="1F4E79"/>
              <w:spacing w:val="24"/>
            </w:rPr>
            <w:t xml:space="preserve">  </w:t>
          </w:r>
          <w:r>
            <w:rPr>
              <w:color w:val="1F4E79"/>
              <w:spacing w:val="2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中海地产</w:t>
          </w:r>
          <w:r>
            <w:rPr>
              <w:color w:val="1F4E79"/>
              <w:spacing w:val="-32"/>
            </w:rPr>
            <w:t xml:space="preserve"> </w:t>
          </w:r>
          <w:r>
            <w:rPr>
              <w:color w:val="1F4E79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ab/>
          </w:r>
          <w:r>
            <w:rPr>
              <w:color w:val="1F4E79"/>
              <w:spacing w:val="-19"/>
            </w:rPr>
            <w:t xml:space="preserve"> </w:t>
          </w:r>
          <w:hyperlink w:anchor="bookmark17" w:history="1">
            <w:r>
              <w:rPr>
                <w:color w:val="1F4E79"/>
                <w:spacing w:val="-5"/>
                <w14:textOutline w14:w="3795" w14:cap="sq">
                  <w14:solidFill>
                    <w14:srgbClr w14:val="1F4E79"/>
                  </w14:solidFill>
                  <w14:prstDash w14:val="solid"/>
                  <w14:bevel/>
                </w14:textOutline>
              </w:rPr>
              <w:t>1</w:t>
            </w:r>
          </w:hyperlink>
          <w:r>
            <w:rPr>
              <w:color w:val="1F4E79"/>
              <w:spacing w:val="-5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8</w:t>
          </w:r>
        </w:p>
        <w:p>
          <w:pPr>
            <w:pStyle w:val="BodyText"/>
            <w:tabs>
              <w:tab w:val="right" w:leader="dot" w:pos="8320"/>
            </w:tabs>
            <w:spacing w:before="217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2.3.1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新增土地储备</w:t>
          </w:r>
          <w:r>
            <w:rPr>
              <w:color w:val="1F4E79"/>
              <w:spacing w:val="-43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59"/>
            </w:rPr>
            <w:t xml:space="preserve"> </w:t>
          </w:r>
          <w:hyperlink w:anchor="bookmark18" w:history="1">
            <w:r>
              <w:rPr>
                <w:rFonts w:ascii="Arial" w:eastAsia="Arial" w:hAnsi="Arial" w:cs="Arial"/>
                <w:color w:val="1F4E79"/>
                <w:spacing w:val="-7"/>
              </w:rPr>
              <w:t>1</w:t>
            </w:r>
          </w:hyperlink>
          <w:r>
            <w:rPr>
              <w:rFonts w:ascii="Arial" w:eastAsia="Arial" w:hAnsi="Arial" w:cs="Arial"/>
              <w:color w:val="1F4E79"/>
              <w:spacing w:val="-7"/>
            </w:rPr>
            <w:t>8</w:t>
          </w:r>
        </w:p>
        <w:p>
          <w:pPr>
            <w:pStyle w:val="BodyText"/>
            <w:tabs>
              <w:tab w:val="right" w:leader="dot" w:pos="8320"/>
            </w:tabs>
            <w:spacing w:before="59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2.3.2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全国销售情况</w:t>
          </w:r>
          <w:r>
            <w:rPr>
              <w:color w:val="1F4E79"/>
              <w:spacing w:val="-43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59"/>
            </w:rPr>
            <w:t xml:space="preserve"> </w:t>
          </w:r>
          <w:hyperlink w:anchor="bookmark19" w:history="1">
            <w:r>
              <w:rPr>
                <w:rFonts w:ascii="Arial" w:eastAsia="Arial" w:hAnsi="Arial" w:cs="Arial"/>
                <w:color w:val="1F4E79"/>
                <w:spacing w:val="-7"/>
              </w:rPr>
              <w:t>1</w:t>
            </w:r>
          </w:hyperlink>
          <w:r>
            <w:rPr>
              <w:rFonts w:ascii="Arial" w:eastAsia="Arial" w:hAnsi="Arial" w:cs="Arial"/>
              <w:color w:val="1F4E79"/>
              <w:spacing w:val="-7"/>
            </w:rPr>
            <w:t>8</w:t>
          </w:r>
        </w:p>
        <w:p>
          <w:pPr>
            <w:pStyle w:val="BodyText"/>
            <w:tabs>
              <w:tab w:val="right" w:leader="dot" w:pos="8320"/>
            </w:tabs>
            <w:spacing w:before="59" w:line="237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4"/>
            </w:rPr>
            <w:t>2.3.3</w:t>
          </w:r>
          <w:r>
            <w:rPr>
              <w:color w:val="1F4E79"/>
              <w:spacing w:val="25"/>
            </w:rPr>
            <w:t xml:space="preserve"> </w:t>
          </w:r>
          <w:r>
            <w:rPr>
              <w:color w:val="1F4E79"/>
              <w:spacing w:val="4"/>
            </w:rPr>
            <w:t>热销项目</w:t>
          </w:r>
          <w:r>
            <w:rPr>
              <w:color w:val="1F4E79"/>
              <w:spacing w:val="-52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38"/>
            </w:rPr>
            <w:t xml:space="preserve"> </w:t>
          </w:r>
          <w:hyperlink w:anchor="bookmark20" w:history="1">
            <w:r>
              <w:rPr>
                <w:rFonts w:ascii="Arial" w:eastAsia="Arial" w:hAnsi="Arial" w:cs="Arial"/>
                <w:color w:val="1F4E79"/>
                <w:spacing w:val="-7"/>
              </w:rPr>
              <w:t>1</w:t>
            </w:r>
          </w:hyperlink>
          <w:r>
            <w:rPr>
              <w:rFonts w:ascii="Arial" w:eastAsia="Arial" w:hAnsi="Arial" w:cs="Arial"/>
              <w:color w:val="1F4E79"/>
              <w:spacing w:val="-7"/>
            </w:rPr>
            <w:t>9</w:t>
          </w:r>
        </w:p>
        <w:p>
          <w:pPr>
            <w:pStyle w:val="BodyText"/>
            <w:tabs>
              <w:tab w:val="right" w:leader="dot" w:pos="8320"/>
            </w:tabs>
            <w:spacing w:before="211" w:line="234" w:lineRule="auto"/>
            <w:ind w:left="438"/>
          </w:pPr>
          <w:r>
            <w:rPr>
              <w:color w:val="1F4E79"/>
              <w:spacing w:val="7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2.4</w:t>
          </w:r>
          <w:r>
            <w:rPr>
              <w:color w:val="1F4E79"/>
              <w:spacing w:val="7"/>
            </w:rPr>
            <w:t xml:space="preserve">  </w:t>
          </w:r>
          <w:r>
            <w:rPr>
              <w:color w:val="1F4E79"/>
              <w:spacing w:val="7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金地集团</w:t>
          </w:r>
          <w:r>
            <w:rPr>
              <w:color w:val="1F4E79"/>
              <w:spacing w:val="-33"/>
            </w:rPr>
            <w:t xml:space="preserve"> </w:t>
          </w:r>
          <w:r>
            <w:rPr>
              <w:color w:val="1F4E79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ab/>
          </w:r>
          <w:r>
            <w:rPr>
              <w:color w:val="1F4E79"/>
              <w:spacing w:val="-31"/>
            </w:rPr>
            <w:t xml:space="preserve"> </w:t>
          </w:r>
          <w:hyperlink w:anchor="bookmark21" w:history="1">
            <w:r>
              <w:rPr>
                <w:color w:val="1F4E79"/>
                <w:spacing w:val="1"/>
                <w14:textOutline w14:w="3795" w14:cap="sq">
                  <w14:solidFill>
                    <w14:srgbClr w14:val="1F4E79"/>
                  </w14:solidFill>
                  <w14:prstDash w14:val="solid"/>
                  <w14:bevel/>
                </w14:textOutline>
              </w:rPr>
              <w:t>2</w:t>
            </w:r>
          </w:hyperlink>
          <w:r>
            <w:rPr>
              <w:color w:val="1F4E79"/>
              <w:spacing w:val="1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0</w:t>
          </w:r>
        </w:p>
        <w:p>
          <w:pPr>
            <w:pStyle w:val="BodyText"/>
            <w:tabs>
              <w:tab w:val="right" w:leader="dot" w:pos="8320"/>
            </w:tabs>
            <w:spacing w:before="214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2.4.1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新增土地储备</w:t>
          </w:r>
          <w:r>
            <w:rPr>
              <w:color w:val="1F4E79"/>
              <w:spacing w:val="-43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75"/>
            </w:rPr>
            <w:t xml:space="preserve"> </w:t>
          </w:r>
          <w:hyperlink w:anchor="bookmark22" w:history="1">
            <w:r>
              <w:rPr>
                <w:rFonts w:ascii="Arial" w:eastAsia="Arial" w:hAnsi="Arial" w:cs="Arial"/>
                <w:color w:val="1F4E79"/>
                <w:spacing w:val="1"/>
              </w:rPr>
              <w:t>2</w:t>
            </w:r>
          </w:hyperlink>
          <w:r>
            <w:rPr>
              <w:rFonts w:ascii="Arial" w:eastAsia="Arial" w:hAnsi="Arial" w:cs="Arial"/>
              <w:color w:val="1F4E79"/>
              <w:spacing w:val="1"/>
            </w:rPr>
            <w:t>0</w:t>
          </w:r>
        </w:p>
        <w:p>
          <w:pPr>
            <w:pStyle w:val="BodyText"/>
            <w:tabs>
              <w:tab w:val="right" w:leader="dot" w:pos="8320"/>
            </w:tabs>
            <w:spacing w:before="58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2.4.2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全国销售情况</w:t>
          </w:r>
          <w:r>
            <w:rPr>
              <w:color w:val="1F4E79"/>
              <w:spacing w:val="-43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75"/>
            </w:rPr>
            <w:t xml:space="preserve"> </w:t>
          </w:r>
          <w:hyperlink w:anchor="bookmark23" w:history="1">
            <w:r>
              <w:rPr>
                <w:rFonts w:ascii="Arial" w:eastAsia="Arial" w:hAnsi="Arial" w:cs="Arial"/>
                <w:color w:val="1F4E79"/>
                <w:spacing w:val="1"/>
              </w:rPr>
              <w:t>2</w:t>
            </w:r>
          </w:hyperlink>
          <w:r>
            <w:rPr>
              <w:rFonts w:ascii="Arial" w:eastAsia="Arial" w:hAnsi="Arial" w:cs="Arial"/>
              <w:color w:val="1F4E79"/>
              <w:spacing w:val="1"/>
            </w:rPr>
            <w:t>0</w:t>
          </w:r>
        </w:p>
        <w:p>
          <w:pPr>
            <w:pStyle w:val="BodyText"/>
            <w:tabs>
              <w:tab w:val="right" w:leader="dot" w:pos="8320"/>
            </w:tabs>
            <w:spacing w:before="60" w:line="237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4"/>
            </w:rPr>
            <w:t>2.4.3</w:t>
          </w:r>
          <w:r>
            <w:rPr>
              <w:color w:val="1F4E79"/>
              <w:spacing w:val="23"/>
            </w:rPr>
            <w:t xml:space="preserve"> </w:t>
          </w:r>
          <w:r>
            <w:rPr>
              <w:color w:val="1F4E79"/>
              <w:spacing w:val="4"/>
            </w:rPr>
            <w:t>热销项目</w:t>
          </w:r>
          <w:r>
            <w:rPr>
              <w:color w:val="1F4E79"/>
              <w:spacing w:val="-50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54"/>
            </w:rPr>
            <w:t xml:space="preserve"> </w:t>
          </w:r>
          <w:hyperlink w:anchor="bookmark24" w:history="1">
            <w:r>
              <w:rPr>
                <w:rFonts w:ascii="Arial" w:eastAsia="Arial" w:hAnsi="Arial" w:cs="Arial"/>
                <w:color w:val="1F4E79"/>
                <w:spacing w:val="10"/>
              </w:rPr>
              <w:t>2</w:t>
            </w:r>
          </w:hyperlink>
          <w:r>
            <w:rPr>
              <w:rFonts w:ascii="Arial" w:eastAsia="Arial" w:hAnsi="Arial" w:cs="Arial"/>
              <w:color w:val="1F4E79"/>
              <w:spacing w:val="10"/>
            </w:rPr>
            <w:t>1</w:t>
          </w:r>
        </w:p>
        <w:p>
          <w:pPr>
            <w:pStyle w:val="BodyText"/>
            <w:tabs>
              <w:tab w:val="right" w:leader="dot" w:pos="8320"/>
            </w:tabs>
            <w:spacing w:before="210" w:line="234" w:lineRule="auto"/>
            <w:ind w:left="438"/>
          </w:pPr>
          <w:r>
            <w:rPr>
              <w:color w:val="1F4E79"/>
              <w:spacing w:val="5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2.5</w:t>
          </w:r>
          <w:r>
            <w:rPr>
              <w:color w:val="1F4E79"/>
              <w:spacing w:val="14"/>
            </w:rPr>
            <w:t xml:space="preserve">  </w:t>
          </w:r>
          <w:r>
            <w:rPr>
              <w:color w:val="1F4E79"/>
              <w:spacing w:val="5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绿城中国</w:t>
          </w:r>
          <w:r>
            <w:rPr>
              <w:color w:val="1F4E79"/>
              <w:spacing w:val="-33"/>
            </w:rPr>
            <w:t xml:space="preserve"> </w:t>
          </w:r>
          <w:r>
            <w:rPr>
              <w:color w:val="1F4E79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ab/>
          </w:r>
          <w:r>
            <w:rPr>
              <w:color w:val="1F4E79"/>
              <w:spacing w:val="-31"/>
            </w:rPr>
            <w:t xml:space="preserve"> </w:t>
          </w:r>
          <w:hyperlink w:anchor="bookmark25" w:history="1">
            <w:r>
              <w:rPr>
                <w:color w:val="1F4E79"/>
                <w:spacing w:val="1"/>
                <w14:textOutline w14:w="3795" w14:cap="sq">
                  <w14:solidFill>
                    <w14:srgbClr w14:val="1F4E79"/>
                  </w14:solidFill>
                  <w14:prstDash w14:val="solid"/>
                  <w14:bevel/>
                </w14:textOutline>
              </w:rPr>
              <w:t>2</w:t>
            </w:r>
          </w:hyperlink>
          <w:r>
            <w:rPr>
              <w:color w:val="1F4E79"/>
              <w:spacing w:val="1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2</w:t>
          </w:r>
        </w:p>
        <w:p>
          <w:pPr>
            <w:pStyle w:val="BodyText"/>
            <w:tabs>
              <w:tab w:val="right" w:leader="dot" w:pos="8320"/>
            </w:tabs>
            <w:spacing w:before="215" w:line="234" w:lineRule="auto"/>
            <w:ind w:left="858"/>
            <w:rPr>
              <w:rFonts w:ascii="Arial" w:eastAsia="Arial" w:hAnsi="Arial" w:cs="Arial"/>
            </w:rPr>
            <w:sectPr>
              <w:headerReference w:type="default" r:id="rId9"/>
              <w:pgSz w:w="11906" w:h="16839"/>
              <w:pgMar w:top="400" w:right="1245" w:bottom="0" w:left="1785" w:header="0" w:footer="0" w:gutter="0"/>
              <w:pgNumType w:start="3"/>
              <w:cols w:space="708"/>
            </w:sectPr>
          </w:pPr>
          <w:r>
            <w:rPr>
              <w:color w:val="1F4E79"/>
              <w:spacing w:val="6"/>
            </w:rPr>
            <w:t>2.5.1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新增土地储备</w:t>
          </w:r>
          <w:r>
            <w:rPr>
              <w:color w:val="1F4E79"/>
              <w:spacing w:val="-43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75"/>
            </w:rPr>
            <w:t xml:space="preserve"> </w:t>
          </w:r>
          <w:hyperlink w:anchor="bookmark26" w:history="1">
            <w:r>
              <w:rPr>
                <w:rFonts w:ascii="Arial" w:eastAsia="Arial" w:hAnsi="Arial" w:cs="Arial"/>
                <w:color w:val="1F4E79"/>
                <w:spacing w:val="1"/>
              </w:rPr>
              <w:t>2</w:t>
            </w:r>
          </w:hyperlink>
          <w:r>
            <w:rPr>
              <w:rFonts w:ascii="Arial" w:eastAsia="Arial" w:hAnsi="Arial" w:cs="Arial"/>
              <w:color w:val="1F4E79"/>
              <w:spacing w:val="1"/>
            </w:rPr>
            <w:t>2</w:t>
          </w:r>
        </w:p>
      </w:sdtContent>
    </w:sdt>
    <w:sdt>
      <w:sdtPr>
        <w:rPr>
          <w:rFonts w:ascii="KaiTi" w:eastAsia="KaiTi" w:hAnsi="KaiTi" w:cs="KaiTi"/>
          <w:sz w:val="30"/>
          <w:szCs w:val="30"/>
        </w:rPr>
        <w:id w:val="811574244"/>
        <w:docPartObj>
          <w:docPartGallery w:val="Table of Contents"/>
          <w:docPartUnique/>
        </w:docPartObj>
      </w:sdtPr>
      <w:sdtEndPr>
        <w:rPr>
          <w:rFonts w:ascii="KaiTi" w:eastAsia="KaiTi" w:hAnsi="KaiTi" w:cs="KaiTi"/>
          <w:sz w:val="20"/>
          <w:szCs w:val="20"/>
        </w:rPr>
      </w:sdtEndPr>
      <w:sdtContent>
        <w:p>
          <w:pPr>
            <w:pStyle w:val="BodyText"/>
            <w:tabs>
              <w:tab w:val="right" w:leader="dot" w:pos="8320"/>
            </w:tabs>
            <w:spacing w:before="58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2.5.2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全国销售情况</w:t>
          </w:r>
          <w:r>
            <w:rPr>
              <w:color w:val="1F4E79"/>
              <w:spacing w:val="-43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75"/>
            </w:rPr>
            <w:t xml:space="preserve"> </w:t>
          </w:r>
          <w:hyperlink w:anchor="bookmark27" w:history="1">
            <w:r>
              <w:rPr>
                <w:rFonts w:ascii="Arial" w:eastAsia="Arial" w:hAnsi="Arial" w:cs="Arial"/>
                <w:color w:val="1F4E79"/>
                <w:spacing w:val="1"/>
              </w:rPr>
              <w:t>2</w:t>
            </w:r>
          </w:hyperlink>
          <w:r>
            <w:rPr>
              <w:rFonts w:ascii="Arial" w:eastAsia="Arial" w:hAnsi="Arial" w:cs="Arial"/>
              <w:color w:val="1F4E79"/>
              <w:spacing w:val="1"/>
            </w:rPr>
            <w:t>2</w:t>
          </w:r>
        </w:p>
        <w:p>
          <w:pPr>
            <w:pStyle w:val="BodyText"/>
            <w:tabs>
              <w:tab w:val="right" w:leader="dot" w:pos="8320"/>
            </w:tabs>
            <w:spacing w:before="59" w:line="237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4"/>
            </w:rPr>
            <w:t>2.5.3</w:t>
          </w:r>
          <w:r>
            <w:rPr>
              <w:color w:val="1F4E79"/>
              <w:spacing w:val="23"/>
            </w:rPr>
            <w:t xml:space="preserve"> </w:t>
          </w:r>
          <w:r>
            <w:rPr>
              <w:color w:val="1F4E79"/>
              <w:spacing w:val="4"/>
            </w:rPr>
            <w:t>热销项目</w:t>
          </w:r>
          <w:r>
            <w:rPr>
              <w:color w:val="1F4E79"/>
              <w:spacing w:val="-50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54"/>
            </w:rPr>
            <w:t xml:space="preserve"> </w:t>
          </w:r>
          <w:hyperlink w:anchor="bookmark28" w:history="1">
            <w:r>
              <w:rPr>
                <w:rFonts w:ascii="Arial" w:eastAsia="Arial" w:hAnsi="Arial" w:cs="Arial"/>
                <w:color w:val="1F4E79"/>
                <w:spacing w:val="1"/>
              </w:rPr>
              <w:t>2</w:t>
            </w:r>
          </w:hyperlink>
          <w:r>
            <w:rPr>
              <w:rFonts w:ascii="Arial" w:eastAsia="Arial" w:hAnsi="Arial" w:cs="Arial"/>
              <w:color w:val="1F4E79"/>
              <w:spacing w:val="1"/>
            </w:rPr>
            <w:t>3</w:t>
          </w:r>
        </w:p>
        <w:p>
          <w:pPr>
            <w:pStyle w:val="BodyText"/>
            <w:tabs>
              <w:tab w:val="right" w:leader="dot" w:pos="8320"/>
            </w:tabs>
            <w:spacing w:before="211" w:line="232" w:lineRule="auto"/>
            <w:ind w:left="438"/>
          </w:pPr>
          <w:r>
            <w:rPr>
              <w:color w:val="1F4E79"/>
              <w:spacing w:val="3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2.6</w:t>
          </w:r>
          <w:r>
            <w:rPr>
              <w:color w:val="1F4E79"/>
              <w:spacing w:val="21"/>
            </w:rPr>
            <w:t xml:space="preserve">  </w:t>
          </w:r>
          <w:r>
            <w:rPr>
              <w:color w:val="1F4E79"/>
              <w:spacing w:val="3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富力地产</w:t>
          </w:r>
          <w:r>
            <w:rPr>
              <w:color w:val="1F4E79"/>
              <w:spacing w:val="-33"/>
            </w:rPr>
            <w:t xml:space="preserve"> </w:t>
          </w:r>
          <w:r>
            <w:rPr>
              <w:color w:val="1F4E79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ab/>
          </w:r>
          <w:r>
            <w:rPr>
              <w:color w:val="1F4E79"/>
              <w:spacing w:val="-31"/>
            </w:rPr>
            <w:t xml:space="preserve"> </w:t>
          </w:r>
          <w:hyperlink w:anchor="bookmark29" w:history="1">
            <w:r>
              <w:rPr>
                <w:color w:val="1F4E79"/>
                <w:spacing w:val="1"/>
                <w14:textOutline w14:w="3795" w14:cap="sq">
                  <w14:solidFill>
                    <w14:srgbClr w14:val="1F4E79"/>
                  </w14:solidFill>
                  <w14:prstDash w14:val="solid"/>
                  <w14:bevel/>
                </w14:textOutline>
              </w:rPr>
              <w:t>2</w:t>
            </w:r>
          </w:hyperlink>
          <w:r>
            <w:rPr>
              <w:color w:val="1F4E79"/>
              <w:spacing w:val="1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5</w:t>
          </w:r>
        </w:p>
      </w:sdtContent>
    </w:sdt>
    <w:p>
      <w:pPr>
        <w:spacing w:before="212" w:line="45" w:lineRule="exact"/>
        <w:ind w:firstLine="86"/>
      </w:pPr>
      <w:r>
        <w:drawing>
          <wp:inline distT="0" distB="0" distL="0" distR="0">
            <wp:extent cx="5267350" cy="2857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5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36" w:line="232" w:lineRule="auto"/>
        <w:ind w:left="22"/>
        <w:rPr>
          <w:sz w:val="14"/>
          <w:szCs w:val="14"/>
        </w:rPr>
      </w:pPr>
      <w:r>
        <w:rPr>
          <w:color w:val="24405B"/>
          <w:spacing w:val="8"/>
          <w:sz w:val="14"/>
          <w:szCs w:val="14"/>
          <w14:textOutline w14:w="2705" w14:cap="sq">
            <w14:solidFill>
              <w14:srgbClr w14:val="24405B"/>
            </w14:solidFill>
            <w14:prstDash w14:val="solid"/>
            <w14:bevel/>
          </w14:textOutline>
        </w:rPr>
        <w:t>本报告数据来自于中指研究院大数据中心。如有疑问，请咨询</w:t>
      </w:r>
      <w:r>
        <w:rPr>
          <w:color w:val="24405B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4405B"/>
          <w:spacing w:val="8"/>
          <w:sz w:val="14"/>
          <w:szCs w:val="14"/>
        </w:rPr>
        <w:t>400-630-6618</w:t>
      </w:r>
      <w:r>
        <w:rPr>
          <w:color w:val="24405B"/>
          <w:spacing w:val="8"/>
          <w:sz w:val="14"/>
          <w:szCs w:val="14"/>
          <w14:textOutline w14:w="2705" w14:cap="sq">
            <w14:solidFill>
              <w14:srgbClr w14:val="24405B"/>
            </w14:solidFill>
            <w14:prstDash w14:val="solid"/>
            <w14:bevel/>
          </w14:textOutline>
        </w:rPr>
        <w:t>。</w:t>
      </w:r>
    </w:p>
    <w:p>
      <w:pPr>
        <w:spacing w:line="232" w:lineRule="auto"/>
        <w:rPr>
          <w:sz w:val="14"/>
          <w:szCs w:val="14"/>
        </w:rPr>
        <w:sectPr>
          <w:headerReference w:type="default" r:id="rId11"/>
          <w:type w:val="nextPage"/>
          <w:pgSz w:w="11906" w:h="16839"/>
          <w:pgMar w:top="400" w:right="1245" w:bottom="0" w:left="1785" w:header="0" w:footer="0" w:gutter="0"/>
          <w:pgNumType w:start="4"/>
          <w:cols w:space="708"/>
          <w:titlePg w:val="0"/>
        </w:sectPr>
      </w:pPr>
    </w:p>
    <w:p>
      <w:pPr>
        <w:spacing w:line="414" w:lineRule="auto"/>
        <w:rPr>
          <w:rFonts w:ascii="Arial"/>
          <w:sz w:val="21"/>
        </w:rPr>
      </w:pP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5251703</wp:posOffset>
            </wp:positionH>
            <wp:positionV relativeFrom="page">
              <wp:posOffset>204215</wp:posOffset>
            </wp:positionV>
            <wp:extent cx="1517903" cy="44958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7903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5" w:line="226" w:lineRule="auto"/>
        <w:ind w:left="39"/>
        <w:rPr>
          <w:rFonts w:ascii="SimSun" w:eastAsia="SimSun" w:hAnsi="SimSun" w:cs="SimSun"/>
          <w:sz w:val="20"/>
          <w:szCs w:val="20"/>
        </w:rPr>
      </w:pPr>
      <w:bookmarkStart w:id="1" w:name="bookmark7"/>
      <w:bookmarkEnd w:id="1"/>
      <w:r>
        <w:rPr>
          <w:rFonts w:ascii="SimSun" w:eastAsia="SimSun" w:hAnsi="SimSun" w:cs="SimSun"/>
          <w:spacing w:val="5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中国房地产企业监测报告（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 xml:space="preserve">2024 </w:t>
      </w:r>
      <w:r>
        <w:rPr>
          <w:rFonts w:ascii="SimSun" w:eastAsia="SimSun" w:hAnsi="SimSun" w:cs="SimSun"/>
          <w:spacing w:val="5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rFonts w:ascii="SimSun" w:eastAsia="SimSun" w:hAnsi="SimSun" w:cs="SimSun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 xml:space="preserve">1 </w:t>
      </w:r>
      <w:r>
        <w:rPr>
          <w:rFonts w:ascii="SimSun" w:eastAsia="SimSun" w:hAnsi="SimSun" w:cs="SimSun"/>
          <w:spacing w:val="5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月）</w:t>
      </w:r>
    </w:p>
    <w:p>
      <w:pPr>
        <w:spacing w:before="15" w:line="29" w:lineRule="exact"/>
        <w:ind w:firstLine="11"/>
      </w:pPr>
      <w:r>
        <w:pict>
          <v:shape id="_x0000_i1031" style="width:415.65pt;height:1.45pt;mso-position-horizontal-relative:char;mso-position-vertical-relative:line" coordorigin="0,0" coordsize="8312,29" path="m,l8312,l8312,28l,28l,xe" filled="t" fillcolor="#1f497d" stroked="f">
            <w10:wrap type="none"/>
          </v:shape>
        </w:pict>
      </w:r>
    </w:p>
    <w:p>
      <w:pPr>
        <w:spacing w:line="253" w:lineRule="auto"/>
        <w:rPr>
          <w:rFonts w:ascii="Arial"/>
          <w:sz w:val="21"/>
        </w:rPr>
      </w:pPr>
    </w:p>
    <w:sdt>
      <w:sdtPr>
        <w:rPr>
          <w:rFonts w:ascii="KaiTi" w:eastAsia="KaiTi" w:hAnsi="KaiTi" w:cs="KaiTi"/>
          <w:sz w:val="20"/>
          <w:szCs w:val="20"/>
        </w:rPr>
        <w:id w:val="501316653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20"/>
          <w:szCs w:val="20"/>
        </w:rPr>
      </w:sdtEndPr>
      <w:sdtContent>
        <w:p>
          <w:pPr>
            <w:pStyle w:val="BodyText"/>
            <w:tabs>
              <w:tab w:val="right" w:leader="dot" w:pos="8320"/>
            </w:tabs>
            <w:spacing w:before="65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2.6.1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新增土地储备</w:t>
          </w:r>
          <w:r>
            <w:rPr>
              <w:color w:val="1F4E79"/>
              <w:spacing w:val="-43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75"/>
            </w:rPr>
            <w:t xml:space="preserve"> </w:t>
          </w:r>
          <w:hyperlink w:anchor="bookmark30" w:history="1">
            <w:r>
              <w:rPr>
                <w:rFonts w:ascii="Arial" w:eastAsia="Arial" w:hAnsi="Arial" w:cs="Arial"/>
                <w:color w:val="1F4E79"/>
                <w:spacing w:val="1"/>
              </w:rPr>
              <w:t>2</w:t>
            </w:r>
          </w:hyperlink>
          <w:r>
            <w:rPr>
              <w:rFonts w:ascii="Arial" w:eastAsia="Arial" w:hAnsi="Arial" w:cs="Arial"/>
              <w:color w:val="1F4E79"/>
              <w:spacing w:val="1"/>
            </w:rPr>
            <w:t>5</w:t>
          </w:r>
        </w:p>
        <w:p>
          <w:pPr>
            <w:pStyle w:val="BodyText"/>
            <w:tabs>
              <w:tab w:val="right" w:leader="dot" w:pos="8320"/>
            </w:tabs>
            <w:spacing w:before="58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2.6.2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全国销售情况</w:t>
          </w:r>
          <w:r>
            <w:rPr>
              <w:color w:val="1F4E79"/>
              <w:spacing w:val="-43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75"/>
            </w:rPr>
            <w:t xml:space="preserve"> </w:t>
          </w:r>
          <w:hyperlink w:anchor="bookmark31" w:history="1">
            <w:r>
              <w:rPr>
                <w:rFonts w:ascii="Arial" w:eastAsia="Arial" w:hAnsi="Arial" w:cs="Arial"/>
                <w:color w:val="1F4E79"/>
                <w:spacing w:val="1"/>
              </w:rPr>
              <w:t>2</w:t>
            </w:r>
          </w:hyperlink>
          <w:r>
            <w:rPr>
              <w:rFonts w:ascii="Arial" w:eastAsia="Arial" w:hAnsi="Arial" w:cs="Arial"/>
              <w:color w:val="1F4E79"/>
              <w:spacing w:val="1"/>
            </w:rPr>
            <w:t>5</w:t>
          </w:r>
        </w:p>
        <w:p>
          <w:pPr>
            <w:pStyle w:val="BodyText"/>
            <w:tabs>
              <w:tab w:val="right" w:leader="dot" w:pos="8320"/>
            </w:tabs>
            <w:spacing w:before="59" w:line="237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4"/>
            </w:rPr>
            <w:t>2.6.3</w:t>
          </w:r>
          <w:r>
            <w:rPr>
              <w:color w:val="1F4E79"/>
              <w:spacing w:val="23"/>
            </w:rPr>
            <w:t xml:space="preserve"> </w:t>
          </w:r>
          <w:r>
            <w:rPr>
              <w:color w:val="1F4E79"/>
              <w:spacing w:val="4"/>
            </w:rPr>
            <w:t>热销项目</w:t>
          </w:r>
          <w:r>
            <w:rPr>
              <w:color w:val="1F4E79"/>
              <w:spacing w:val="-50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54"/>
            </w:rPr>
            <w:t xml:space="preserve"> </w:t>
          </w:r>
          <w:hyperlink w:anchor="bookmark32" w:history="1">
            <w:r>
              <w:rPr>
                <w:rFonts w:ascii="Arial" w:eastAsia="Arial" w:hAnsi="Arial" w:cs="Arial"/>
                <w:color w:val="1F4E79"/>
                <w:spacing w:val="1"/>
              </w:rPr>
              <w:t>2</w:t>
            </w:r>
          </w:hyperlink>
          <w:r>
            <w:rPr>
              <w:rFonts w:ascii="Arial" w:eastAsia="Arial" w:hAnsi="Arial" w:cs="Arial"/>
              <w:color w:val="1F4E79"/>
              <w:spacing w:val="1"/>
            </w:rPr>
            <w:t>6</w:t>
          </w:r>
        </w:p>
        <w:p>
          <w:pPr>
            <w:pStyle w:val="BodyText"/>
            <w:tabs>
              <w:tab w:val="right" w:leader="dot" w:pos="8320"/>
            </w:tabs>
            <w:spacing w:before="210" w:line="234" w:lineRule="auto"/>
            <w:ind w:left="438"/>
          </w:pPr>
          <w:r>
            <w:rPr>
              <w:color w:val="1F4E79"/>
              <w:spacing w:val="2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2.7</w:t>
          </w:r>
          <w:r>
            <w:rPr>
              <w:color w:val="1F4E79"/>
              <w:spacing w:val="23"/>
            </w:rPr>
            <w:t xml:space="preserve">  </w:t>
          </w:r>
          <w:r>
            <w:rPr>
              <w:color w:val="1F4E79"/>
              <w:spacing w:val="2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中国恒大</w:t>
          </w:r>
          <w:r>
            <w:rPr>
              <w:color w:val="1F4E79"/>
              <w:spacing w:val="-30"/>
            </w:rPr>
            <w:t xml:space="preserve"> </w:t>
          </w:r>
          <w:r>
            <w:rPr>
              <w:color w:val="1F4E79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ab/>
          </w:r>
          <w:r>
            <w:rPr>
              <w:color w:val="1F4E79"/>
              <w:spacing w:val="-31"/>
            </w:rPr>
            <w:t xml:space="preserve"> </w:t>
          </w:r>
          <w:hyperlink w:anchor="bookmark33" w:history="1">
            <w:r>
              <w:rPr>
                <w:color w:val="1F4E79"/>
                <w:spacing w:val="1"/>
                <w14:textOutline w14:w="3795" w14:cap="sq">
                  <w14:solidFill>
                    <w14:srgbClr w14:val="1F4E79"/>
                  </w14:solidFill>
                  <w14:prstDash w14:val="solid"/>
                  <w14:bevel/>
                </w14:textOutline>
              </w:rPr>
              <w:t>2</w:t>
            </w:r>
          </w:hyperlink>
          <w:r>
            <w:rPr>
              <w:color w:val="1F4E79"/>
              <w:spacing w:val="1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7</w:t>
          </w:r>
        </w:p>
        <w:p>
          <w:pPr>
            <w:pStyle w:val="BodyText"/>
            <w:tabs>
              <w:tab w:val="right" w:leader="dot" w:pos="8320"/>
            </w:tabs>
            <w:spacing w:before="215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2.7.1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新增土地储备</w:t>
          </w:r>
          <w:r>
            <w:rPr>
              <w:color w:val="1F4E79"/>
              <w:spacing w:val="-43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75"/>
            </w:rPr>
            <w:t xml:space="preserve"> </w:t>
          </w:r>
          <w:hyperlink w:anchor="bookmark34" w:history="1">
            <w:r>
              <w:rPr>
                <w:rFonts w:ascii="Arial" w:eastAsia="Arial" w:hAnsi="Arial" w:cs="Arial"/>
                <w:color w:val="1F4E79"/>
                <w:spacing w:val="1"/>
              </w:rPr>
              <w:t>2</w:t>
            </w:r>
          </w:hyperlink>
          <w:r>
            <w:rPr>
              <w:rFonts w:ascii="Arial" w:eastAsia="Arial" w:hAnsi="Arial" w:cs="Arial"/>
              <w:color w:val="1F4E79"/>
              <w:spacing w:val="1"/>
            </w:rPr>
            <w:t>7</w:t>
          </w:r>
        </w:p>
        <w:p>
          <w:pPr>
            <w:pStyle w:val="BodyText"/>
            <w:tabs>
              <w:tab w:val="right" w:leader="dot" w:pos="8320"/>
            </w:tabs>
            <w:spacing w:before="58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2.7.2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全国销售情况</w:t>
          </w:r>
          <w:r>
            <w:rPr>
              <w:color w:val="1F4E79"/>
              <w:spacing w:val="-43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75"/>
            </w:rPr>
            <w:t xml:space="preserve"> </w:t>
          </w:r>
          <w:hyperlink w:anchor="bookmark35" w:history="1">
            <w:r>
              <w:rPr>
                <w:rFonts w:ascii="Arial" w:eastAsia="Arial" w:hAnsi="Arial" w:cs="Arial"/>
                <w:color w:val="1F4E79"/>
                <w:spacing w:val="1"/>
              </w:rPr>
              <w:t>2</w:t>
            </w:r>
          </w:hyperlink>
          <w:r>
            <w:rPr>
              <w:rFonts w:ascii="Arial" w:eastAsia="Arial" w:hAnsi="Arial" w:cs="Arial"/>
              <w:color w:val="1F4E79"/>
              <w:spacing w:val="1"/>
            </w:rPr>
            <w:t>7</w:t>
          </w:r>
        </w:p>
        <w:p>
          <w:pPr>
            <w:pStyle w:val="BodyText"/>
            <w:tabs>
              <w:tab w:val="right" w:leader="dot" w:pos="8320"/>
            </w:tabs>
            <w:spacing w:before="60" w:line="237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4"/>
            </w:rPr>
            <w:t>2.7.3</w:t>
          </w:r>
          <w:r>
            <w:rPr>
              <w:color w:val="1F4E79"/>
              <w:spacing w:val="23"/>
            </w:rPr>
            <w:t xml:space="preserve"> </w:t>
          </w:r>
          <w:r>
            <w:rPr>
              <w:color w:val="1F4E79"/>
              <w:spacing w:val="4"/>
            </w:rPr>
            <w:t>热销项目</w:t>
          </w:r>
          <w:r>
            <w:rPr>
              <w:color w:val="1F4E79"/>
              <w:spacing w:val="-50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54"/>
            </w:rPr>
            <w:t xml:space="preserve"> </w:t>
          </w:r>
          <w:hyperlink w:anchor="bookmark36" w:history="1">
            <w:r>
              <w:rPr>
                <w:rFonts w:ascii="Arial" w:eastAsia="Arial" w:hAnsi="Arial" w:cs="Arial"/>
                <w:color w:val="1F4E79"/>
                <w:spacing w:val="1"/>
              </w:rPr>
              <w:t>2</w:t>
            </w:r>
          </w:hyperlink>
          <w:r>
            <w:rPr>
              <w:rFonts w:ascii="Arial" w:eastAsia="Arial" w:hAnsi="Arial" w:cs="Arial"/>
              <w:color w:val="1F4E79"/>
              <w:spacing w:val="1"/>
            </w:rPr>
            <w:t>7</w:t>
          </w:r>
        </w:p>
        <w:p>
          <w:pPr>
            <w:pStyle w:val="BodyText"/>
            <w:tabs>
              <w:tab w:val="right" w:leader="dot" w:pos="8320"/>
            </w:tabs>
            <w:spacing w:before="211" w:line="234" w:lineRule="auto"/>
            <w:ind w:left="438"/>
          </w:pPr>
          <w:r>
            <w:rPr>
              <w:color w:val="1F4E79"/>
              <w:spacing w:val="5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2.8</w:t>
          </w:r>
          <w:r>
            <w:rPr>
              <w:color w:val="1F4E79"/>
              <w:spacing w:val="12"/>
            </w:rPr>
            <w:t xml:space="preserve">  </w:t>
          </w:r>
          <w:r>
            <w:rPr>
              <w:color w:val="1F4E79"/>
              <w:spacing w:val="5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龙湖集团</w:t>
          </w:r>
          <w:r>
            <w:rPr>
              <w:color w:val="1F4E79"/>
              <w:spacing w:val="-29"/>
            </w:rPr>
            <w:t xml:space="preserve"> </w:t>
          </w:r>
          <w:r>
            <w:rPr>
              <w:color w:val="1F4E79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ab/>
          </w:r>
          <w:r>
            <w:rPr>
              <w:color w:val="1F4E79"/>
              <w:spacing w:val="-31"/>
            </w:rPr>
            <w:t xml:space="preserve"> </w:t>
          </w:r>
          <w:hyperlink w:anchor="bookmark37" w:history="1">
            <w:r>
              <w:rPr>
                <w:color w:val="1F4E79"/>
                <w:spacing w:val="1"/>
                <w14:textOutline w14:w="3795" w14:cap="sq">
                  <w14:solidFill>
                    <w14:srgbClr w14:val="1F4E79"/>
                  </w14:solidFill>
                  <w14:prstDash w14:val="solid"/>
                  <w14:bevel/>
                </w14:textOutline>
              </w:rPr>
              <w:t>2</w:t>
            </w:r>
          </w:hyperlink>
          <w:r>
            <w:rPr>
              <w:color w:val="1F4E79"/>
              <w:spacing w:val="1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8</w:t>
          </w:r>
        </w:p>
        <w:p>
          <w:pPr>
            <w:pStyle w:val="BodyText"/>
            <w:tabs>
              <w:tab w:val="right" w:leader="dot" w:pos="8320"/>
            </w:tabs>
            <w:spacing w:before="214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2.8.1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新增土地储备</w:t>
          </w:r>
          <w:r>
            <w:rPr>
              <w:color w:val="1F4E79"/>
              <w:spacing w:val="-43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75"/>
            </w:rPr>
            <w:t xml:space="preserve"> </w:t>
          </w:r>
          <w:hyperlink w:anchor="bookmark38" w:history="1">
            <w:r>
              <w:rPr>
                <w:rFonts w:ascii="Arial" w:eastAsia="Arial" w:hAnsi="Arial" w:cs="Arial"/>
                <w:color w:val="1F4E79"/>
                <w:spacing w:val="1"/>
              </w:rPr>
              <w:t>2</w:t>
            </w:r>
          </w:hyperlink>
          <w:r>
            <w:rPr>
              <w:rFonts w:ascii="Arial" w:eastAsia="Arial" w:hAnsi="Arial" w:cs="Arial"/>
              <w:color w:val="1F4E79"/>
              <w:spacing w:val="1"/>
            </w:rPr>
            <w:t>8</w:t>
          </w:r>
        </w:p>
        <w:p>
          <w:pPr>
            <w:pStyle w:val="BodyText"/>
            <w:tabs>
              <w:tab w:val="right" w:leader="dot" w:pos="8320"/>
            </w:tabs>
            <w:spacing w:before="58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2.8.2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全国销售情况</w:t>
          </w:r>
          <w:r>
            <w:rPr>
              <w:color w:val="1F4E79"/>
              <w:spacing w:val="-43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75"/>
            </w:rPr>
            <w:t xml:space="preserve"> </w:t>
          </w:r>
          <w:hyperlink w:anchor="bookmark39" w:history="1">
            <w:r>
              <w:rPr>
                <w:rFonts w:ascii="Arial" w:eastAsia="Arial" w:hAnsi="Arial" w:cs="Arial"/>
                <w:color w:val="1F4E79"/>
                <w:spacing w:val="1"/>
              </w:rPr>
              <w:t>2</w:t>
            </w:r>
          </w:hyperlink>
          <w:r>
            <w:rPr>
              <w:rFonts w:ascii="Arial" w:eastAsia="Arial" w:hAnsi="Arial" w:cs="Arial"/>
              <w:color w:val="1F4E79"/>
              <w:spacing w:val="1"/>
            </w:rPr>
            <w:t>8</w:t>
          </w:r>
        </w:p>
        <w:p>
          <w:pPr>
            <w:pStyle w:val="BodyText"/>
            <w:tabs>
              <w:tab w:val="right" w:leader="dot" w:pos="8320"/>
            </w:tabs>
            <w:spacing w:before="59" w:line="237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4"/>
            </w:rPr>
            <w:t>2.8.3</w:t>
          </w:r>
          <w:r>
            <w:rPr>
              <w:color w:val="1F4E79"/>
              <w:spacing w:val="23"/>
            </w:rPr>
            <w:t xml:space="preserve"> </w:t>
          </w:r>
          <w:r>
            <w:rPr>
              <w:color w:val="1F4E79"/>
              <w:spacing w:val="4"/>
            </w:rPr>
            <w:t>热销项目</w:t>
          </w:r>
          <w:r>
            <w:rPr>
              <w:color w:val="1F4E79"/>
              <w:spacing w:val="-50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54"/>
            </w:rPr>
            <w:t xml:space="preserve"> </w:t>
          </w:r>
          <w:hyperlink w:anchor="bookmark40" w:history="1">
            <w:r>
              <w:rPr>
                <w:rFonts w:ascii="Arial" w:eastAsia="Arial" w:hAnsi="Arial" w:cs="Arial"/>
                <w:color w:val="1F4E79"/>
                <w:spacing w:val="1"/>
              </w:rPr>
              <w:t>2</w:t>
            </w:r>
          </w:hyperlink>
          <w:r>
            <w:rPr>
              <w:rFonts w:ascii="Arial" w:eastAsia="Arial" w:hAnsi="Arial" w:cs="Arial"/>
              <w:color w:val="1F4E79"/>
              <w:spacing w:val="1"/>
            </w:rPr>
            <w:t>9</w:t>
          </w:r>
        </w:p>
        <w:p>
          <w:pPr>
            <w:pStyle w:val="BodyText"/>
            <w:tabs>
              <w:tab w:val="right" w:leader="dot" w:pos="8320"/>
            </w:tabs>
            <w:spacing w:before="212" w:line="234" w:lineRule="auto"/>
            <w:ind w:left="438"/>
          </w:pPr>
          <w:r>
            <w:rPr>
              <w:color w:val="1F4E79"/>
              <w:spacing w:val="7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2.9</w:t>
          </w:r>
          <w:r>
            <w:rPr>
              <w:color w:val="1F4E79"/>
              <w:spacing w:val="7"/>
            </w:rPr>
            <w:t xml:space="preserve">  </w:t>
          </w:r>
          <w:r>
            <w:rPr>
              <w:color w:val="1F4E79"/>
              <w:spacing w:val="7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世茂集团</w:t>
          </w:r>
          <w:r>
            <w:rPr>
              <w:color w:val="1F4E79"/>
              <w:spacing w:val="-33"/>
            </w:rPr>
            <w:t xml:space="preserve"> </w:t>
          </w:r>
          <w:r>
            <w:rPr>
              <w:color w:val="1F4E79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ab/>
          </w:r>
          <w:r>
            <w:rPr>
              <w:color w:val="1F4E79"/>
              <w:spacing w:val="-29"/>
            </w:rPr>
            <w:t xml:space="preserve"> </w:t>
          </w:r>
          <w:hyperlink w:anchor="bookmark41" w:history="1">
            <w:r>
              <w:rPr>
                <w:color w:val="1F4E79"/>
                <w14:textOutline w14:w="3795" w14:cap="sq">
                  <w14:solidFill>
                    <w14:srgbClr w14:val="1F4E79"/>
                  </w14:solidFill>
                  <w14:prstDash w14:val="solid"/>
                  <w14:bevel/>
                </w14:textOutline>
              </w:rPr>
              <w:t>3</w:t>
            </w:r>
          </w:hyperlink>
          <w:r>
            <w:rPr>
              <w:color w:val="1F4E79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0</w:t>
          </w:r>
        </w:p>
        <w:p>
          <w:pPr>
            <w:pStyle w:val="BodyText"/>
            <w:tabs>
              <w:tab w:val="right" w:leader="dot" w:pos="8320"/>
            </w:tabs>
            <w:spacing w:before="213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2.9.1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新增土地储备</w:t>
          </w:r>
          <w:r>
            <w:rPr>
              <w:color w:val="1F4E79"/>
              <w:spacing w:val="-43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73"/>
            </w:rPr>
            <w:t xml:space="preserve"> </w:t>
          </w:r>
          <w:hyperlink w:anchor="bookmark42" w:history="1">
            <w:r>
              <w:rPr>
                <w:rFonts w:ascii="Arial" w:eastAsia="Arial" w:hAnsi="Arial" w:cs="Arial"/>
                <w:color w:val="1F4E79"/>
              </w:rPr>
              <w:t>3</w:t>
            </w:r>
          </w:hyperlink>
          <w:r>
            <w:rPr>
              <w:rFonts w:ascii="Arial" w:eastAsia="Arial" w:hAnsi="Arial" w:cs="Arial"/>
              <w:color w:val="1F4E79"/>
            </w:rPr>
            <w:t>0</w:t>
          </w:r>
        </w:p>
        <w:p>
          <w:pPr>
            <w:pStyle w:val="BodyText"/>
            <w:tabs>
              <w:tab w:val="right" w:leader="dot" w:pos="8320"/>
            </w:tabs>
            <w:spacing w:before="59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2.9.2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全国销售情况</w:t>
          </w:r>
          <w:r>
            <w:rPr>
              <w:color w:val="1F4E79"/>
              <w:spacing w:val="-43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73"/>
            </w:rPr>
            <w:t xml:space="preserve"> </w:t>
          </w:r>
          <w:hyperlink w:anchor="bookmark43" w:history="1">
            <w:r>
              <w:rPr>
                <w:rFonts w:ascii="Arial" w:eastAsia="Arial" w:hAnsi="Arial" w:cs="Arial"/>
                <w:color w:val="1F4E79"/>
              </w:rPr>
              <w:t>3</w:t>
            </w:r>
          </w:hyperlink>
          <w:r>
            <w:rPr>
              <w:rFonts w:ascii="Arial" w:eastAsia="Arial" w:hAnsi="Arial" w:cs="Arial"/>
              <w:color w:val="1F4E79"/>
            </w:rPr>
            <w:t>0</w:t>
          </w:r>
        </w:p>
        <w:p>
          <w:pPr>
            <w:pStyle w:val="BodyText"/>
            <w:tabs>
              <w:tab w:val="right" w:leader="dot" w:pos="8320"/>
            </w:tabs>
            <w:spacing w:before="59" w:line="237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4"/>
            </w:rPr>
            <w:t>2.9.3</w:t>
          </w:r>
          <w:r>
            <w:rPr>
              <w:color w:val="1F4E79"/>
              <w:spacing w:val="23"/>
            </w:rPr>
            <w:t xml:space="preserve"> </w:t>
          </w:r>
          <w:r>
            <w:rPr>
              <w:color w:val="1F4E79"/>
              <w:spacing w:val="4"/>
            </w:rPr>
            <w:t>热销项目</w:t>
          </w:r>
          <w:r>
            <w:rPr>
              <w:color w:val="1F4E79"/>
              <w:spacing w:val="-50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51"/>
            </w:rPr>
            <w:t xml:space="preserve"> </w:t>
          </w:r>
          <w:hyperlink w:anchor="bookmark44" w:history="1">
            <w:r>
              <w:rPr>
                <w:rFonts w:ascii="Arial" w:eastAsia="Arial" w:hAnsi="Arial" w:cs="Arial"/>
                <w:color w:val="1F4E79"/>
                <w:spacing w:val="8"/>
              </w:rPr>
              <w:t>3</w:t>
            </w:r>
          </w:hyperlink>
          <w:r>
            <w:rPr>
              <w:rFonts w:ascii="Arial" w:eastAsia="Arial" w:hAnsi="Arial" w:cs="Arial"/>
              <w:color w:val="1F4E79"/>
              <w:spacing w:val="8"/>
            </w:rPr>
            <w:t>1</w:t>
          </w:r>
        </w:p>
        <w:p>
          <w:pPr>
            <w:pStyle w:val="BodyText"/>
            <w:tabs>
              <w:tab w:val="right" w:leader="dot" w:pos="8320"/>
            </w:tabs>
            <w:spacing w:before="211" w:line="237" w:lineRule="auto"/>
            <w:ind w:left="438"/>
          </w:pPr>
          <w:r>
            <w:rPr>
              <w:color w:val="1F4E79"/>
              <w:spacing w:val="4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2.10</w:t>
          </w:r>
          <w:r>
            <w:rPr>
              <w:color w:val="1F4E79"/>
              <w:spacing w:val="14"/>
            </w:rPr>
            <w:t xml:space="preserve">  </w:t>
          </w:r>
          <w:r>
            <w:rPr>
              <w:color w:val="1F4E79"/>
              <w:spacing w:val="4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碧桂园</w:t>
          </w:r>
          <w:r>
            <w:rPr>
              <w:color w:val="1F4E79"/>
              <w:spacing w:val="-32"/>
            </w:rPr>
            <w:t xml:space="preserve"> </w:t>
          </w:r>
          <w:r>
            <w:rPr>
              <w:color w:val="1F4E79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ab/>
          </w:r>
          <w:r>
            <w:rPr>
              <w:color w:val="1F4E79"/>
              <w:spacing w:val="-28"/>
            </w:rPr>
            <w:t xml:space="preserve"> </w:t>
          </w:r>
          <w:hyperlink w:anchor="bookmark45" w:history="1">
            <w:r>
              <w:rPr>
                <w:color w:val="1F4E79"/>
                <w14:textOutline w14:w="3795" w14:cap="sq">
                  <w14:solidFill>
                    <w14:srgbClr w14:val="1F4E79"/>
                  </w14:solidFill>
                  <w14:prstDash w14:val="solid"/>
                  <w14:bevel/>
                </w14:textOutline>
              </w:rPr>
              <w:t>3</w:t>
            </w:r>
          </w:hyperlink>
          <w:r>
            <w:rPr>
              <w:color w:val="1F4E79"/>
              <w14:textOutline w14:w="3795" w14:cap="sq">
                <w14:solidFill>
                  <w14:srgbClr w14:val="1F4E79"/>
                </w14:solidFill>
                <w14:prstDash w14:val="solid"/>
                <w14:bevel/>
              </w14:textOutline>
            </w:rPr>
            <w:t>2</w:t>
          </w:r>
        </w:p>
        <w:p>
          <w:pPr>
            <w:pStyle w:val="BodyText"/>
            <w:tabs>
              <w:tab w:val="right" w:leader="dot" w:pos="8320"/>
            </w:tabs>
            <w:spacing w:before="211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2.10.1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新增土地储备</w:t>
          </w:r>
          <w:r>
            <w:rPr>
              <w:color w:val="1F4E79"/>
              <w:spacing w:val="-44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64"/>
            </w:rPr>
            <w:t xml:space="preserve"> </w:t>
          </w:r>
          <w:hyperlink w:anchor="bookmark46" w:history="1">
            <w:r>
              <w:rPr>
                <w:rFonts w:ascii="Arial" w:eastAsia="Arial" w:hAnsi="Arial" w:cs="Arial"/>
                <w:color w:val="1F4E79"/>
              </w:rPr>
              <w:t>3</w:t>
            </w:r>
          </w:hyperlink>
          <w:r>
            <w:rPr>
              <w:rFonts w:ascii="Arial" w:eastAsia="Arial" w:hAnsi="Arial" w:cs="Arial"/>
              <w:color w:val="1F4E79"/>
            </w:rPr>
            <w:t>2</w:t>
          </w:r>
        </w:p>
        <w:p>
          <w:pPr>
            <w:pStyle w:val="BodyText"/>
            <w:tabs>
              <w:tab w:val="right" w:leader="dot" w:pos="8320"/>
            </w:tabs>
            <w:spacing w:before="58" w:line="234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6"/>
            </w:rPr>
            <w:t>2.10.2</w:t>
          </w:r>
          <w:r>
            <w:rPr>
              <w:color w:val="1F4E79"/>
              <w:spacing w:val="6"/>
            </w:rPr>
            <w:t xml:space="preserve"> </w:t>
          </w:r>
          <w:r>
            <w:rPr>
              <w:color w:val="1F4E79"/>
              <w:spacing w:val="6"/>
            </w:rPr>
            <w:t>全国销售情况</w:t>
          </w:r>
          <w:r>
            <w:rPr>
              <w:color w:val="1F4E79"/>
              <w:spacing w:val="-44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64"/>
            </w:rPr>
            <w:t xml:space="preserve"> </w:t>
          </w:r>
          <w:hyperlink w:anchor="bookmark47" w:history="1">
            <w:r>
              <w:rPr>
                <w:rFonts w:ascii="Arial" w:eastAsia="Arial" w:hAnsi="Arial" w:cs="Arial"/>
                <w:color w:val="1F4E79"/>
              </w:rPr>
              <w:t>3</w:t>
            </w:r>
          </w:hyperlink>
          <w:r>
            <w:rPr>
              <w:rFonts w:ascii="Arial" w:eastAsia="Arial" w:hAnsi="Arial" w:cs="Arial"/>
              <w:color w:val="1F4E79"/>
            </w:rPr>
            <w:t>2</w:t>
          </w:r>
        </w:p>
        <w:p>
          <w:pPr>
            <w:pStyle w:val="BodyText"/>
            <w:tabs>
              <w:tab w:val="right" w:leader="dot" w:pos="8320"/>
            </w:tabs>
            <w:spacing w:before="60" w:line="237" w:lineRule="auto"/>
            <w:ind w:left="858"/>
            <w:rPr>
              <w:rFonts w:ascii="Arial" w:eastAsia="Arial" w:hAnsi="Arial" w:cs="Arial"/>
            </w:rPr>
          </w:pPr>
          <w:r>
            <w:rPr>
              <w:color w:val="1F4E79"/>
              <w:spacing w:val="4"/>
            </w:rPr>
            <w:t>2.10.3</w:t>
          </w:r>
          <w:r>
            <w:rPr>
              <w:color w:val="1F4E79"/>
              <w:spacing w:val="24"/>
            </w:rPr>
            <w:t xml:space="preserve"> </w:t>
          </w:r>
          <w:r>
            <w:rPr>
              <w:color w:val="1F4E79"/>
              <w:spacing w:val="4"/>
            </w:rPr>
            <w:t>热销项目</w:t>
          </w:r>
          <w:r>
            <w:rPr>
              <w:color w:val="1F4E79"/>
              <w:spacing w:val="-50"/>
            </w:rPr>
            <w:t xml:space="preserve"> </w:t>
          </w:r>
          <w:r>
            <w:rPr>
              <w:color w:val="1F4E79"/>
            </w:rPr>
            <w:tab/>
          </w:r>
          <w:r>
            <w:rPr>
              <w:color w:val="1F4E79"/>
              <w:spacing w:val="-43"/>
            </w:rPr>
            <w:t xml:space="preserve"> </w:t>
          </w:r>
          <w:hyperlink w:anchor="bookmark48" w:history="1">
            <w:r>
              <w:rPr>
                <w:rFonts w:ascii="Arial" w:eastAsia="Arial" w:hAnsi="Arial" w:cs="Arial"/>
                <w:color w:val="1F4E79"/>
              </w:rPr>
              <w:t>3</w:t>
            </w:r>
          </w:hyperlink>
          <w:r>
            <w:rPr>
              <w:rFonts w:ascii="Arial" w:eastAsia="Arial" w:hAnsi="Arial" w:cs="Arial"/>
              <w:color w:val="1F4E79"/>
            </w:rPr>
            <w:t>3</w:t>
          </w:r>
        </w:p>
      </w:sdtContent>
    </w:sdt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  <w:sectPr>
          <w:headerReference w:type="default" r:id="rId12"/>
          <w:pgSz w:w="11906" w:h="16839"/>
          <w:pgMar w:top="400" w:right="1245" w:bottom="0" w:left="1785" w:header="0" w:footer="0" w:gutter="0"/>
          <w:pgNumType w:start="5"/>
          <w:cols w:space="708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45" w:lineRule="exact"/>
        <w:ind w:firstLine="86"/>
      </w:pPr>
      <w:r>
        <w:drawing>
          <wp:inline distT="0" distB="0" distL="0" distR="0">
            <wp:extent cx="5267350" cy="2857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5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37" w:line="232" w:lineRule="auto"/>
        <w:ind w:left="22"/>
        <w:rPr>
          <w:sz w:val="14"/>
          <w:szCs w:val="14"/>
        </w:rPr>
      </w:pPr>
      <w:r>
        <w:rPr>
          <w:color w:val="24405B"/>
          <w:spacing w:val="8"/>
          <w:sz w:val="14"/>
          <w:szCs w:val="14"/>
          <w14:textOutline w14:w="2705" w14:cap="sq">
            <w14:solidFill>
              <w14:srgbClr w14:val="24405B"/>
            </w14:solidFill>
            <w14:prstDash w14:val="solid"/>
            <w14:bevel/>
          </w14:textOutline>
        </w:rPr>
        <w:t>本报告数据来自于中指研究院大数据中心。如有疑问，请咨询</w:t>
      </w:r>
      <w:r>
        <w:rPr>
          <w:color w:val="24405B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4405B"/>
          <w:spacing w:val="8"/>
          <w:sz w:val="14"/>
          <w:szCs w:val="14"/>
        </w:rPr>
        <w:t>400-630-6618</w:t>
      </w:r>
      <w:r>
        <w:rPr>
          <w:color w:val="24405B"/>
          <w:spacing w:val="8"/>
          <w:sz w:val="14"/>
          <w:szCs w:val="14"/>
          <w14:textOutline w14:w="2705" w14:cap="sq">
            <w14:solidFill>
              <w14:srgbClr w14:val="24405B"/>
            </w14:solidFill>
            <w14:prstDash w14:val="solid"/>
            <w14:bevel/>
          </w14:textOutline>
        </w:rPr>
        <w:t>。</w:t>
      </w:r>
    </w:p>
    <w:p>
      <w:pPr>
        <w:spacing w:line="232" w:lineRule="auto"/>
        <w:rPr>
          <w:sz w:val="14"/>
          <w:szCs w:val="14"/>
        </w:rPr>
        <w:sectPr>
          <w:headerReference w:type="default" r:id="rId13"/>
          <w:type w:val="nextPage"/>
          <w:pgSz w:w="11906" w:h="16839"/>
          <w:pgMar w:top="400" w:right="1245" w:bottom="0" w:left="1785" w:header="0" w:footer="0" w:gutter="0"/>
          <w:pgNumType w:start="6"/>
          <w:cols w:space="708"/>
          <w:titlePg w:val="0"/>
        </w:sectPr>
      </w:pPr>
    </w:p>
    <w:p>
      <w:pPr>
        <w:spacing w:line="414" w:lineRule="auto"/>
        <w:rPr>
          <w:rFonts w:ascii="Arial"/>
          <w:sz w:val="21"/>
        </w:rPr>
      </w:pPr>
      <w:r>
        <w:pict>
          <v:rect id="_x0000_s1032" style="width:415.3pt;height:1.45pt;margin-top:57.1pt;margin-left:90pt;mso-position-horizontal-relative:page;mso-position-vertical-relative:page;position:absolute;z-index:251666432" o:allowincell="f" filled="t" fillcolor="#1f497d" stroked="f"/>
        </w:pict>
      </w:r>
      <w:r>
        <w:pict>
          <v:shape id="_x0000_s1033" style="width:2in;height:0;margin-top:740.5pt;margin-left:90pt;mso-position-horizontal-relative:page;mso-position-vertical-relative:page;position:absolute;z-index:251667456" coordorigin="0,0" coordsize="2880,0" o:allowincell="f" path="m,l2880,e" filled="f" strokecolor="black">
            <v:stroke joinstyle="bevel" endcap="square"/>
          </v:shape>
        </w:pict>
      </w: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5253228</wp:posOffset>
            </wp:positionH>
            <wp:positionV relativeFrom="page">
              <wp:posOffset>204215</wp:posOffset>
            </wp:positionV>
            <wp:extent cx="1517904" cy="44958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7904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5" w:line="226" w:lineRule="auto"/>
        <w:ind w:left="5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中国房地产企业监测报告（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 xml:space="preserve">2024 </w:t>
      </w:r>
      <w:r>
        <w:rPr>
          <w:rFonts w:ascii="SimSun" w:eastAsia="SimSun" w:hAnsi="SimSun" w:cs="SimSun"/>
          <w:spacing w:val="5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rFonts w:ascii="SimSun" w:eastAsia="SimSun" w:hAnsi="SimSun" w:cs="SimSun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 xml:space="preserve">1 </w:t>
      </w:r>
      <w:r>
        <w:rPr>
          <w:rFonts w:ascii="SimSun" w:eastAsia="SimSun" w:hAnsi="SimSun" w:cs="SimSun"/>
          <w:spacing w:val="5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月）</w:t>
      </w:r>
    </w:p>
    <w:p>
      <w:pPr>
        <w:spacing w:before="165"/>
      </w:pPr>
    </w:p>
    <w:tbl>
      <w:tblPr>
        <w:tblStyle w:val="TableNormal0"/>
        <w:tblW w:w="8536" w:type="dxa"/>
        <w:tblInd w:w="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tblBorders>
        <w:shd w:val="clear" w:color="auto" w:fill="C8D6EE"/>
        <w:tblLayout w:type="fixed"/>
      </w:tblPr>
      <w:tblGrid>
        <w:gridCol w:w="8536"/>
      </w:tblGrid>
      <w:tr>
        <w:tblPrEx>
          <w:tblW w:w="8536" w:type="dxa"/>
          <w:tblInd w:w="5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blBorders>
          <w:shd w:val="clear" w:color="auto" w:fill="C8D6EE"/>
          <w:tblLayout w:type="fixed"/>
        </w:tblPrEx>
        <w:trPr>
          <w:trHeight w:val="836"/>
        </w:trPr>
        <w:tc>
          <w:tcPr>
            <w:tcW w:w="8536" w:type="dxa"/>
            <w:shd w:val="clear" w:color="auto" w:fill="C8D6EE"/>
            <w:vAlign w:val="top"/>
          </w:tcPr>
          <w:p>
            <w:pPr>
              <w:spacing w:before="231" w:line="220" w:lineRule="auto"/>
              <w:ind w:left="40"/>
              <w:rPr>
                <w:rFonts w:ascii="SimSun" w:eastAsia="SimSun" w:hAnsi="SimSun" w:cs="SimSu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 xml:space="preserve">1    2024 </w:t>
            </w:r>
            <w:r>
              <w:rPr>
                <w:rFonts w:ascii="SimSun" w:eastAsia="SimSun" w:hAnsi="SimSun" w:cs="SimSun"/>
                <w:spacing w:val="-1"/>
                <w:sz w:val="28"/>
                <w:szCs w:val="28"/>
                <w14:textOutline w14:w="5103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年</w:t>
            </w:r>
            <w:r>
              <w:rPr>
                <w:rFonts w:ascii="SimSun" w:eastAsia="SimSun" w:hAnsi="SimSun" w:cs="SimSun"/>
                <w:spacing w:val="-4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 xml:space="preserve">1 </w:t>
            </w:r>
            <w:r>
              <w:rPr>
                <w:rFonts w:ascii="SimSun" w:eastAsia="SimSun" w:hAnsi="SimSun" w:cs="SimSun"/>
                <w:spacing w:val="-1"/>
                <w:sz w:val="28"/>
                <w:szCs w:val="28"/>
                <w14:textOutline w14:w="5103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月中国房地产企业整体经营状况</w:t>
            </w:r>
          </w:p>
        </w:tc>
      </w:tr>
    </w:tbl>
    <w:p>
      <w:pPr>
        <w:pStyle w:val="BodyText"/>
        <w:spacing w:before="192" w:line="226" w:lineRule="auto"/>
        <w:ind w:left="50"/>
        <w:outlineLvl w:val="0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1.1  1 </w:t>
      </w:r>
      <w:r>
        <w:rPr>
          <w:spacing w:val="-2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月全国市场整体情况</w:t>
      </w:r>
      <w:r>
        <w:rPr>
          <w:rFonts w:ascii="Arial" w:eastAsia="Arial" w:hAnsi="Arial" w:cs="Arial"/>
          <w:b/>
          <w:bCs/>
          <w:spacing w:val="-2"/>
          <w:position w:val="8"/>
          <w:sz w:val="15"/>
          <w:szCs w:val="15"/>
        </w:rPr>
        <w:t>1</w:t>
      </w:r>
    </w:p>
    <w:p>
      <w:pPr>
        <w:pStyle w:val="BodyText"/>
        <w:spacing w:before="265" w:line="224" w:lineRule="auto"/>
        <w:ind w:left="53"/>
        <w:outlineLvl w:val="0"/>
        <w:rPr>
          <w:sz w:val="24"/>
          <w:szCs w:val="24"/>
        </w:rPr>
      </w:pPr>
      <w:r>
        <w:rPr>
          <w:spacing w:val="-2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1.1.1</w:t>
      </w:r>
      <w:r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市场需求</w:t>
      </w:r>
    </w:p>
    <w:p>
      <w:pPr>
        <w:pStyle w:val="BodyText"/>
        <w:spacing w:before="284" w:line="244" w:lineRule="auto"/>
        <w:ind w:left="37" w:right="556" w:firstLine="14"/>
        <w:jc w:val="both"/>
        <w:rPr>
          <w:sz w:val="22"/>
          <w:szCs w:val="22"/>
        </w:rPr>
      </w:pPr>
      <w:r>
        <w:rPr>
          <w:spacing w:val="-3"/>
          <w:sz w:val="22"/>
          <w:szCs w:val="22"/>
          <w14:textOutline w14:w="4013" w14:cap="sq">
            <w14:solidFill>
              <w14:srgbClr w14:val="000000"/>
            </w14:solidFill>
            <w14:prstDash w14:val="solid"/>
            <w14:bevel/>
          </w14:textOutline>
        </w:rPr>
        <w:t>1</w:t>
      </w:r>
      <w:r>
        <w:rPr>
          <w:spacing w:val="-27"/>
          <w:sz w:val="22"/>
          <w:szCs w:val="22"/>
        </w:rPr>
        <w:t xml:space="preserve"> </w:t>
      </w:r>
      <w:r>
        <w:rPr>
          <w:spacing w:val="-3"/>
          <w:sz w:val="22"/>
          <w:szCs w:val="22"/>
          <w14:textOutline w14:w="4013" w14:cap="sq">
            <w14:solidFill>
              <w14:srgbClr w14:val="000000"/>
            </w14:solidFill>
            <w14:prstDash w14:val="solid"/>
            <w14:bevel/>
          </w14:textOutline>
        </w:rPr>
        <w:t>月一二三线楼市成交量环比下降。</w:t>
      </w:r>
      <w:r>
        <w:rPr>
          <w:spacing w:val="-3"/>
          <w:sz w:val="22"/>
          <w:szCs w:val="22"/>
        </w:rPr>
        <w:t>CREIS</w:t>
      </w:r>
      <w:r>
        <w:rPr>
          <w:spacing w:val="-2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中指数据显示，2024</w:t>
      </w:r>
      <w:r>
        <w:rPr>
          <w:spacing w:val="-47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年</w:t>
      </w:r>
      <w:r>
        <w:rPr>
          <w:spacing w:val="-38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1</w:t>
      </w:r>
      <w:r>
        <w:rPr>
          <w:spacing w:val="-36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月，一线城市商品</w:t>
      </w:r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住宅平均成交面积为</w:t>
      </w:r>
      <w:r>
        <w:rPr>
          <w:spacing w:val="-5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57.64</w:t>
      </w:r>
      <w:r>
        <w:rPr>
          <w:spacing w:val="-4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万㎡，同比下降</w:t>
      </w:r>
      <w:r>
        <w:rPr>
          <w:spacing w:val="-4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3.40%，环比</w:t>
      </w:r>
      <w:r>
        <w:rPr>
          <w:spacing w:val="-3"/>
          <w:sz w:val="22"/>
          <w:szCs w:val="22"/>
        </w:rPr>
        <w:t>下降</w:t>
      </w:r>
      <w:r>
        <w:rPr>
          <w:spacing w:val="-35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18.28%；二线城市商品住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宅平均成交面积为</w:t>
      </w:r>
      <w:r>
        <w:rPr>
          <w:spacing w:val="-31"/>
          <w:sz w:val="22"/>
          <w:szCs w:val="22"/>
        </w:rPr>
        <w:t xml:space="preserve"> </w:t>
      </w:r>
      <w:r>
        <w:rPr>
          <w:sz w:val="22"/>
          <w:szCs w:val="22"/>
        </w:rPr>
        <w:t>31.29</w:t>
      </w:r>
      <w:r>
        <w:rPr>
          <w:spacing w:val="-39"/>
          <w:sz w:val="22"/>
          <w:szCs w:val="22"/>
        </w:rPr>
        <w:t xml:space="preserve"> </w:t>
      </w:r>
      <w:r>
        <w:rPr>
          <w:sz w:val="22"/>
          <w:szCs w:val="22"/>
        </w:rPr>
        <w:t>万㎡，同比下降</w:t>
      </w:r>
      <w:r>
        <w:rPr>
          <w:spacing w:val="-48"/>
          <w:sz w:val="22"/>
          <w:szCs w:val="22"/>
        </w:rPr>
        <w:t xml:space="preserve"> </w:t>
      </w:r>
      <w:r>
        <w:rPr>
          <w:sz w:val="22"/>
          <w:szCs w:val="22"/>
        </w:rPr>
        <w:t>21.72%，环比下降</w:t>
      </w:r>
      <w:r>
        <w:rPr>
          <w:spacing w:val="-52"/>
          <w:sz w:val="22"/>
          <w:szCs w:val="22"/>
        </w:rPr>
        <w:t xml:space="preserve"> </w:t>
      </w:r>
      <w:r>
        <w:rPr>
          <w:sz w:val="22"/>
          <w:szCs w:val="22"/>
        </w:rPr>
        <w:t>44.79%；三线代表城市商</w:t>
      </w:r>
      <w:r>
        <w:rPr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品住宅平均成交面积为</w:t>
      </w:r>
      <w:r>
        <w:rPr>
          <w:spacing w:val="-3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15.11</w:t>
      </w:r>
      <w:r>
        <w:rPr>
          <w:spacing w:val="-3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万㎡，同比下降</w:t>
      </w:r>
      <w:r>
        <w:rPr>
          <w:spacing w:val="-5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20.53%，</w:t>
      </w:r>
      <w:r>
        <w:rPr>
          <w:spacing w:val="-2"/>
          <w:sz w:val="22"/>
          <w:szCs w:val="22"/>
        </w:rPr>
        <w:t>环比下降</w:t>
      </w:r>
      <w:r>
        <w:rPr>
          <w:spacing w:val="-5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28.96%。</w:t>
      </w:r>
    </w:p>
    <w:p>
      <w:pPr>
        <w:pStyle w:val="BodyText"/>
        <w:spacing w:before="282" w:line="227" w:lineRule="auto"/>
        <w:ind w:left="53"/>
        <w:outlineLvl w:val="0"/>
        <w:rPr>
          <w:sz w:val="24"/>
          <w:szCs w:val="24"/>
        </w:rPr>
      </w:pPr>
      <w:r>
        <w:rPr>
          <w:spacing w:val="-2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1.1.2</w:t>
      </w:r>
      <w:r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供求情况</w:t>
      </w:r>
    </w:p>
    <w:p>
      <w:pPr>
        <w:pStyle w:val="BodyText"/>
        <w:spacing w:before="290" w:line="262" w:lineRule="auto"/>
        <w:ind w:left="40" w:right="559" w:hanging="1"/>
        <w:jc w:val="both"/>
      </w:pPr>
      <w:r>
        <w:rPr>
          <w:spacing w:val="6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销供比同比下降。</w:t>
      </w:r>
      <w:r>
        <w:rPr>
          <w:rFonts w:ascii="Arial" w:eastAsia="Arial" w:hAnsi="Arial" w:cs="Arial"/>
          <w:spacing w:val="6"/>
        </w:rPr>
        <w:t xml:space="preserve">2024 </w:t>
      </w:r>
      <w:r>
        <w:rPr>
          <w:spacing w:val="6"/>
        </w:rPr>
        <w:t>年</w:t>
      </w:r>
      <w:r>
        <w:rPr>
          <w:spacing w:val="-24"/>
        </w:rPr>
        <w:t xml:space="preserve"> </w:t>
      </w:r>
      <w:r>
        <w:rPr>
          <w:rFonts w:ascii="Arial" w:eastAsia="Arial" w:hAnsi="Arial" w:cs="Arial"/>
          <w:spacing w:val="6"/>
        </w:rPr>
        <w:t>1</w:t>
      </w:r>
      <w:r>
        <w:rPr>
          <w:rFonts w:ascii="Arial" w:eastAsia="Arial" w:hAnsi="Arial" w:cs="Arial"/>
          <w:spacing w:val="16"/>
          <w:w w:val="101"/>
        </w:rPr>
        <w:t xml:space="preserve"> </w:t>
      </w:r>
      <w:r>
        <w:rPr>
          <w:spacing w:val="6"/>
        </w:rPr>
        <w:t>月，</w:t>
      </w:r>
      <w:r>
        <w:rPr>
          <w:rFonts w:ascii="Arial" w:eastAsia="Arial" w:hAnsi="Arial" w:cs="Arial"/>
          <w:spacing w:val="6"/>
        </w:rPr>
        <w:t xml:space="preserve">20 </w:t>
      </w:r>
      <w:r>
        <w:rPr>
          <w:spacing w:val="6"/>
        </w:rPr>
        <w:t>个代表城</w:t>
      </w:r>
      <w:r>
        <w:rPr>
          <w:spacing w:val="5"/>
        </w:rPr>
        <w:t>市商品住宅新批上市面积为</w:t>
      </w:r>
      <w:r>
        <w:rPr>
          <w:spacing w:val="-35"/>
        </w:rPr>
        <w:t xml:space="preserve"> </w:t>
      </w:r>
      <w:r>
        <w:rPr>
          <w:rFonts w:ascii="Arial" w:eastAsia="Arial" w:hAnsi="Arial" w:cs="Arial"/>
          <w:spacing w:val="5"/>
        </w:rPr>
        <w:t>742.30</w:t>
      </w:r>
      <w:r>
        <w:rPr>
          <w:rFonts w:ascii="Arial" w:eastAsia="Arial" w:hAnsi="Arial" w:cs="Arial"/>
          <w:spacing w:val="16"/>
          <w:w w:val="101"/>
        </w:rPr>
        <w:t xml:space="preserve"> </w:t>
      </w:r>
      <w:r>
        <w:rPr>
          <w:spacing w:val="5"/>
        </w:rPr>
        <w:t>万㎡</w:t>
      </w:r>
      <w:r>
        <w:rPr>
          <w:spacing w:val="-60"/>
        </w:rPr>
        <w:t xml:space="preserve"> </w:t>
      </w:r>
      <w:r>
        <w:rPr>
          <w:spacing w:val="5"/>
        </w:rPr>
        <w:t>，环</w:t>
      </w:r>
      <w:r>
        <w:t xml:space="preserve"> </w:t>
      </w:r>
      <w:r>
        <w:rPr>
          <w:spacing w:val="4"/>
        </w:rPr>
        <w:t>比下降</w:t>
      </w:r>
      <w:r>
        <w:rPr>
          <w:spacing w:val="-38"/>
        </w:rPr>
        <w:t xml:space="preserve"> </w:t>
      </w:r>
      <w:r>
        <w:rPr>
          <w:rFonts w:ascii="Arial" w:eastAsia="Arial" w:hAnsi="Arial" w:cs="Arial"/>
          <w:spacing w:val="4"/>
        </w:rPr>
        <w:t>39.71%</w:t>
      </w:r>
      <w:r>
        <w:rPr>
          <w:rFonts w:ascii="Arial" w:eastAsia="Arial" w:hAnsi="Arial" w:cs="Arial"/>
          <w:spacing w:val="-29"/>
        </w:rPr>
        <w:t xml:space="preserve"> </w:t>
      </w:r>
      <w:r>
        <w:rPr>
          <w:spacing w:val="4"/>
        </w:rPr>
        <w:t>，同比增长</w:t>
      </w:r>
      <w:r>
        <w:rPr>
          <w:spacing w:val="-36"/>
        </w:rPr>
        <w:t xml:space="preserve"> </w:t>
      </w:r>
      <w:r>
        <w:rPr>
          <w:rFonts w:ascii="Arial" w:eastAsia="Arial" w:hAnsi="Arial" w:cs="Arial"/>
          <w:spacing w:val="4"/>
        </w:rPr>
        <w:t>5.26%</w:t>
      </w:r>
      <w:r>
        <w:rPr>
          <w:spacing w:val="4"/>
        </w:rPr>
        <w:t>。</w:t>
      </w:r>
      <w:r>
        <w:rPr>
          <w:rFonts w:ascii="Arial" w:eastAsia="Arial" w:hAnsi="Arial" w:cs="Arial"/>
          <w:spacing w:val="4"/>
        </w:rPr>
        <w:t xml:space="preserve">2024 </w:t>
      </w:r>
      <w:r>
        <w:rPr>
          <w:spacing w:val="4"/>
        </w:rPr>
        <w:t>年</w:t>
      </w:r>
      <w:r>
        <w:rPr>
          <w:spacing w:val="-25"/>
        </w:rPr>
        <w:t xml:space="preserve"> </w:t>
      </w:r>
      <w:r>
        <w:rPr>
          <w:rFonts w:ascii="Arial" w:eastAsia="Arial" w:hAnsi="Arial" w:cs="Arial"/>
          <w:spacing w:val="4"/>
        </w:rPr>
        <w:t xml:space="preserve">1 </w:t>
      </w:r>
      <w:r>
        <w:rPr>
          <w:spacing w:val="4"/>
        </w:rPr>
        <w:t>月</w:t>
      </w:r>
      <w:r>
        <w:rPr>
          <w:rFonts w:ascii="Arial" w:eastAsia="Arial" w:hAnsi="Arial" w:cs="Arial"/>
          <w:spacing w:val="4"/>
        </w:rPr>
        <w:t xml:space="preserve">,20 </w:t>
      </w:r>
      <w:r>
        <w:rPr>
          <w:spacing w:val="4"/>
        </w:rPr>
        <w:t>个代表城市商品住宅销供比为</w:t>
      </w:r>
      <w:r>
        <w:rPr>
          <w:spacing w:val="-22"/>
        </w:rPr>
        <w:t xml:space="preserve"> </w:t>
      </w:r>
      <w:r>
        <w:rPr>
          <w:rFonts w:ascii="Arial" w:eastAsia="Arial" w:hAnsi="Arial" w:cs="Arial"/>
          <w:spacing w:val="4"/>
        </w:rPr>
        <w:t>1.2,</w:t>
      </w:r>
      <w:r>
        <w:rPr>
          <w:spacing w:val="4"/>
        </w:rPr>
        <w:t>较去</w:t>
      </w:r>
      <w:r>
        <w:t xml:space="preserve"> </w:t>
      </w:r>
      <w:r>
        <w:rPr>
          <w:spacing w:val="7"/>
        </w:rPr>
        <w:t>年同期有所下降。</w:t>
      </w:r>
    </w:p>
    <w:p>
      <w:pPr>
        <w:pStyle w:val="BodyText"/>
        <w:spacing w:before="282" w:line="224" w:lineRule="auto"/>
        <w:ind w:left="53"/>
        <w:outlineLvl w:val="0"/>
        <w:rPr>
          <w:rFonts w:ascii="Arial" w:eastAsia="Arial" w:hAnsi="Arial" w:cs="Arial"/>
          <w:sz w:val="15"/>
          <w:szCs w:val="15"/>
        </w:rPr>
      </w:pPr>
      <w:r>
        <w:rPr>
          <w:spacing w:val="-2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1.1.3</w:t>
      </w:r>
      <w:r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政策盘点</w:t>
      </w:r>
      <w:r>
        <w:rPr>
          <w:rFonts w:ascii="Arial" w:eastAsia="Arial" w:hAnsi="Arial" w:cs="Arial"/>
          <w:b/>
          <w:bCs/>
          <w:spacing w:val="-2"/>
          <w:position w:val="7"/>
          <w:sz w:val="15"/>
          <w:szCs w:val="15"/>
        </w:rPr>
        <w:t>2</w:t>
      </w:r>
    </w:p>
    <w:p>
      <w:pPr>
        <w:pStyle w:val="BodyText"/>
        <w:spacing w:before="294" w:line="229" w:lineRule="auto"/>
        <w:ind w:left="48"/>
      </w:pPr>
      <w:r>
        <w:rPr>
          <w:rFonts w:ascii="Arial" w:eastAsia="Arial" w:hAnsi="Arial" w:cs="Arial"/>
          <w:b/>
          <w:bCs/>
          <w:spacing w:val="9"/>
        </w:rPr>
        <w:t>1</w:t>
      </w:r>
      <w:r>
        <w:rPr>
          <w:spacing w:val="9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）精准支持房地产融资，本月底项目白名单陆续落地</w:t>
      </w:r>
    </w:p>
    <w:p>
      <w:pPr>
        <w:pStyle w:val="BodyText"/>
        <w:spacing w:before="207" w:line="271" w:lineRule="auto"/>
        <w:ind w:left="35" w:right="558" w:firstLine="19"/>
      </w:pPr>
      <w:r>
        <w:rPr>
          <w:rFonts w:ascii="Arial" w:eastAsia="Arial" w:hAnsi="Arial" w:cs="Arial"/>
          <w:spacing w:val="8"/>
        </w:rPr>
        <w:t xml:space="preserve">1  </w:t>
      </w:r>
      <w:r>
        <w:rPr>
          <w:spacing w:val="8"/>
        </w:rPr>
        <w:t>月</w:t>
      </w:r>
      <w:r>
        <w:rPr>
          <w:spacing w:val="45"/>
        </w:rPr>
        <w:t xml:space="preserve"> </w:t>
      </w:r>
      <w:r>
        <w:rPr>
          <w:rFonts w:ascii="Arial" w:eastAsia="Arial" w:hAnsi="Arial" w:cs="Arial"/>
          <w:spacing w:val="8"/>
        </w:rPr>
        <w:t>12</w:t>
      </w:r>
      <w:r>
        <w:rPr>
          <w:rFonts w:ascii="Arial" w:eastAsia="Arial" w:hAnsi="Arial" w:cs="Arial"/>
          <w:spacing w:val="25"/>
          <w:w w:val="101"/>
        </w:rPr>
        <w:t xml:space="preserve">  </w:t>
      </w:r>
      <w:r>
        <w:rPr>
          <w:spacing w:val="8"/>
        </w:rPr>
        <w:t>日，住房城乡建设部、金融监管总局联合发布《关于建立城市房地产融资协调机</w:t>
      </w:r>
      <w:r>
        <w:t xml:space="preserve"> </w:t>
      </w:r>
      <w:r>
        <w:rPr>
          <w:spacing w:val="8"/>
        </w:rPr>
        <w:t>制的通知》，要求各地级及以上城市建立房地</w:t>
      </w:r>
      <w:r>
        <w:rPr>
          <w:spacing w:val="7"/>
        </w:rPr>
        <w:t>产融资协调机制，更加精准支持房地产项目合</w:t>
      </w:r>
      <w:r>
        <w:t xml:space="preserve"> </w:t>
      </w:r>
      <w:r>
        <w:rPr>
          <w:spacing w:val="9"/>
        </w:rPr>
        <w:t>理融资需求。</w:t>
      </w:r>
      <w:r>
        <w:rPr>
          <w:rFonts w:ascii="Arial" w:eastAsia="Arial" w:hAnsi="Arial" w:cs="Arial"/>
          <w:spacing w:val="9"/>
        </w:rPr>
        <w:t xml:space="preserve">1  </w:t>
      </w:r>
      <w:r>
        <w:rPr>
          <w:spacing w:val="9"/>
        </w:rPr>
        <w:t>月</w:t>
      </w:r>
      <w:r>
        <w:rPr>
          <w:spacing w:val="9"/>
        </w:rPr>
        <w:t xml:space="preserve"> </w:t>
      </w:r>
      <w:r>
        <w:rPr>
          <w:rFonts w:ascii="Arial" w:eastAsia="Arial" w:hAnsi="Arial" w:cs="Arial"/>
          <w:spacing w:val="9"/>
        </w:rPr>
        <w:t xml:space="preserve">26   </w:t>
      </w:r>
      <w:r>
        <w:rPr>
          <w:spacing w:val="9"/>
        </w:rPr>
        <w:t>日上午，住房和城乡建设部召</w:t>
      </w:r>
      <w:r>
        <w:rPr>
          <w:spacing w:val="8"/>
        </w:rPr>
        <w:t>开城市房地产融资协调机制部署会，</w:t>
      </w:r>
      <w:r>
        <w:t xml:space="preserve"> </w:t>
      </w:r>
      <w:r>
        <w:rPr>
          <w:spacing w:val="8"/>
        </w:rPr>
        <w:t>指出抓紧提出融资支持的房地产项目名单。</w:t>
      </w:r>
      <w:r>
        <w:rPr>
          <w:spacing w:val="7"/>
        </w:rPr>
        <w:t>城市房地产融资协调机制在加快建立和落实，更</w:t>
      </w:r>
      <w:r>
        <w:t xml:space="preserve"> </w:t>
      </w:r>
      <w:r>
        <w:rPr>
          <w:spacing w:val="8"/>
        </w:rPr>
        <w:t>加精准支持房地产融资，本月底第一批房地</w:t>
      </w:r>
      <w:r>
        <w:rPr>
          <w:spacing w:val="7"/>
        </w:rPr>
        <w:t>产项目白名单陆续落地，有利于融资支持政策加</w:t>
      </w:r>
      <w:r>
        <w:t xml:space="preserve"> </w:t>
      </w:r>
      <w:r>
        <w:rPr>
          <w:spacing w:val="7"/>
        </w:rPr>
        <w:t>快落地见效。</w:t>
      </w:r>
    </w:p>
    <w:p>
      <w:pPr>
        <w:pStyle w:val="BodyText"/>
        <w:spacing w:before="196" w:line="234" w:lineRule="auto"/>
        <w:ind w:left="37"/>
      </w:pPr>
      <w:r>
        <w:rPr>
          <w:rFonts w:ascii="Arial" w:eastAsia="Arial" w:hAnsi="Arial" w:cs="Arial"/>
          <w:b/>
          <w:bCs/>
          <w:spacing w:val="10"/>
        </w:rPr>
        <w:t>2</w:t>
      </w:r>
      <w:r>
        <w:rPr>
          <w:spacing w:val="1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）多地发布配售型保障房、城中村改造计划</w:t>
      </w:r>
    </w:p>
    <w:p>
      <w:pPr>
        <w:pStyle w:val="BodyText"/>
        <w:spacing w:before="202" w:line="269" w:lineRule="auto"/>
        <w:ind w:left="41" w:right="559" w:firstLine="4"/>
        <w:jc w:val="both"/>
      </w:pPr>
      <w:r>
        <w:rPr>
          <w:spacing w:val="6"/>
        </w:rPr>
        <w:t>央行数据显示，</w:t>
      </w:r>
      <w:r>
        <w:rPr>
          <w:rFonts w:ascii="Arial" w:eastAsia="Arial" w:hAnsi="Arial" w:cs="Arial"/>
          <w:spacing w:val="6"/>
        </w:rPr>
        <w:t xml:space="preserve">2023  </w:t>
      </w:r>
      <w:r>
        <w:rPr>
          <w:spacing w:val="6"/>
        </w:rPr>
        <w:t>年</w:t>
      </w:r>
      <w:r>
        <w:rPr>
          <w:spacing w:val="6"/>
        </w:rPr>
        <w:t xml:space="preserve"> </w:t>
      </w:r>
      <w:r>
        <w:rPr>
          <w:rFonts w:ascii="Arial" w:eastAsia="Arial" w:hAnsi="Arial" w:cs="Arial"/>
          <w:spacing w:val="6"/>
        </w:rPr>
        <w:t xml:space="preserve">12  </w:t>
      </w:r>
      <w:r>
        <w:rPr>
          <w:spacing w:val="6"/>
        </w:rPr>
        <w:t>月，国家开发银行、</w:t>
      </w:r>
      <w:r>
        <w:rPr>
          <w:spacing w:val="5"/>
        </w:rPr>
        <w:t>中国进出</w:t>
      </w:r>
      <w:r>
        <w:rPr>
          <w:spacing w:val="-60"/>
        </w:rPr>
        <w:t xml:space="preserve"> </w:t>
      </w:r>
      <w:r>
        <w:rPr>
          <w:spacing w:val="5"/>
        </w:rPr>
        <w:t>口银行、中国农业发展银行净新</w:t>
      </w:r>
      <w:r>
        <w:t xml:space="preserve"> </w:t>
      </w:r>
      <w:r>
        <w:rPr>
          <w:spacing w:val="1"/>
        </w:rPr>
        <w:t>增抵押补充贷款（</w:t>
      </w:r>
      <w:r>
        <w:rPr>
          <w:rFonts w:ascii="Arial" w:eastAsia="Arial" w:hAnsi="Arial" w:cs="Arial"/>
        </w:rPr>
        <w:t>PSL</w:t>
      </w:r>
      <w:r>
        <w:rPr>
          <w:spacing w:val="1"/>
        </w:rPr>
        <w:t>）</w:t>
      </w:r>
      <w:r>
        <w:rPr>
          <w:rFonts w:ascii="Arial" w:eastAsia="Arial" w:hAnsi="Arial" w:cs="Arial"/>
          <w:spacing w:val="1"/>
        </w:rPr>
        <w:t xml:space="preserve">3500  </w:t>
      </w:r>
      <w:r>
        <w:rPr>
          <w:spacing w:val="1"/>
        </w:rPr>
        <w:t>亿元，为</w:t>
      </w:r>
      <w:r>
        <w:rPr>
          <w:spacing w:val="1"/>
        </w:rPr>
        <w:t xml:space="preserve"> </w:t>
      </w:r>
      <w:r>
        <w:rPr>
          <w:rFonts w:ascii="Arial" w:eastAsia="Arial" w:hAnsi="Arial" w:cs="Arial"/>
          <w:spacing w:val="1"/>
        </w:rPr>
        <w:t xml:space="preserve">2022  </w:t>
      </w:r>
      <w:r>
        <w:rPr>
          <w:spacing w:val="1"/>
        </w:rPr>
        <w:t>年</w:t>
      </w:r>
      <w:r>
        <w:rPr>
          <w:spacing w:val="32"/>
        </w:rPr>
        <w:t xml:space="preserve"> </w:t>
      </w:r>
      <w:r>
        <w:rPr>
          <w:rFonts w:ascii="Arial" w:eastAsia="Arial" w:hAnsi="Arial" w:cs="Arial"/>
          <w:spacing w:val="1"/>
        </w:rPr>
        <w:t xml:space="preserve">11  </w:t>
      </w:r>
      <w:r>
        <w:rPr>
          <w:spacing w:val="1"/>
        </w:rPr>
        <w:t>月后再次出现超千亿元规模的</w:t>
      </w:r>
      <w:r>
        <w:rPr>
          <w:spacing w:val="1"/>
        </w:rPr>
        <w:t xml:space="preserve"> </w:t>
      </w:r>
      <w:r>
        <w:rPr>
          <w:rFonts w:ascii="Arial" w:eastAsia="Arial" w:hAnsi="Arial" w:cs="Arial"/>
        </w:rPr>
        <w:t>PSL</w:t>
      </w:r>
      <w:r>
        <w:rPr>
          <w:rFonts w:ascii="Arial" w:eastAsia="Arial" w:hAnsi="Arial" w:cs="Arial"/>
          <w:spacing w:val="1"/>
        </w:rPr>
        <w:t xml:space="preserve">  </w:t>
      </w:r>
      <w:r>
        <w:rPr>
          <w:spacing w:val="1"/>
        </w:rPr>
        <w:t>净</w:t>
      </w:r>
      <w:r>
        <w:t xml:space="preserve"> </w:t>
      </w:r>
      <w:r>
        <w:rPr>
          <w:spacing w:val="7"/>
        </w:rPr>
        <w:t>新增，也标志着央行新一轮</w:t>
      </w:r>
      <w:r>
        <w:rPr>
          <w:spacing w:val="7"/>
        </w:rPr>
        <w:t xml:space="preserve"> </w:t>
      </w:r>
      <w:r>
        <w:rPr>
          <w:rFonts w:ascii="Arial" w:eastAsia="Arial" w:hAnsi="Arial" w:cs="Arial"/>
        </w:rPr>
        <w:t>PSL</w:t>
      </w:r>
      <w:r>
        <w:rPr>
          <w:rFonts w:ascii="Arial" w:eastAsia="Arial" w:hAnsi="Arial" w:cs="Arial"/>
          <w:spacing w:val="7"/>
        </w:rPr>
        <w:t xml:space="preserve">  </w:t>
      </w:r>
      <w:r>
        <w:rPr>
          <w:spacing w:val="7"/>
        </w:rPr>
        <w:t>投放的开始。在此背</w:t>
      </w:r>
      <w:r>
        <w:rPr>
          <w:spacing w:val="6"/>
        </w:rPr>
        <w:t>景下，</w:t>
      </w:r>
      <w:r>
        <w:rPr>
          <w:rFonts w:ascii="Arial" w:eastAsia="Arial" w:hAnsi="Arial" w:cs="Arial"/>
          <w:spacing w:val="6"/>
        </w:rPr>
        <w:t xml:space="preserve">2023  </w:t>
      </w:r>
      <w:r>
        <w:rPr>
          <w:spacing w:val="6"/>
        </w:rPr>
        <w:t>年</w:t>
      </w:r>
      <w:r>
        <w:rPr>
          <w:spacing w:val="31"/>
        </w:rPr>
        <w:t xml:space="preserve"> </w:t>
      </w:r>
      <w:r>
        <w:rPr>
          <w:rFonts w:ascii="Arial" w:eastAsia="Arial" w:hAnsi="Arial" w:cs="Arial"/>
          <w:spacing w:val="6"/>
        </w:rPr>
        <w:t xml:space="preserve">12  </w:t>
      </w:r>
      <w:r>
        <w:rPr>
          <w:spacing w:val="6"/>
        </w:rPr>
        <w:t>月</w:t>
      </w:r>
      <w:r>
        <w:rPr>
          <w:spacing w:val="6"/>
        </w:rPr>
        <w:t xml:space="preserve"> </w:t>
      </w:r>
      <w:r>
        <w:rPr>
          <w:rFonts w:ascii="Arial" w:eastAsia="Arial" w:hAnsi="Arial" w:cs="Arial"/>
        </w:rPr>
        <w:t>PSL</w:t>
      </w:r>
      <w:r>
        <w:rPr>
          <w:rFonts w:ascii="Arial" w:eastAsia="Arial" w:hAnsi="Arial" w:cs="Arial"/>
          <w:spacing w:val="6"/>
        </w:rPr>
        <w:t xml:space="preserve">  </w:t>
      </w:r>
      <w:r>
        <w:rPr>
          <w:spacing w:val="6"/>
        </w:rPr>
        <w:t>大规模</w:t>
      </w:r>
      <w:r>
        <w:t xml:space="preserve"> </w:t>
      </w:r>
      <w:r>
        <w:rPr>
          <w:spacing w:val="7"/>
        </w:rPr>
        <w:t>投放的重启备受市场瞩目。近期，广州、深圳、福州等多地已陆续发布配售型保障房建设计</w:t>
      </w:r>
      <w:r>
        <w:rPr>
          <w:spacing w:val="13"/>
        </w:rPr>
        <w:t xml:space="preserve"> </w:t>
      </w:r>
      <w:r>
        <w:rPr>
          <w:spacing w:val="8"/>
        </w:rPr>
        <w:t>划、城中村改造计划，福州配售型保障房首笔贷款已落</w:t>
      </w:r>
      <w:r>
        <w:rPr>
          <w:spacing w:val="7"/>
        </w:rPr>
        <w:t>地，在</w:t>
      </w:r>
      <w:r>
        <w:rPr>
          <w:spacing w:val="7"/>
        </w:rPr>
        <w:t xml:space="preserve"> </w:t>
      </w:r>
      <w:r>
        <w:rPr>
          <w:rFonts w:ascii="Arial" w:eastAsia="Arial" w:hAnsi="Arial" w:cs="Arial"/>
        </w:rPr>
        <w:t>PSL</w:t>
      </w:r>
      <w:r>
        <w:rPr>
          <w:rFonts w:ascii="Arial" w:eastAsia="Arial" w:hAnsi="Arial" w:cs="Arial"/>
          <w:spacing w:val="7"/>
        </w:rPr>
        <w:t xml:space="preserve">  </w:t>
      </w:r>
      <w:r>
        <w:rPr>
          <w:spacing w:val="7"/>
        </w:rPr>
        <w:t>投放助力下，各地“三</w:t>
      </w:r>
      <w:r>
        <w:t xml:space="preserve"> </w:t>
      </w:r>
      <w:r>
        <w:rPr>
          <w:spacing w:val="8"/>
        </w:rPr>
        <w:t>大工程</w:t>
      </w:r>
      <w:r>
        <w:rPr>
          <w:spacing w:val="-72"/>
        </w:rPr>
        <w:t xml:space="preserve"> </w:t>
      </w:r>
      <w:r>
        <w:rPr>
          <w:spacing w:val="8"/>
        </w:rPr>
        <w:t>”建设将进一步加速，也给市场带来新的期</w:t>
      </w:r>
      <w:r>
        <w:rPr>
          <w:spacing w:val="7"/>
        </w:rPr>
        <w:t>待。</w:t>
      </w:r>
    </w:p>
    <w:p>
      <w:pPr>
        <w:pStyle w:val="BodyText"/>
        <w:spacing w:before="208" w:line="257" w:lineRule="auto"/>
        <w:ind w:left="44" w:right="559" w:hanging="5"/>
      </w:pPr>
      <w:r>
        <w:rPr>
          <w:rFonts w:ascii="Arial" w:eastAsia="Arial" w:hAnsi="Arial" w:cs="Arial"/>
          <w:b/>
          <w:bCs/>
          <w:spacing w:val="10"/>
        </w:rPr>
        <w:t>3</w:t>
      </w:r>
      <w:r>
        <w:rPr>
          <w:spacing w:val="1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）上海奉贤、青浦放松人才限购，外环外放松单身非沪籍限购；广州放开</w:t>
      </w:r>
      <w:r>
        <w:rPr>
          <w:spacing w:val="10"/>
        </w:rPr>
        <w:t xml:space="preserve"> </w:t>
      </w:r>
      <w:r>
        <w:rPr>
          <w:rFonts w:ascii="Arial" w:eastAsia="Arial" w:hAnsi="Arial" w:cs="Arial"/>
          <w:b/>
          <w:bCs/>
          <w:spacing w:val="10"/>
        </w:rPr>
        <w:t xml:space="preserve">120  </w:t>
      </w:r>
      <w:r>
        <w:rPr>
          <w:spacing w:val="1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平以上限</w:t>
      </w:r>
      <w:r>
        <w:rPr>
          <w:spacing w:val="9"/>
        </w:rPr>
        <w:t xml:space="preserve"> </w:t>
      </w:r>
      <w:r>
        <w:rPr>
          <w:spacing w:val="8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购；苏州取消限购</w:t>
      </w:r>
    </w:p>
    <w:p>
      <w:pPr>
        <w:pStyle w:val="BodyText"/>
        <w:spacing w:before="202" w:line="268" w:lineRule="auto"/>
        <w:ind w:left="40" w:right="502" w:firstLine="14"/>
        <w:jc w:val="both"/>
      </w:pPr>
      <w:r>
        <w:rPr>
          <w:rFonts w:ascii="Arial" w:eastAsia="Arial" w:hAnsi="Arial" w:cs="Arial"/>
          <w:spacing w:val="5"/>
        </w:rPr>
        <w:t xml:space="preserve">1  </w:t>
      </w:r>
      <w:r>
        <w:rPr>
          <w:spacing w:val="5"/>
        </w:rPr>
        <w:t>月</w:t>
      </w:r>
      <w:r>
        <w:rPr>
          <w:spacing w:val="5"/>
        </w:rPr>
        <w:t xml:space="preserve"> </w:t>
      </w:r>
      <w:r>
        <w:rPr>
          <w:rFonts w:ascii="Arial" w:eastAsia="Arial" w:hAnsi="Arial" w:cs="Arial"/>
          <w:spacing w:val="5"/>
        </w:rPr>
        <w:t xml:space="preserve">26   </w:t>
      </w:r>
      <w:r>
        <w:rPr>
          <w:spacing w:val="5"/>
        </w:rPr>
        <w:t>日，住建部召开城市房地产融资协调机制部署会，要求坚持因城施策，</w:t>
      </w:r>
      <w:r>
        <w:rPr>
          <w:spacing w:val="4"/>
        </w:rPr>
        <w:t>一城一策，</w:t>
      </w:r>
      <w:r>
        <w:t xml:space="preserve"> </w:t>
      </w:r>
      <w:r>
        <w:rPr>
          <w:spacing w:val="7"/>
        </w:rPr>
        <w:t>充分赋予城市房地产调控自主权，各城市可因地制宜调整房地产政策。此后各地政策支持力</w:t>
      </w:r>
      <w:r>
        <w:rPr>
          <w:spacing w:val="14"/>
        </w:rPr>
        <w:t xml:space="preserve"> </w:t>
      </w:r>
      <w:r>
        <w:rPr>
          <w:spacing w:val="5"/>
        </w:rPr>
        <w:t>度有所加强。截至</w:t>
      </w:r>
      <w:r>
        <w:rPr>
          <w:spacing w:val="30"/>
        </w:rPr>
        <w:t xml:space="preserve"> </w:t>
      </w:r>
      <w:r>
        <w:rPr>
          <w:rFonts w:ascii="Arial" w:eastAsia="Arial" w:hAnsi="Arial" w:cs="Arial"/>
          <w:spacing w:val="5"/>
        </w:rPr>
        <w:t xml:space="preserve">1  </w:t>
      </w:r>
      <w:r>
        <w:rPr>
          <w:spacing w:val="5"/>
        </w:rPr>
        <w:t>月</w:t>
      </w:r>
      <w:r>
        <w:rPr>
          <w:spacing w:val="5"/>
        </w:rPr>
        <w:t xml:space="preserve"> </w:t>
      </w:r>
      <w:r>
        <w:rPr>
          <w:rFonts w:ascii="Arial" w:eastAsia="Arial" w:hAnsi="Arial" w:cs="Arial"/>
          <w:spacing w:val="5"/>
        </w:rPr>
        <w:t xml:space="preserve">30   </w:t>
      </w:r>
      <w:r>
        <w:rPr>
          <w:spacing w:val="5"/>
        </w:rPr>
        <w:t>日，</w:t>
      </w:r>
      <w:r>
        <w:rPr>
          <w:rFonts w:ascii="Arial" w:eastAsia="Arial" w:hAnsi="Arial" w:cs="Arial"/>
          <w:spacing w:val="5"/>
        </w:rPr>
        <w:t xml:space="preserve">1  </w:t>
      </w:r>
      <w:r>
        <w:rPr>
          <w:spacing w:val="5"/>
        </w:rPr>
        <w:t>月各地出台政策</w:t>
      </w:r>
      <w:r>
        <w:rPr>
          <w:spacing w:val="-42"/>
        </w:rPr>
        <w:t xml:space="preserve"> </w:t>
      </w:r>
      <w:r>
        <w:rPr>
          <w:rFonts w:ascii="Arial" w:eastAsia="Arial" w:hAnsi="Arial" w:cs="Arial"/>
          <w:spacing w:val="5"/>
        </w:rPr>
        <w:t xml:space="preserve">46  </w:t>
      </w:r>
      <w:r>
        <w:rPr>
          <w:spacing w:val="5"/>
        </w:rPr>
        <w:t>条。多地优化限购政</w:t>
      </w:r>
      <w:r>
        <w:rPr>
          <w:spacing w:val="4"/>
        </w:rPr>
        <w:t>策，如上海奉</w:t>
      </w:r>
      <w:r>
        <w:t xml:space="preserve"> </w:t>
      </w:r>
      <w:r>
        <w:rPr>
          <w:spacing w:val="8"/>
        </w:rPr>
        <w:t>贤、青浦放松人才限购，外环放松单身非沪籍限购、广州放开</w:t>
      </w:r>
      <w:r>
        <w:rPr>
          <w:spacing w:val="8"/>
        </w:rPr>
        <w:t xml:space="preserve"> </w:t>
      </w:r>
      <w:r>
        <w:rPr>
          <w:rFonts w:ascii="Arial" w:eastAsia="Arial" w:hAnsi="Arial" w:cs="Arial"/>
          <w:spacing w:val="8"/>
        </w:rPr>
        <w:t xml:space="preserve">120  </w:t>
      </w:r>
      <w:r>
        <w:rPr>
          <w:spacing w:val="8"/>
        </w:rPr>
        <w:t>平以上限购、苏州取消</w:t>
      </w:r>
      <w:r>
        <w:rPr>
          <w:spacing w:val="6"/>
        </w:rPr>
        <w:t xml:space="preserve"> </w:t>
      </w:r>
      <w:r>
        <w:rPr>
          <w:spacing w:val="5"/>
        </w:rPr>
        <w:t>限购等。</w:t>
      </w:r>
    </w:p>
    <w:p>
      <w:pPr>
        <w:spacing w:line="396" w:lineRule="auto"/>
        <w:rPr>
          <w:rFonts w:ascii="Arial"/>
          <w:sz w:val="21"/>
        </w:rPr>
      </w:pPr>
    </w:p>
    <w:p>
      <w:pPr>
        <w:pStyle w:val="BodyText"/>
        <w:spacing w:before="58" w:line="223" w:lineRule="auto"/>
        <w:ind w:left="45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position w:val="6"/>
          <w:sz w:val="11"/>
          <w:szCs w:val="11"/>
        </w:rPr>
        <w:t xml:space="preserve">1   </w:t>
      </w:r>
      <w:r>
        <w:rPr>
          <w:spacing w:val="-1"/>
          <w:sz w:val="18"/>
          <w:szCs w:val="18"/>
        </w:rPr>
        <w:t>更多市场情报详见《中国房地产市场月报</w:t>
      </w:r>
      <w:r>
        <w:rPr>
          <w:spacing w:val="-2"/>
          <w:sz w:val="18"/>
          <w:szCs w:val="18"/>
        </w:rPr>
        <w:t>（2024</w:t>
      </w:r>
      <w:r>
        <w:rPr>
          <w:spacing w:val="-38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年</w:t>
      </w:r>
      <w:r>
        <w:rPr>
          <w:spacing w:val="-28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1</w:t>
      </w:r>
      <w:r>
        <w:rPr>
          <w:spacing w:val="-30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月）》。</w:t>
      </w:r>
    </w:p>
    <w:p>
      <w:pPr>
        <w:pStyle w:val="BodyText"/>
        <w:spacing w:before="16" w:line="223" w:lineRule="auto"/>
        <w:ind w:left="34"/>
        <w:rPr>
          <w:sz w:val="18"/>
          <w:szCs w:val="18"/>
        </w:rPr>
        <w:sectPr>
          <w:headerReference w:type="default" r:id="rId14"/>
          <w:footerReference w:type="default" r:id="rId15"/>
          <w:pgSz w:w="11906" w:h="16839"/>
          <w:pgMar w:top="400" w:right="1242" w:bottom="511" w:left="1768" w:header="0" w:footer="342" w:gutter="0"/>
          <w:pgNumType w:start="7"/>
          <w:cols w:space="708"/>
        </w:sectPr>
      </w:pPr>
      <w:r>
        <w:rPr>
          <w:rFonts w:ascii="Times New Roman" w:eastAsia="Times New Roman" w:hAnsi="Times New Roman" w:cs="Times New Roman"/>
          <w:spacing w:val="-1"/>
          <w:position w:val="6"/>
          <w:sz w:val="11"/>
          <w:szCs w:val="11"/>
        </w:rPr>
        <w:t xml:space="preserve">2   </w:t>
      </w:r>
      <w:r>
        <w:rPr>
          <w:spacing w:val="-1"/>
          <w:sz w:val="18"/>
          <w:szCs w:val="18"/>
        </w:rPr>
        <w:t>更多政策盘点内容详见《中国房地产政策跟踪报告（2024</w:t>
      </w:r>
      <w:r>
        <w:rPr>
          <w:spacing w:val="-34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年</w:t>
      </w:r>
      <w:r>
        <w:rPr>
          <w:spacing w:val="-28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1</w:t>
      </w:r>
      <w:r>
        <w:rPr>
          <w:spacing w:val="-30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月）》。</w:t>
      </w:r>
    </w:p>
    <w:p>
      <w:pPr>
        <w:spacing w:line="446" w:lineRule="auto"/>
        <w:rPr>
          <w:rFonts w:ascii="Arial"/>
          <w:sz w:val="21"/>
        </w:rPr>
      </w:pPr>
    </w:p>
    <w:p>
      <w:pPr>
        <w:spacing w:before="1" w:line="45" w:lineRule="exact"/>
        <w:ind w:firstLine="46"/>
      </w:pPr>
      <w:r>
        <w:drawing>
          <wp:inline distT="0" distB="0" distL="0" distR="0">
            <wp:extent cx="5267350" cy="2857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5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15" w:line="232" w:lineRule="auto"/>
        <w:ind w:left="43"/>
        <w:rPr>
          <w:sz w:val="14"/>
          <w:szCs w:val="14"/>
        </w:rPr>
      </w:pPr>
      <w:r>
        <w:rPr>
          <w:color w:val="24405B"/>
          <w:spacing w:val="8"/>
          <w:sz w:val="14"/>
          <w:szCs w:val="14"/>
          <w14:textOutline w14:w="2705" w14:cap="sq">
            <w14:solidFill>
              <w14:srgbClr w14:val="24405B"/>
            </w14:solidFill>
            <w14:prstDash w14:val="solid"/>
            <w14:bevel/>
          </w14:textOutline>
        </w:rPr>
        <w:t>本报告数据来自于中指研究院大数据中心。如有疑问，请咨询</w:t>
      </w:r>
      <w:r>
        <w:rPr>
          <w:color w:val="24405B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4405B"/>
          <w:spacing w:val="8"/>
          <w:sz w:val="14"/>
          <w:szCs w:val="14"/>
        </w:rPr>
        <w:t>400-630-6618</w:t>
      </w:r>
      <w:r>
        <w:rPr>
          <w:color w:val="24405B"/>
          <w:spacing w:val="8"/>
          <w:sz w:val="14"/>
          <w:szCs w:val="14"/>
          <w14:textOutline w14:w="2705" w14:cap="sq">
            <w14:solidFill>
              <w14:srgbClr w14:val="24405B"/>
            </w14:solidFill>
            <w14:prstDash w14:val="solid"/>
            <w14:bevel/>
          </w14:textOutline>
        </w:rPr>
        <w:t>。</w:t>
      </w:r>
    </w:p>
    <w:p>
      <w:pPr>
        <w:spacing w:line="232" w:lineRule="auto"/>
        <w:rPr>
          <w:sz w:val="14"/>
          <w:szCs w:val="14"/>
        </w:rPr>
        <w:sectPr>
          <w:headerReference w:type="default" r:id="rId17"/>
          <w:footerReference w:type="default" r:id="rId18"/>
          <w:type w:val="nextPage"/>
          <w:pgSz w:w="11906" w:h="16839"/>
          <w:pgMar w:top="400" w:right="1242" w:bottom="511" w:left="1768" w:header="0" w:footer="342" w:gutter="0"/>
          <w:pgNumType w:start="8"/>
          <w:cols w:space="708"/>
          <w:titlePg w:val="0"/>
        </w:sectPr>
      </w:pPr>
    </w:p>
    <w:p>
      <w:pPr>
        <w:spacing w:line="414" w:lineRule="auto"/>
        <w:rPr>
          <w:rFonts w:ascii="Arial"/>
          <w:sz w:val="21"/>
        </w:rPr>
      </w:pP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5253228</wp:posOffset>
            </wp:positionH>
            <wp:positionV relativeFrom="page">
              <wp:posOffset>204215</wp:posOffset>
            </wp:positionV>
            <wp:extent cx="1517904" cy="44958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7904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5" w:line="226" w:lineRule="auto"/>
        <w:ind w:left="4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中国房地产企业监测报告（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 xml:space="preserve">2024 </w:t>
      </w:r>
      <w:r>
        <w:rPr>
          <w:rFonts w:ascii="SimSun" w:eastAsia="SimSun" w:hAnsi="SimSun" w:cs="SimSun"/>
          <w:spacing w:val="5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rFonts w:ascii="SimSun" w:eastAsia="SimSun" w:hAnsi="SimSun" w:cs="SimSun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 xml:space="preserve">1 </w:t>
      </w:r>
      <w:r>
        <w:rPr>
          <w:rFonts w:ascii="SimSun" w:eastAsia="SimSun" w:hAnsi="SimSun" w:cs="SimSun"/>
          <w:spacing w:val="5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月）</w:t>
      </w:r>
    </w:p>
    <w:p>
      <w:pPr>
        <w:spacing w:before="14" w:line="29" w:lineRule="exact"/>
        <w:ind w:firstLine="14"/>
      </w:pPr>
      <w:r>
        <w:pict>
          <v:shape id="_x0000_i1034" style="width:415.3pt;height:1.45pt;mso-position-horizontal-relative:char;mso-position-vertical-relative:line" coordorigin="0,0" coordsize="8305,29" path="m,l8305,l8305,28l,28l,xe" filled="t" fillcolor="#1f497d" stroked="f">
            <w10:wrap type="none"/>
          </v:shape>
        </w:pict>
      </w:r>
    </w:p>
    <w:p>
      <w:pPr>
        <w:spacing w:line="336" w:lineRule="auto"/>
        <w:rPr>
          <w:rFonts w:ascii="Arial"/>
          <w:sz w:val="21"/>
        </w:rPr>
      </w:pPr>
    </w:p>
    <w:p>
      <w:pPr>
        <w:pStyle w:val="BodyText"/>
        <w:spacing w:before="78" w:line="226" w:lineRule="auto"/>
        <w:ind w:left="35"/>
        <w:outlineLvl w:val="0"/>
        <w:rPr>
          <w:sz w:val="24"/>
          <w:szCs w:val="24"/>
        </w:rPr>
      </w:pPr>
      <w:r>
        <w:rPr>
          <w:spacing w:val="-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1.2</w:t>
      </w:r>
      <w:r>
        <w:rPr>
          <w:spacing w:val="15"/>
          <w:sz w:val="24"/>
          <w:szCs w:val="24"/>
        </w:rPr>
        <w:t xml:space="preserve">  </w:t>
      </w:r>
      <w:r>
        <w:rPr>
          <w:spacing w:val="-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1</w:t>
      </w:r>
      <w:r>
        <w:rPr>
          <w:spacing w:val="-36"/>
          <w:sz w:val="24"/>
          <w:szCs w:val="24"/>
        </w:rPr>
        <w:t xml:space="preserve"> </w:t>
      </w:r>
      <w:r>
        <w:rPr>
          <w:spacing w:val="-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月重点企业整体情况</w:t>
      </w:r>
    </w:p>
    <w:p>
      <w:pPr>
        <w:spacing w:line="310" w:lineRule="auto"/>
        <w:rPr>
          <w:rFonts w:ascii="Arial"/>
          <w:sz w:val="21"/>
        </w:rPr>
      </w:pPr>
    </w:p>
    <w:p>
      <w:pPr>
        <w:pStyle w:val="BodyText"/>
        <w:spacing w:before="78" w:line="226" w:lineRule="auto"/>
        <w:ind w:left="35"/>
        <w:outlineLvl w:val="0"/>
        <w:rPr>
          <w:sz w:val="24"/>
          <w:szCs w:val="24"/>
        </w:rPr>
      </w:pPr>
      <w:r>
        <w:rPr>
          <w:spacing w:val="-2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1.2.1</w:t>
      </w:r>
      <w:r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1</w:t>
      </w:r>
      <w:r>
        <w:rPr>
          <w:spacing w:val="-37"/>
          <w:sz w:val="24"/>
          <w:szCs w:val="24"/>
        </w:rPr>
        <w:t xml:space="preserve"> </w:t>
      </w:r>
      <w:r>
        <w:rPr>
          <w:spacing w:val="-2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月重点企业拿地情况</w:t>
      </w:r>
    </w:p>
    <w:p>
      <w:pPr>
        <w:pStyle w:val="BodyText"/>
        <w:spacing w:before="294" w:line="281" w:lineRule="auto"/>
        <w:ind w:left="2538" w:right="484" w:firstLine="14"/>
        <w:jc w:val="both"/>
      </w:pPr>
      <w:r>
        <w:rPr>
          <w:spacing w:val="7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1</w:t>
      </w:r>
      <w:r>
        <w:rPr>
          <w:spacing w:val="-14"/>
        </w:rPr>
        <w:t xml:space="preserve"> </w:t>
      </w:r>
      <w:r>
        <w:rPr>
          <w:spacing w:val="7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月品牌房企拿地下降。</w:t>
      </w:r>
      <w:r>
        <w:rPr>
          <w:spacing w:val="7"/>
        </w:rPr>
        <w:t>1</w:t>
      </w:r>
      <w:r>
        <w:rPr>
          <w:spacing w:val="-31"/>
        </w:rPr>
        <w:t xml:space="preserve"> </w:t>
      </w:r>
      <w:r>
        <w:rPr>
          <w:spacing w:val="7"/>
        </w:rPr>
        <w:t>月重点监测品牌房企累计新增土地面</w:t>
      </w:r>
      <w:r>
        <w:rPr>
          <w:spacing w:val="7"/>
        </w:rPr>
        <w:t xml:space="preserve"> </w:t>
      </w:r>
      <w:r>
        <w:rPr>
          <w:spacing w:val="7"/>
        </w:rPr>
        <w:t>积</w:t>
      </w:r>
      <w:r>
        <w:rPr>
          <w:spacing w:val="-28"/>
        </w:rPr>
        <w:t xml:space="preserve"> </w:t>
      </w:r>
      <w:r>
        <w:rPr>
          <w:spacing w:val="7"/>
        </w:rPr>
        <w:t>3.14</w:t>
      </w:r>
      <w:r>
        <w:rPr>
          <w:spacing w:val="-28"/>
        </w:rPr>
        <w:t xml:space="preserve"> </w:t>
      </w:r>
      <w:r>
        <w:rPr>
          <w:spacing w:val="7"/>
        </w:rPr>
        <w:t>万平方米，环比下降</w:t>
      </w:r>
      <w:r>
        <w:rPr>
          <w:spacing w:val="-42"/>
        </w:rPr>
        <w:t xml:space="preserve"> </w:t>
      </w:r>
      <w:r>
        <w:rPr>
          <w:spacing w:val="7"/>
        </w:rPr>
        <w:t>98.43%；规划建筑面积为</w:t>
      </w:r>
      <w:r>
        <w:rPr>
          <w:spacing w:val="-37"/>
        </w:rPr>
        <w:t xml:space="preserve"> </w:t>
      </w:r>
      <w:r>
        <w:rPr>
          <w:spacing w:val="7"/>
        </w:rPr>
        <w:t>8.32</w:t>
      </w:r>
      <w:r>
        <w:rPr>
          <w:spacing w:val="-31"/>
        </w:rPr>
        <w:t xml:space="preserve"> </w:t>
      </w:r>
      <w:r>
        <w:rPr>
          <w:spacing w:val="7"/>
        </w:rPr>
        <w:t>万</w:t>
      </w:r>
      <w:r>
        <w:rPr>
          <w:spacing w:val="7"/>
        </w:rPr>
        <w:t xml:space="preserve"> </w:t>
      </w:r>
      <w:r>
        <w:rPr>
          <w:spacing w:val="1"/>
        </w:rPr>
        <w:t>平方米，环比下降98.33%。拿地成本8.89亿元，环比下降98.58%。</w:t>
      </w:r>
      <w:r>
        <w:rPr>
          <w:spacing w:val="15"/>
        </w:rPr>
        <w:t xml:space="preserve"> </w:t>
      </w:r>
      <w:r>
        <w:rPr>
          <w:spacing w:val="4"/>
        </w:rPr>
        <w:t>本月绿城中国土地出让金额最多，拿地</w:t>
      </w:r>
      <w:r>
        <w:rPr>
          <w:spacing w:val="-21"/>
        </w:rPr>
        <w:t xml:space="preserve"> </w:t>
      </w:r>
      <w:r>
        <w:rPr>
          <w:spacing w:val="4"/>
        </w:rPr>
        <w:t>1</w:t>
      </w:r>
      <w:r>
        <w:rPr>
          <w:spacing w:val="-23"/>
        </w:rPr>
        <w:t xml:space="preserve"> </w:t>
      </w:r>
      <w:r>
        <w:rPr>
          <w:spacing w:val="4"/>
        </w:rPr>
        <w:t>宗，增加占地面积和规</w:t>
      </w:r>
      <w:r>
        <w:rPr>
          <w:spacing w:val="4"/>
        </w:rPr>
        <w:t xml:space="preserve"> </w:t>
      </w:r>
      <w:r>
        <w:rPr>
          <w:spacing w:val="8"/>
        </w:rPr>
        <w:t>划建筑面积分别为</w:t>
      </w:r>
      <w:r>
        <w:rPr>
          <w:spacing w:val="-36"/>
        </w:rPr>
        <w:t xml:space="preserve"> </w:t>
      </w:r>
      <w:r>
        <w:rPr>
          <w:spacing w:val="8"/>
        </w:rPr>
        <w:t>2.75</w:t>
      </w:r>
      <w:r>
        <w:rPr>
          <w:spacing w:val="-28"/>
        </w:rPr>
        <w:t xml:space="preserve"> </w:t>
      </w:r>
      <w:r>
        <w:rPr>
          <w:spacing w:val="8"/>
        </w:rPr>
        <w:t>万平方米和</w:t>
      </w:r>
      <w:r>
        <w:rPr>
          <w:spacing w:val="-31"/>
        </w:rPr>
        <w:t xml:space="preserve"> </w:t>
      </w:r>
      <w:r>
        <w:rPr>
          <w:spacing w:val="8"/>
        </w:rPr>
        <w:t>7.16</w:t>
      </w:r>
      <w:r>
        <w:rPr>
          <w:spacing w:val="-29"/>
        </w:rPr>
        <w:t xml:space="preserve"> </w:t>
      </w:r>
      <w:r>
        <w:rPr>
          <w:spacing w:val="8"/>
        </w:rPr>
        <w:t>万平方米，</w:t>
      </w:r>
      <w:r>
        <w:rPr>
          <w:spacing w:val="-52"/>
        </w:rPr>
        <w:t xml:space="preserve"> </w:t>
      </w:r>
      <w:r>
        <w:rPr>
          <w:spacing w:val="8"/>
        </w:rPr>
        <w:t>出让金为</w:t>
      </w:r>
      <w:r>
        <w:rPr>
          <w:spacing w:val="8"/>
        </w:rPr>
        <w:t xml:space="preserve"> </w:t>
      </w:r>
      <w:r>
        <w:rPr>
          <w:spacing w:val="4"/>
        </w:rPr>
        <w:t>8.29</w:t>
      </w:r>
      <w:r>
        <w:rPr>
          <w:spacing w:val="-44"/>
        </w:rPr>
        <w:t xml:space="preserve"> </w:t>
      </w:r>
      <w:r>
        <w:rPr>
          <w:spacing w:val="4"/>
        </w:rPr>
        <w:t>亿元。</w:t>
      </w:r>
    </w:p>
    <w:p>
      <w:pPr>
        <w:pStyle w:val="BodyText"/>
        <w:spacing w:before="266" w:line="222" w:lineRule="auto"/>
        <w:ind w:left="17"/>
        <w:rPr>
          <w:sz w:val="19"/>
          <w:szCs w:val="19"/>
        </w:rPr>
      </w:pPr>
      <w:r>
        <w:rPr>
          <w:spacing w:val="6"/>
          <w:sz w:val="19"/>
          <w:szCs w:val="19"/>
          <w14:textOutline w14:w="3614" w14:cap="sq">
            <w14:solidFill>
              <w14:srgbClr w14:val="000000"/>
            </w14:solidFill>
            <w14:prstDash w14:val="solid"/>
            <w14:bevel/>
          </w14:textOutline>
        </w:rPr>
        <w:t>表：2024</w:t>
      </w:r>
      <w:r>
        <w:rPr>
          <w:spacing w:val="-25"/>
          <w:sz w:val="19"/>
          <w:szCs w:val="19"/>
        </w:rPr>
        <w:t xml:space="preserve"> </w:t>
      </w:r>
      <w:r>
        <w:rPr>
          <w:spacing w:val="6"/>
          <w:sz w:val="19"/>
          <w:szCs w:val="19"/>
          <w14:textOutline w14:w="3614" w14:cap="sq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spacing w:val="-25"/>
          <w:sz w:val="19"/>
          <w:szCs w:val="19"/>
        </w:rPr>
        <w:t xml:space="preserve"> </w:t>
      </w:r>
      <w:r>
        <w:rPr>
          <w:spacing w:val="6"/>
          <w:sz w:val="19"/>
          <w:szCs w:val="19"/>
          <w14:textOutline w14:w="3614" w14:cap="sq">
            <w14:solidFill>
              <w14:srgbClr w14:val="000000"/>
            </w14:solidFill>
            <w14:prstDash w14:val="solid"/>
            <w14:bevel/>
          </w14:textOutline>
        </w:rPr>
        <w:t>1</w:t>
      </w:r>
      <w:r>
        <w:rPr>
          <w:spacing w:val="-26"/>
          <w:sz w:val="19"/>
          <w:szCs w:val="19"/>
        </w:rPr>
        <w:t xml:space="preserve"> </w:t>
      </w:r>
      <w:r>
        <w:rPr>
          <w:spacing w:val="6"/>
          <w:sz w:val="19"/>
          <w:szCs w:val="19"/>
          <w14:textOutline w14:w="3614" w14:cap="sq">
            <w14:solidFill>
              <w14:srgbClr w14:val="000000"/>
            </w14:solidFill>
            <w14:prstDash w14:val="solid"/>
            <w14:bevel/>
          </w14:textOutline>
        </w:rPr>
        <w:t>月重点房企拿地情况统计</w:t>
      </w:r>
    </w:p>
    <w:tbl>
      <w:tblPr>
        <w:tblStyle w:val="TableNormal1"/>
        <w:tblW w:w="8533" w:type="dxa"/>
        <w:tblInd w:w="11" w:type="dxa"/>
        <w:tblBorders>
          <w:top w:val="single" w:sz="6" w:space="0" w:color="548DD4"/>
          <w:left w:val="single" w:sz="6" w:space="0" w:color="548DD4"/>
          <w:bottom w:val="single" w:sz="6" w:space="0" w:color="548DD4"/>
          <w:right w:val="single" w:sz="6" w:space="0" w:color="548DD4"/>
          <w:insideH w:val="single" w:sz="6" w:space="0" w:color="548DD4"/>
          <w:insideV w:val="single" w:sz="6" w:space="0" w:color="548DD4"/>
        </w:tblBorders>
        <w:tblLayout w:type="fixed"/>
      </w:tblPr>
      <w:tblGrid>
        <w:gridCol w:w="1024"/>
        <w:gridCol w:w="708"/>
        <w:gridCol w:w="3538"/>
        <w:gridCol w:w="990"/>
        <w:gridCol w:w="1132"/>
        <w:gridCol w:w="1141"/>
      </w:tblGrid>
      <w:tr>
        <w:tblPrEx>
          <w:tblW w:w="8533" w:type="dxa"/>
          <w:tblInd w:w="11" w:type="dxa"/>
          <w:tblBorders>
            <w:top w:val="single" w:sz="6" w:space="0" w:color="548DD4"/>
            <w:left w:val="single" w:sz="6" w:space="0" w:color="548DD4"/>
            <w:bottom w:val="single" w:sz="6" w:space="0" w:color="548DD4"/>
            <w:right w:val="single" w:sz="6" w:space="0" w:color="548DD4"/>
            <w:insideH w:val="single" w:sz="6" w:space="0" w:color="548DD4"/>
            <w:insideV w:val="single" w:sz="6" w:space="0" w:color="548DD4"/>
          </w:tblBorders>
          <w:tblLayout w:type="fixed"/>
        </w:tblPrEx>
        <w:trPr>
          <w:trHeight w:val="636"/>
        </w:trPr>
        <w:tc>
          <w:tcPr>
            <w:tcW w:w="102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  <w:vAlign w:val="top"/>
          </w:tcPr>
          <w:p>
            <w:pPr>
              <w:pStyle w:val="TableText"/>
              <w:spacing w:before="226" w:line="236" w:lineRule="auto"/>
              <w:ind w:left="145"/>
            </w:pPr>
            <w:r>
              <w:rPr>
                <w:spacing w:val="-1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企业名称</w:t>
            </w:r>
          </w:p>
        </w:tc>
        <w:tc>
          <w:tcPr>
            <w:tcW w:w="708" w:type="dxa"/>
            <w:tcBorders>
              <w:top w:val="single" w:sz="6" w:space="0" w:color="4F81BD"/>
              <w:bottom w:val="single" w:sz="6" w:space="0" w:color="4F81BD"/>
            </w:tcBorders>
            <w:shd w:val="clear" w:color="auto" w:fill="DBE5F1"/>
            <w:vAlign w:val="top"/>
          </w:tcPr>
          <w:p>
            <w:pPr>
              <w:pStyle w:val="TableText"/>
              <w:spacing w:before="86" w:line="296" w:lineRule="exact"/>
              <w:ind w:left="168"/>
            </w:pPr>
            <w:r>
              <w:rPr>
                <w:spacing w:val="-4"/>
                <w:position w:val="10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地块</w:t>
            </w:r>
          </w:p>
          <w:p>
            <w:pPr>
              <w:pStyle w:val="TableText"/>
              <w:spacing w:line="234" w:lineRule="auto"/>
              <w:ind w:left="165"/>
            </w:pPr>
            <w:r>
              <w:rPr>
                <w:spacing w:val="-3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数量</w:t>
            </w:r>
          </w:p>
        </w:tc>
        <w:tc>
          <w:tcPr>
            <w:tcW w:w="3538" w:type="dxa"/>
            <w:tcBorders>
              <w:top w:val="single" w:sz="6" w:space="0" w:color="4F81BD"/>
              <w:bottom w:val="single" w:sz="6" w:space="0" w:color="4F81BD"/>
            </w:tcBorders>
            <w:shd w:val="clear" w:color="auto" w:fill="DBE5F1"/>
            <w:vAlign w:val="top"/>
          </w:tcPr>
          <w:p>
            <w:pPr>
              <w:pStyle w:val="TableText"/>
              <w:spacing w:before="226" w:line="227" w:lineRule="auto"/>
              <w:ind w:left="1399"/>
            </w:pPr>
            <w:r>
              <w:rPr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拿地城市</w:t>
            </w:r>
          </w:p>
        </w:tc>
        <w:tc>
          <w:tcPr>
            <w:tcW w:w="990" w:type="dxa"/>
            <w:tcBorders>
              <w:top w:val="single" w:sz="6" w:space="0" w:color="4F81BD"/>
              <w:bottom w:val="single" w:sz="6" w:space="0" w:color="4F81BD"/>
            </w:tcBorders>
            <w:shd w:val="clear" w:color="auto" w:fill="DBE5F1"/>
            <w:vAlign w:val="top"/>
          </w:tcPr>
          <w:p>
            <w:pPr>
              <w:pStyle w:val="TableText"/>
              <w:spacing w:before="71" w:line="278" w:lineRule="auto"/>
              <w:ind w:left="150" w:right="125" w:firstLine="8"/>
            </w:pPr>
            <w:r>
              <w:rPr>
                <w:spacing w:val="-8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占地面积</w:t>
            </w:r>
            <w:r>
              <w:t xml:space="preserve"> </w:t>
            </w:r>
            <w:r>
              <w:rPr>
                <w:spacing w:val="-9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（万㎡）</w:t>
            </w:r>
          </w:p>
        </w:tc>
        <w:tc>
          <w:tcPr>
            <w:tcW w:w="1132" w:type="dxa"/>
            <w:tcBorders>
              <w:top w:val="single" w:sz="6" w:space="0" w:color="4F81BD"/>
              <w:bottom w:val="single" w:sz="6" w:space="0" w:color="4F81BD"/>
            </w:tcBorders>
            <w:shd w:val="clear" w:color="auto" w:fill="DBE5F1"/>
            <w:vAlign w:val="top"/>
          </w:tcPr>
          <w:p>
            <w:pPr>
              <w:pStyle w:val="TableText"/>
              <w:spacing w:before="71" w:line="278" w:lineRule="auto"/>
              <w:ind w:left="115" w:right="103" w:firstLine="1"/>
            </w:pPr>
            <w:r>
              <w:rPr>
                <w:spacing w:val="-1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规划建筑面</w:t>
            </w:r>
            <w:r>
              <w:t xml:space="preserve"> </w:t>
            </w:r>
            <w:r>
              <w:rPr>
                <w:spacing w:val="-4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积（万㎡）</w:t>
            </w:r>
          </w:p>
        </w:tc>
        <w:tc>
          <w:tcPr>
            <w:tcW w:w="1141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  <w:vAlign w:val="top"/>
          </w:tcPr>
          <w:p>
            <w:pPr>
              <w:pStyle w:val="TableText"/>
              <w:spacing w:before="71" w:line="278" w:lineRule="auto"/>
              <w:ind w:left="226" w:right="109" w:hanging="104"/>
            </w:pPr>
            <w:r>
              <w:rPr>
                <w:spacing w:val="-2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土地出让金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（亿元）</w:t>
            </w:r>
          </w:p>
        </w:tc>
      </w:tr>
      <w:tr>
        <w:tblPrEx>
          <w:tblW w:w="8533" w:type="dxa"/>
          <w:tblInd w:w="11" w:type="dxa"/>
          <w:tblLayout w:type="fixed"/>
        </w:tblPrEx>
        <w:trPr>
          <w:trHeight w:val="311"/>
        </w:trPr>
        <w:tc>
          <w:tcPr>
            <w:tcW w:w="1024" w:type="dxa"/>
            <w:tcBorders>
              <w:bottom w:val="single" w:sz="2" w:space="0" w:color="548DD4"/>
            </w:tcBorders>
            <w:vAlign w:val="top"/>
          </w:tcPr>
          <w:p>
            <w:pPr>
              <w:pStyle w:val="TableText"/>
              <w:spacing w:before="65" w:line="225" w:lineRule="auto"/>
              <w:ind w:left="150"/>
            </w:pPr>
            <w:r>
              <w:rPr>
                <w:spacing w:val="-2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绿城中国</w:t>
            </w:r>
          </w:p>
        </w:tc>
        <w:tc>
          <w:tcPr>
            <w:tcW w:w="708" w:type="dxa"/>
            <w:tcBorders>
              <w:bottom w:val="single" w:sz="2" w:space="0" w:color="548DD4"/>
            </w:tcBorders>
            <w:vAlign w:val="top"/>
          </w:tcPr>
          <w:p>
            <w:pPr>
              <w:pStyle w:val="TableText"/>
              <w:spacing w:before="92" w:line="184" w:lineRule="auto"/>
              <w:ind w:left="311"/>
            </w:pPr>
            <w:r>
              <w:rPr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</w:p>
        </w:tc>
        <w:tc>
          <w:tcPr>
            <w:tcW w:w="3538" w:type="dxa"/>
            <w:tcBorders>
              <w:bottom w:val="single" w:sz="2" w:space="0" w:color="548DD4"/>
            </w:tcBorders>
            <w:vAlign w:val="top"/>
          </w:tcPr>
          <w:p>
            <w:pPr>
              <w:pStyle w:val="TableText"/>
              <w:spacing w:before="64" w:line="227" w:lineRule="auto"/>
              <w:ind w:left="1399"/>
            </w:pPr>
            <w:r>
              <w:rPr>
                <w:spacing w:val="-5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杭州</w:t>
            </w:r>
            <w:r>
              <w:rPr>
                <w:spacing w:val="-28"/>
              </w:rPr>
              <w:t xml:space="preserve"> </w:t>
            </w:r>
            <w:r>
              <w:rPr>
                <w:spacing w:val="-5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  <w:r>
              <w:rPr>
                <w:spacing w:val="-21"/>
              </w:rPr>
              <w:t xml:space="preserve"> </w:t>
            </w:r>
            <w:r>
              <w:rPr>
                <w:spacing w:val="-5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宗</w:t>
            </w:r>
          </w:p>
        </w:tc>
        <w:tc>
          <w:tcPr>
            <w:tcW w:w="990" w:type="dxa"/>
            <w:tcBorders>
              <w:bottom w:val="single" w:sz="2" w:space="0" w:color="548DD4"/>
            </w:tcBorders>
            <w:vAlign w:val="top"/>
          </w:tcPr>
          <w:p>
            <w:pPr>
              <w:pStyle w:val="TableText"/>
              <w:spacing w:before="91" w:line="185" w:lineRule="auto"/>
              <w:ind w:left="312"/>
            </w:pPr>
            <w:r>
              <w:rPr>
                <w:spacing w:val="-1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2.75</w:t>
            </w:r>
          </w:p>
        </w:tc>
        <w:tc>
          <w:tcPr>
            <w:tcW w:w="1132" w:type="dxa"/>
            <w:tcBorders>
              <w:bottom w:val="single" w:sz="2" w:space="0" w:color="548DD4"/>
            </w:tcBorders>
            <w:vAlign w:val="top"/>
          </w:tcPr>
          <w:p>
            <w:pPr>
              <w:pStyle w:val="TableText"/>
              <w:spacing w:before="92" w:line="184" w:lineRule="auto"/>
              <w:ind w:left="387"/>
            </w:pPr>
            <w:r>
              <w:rPr>
                <w:spacing w:val="-2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7.16</w:t>
            </w:r>
          </w:p>
        </w:tc>
        <w:tc>
          <w:tcPr>
            <w:tcW w:w="1141" w:type="dxa"/>
            <w:tcBorders>
              <w:bottom w:val="single" w:sz="2" w:space="0" w:color="548DD4"/>
            </w:tcBorders>
            <w:vAlign w:val="top"/>
          </w:tcPr>
          <w:p>
            <w:pPr>
              <w:pStyle w:val="TableText"/>
              <w:spacing w:before="91" w:line="185" w:lineRule="auto"/>
              <w:ind w:left="388"/>
            </w:pPr>
            <w:r>
              <w:rPr>
                <w:spacing w:val="-1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8.29</w:t>
            </w:r>
          </w:p>
        </w:tc>
      </w:tr>
      <w:tr>
        <w:tblPrEx>
          <w:tblW w:w="8533" w:type="dxa"/>
          <w:tblInd w:w="11" w:type="dxa"/>
          <w:tblLayout w:type="fixed"/>
        </w:tblPrEx>
        <w:trPr>
          <w:trHeight w:val="320"/>
        </w:trPr>
        <w:tc>
          <w:tcPr>
            <w:tcW w:w="1024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0" w:line="229" w:lineRule="auto"/>
              <w:ind w:left="245"/>
            </w:pPr>
            <w:r>
              <w:rPr>
                <w:spacing w:val="-4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碧桂园</w:t>
            </w: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98" w:line="184" w:lineRule="auto"/>
              <w:ind w:left="311"/>
            </w:pPr>
            <w:r>
              <w:rPr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</w:p>
        </w:tc>
        <w:tc>
          <w:tcPr>
            <w:tcW w:w="3538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0" w:line="227" w:lineRule="auto"/>
              <w:ind w:left="1416"/>
            </w:pPr>
            <w:r>
              <w:rPr>
                <w:spacing w:val="-9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惠州</w:t>
            </w:r>
            <w:r>
              <w:rPr>
                <w:spacing w:val="-29"/>
              </w:rPr>
              <w:t xml:space="preserve"> </w:t>
            </w:r>
            <w:r>
              <w:rPr>
                <w:spacing w:val="-9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  <w:r>
              <w:rPr>
                <w:spacing w:val="-22"/>
              </w:rPr>
              <w:t xml:space="preserve"> </w:t>
            </w:r>
            <w:r>
              <w:rPr>
                <w:spacing w:val="-9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宗</w:t>
            </w:r>
          </w:p>
        </w:tc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97" w:line="185" w:lineRule="auto"/>
              <w:ind w:left="312"/>
            </w:pPr>
            <w:r>
              <w:rPr>
                <w:spacing w:val="-1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0.39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98" w:line="184" w:lineRule="auto"/>
              <w:ind w:left="396"/>
            </w:pPr>
            <w:r>
              <w:rPr>
                <w:spacing w:val="-4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1.16</w:t>
            </w:r>
          </w:p>
        </w:tc>
        <w:tc>
          <w:tcPr>
            <w:tcW w:w="1141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98" w:line="184" w:lineRule="auto"/>
              <w:ind w:left="388"/>
            </w:pPr>
            <w:r>
              <w:rPr>
                <w:spacing w:val="-1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0.61</w:t>
            </w:r>
          </w:p>
        </w:tc>
      </w:tr>
    </w:tbl>
    <w:p>
      <w:pPr>
        <w:pStyle w:val="BodyText"/>
        <w:spacing w:before="34" w:line="245" w:lineRule="exact"/>
        <w:ind w:left="18"/>
        <w:rPr>
          <w:rFonts w:ascii="Arial" w:eastAsia="Arial" w:hAnsi="Arial" w:cs="Arial"/>
          <w:sz w:val="18"/>
          <w:szCs w:val="18"/>
        </w:rPr>
      </w:pPr>
      <w:r>
        <w:rPr>
          <w:spacing w:val="-1"/>
          <w:position w:val="2"/>
          <w:sz w:val="18"/>
          <w:szCs w:val="18"/>
        </w:rPr>
        <w:t>数据来源：</w:t>
      </w:r>
      <w:r>
        <w:rPr>
          <w:rFonts w:ascii="Arial" w:eastAsia="Arial" w:hAnsi="Arial" w:cs="Arial"/>
          <w:spacing w:val="-1"/>
          <w:position w:val="2"/>
          <w:sz w:val="18"/>
          <w:szCs w:val="18"/>
        </w:rPr>
        <w:t>CREIS</w:t>
      </w:r>
      <w:r>
        <w:rPr>
          <w:rFonts w:ascii="Arial" w:eastAsia="Arial" w:hAnsi="Arial" w:cs="Arial"/>
          <w:spacing w:val="23"/>
          <w:w w:val="101"/>
          <w:position w:val="2"/>
          <w:sz w:val="18"/>
          <w:szCs w:val="18"/>
        </w:rPr>
        <w:t xml:space="preserve"> </w:t>
      </w:r>
      <w:r>
        <w:rPr>
          <w:spacing w:val="-1"/>
          <w:position w:val="2"/>
          <w:sz w:val="18"/>
          <w:szCs w:val="18"/>
        </w:rPr>
        <w:t>中指数据，</w:t>
      </w:r>
      <w:r>
        <w:rPr>
          <w:rFonts w:ascii="Arial" w:eastAsia="Arial" w:hAnsi="Arial" w:cs="Arial"/>
          <w:spacing w:val="-1"/>
          <w:position w:val="2"/>
          <w:sz w:val="18"/>
          <w:szCs w:val="18"/>
        </w:rPr>
        <w:t>http://fdc.fang.com</w:t>
      </w:r>
    </w:p>
    <w:p>
      <w:pPr>
        <w:spacing w:line="248" w:lineRule="auto"/>
        <w:rPr>
          <w:rFonts w:ascii="Arial"/>
          <w:sz w:val="21"/>
        </w:rPr>
      </w:pPr>
    </w:p>
    <w:p>
      <w:pPr>
        <w:pStyle w:val="BodyText"/>
        <w:spacing w:before="79" w:line="225" w:lineRule="auto"/>
        <w:ind w:left="35"/>
        <w:outlineLvl w:val="0"/>
        <w:rPr>
          <w:sz w:val="24"/>
          <w:szCs w:val="24"/>
        </w:rPr>
      </w:pPr>
      <w:r>
        <w:rPr>
          <w:spacing w:val="-1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1.2.2</w:t>
      </w:r>
      <w:r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重点企业销售情况</w:t>
      </w:r>
    </w:p>
    <w:p>
      <w:pPr>
        <w:pStyle w:val="BodyText"/>
        <w:spacing w:before="298" w:line="282" w:lineRule="auto"/>
        <w:ind w:left="2148" w:right="502" w:firstLine="1"/>
      </w:pPr>
      <w:r>
        <w:rPr>
          <w:spacing w:val="6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九成的龙头房企业绩成环比下降。</w:t>
      </w:r>
      <w:r>
        <w:rPr>
          <w:rFonts w:ascii="Arial" w:eastAsia="Arial" w:hAnsi="Arial" w:cs="Arial"/>
          <w:spacing w:val="6"/>
        </w:rPr>
        <w:t>1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spacing w:val="6"/>
        </w:rPr>
        <w:t>月监测的品牌房企销售额整体较</w:t>
      </w:r>
      <w:r>
        <w:t xml:space="preserve"> </w:t>
      </w:r>
      <w:r>
        <w:rPr>
          <w:spacing w:val="3"/>
        </w:rPr>
        <w:t>上月下降</w:t>
      </w:r>
      <w:r>
        <w:rPr>
          <w:spacing w:val="-36"/>
        </w:rPr>
        <w:t xml:space="preserve"> </w:t>
      </w:r>
      <w:r>
        <w:rPr>
          <w:rFonts w:ascii="Arial" w:eastAsia="Arial" w:hAnsi="Arial" w:cs="Arial"/>
          <w:spacing w:val="3"/>
        </w:rPr>
        <w:t>45.06%</w:t>
      </w:r>
      <w:r>
        <w:rPr>
          <w:spacing w:val="3"/>
        </w:rPr>
        <w:t>。环比来看，监测的</w:t>
      </w:r>
      <w:r>
        <w:rPr>
          <w:spacing w:val="-22"/>
        </w:rPr>
        <w:t xml:space="preserve"> </w:t>
      </w:r>
      <w:r>
        <w:rPr>
          <w:rFonts w:ascii="Arial" w:eastAsia="Arial" w:hAnsi="Arial" w:cs="Arial"/>
          <w:spacing w:val="3"/>
        </w:rPr>
        <w:t>10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spacing w:val="3"/>
        </w:rPr>
        <w:t>家房企中，碧桂园有增幅，</w:t>
      </w:r>
      <w:r>
        <w:t xml:space="preserve"> </w:t>
      </w:r>
      <w:r>
        <w:rPr>
          <w:spacing w:val="6"/>
        </w:rPr>
        <w:t>增长</w:t>
      </w:r>
      <w:r>
        <w:rPr>
          <w:spacing w:val="-22"/>
        </w:rPr>
        <w:t xml:space="preserve"> </w:t>
      </w:r>
      <w:r>
        <w:rPr>
          <w:rFonts w:ascii="Arial" w:eastAsia="Arial" w:hAnsi="Arial" w:cs="Arial"/>
          <w:spacing w:val="6"/>
        </w:rPr>
        <w:t>10.27%</w:t>
      </w:r>
      <w:r>
        <w:rPr>
          <w:rFonts w:ascii="Arial" w:eastAsia="Arial" w:hAnsi="Arial" w:cs="Arial"/>
          <w:spacing w:val="-27"/>
        </w:rPr>
        <w:t xml:space="preserve"> </w:t>
      </w:r>
      <w:r>
        <w:rPr>
          <w:spacing w:val="6"/>
        </w:rPr>
        <w:t>。</w:t>
      </w:r>
      <w:r>
        <w:rPr>
          <w:spacing w:val="-58"/>
        </w:rPr>
        <w:t xml:space="preserve"> </w:t>
      </w:r>
      <w:r>
        <w:rPr>
          <w:spacing w:val="6"/>
        </w:rPr>
        <w:t>同比来看，</w:t>
      </w:r>
      <w:r>
        <w:rPr>
          <w:rFonts w:ascii="Arial" w:eastAsia="Arial" w:hAnsi="Arial" w:cs="Arial"/>
          <w:spacing w:val="6"/>
        </w:rPr>
        <w:t>10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spacing w:val="6"/>
        </w:rPr>
        <w:t>家房企销售业绩</w:t>
      </w:r>
      <w:r>
        <w:rPr>
          <w:spacing w:val="-36"/>
        </w:rPr>
        <w:t xml:space="preserve"> </w:t>
      </w:r>
      <w:r>
        <w:rPr>
          <w:rFonts w:ascii="Arial" w:eastAsia="Arial" w:hAnsi="Arial" w:cs="Arial"/>
          <w:spacing w:val="6"/>
        </w:rPr>
        <w:t>9</w:t>
      </w:r>
      <w:r>
        <w:rPr>
          <w:rFonts w:ascii="Arial" w:eastAsia="Arial" w:hAnsi="Arial" w:cs="Arial"/>
          <w:spacing w:val="29"/>
          <w:w w:val="101"/>
        </w:rPr>
        <w:t xml:space="preserve"> </w:t>
      </w:r>
      <w:r>
        <w:rPr>
          <w:spacing w:val="6"/>
        </w:rPr>
        <w:t>家</w:t>
      </w:r>
      <w:r>
        <w:rPr>
          <w:spacing w:val="5"/>
        </w:rPr>
        <w:t>企业同比下降，</w:t>
      </w:r>
      <w:r>
        <w:t xml:space="preserve"> </w:t>
      </w:r>
      <w:r>
        <w:rPr>
          <w:spacing w:val="6"/>
        </w:rPr>
        <w:t>其中碧桂园同比降幅最大，为</w:t>
      </w:r>
      <w:r>
        <w:rPr>
          <w:spacing w:val="-28"/>
        </w:rPr>
        <w:t xml:space="preserve"> </w:t>
      </w:r>
      <w:r>
        <w:rPr>
          <w:rFonts w:ascii="Arial" w:eastAsia="Arial" w:hAnsi="Arial" w:cs="Arial"/>
          <w:spacing w:val="6"/>
        </w:rPr>
        <w:t>65.38%</w:t>
      </w:r>
      <w:r>
        <w:rPr>
          <w:rFonts w:ascii="Arial" w:eastAsia="Arial" w:hAnsi="Arial" w:cs="Arial"/>
          <w:spacing w:val="-30"/>
        </w:rPr>
        <w:t xml:space="preserve"> </w:t>
      </w:r>
      <w:r>
        <w:rPr>
          <w:spacing w:val="6"/>
        </w:rPr>
        <w:t>。整体企业销售额相比去年同</w:t>
      </w:r>
      <w:r>
        <w:t xml:space="preserve"> </w:t>
      </w:r>
      <w:r>
        <w:rPr>
          <w:spacing w:val="5"/>
        </w:rPr>
        <w:t>期下降</w:t>
      </w:r>
      <w:r>
        <w:rPr>
          <w:spacing w:val="-31"/>
        </w:rPr>
        <w:t xml:space="preserve"> </w:t>
      </w:r>
      <w:r>
        <w:rPr>
          <w:rFonts w:ascii="Arial" w:eastAsia="Arial" w:hAnsi="Arial" w:cs="Arial"/>
          <w:spacing w:val="5"/>
        </w:rPr>
        <w:t>35.97%</w:t>
      </w:r>
      <w:r>
        <w:rPr>
          <w:spacing w:val="5"/>
        </w:rPr>
        <w:t>。</w:t>
      </w:r>
    </w:p>
    <w:p>
      <w:pPr>
        <w:pStyle w:val="BodyText"/>
        <w:spacing w:before="250" w:line="197" w:lineRule="auto"/>
        <w:ind w:left="245"/>
        <w:rPr>
          <w:sz w:val="19"/>
          <w:szCs w:val="19"/>
        </w:rPr>
        <w:sectPr>
          <w:headerReference w:type="default" r:id="rId19"/>
          <w:footerReference w:type="default" r:id="rId20"/>
          <w:pgSz w:w="11906" w:h="16839"/>
          <w:pgMar w:top="400" w:right="1242" w:bottom="511" w:left="1785" w:header="0" w:footer="342" w:gutter="0"/>
          <w:pgNumType w:start="9"/>
          <w:cols w:space="708"/>
        </w:sectPr>
      </w:pPr>
      <w:r>
        <w:rPr>
          <w:spacing w:val="5"/>
          <w:sz w:val="19"/>
          <w:szCs w:val="19"/>
          <w14:textOutline w14:w="3614" w14:cap="sq">
            <w14:solidFill>
              <w14:srgbClr w14:val="000000"/>
            </w14:solidFill>
            <w14:prstDash w14:val="solid"/>
            <w14:bevel/>
          </w14:textOutline>
        </w:rPr>
        <w:t>图：2024</w:t>
      </w:r>
      <w:r>
        <w:rPr>
          <w:spacing w:val="-28"/>
          <w:sz w:val="19"/>
          <w:szCs w:val="19"/>
        </w:rPr>
        <w:t xml:space="preserve"> </w:t>
      </w:r>
      <w:r>
        <w:rPr>
          <w:spacing w:val="5"/>
          <w:sz w:val="19"/>
          <w:szCs w:val="19"/>
          <w14:textOutline w14:w="3614" w14:cap="sq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spacing w:val="-25"/>
          <w:sz w:val="19"/>
          <w:szCs w:val="19"/>
        </w:rPr>
        <w:t xml:space="preserve"> </w:t>
      </w:r>
      <w:r>
        <w:rPr>
          <w:spacing w:val="5"/>
          <w:sz w:val="19"/>
          <w:szCs w:val="19"/>
          <w14:textOutline w14:w="3614" w14:cap="sq">
            <w14:solidFill>
              <w14:srgbClr w14:val="000000"/>
            </w14:solidFill>
            <w14:prstDash w14:val="solid"/>
            <w14:bevel/>
          </w14:textOutline>
        </w:rPr>
        <w:t>1</w:t>
      </w:r>
      <w:r>
        <w:rPr>
          <w:spacing w:val="-26"/>
          <w:sz w:val="19"/>
          <w:szCs w:val="19"/>
        </w:rPr>
        <w:t xml:space="preserve"> </w:t>
      </w:r>
      <w:r>
        <w:rPr>
          <w:spacing w:val="5"/>
          <w:sz w:val="19"/>
          <w:szCs w:val="19"/>
          <w14:textOutline w14:w="3614" w14:cap="sq">
            <w14:solidFill>
              <w14:srgbClr w14:val="000000"/>
            </w14:solidFill>
            <w14:prstDash w14:val="solid"/>
            <w14:bevel/>
          </w14:textOutline>
        </w:rPr>
        <w:t>月重点房企销售额情况统计</w:t>
      </w:r>
    </w:p>
    <w:p>
      <w:pPr>
        <w:spacing w:line="4701" w:lineRule="exact"/>
        <w:ind w:firstLine="194"/>
      </w:pPr>
      <w:r>
        <w:rPr>
          <w:position w:val="-94"/>
        </w:rPr>
        <w:drawing>
          <wp:inline distT="0" distB="0" distL="0" distR="0">
            <wp:extent cx="5309234" cy="2985129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09234" cy="298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7" w:line="246" w:lineRule="exact"/>
        <w:ind w:left="18"/>
        <w:rPr>
          <w:rFonts w:ascii="Arial" w:eastAsia="Arial" w:hAnsi="Arial" w:cs="Arial"/>
          <w:sz w:val="18"/>
          <w:szCs w:val="18"/>
        </w:rPr>
      </w:pPr>
      <w:r>
        <w:rPr>
          <w:spacing w:val="-1"/>
          <w:position w:val="2"/>
          <w:sz w:val="18"/>
          <w:szCs w:val="18"/>
        </w:rPr>
        <w:t>数据来源：</w:t>
      </w:r>
      <w:r>
        <w:rPr>
          <w:rFonts w:ascii="Arial" w:eastAsia="Arial" w:hAnsi="Arial" w:cs="Arial"/>
          <w:spacing w:val="-1"/>
          <w:position w:val="2"/>
          <w:sz w:val="18"/>
          <w:szCs w:val="18"/>
        </w:rPr>
        <w:t>CREIS</w:t>
      </w:r>
      <w:r>
        <w:rPr>
          <w:rFonts w:ascii="Arial" w:eastAsia="Arial" w:hAnsi="Arial" w:cs="Arial"/>
          <w:spacing w:val="23"/>
          <w:w w:val="101"/>
          <w:position w:val="2"/>
          <w:sz w:val="18"/>
          <w:szCs w:val="18"/>
        </w:rPr>
        <w:t xml:space="preserve"> </w:t>
      </w:r>
      <w:r>
        <w:rPr>
          <w:spacing w:val="-1"/>
          <w:position w:val="2"/>
          <w:sz w:val="18"/>
          <w:szCs w:val="18"/>
        </w:rPr>
        <w:t>中指数据，</w:t>
      </w:r>
      <w:r>
        <w:rPr>
          <w:rFonts w:ascii="Arial" w:eastAsia="Arial" w:hAnsi="Arial" w:cs="Arial"/>
          <w:spacing w:val="-1"/>
          <w:position w:val="2"/>
          <w:sz w:val="18"/>
          <w:szCs w:val="18"/>
        </w:rPr>
        <w:t>http://fdc.fang.com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45" w:lineRule="exact"/>
        <w:ind w:firstLine="29"/>
      </w:pPr>
      <w:r>
        <w:drawing>
          <wp:inline distT="0" distB="0" distL="0" distR="0">
            <wp:extent cx="5267350" cy="2857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5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15" w:line="232" w:lineRule="auto"/>
        <w:ind w:left="25"/>
        <w:rPr>
          <w:sz w:val="14"/>
          <w:szCs w:val="14"/>
        </w:rPr>
      </w:pPr>
      <w:r>
        <w:rPr>
          <w:color w:val="24405B"/>
          <w:spacing w:val="8"/>
          <w:sz w:val="14"/>
          <w:szCs w:val="14"/>
          <w14:textOutline w14:w="2705" w14:cap="sq">
            <w14:solidFill>
              <w14:srgbClr w14:val="24405B"/>
            </w14:solidFill>
            <w14:prstDash w14:val="solid"/>
            <w14:bevel/>
          </w14:textOutline>
        </w:rPr>
        <w:t>本报告数据来自于中指研究院大数据中心。如有疑问，请咨询</w:t>
      </w:r>
      <w:r>
        <w:rPr>
          <w:color w:val="24405B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4405B"/>
          <w:spacing w:val="8"/>
          <w:sz w:val="14"/>
          <w:szCs w:val="14"/>
        </w:rPr>
        <w:t>400-630-6618</w:t>
      </w:r>
      <w:r>
        <w:rPr>
          <w:color w:val="24405B"/>
          <w:spacing w:val="8"/>
          <w:sz w:val="14"/>
          <w:szCs w:val="14"/>
          <w14:textOutline w14:w="2705" w14:cap="sq">
            <w14:solidFill>
              <w14:srgbClr w14:val="24405B"/>
            </w14:solidFill>
            <w14:prstDash w14:val="solid"/>
            <w14:bevel/>
          </w14:textOutline>
        </w:rPr>
        <w:t>。</w:t>
      </w:r>
    </w:p>
    <w:p>
      <w:pPr>
        <w:spacing w:line="232" w:lineRule="auto"/>
        <w:rPr>
          <w:sz w:val="14"/>
          <w:szCs w:val="14"/>
        </w:rPr>
        <w:sectPr>
          <w:headerReference w:type="default" r:id="rId22"/>
          <w:footerReference w:type="default" r:id="rId23"/>
          <w:type w:val="nextPage"/>
          <w:pgSz w:w="11906" w:h="16839"/>
          <w:pgMar w:top="400" w:right="1242" w:bottom="511" w:left="1785" w:header="0" w:footer="342" w:gutter="0"/>
          <w:pgNumType w:start="10"/>
          <w:cols w:space="708"/>
          <w:titlePg w:val="0"/>
        </w:sectPr>
      </w:pPr>
    </w:p>
    <w:p>
      <w:pPr>
        <w:spacing w:line="414" w:lineRule="auto"/>
        <w:rPr>
          <w:rFonts w:ascii="Arial"/>
          <w:sz w:val="21"/>
        </w:rPr>
      </w:pP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5253228</wp:posOffset>
            </wp:positionH>
            <wp:positionV relativeFrom="page">
              <wp:posOffset>204215</wp:posOffset>
            </wp:positionV>
            <wp:extent cx="1517904" cy="449580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7904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5" w:line="226" w:lineRule="auto"/>
        <w:ind w:left="145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中国房地产企业监测报告（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 xml:space="preserve">2024 </w:t>
      </w:r>
      <w:r>
        <w:rPr>
          <w:rFonts w:ascii="SimSun" w:eastAsia="SimSun" w:hAnsi="SimSun" w:cs="SimSun"/>
          <w:spacing w:val="5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rFonts w:ascii="SimSun" w:eastAsia="SimSun" w:hAnsi="SimSun" w:cs="SimSun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 xml:space="preserve">1 </w:t>
      </w:r>
      <w:r>
        <w:rPr>
          <w:rFonts w:ascii="SimSun" w:eastAsia="SimSun" w:hAnsi="SimSun" w:cs="SimSun"/>
          <w:spacing w:val="5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月）</w:t>
      </w:r>
    </w:p>
    <w:p>
      <w:pPr>
        <w:spacing w:before="14" w:line="29" w:lineRule="exact"/>
        <w:ind w:firstLine="117"/>
      </w:pPr>
      <w:r>
        <w:pict>
          <v:shape id="_x0000_i1035" style="width:415.3pt;height:1.45pt;mso-position-horizontal-relative:char;mso-position-vertical-relative:line" coordorigin="0,0" coordsize="8305,29" path="m,l8305,l8305,28l,28l,xe" filled="t" fillcolor="#1f497d" stroked="f">
            <w10:wrap type="none"/>
          </v:shape>
        </w:pict>
      </w:r>
    </w:p>
    <w:p>
      <w:pPr>
        <w:pStyle w:val="BodyText"/>
        <w:spacing w:before="306" w:line="226" w:lineRule="auto"/>
        <w:ind w:left="139"/>
        <w:outlineLvl w:val="0"/>
        <w:rPr>
          <w:sz w:val="24"/>
          <w:szCs w:val="24"/>
        </w:rPr>
      </w:pPr>
      <w:r>
        <w:rPr>
          <w:spacing w:val="-1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1.2.3</w:t>
      </w:r>
      <w:r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重点企业融资情况</w:t>
      </w:r>
    </w:p>
    <w:p>
      <w:pPr>
        <w:pStyle w:val="BodyText"/>
        <w:spacing w:before="291" w:line="269" w:lineRule="auto"/>
        <w:ind w:left="2670" w:right="627" w:hanging="16"/>
        <w:jc w:val="both"/>
      </w:pPr>
      <w:r>
        <w:rPr>
          <w:rFonts w:ascii="Arial" w:eastAsia="Arial" w:hAnsi="Arial" w:cs="Arial"/>
          <w:b/>
          <w:bCs/>
          <w:spacing w:val="6"/>
        </w:rPr>
        <w:t xml:space="preserve">1 </w:t>
      </w:r>
      <w:r>
        <w:rPr>
          <w:spacing w:val="6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月房企融资规模较上月下降。</w:t>
      </w:r>
      <w:r>
        <w:rPr>
          <w:spacing w:val="6"/>
        </w:rPr>
        <w:t>重点监测房企发生融资</w:t>
      </w:r>
      <w:r>
        <w:rPr>
          <w:spacing w:val="-27"/>
        </w:rPr>
        <w:t xml:space="preserve"> </w:t>
      </w:r>
      <w:r>
        <w:rPr>
          <w:rFonts w:ascii="Arial" w:eastAsia="Arial" w:hAnsi="Arial" w:cs="Arial"/>
          <w:spacing w:val="6"/>
        </w:rPr>
        <w:t xml:space="preserve">34 </w:t>
      </w:r>
      <w:r>
        <w:rPr>
          <w:spacing w:val="6"/>
        </w:rPr>
        <w:t>笔，</w:t>
      </w:r>
      <w:r>
        <w:t xml:space="preserve"> </w:t>
      </w:r>
      <w:r>
        <w:rPr>
          <w:spacing w:val="5"/>
        </w:rPr>
        <w:t>累计融资金额合计</w:t>
      </w:r>
      <w:r>
        <w:rPr>
          <w:spacing w:val="-37"/>
        </w:rPr>
        <w:t xml:space="preserve"> </w:t>
      </w:r>
      <w:r>
        <w:rPr>
          <w:rFonts w:ascii="Arial" w:eastAsia="Arial" w:hAnsi="Arial" w:cs="Arial"/>
          <w:spacing w:val="5"/>
        </w:rPr>
        <w:t>371.</w:t>
      </w:r>
      <w:r>
        <w:rPr>
          <w:rFonts w:ascii="Arial" w:eastAsia="Arial" w:hAnsi="Arial" w:cs="Arial"/>
          <w:spacing w:val="-33"/>
        </w:rPr>
        <w:t xml:space="preserve"> </w:t>
      </w:r>
      <w:r>
        <w:rPr>
          <w:rFonts w:ascii="Arial" w:eastAsia="Arial" w:hAnsi="Arial" w:cs="Arial"/>
          <w:spacing w:val="5"/>
        </w:rPr>
        <w:t xml:space="preserve">17 </w:t>
      </w:r>
      <w:r>
        <w:rPr>
          <w:spacing w:val="5"/>
        </w:rPr>
        <w:t>亿元，金额较上月下降</w:t>
      </w:r>
      <w:r>
        <w:rPr>
          <w:spacing w:val="-39"/>
        </w:rPr>
        <w:t xml:space="preserve"> </w:t>
      </w:r>
      <w:r>
        <w:rPr>
          <w:rFonts w:ascii="Arial" w:eastAsia="Arial" w:hAnsi="Arial" w:cs="Arial"/>
          <w:spacing w:val="5"/>
        </w:rPr>
        <w:t>24</w:t>
      </w:r>
      <w:r>
        <w:rPr>
          <w:rFonts w:ascii="Arial" w:eastAsia="Arial" w:hAnsi="Arial" w:cs="Arial"/>
          <w:spacing w:val="4"/>
        </w:rPr>
        <w:t>.51%</w:t>
      </w:r>
      <w:r>
        <w:rPr>
          <w:rFonts w:ascii="Arial" w:eastAsia="Arial" w:hAnsi="Arial" w:cs="Arial"/>
          <w:spacing w:val="-31"/>
        </w:rPr>
        <w:t xml:space="preserve"> </w:t>
      </w:r>
      <w:r>
        <w:rPr>
          <w:spacing w:val="4"/>
        </w:rPr>
        <w:t>，其</w:t>
      </w:r>
      <w:r>
        <w:t xml:space="preserve"> </w:t>
      </w:r>
      <w:r>
        <w:rPr>
          <w:spacing w:val="6"/>
        </w:rPr>
        <w:t>中融资单笔最高为厦门象屿公司债</w:t>
      </w:r>
      <w:r>
        <w:rPr>
          <w:spacing w:val="-33"/>
        </w:rPr>
        <w:t xml:space="preserve"> </w:t>
      </w:r>
      <w:r>
        <w:rPr>
          <w:rFonts w:ascii="Arial" w:eastAsia="Arial" w:hAnsi="Arial" w:cs="Arial"/>
          <w:spacing w:val="6"/>
        </w:rPr>
        <w:t xml:space="preserve">80 </w:t>
      </w:r>
      <w:r>
        <w:rPr>
          <w:spacing w:val="6"/>
        </w:rPr>
        <w:t>亿元。</w:t>
      </w:r>
    </w:p>
    <w:p>
      <w:pPr>
        <w:pStyle w:val="BodyText"/>
        <w:spacing w:before="218" w:line="232" w:lineRule="auto"/>
        <w:ind w:left="120"/>
      </w:pPr>
      <w:r>
        <w:rPr>
          <w:spacing w:val="6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表：2024</w:t>
      </w:r>
      <w:r>
        <w:rPr>
          <w:spacing w:val="-34"/>
        </w:rPr>
        <w:t xml:space="preserve"> </w:t>
      </w:r>
      <w:r>
        <w:rPr>
          <w:spacing w:val="6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spacing w:val="-28"/>
        </w:rPr>
        <w:t xml:space="preserve"> </w:t>
      </w:r>
      <w:r>
        <w:rPr>
          <w:spacing w:val="6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1</w:t>
      </w:r>
      <w:r>
        <w:rPr>
          <w:spacing w:val="-26"/>
        </w:rPr>
        <w:t xml:space="preserve"> </w:t>
      </w:r>
      <w:r>
        <w:rPr>
          <w:spacing w:val="6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月房地产融资情况统计</w:t>
      </w:r>
    </w:p>
    <w:tbl>
      <w:tblPr>
        <w:tblStyle w:val="TableNormal2"/>
        <w:tblW w:w="8358" w:type="dxa"/>
        <w:tblInd w:w="7" w:type="dxa"/>
        <w:tblBorders>
          <w:top w:val="single" w:sz="6" w:space="0" w:color="4F81BD"/>
          <w:left w:val="single" w:sz="6" w:space="0" w:color="4F81BD"/>
          <w:bottom w:val="single" w:sz="6" w:space="0" w:color="4F81BD"/>
          <w:right w:val="single" w:sz="6" w:space="0" w:color="4F81BD"/>
          <w:insideH w:val="single" w:sz="6" w:space="0" w:color="4F81BD"/>
          <w:insideV w:val="single" w:sz="6" w:space="0" w:color="4F81BD"/>
        </w:tblBorders>
        <w:tblLayout w:type="fixed"/>
      </w:tblPr>
      <w:tblGrid>
        <w:gridCol w:w="1118"/>
        <w:gridCol w:w="1255"/>
        <w:gridCol w:w="971"/>
        <w:gridCol w:w="5014"/>
      </w:tblGrid>
      <w:tr>
        <w:tblPrEx>
          <w:tblW w:w="8358" w:type="dxa"/>
          <w:tblInd w:w="7" w:type="dxa"/>
          <w:tblBorders>
            <w:top w:val="single" w:sz="6" w:space="0" w:color="4F81BD"/>
            <w:left w:val="single" w:sz="6" w:space="0" w:color="4F81BD"/>
            <w:bottom w:val="single" w:sz="6" w:space="0" w:color="4F81BD"/>
            <w:right w:val="single" w:sz="6" w:space="0" w:color="4F81BD"/>
            <w:insideH w:val="single" w:sz="6" w:space="0" w:color="4F81BD"/>
            <w:insideV w:val="single" w:sz="6" w:space="0" w:color="4F81BD"/>
          </w:tblBorders>
          <w:tblLayout w:type="fixed"/>
        </w:tblPrEx>
        <w:trPr>
          <w:trHeight w:val="326"/>
        </w:trPr>
        <w:tc>
          <w:tcPr>
            <w:tcW w:w="1118" w:type="dxa"/>
            <w:shd w:val="clear" w:color="auto" w:fill="B8CCE4"/>
            <w:vAlign w:val="top"/>
          </w:tcPr>
          <w:p>
            <w:pPr>
              <w:pStyle w:val="TableText"/>
              <w:spacing w:before="81" w:line="201" w:lineRule="auto"/>
              <w:ind w:left="373"/>
            </w:pPr>
            <w:r>
              <w:rPr>
                <w:spacing w:val="-3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企业</w:t>
            </w:r>
          </w:p>
        </w:tc>
        <w:tc>
          <w:tcPr>
            <w:tcW w:w="1255" w:type="dxa"/>
            <w:shd w:val="clear" w:color="auto" w:fill="B8CCE4"/>
            <w:vAlign w:val="top"/>
          </w:tcPr>
          <w:p>
            <w:pPr>
              <w:pStyle w:val="TableText"/>
              <w:spacing w:before="70" w:line="226" w:lineRule="auto"/>
              <w:ind w:left="270"/>
            </w:pPr>
            <w:r>
              <w:rPr>
                <w:spacing w:val="-4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融资形式</w:t>
            </w:r>
          </w:p>
        </w:tc>
        <w:tc>
          <w:tcPr>
            <w:tcW w:w="971" w:type="dxa"/>
            <w:shd w:val="clear" w:color="auto" w:fill="B8CCE4"/>
            <w:vAlign w:val="top"/>
          </w:tcPr>
          <w:p>
            <w:pPr>
              <w:pStyle w:val="TableText"/>
              <w:spacing w:before="70" w:line="234" w:lineRule="auto"/>
              <w:ind w:left="295"/>
            </w:pPr>
            <w:r>
              <w:rPr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金额</w:t>
            </w:r>
          </w:p>
        </w:tc>
        <w:tc>
          <w:tcPr>
            <w:tcW w:w="5014" w:type="dxa"/>
            <w:shd w:val="clear" w:color="auto" w:fill="B8CCE4"/>
            <w:vAlign w:val="top"/>
          </w:tcPr>
          <w:p>
            <w:pPr>
              <w:pStyle w:val="TableText"/>
              <w:spacing w:before="70" w:line="228" w:lineRule="auto"/>
              <w:ind w:left="2317"/>
            </w:pPr>
            <w:r>
              <w:rPr>
                <w:spacing w:val="-1"/>
                <w14:textOutline w14:w="326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概要</w:t>
            </w:r>
          </w:p>
        </w:tc>
      </w:tr>
      <w:tr>
        <w:tblPrEx>
          <w:tblW w:w="8358" w:type="dxa"/>
          <w:tblInd w:w="7" w:type="dxa"/>
          <w:tblLayout w:type="fixed"/>
        </w:tblPrEx>
        <w:trPr>
          <w:trHeight w:val="3744"/>
        </w:trPr>
        <w:tc>
          <w:tcPr>
            <w:tcW w:w="111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35" w:lineRule="auto"/>
              <w:ind w:left="102"/>
              <w:rPr>
                <w:sz w:val="19"/>
                <w:szCs w:val="19"/>
              </w:rPr>
            </w:pPr>
            <w:r>
              <w:rPr>
                <w:spacing w:val="9"/>
                <w:sz w:val="19"/>
                <w:szCs w:val="19"/>
              </w:rPr>
              <w:t>金地集团</w:t>
            </w:r>
          </w:p>
        </w:tc>
        <w:tc>
          <w:tcPr>
            <w:tcW w:w="1255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242" w:lineRule="auto"/>
              <w:ind w:left="1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担保</w:t>
            </w:r>
          </w:p>
        </w:tc>
        <w:tc>
          <w:tcPr>
            <w:tcW w:w="971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191" w:lineRule="auto"/>
              <w:ind w:left="104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2.1</w:t>
            </w:r>
          </w:p>
        </w:tc>
        <w:tc>
          <w:tcPr>
            <w:tcW w:w="5014" w:type="dxa"/>
            <w:vAlign w:val="top"/>
          </w:tcPr>
          <w:p>
            <w:pPr>
              <w:pStyle w:val="TableText"/>
              <w:spacing w:before="57" w:line="297" w:lineRule="auto"/>
              <w:ind w:left="99" w:right="101" w:firstLine="17"/>
              <w:jc w:val="both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1</w:t>
            </w:r>
            <w:r>
              <w:rPr>
                <w:spacing w:val="-12"/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月</w:t>
            </w:r>
            <w:r>
              <w:rPr>
                <w:spacing w:val="-40"/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4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日，金地集团发布公告，披露了其为子公司上海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9"/>
                <w:sz w:val="19"/>
                <w:szCs w:val="19"/>
              </w:rPr>
              <w:t>茸鑫房地产开发有限公司的融资提供担保的情况。此次</w:t>
            </w:r>
            <w:r>
              <w:rPr>
                <w:spacing w:val="17"/>
                <w:sz w:val="19"/>
                <w:szCs w:val="19"/>
              </w:rPr>
              <w:t xml:space="preserve"> </w:t>
            </w:r>
            <w:r>
              <w:rPr>
                <w:spacing w:val="9"/>
                <w:sz w:val="19"/>
                <w:szCs w:val="19"/>
              </w:rPr>
              <w:t>担保金额为本金不超过</w:t>
            </w:r>
            <w:r>
              <w:rPr>
                <w:spacing w:val="-42"/>
                <w:sz w:val="19"/>
                <w:szCs w:val="19"/>
              </w:rPr>
              <w:t xml:space="preserve"> </w:t>
            </w:r>
            <w:r>
              <w:rPr>
                <w:spacing w:val="9"/>
                <w:sz w:val="19"/>
                <w:szCs w:val="19"/>
              </w:rPr>
              <w:t>2.1</w:t>
            </w:r>
            <w:r>
              <w:rPr>
                <w:spacing w:val="-41"/>
                <w:sz w:val="19"/>
                <w:szCs w:val="19"/>
              </w:rPr>
              <w:t xml:space="preserve"> </w:t>
            </w:r>
            <w:r>
              <w:rPr>
                <w:spacing w:val="9"/>
                <w:sz w:val="19"/>
                <w:szCs w:val="19"/>
              </w:rPr>
              <w:t>亿元的贷款，由金地集团提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10"/>
                <w:sz w:val="19"/>
                <w:szCs w:val="19"/>
              </w:rPr>
              <w:t>供全额连带责任保证担保，担保期限为主债务</w:t>
            </w:r>
            <w:r>
              <w:rPr>
                <w:spacing w:val="9"/>
                <w:sz w:val="19"/>
                <w:szCs w:val="19"/>
              </w:rPr>
              <w:t>履行期限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9"/>
                <w:sz w:val="19"/>
                <w:szCs w:val="19"/>
              </w:rPr>
              <w:t>届满之日起三年。据公告显示，上海茸鑫房地产开发有</w:t>
            </w:r>
            <w:r>
              <w:rPr>
                <w:spacing w:val="17"/>
                <w:sz w:val="19"/>
                <w:szCs w:val="19"/>
              </w:rPr>
              <w:t xml:space="preserve"> </w:t>
            </w:r>
            <w:r>
              <w:rPr>
                <w:spacing w:val="18"/>
                <w:sz w:val="19"/>
                <w:szCs w:val="19"/>
              </w:rPr>
              <w:t>限公司是金地集团的控股子公司金地集团上海房地产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25"/>
                <w:sz w:val="19"/>
                <w:szCs w:val="19"/>
              </w:rPr>
              <w:t>发展有限公司的全资子公司</w:t>
            </w:r>
            <w:r>
              <w:rPr>
                <w:spacing w:val="-31"/>
                <w:sz w:val="19"/>
                <w:szCs w:val="19"/>
              </w:rPr>
              <w:t xml:space="preserve"> </w:t>
            </w:r>
            <w:r>
              <w:rPr>
                <w:spacing w:val="25"/>
                <w:sz w:val="19"/>
                <w:szCs w:val="19"/>
              </w:rPr>
              <w:t>。该公司资产总额约为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3.6057</w:t>
            </w:r>
            <w:r>
              <w:rPr>
                <w:spacing w:val="-31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亿元，负债总额约为</w:t>
            </w:r>
            <w:r>
              <w:rPr>
                <w:spacing w:val="-29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1.454</w:t>
            </w:r>
            <w:r>
              <w:rPr>
                <w:spacing w:val="-39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亿元，资产负债率约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为</w:t>
            </w:r>
            <w:r>
              <w:rPr>
                <w:spacing w:val="-42"/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40.33%。此次融资是为了满足项目发展</w:t>
            </w:r>
            <w:r>
              <w:rPr>
                <w:spacing w:val="6"/>
                <w:sz w:val="19"/>
                <w:szCs w:val="19"/>
              </w:rPr>
              <w:t>需要。金地集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18"/>
                <w:sz w:val="19"/>
                <w:szCs w:val="19"/>
              </w:rPr>
              <w:t>团表示，本次担保符合相关法律法规及自律规则的规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9"/>
                <w:sz w:val="19"/>
                <w:szCs w:val="19"/>
              </w:rPr>
              <w:t>定，且被担保方具有足够的偿债能力。截止目前，项目</w:t>
            </w:r>
            <w:r>
              <w:rPr>
                <w:spacing w:val="17"/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进展正常。</w:t>
            </w:r>
          </w:p>
        </w:tc>
      </w:tr>
      <w:tr>
        <w:tblPrEx>
          <w:tblW w:w="8358" w:type="dxa"/>
          <w:tblInd w:w="7" w:type="dxa"/>
          <w:tblLayout w:type="fixed"/>
        </w:tblPrEx>
        <w:trPr>
          <w:trHeight w:val="3121"/>
        </w:trPr>
        <w:tc>
          <w:tcPr>
            <w:tcW w:w="1118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234" w:lineRule="auto"/>
              <w:ind w:left="112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广宇集团</w:t>
            </w:r>
          </w:p>
        </w:tc>
        <w:tc>
          <w:tcPr>
            <w:tcW w:w="125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242" w:lineRule="auto"/>
              <w:ind w:left="1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担保</w:t>
            </w:r>
          </w:p>
        </w:tc>
        <w:tc>
          <w:tcPr>
            <w:tcW w:w="971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191" w:lineRule="auto"/>
              <w:ind w:left="10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5014" w:type="dxa"/>
            <w:vAlign w:val="top"/>
          </w:tcPr>
          <w:p>
            <w:pPr>
              <w:pStyle w:val="TableText"/>
              <w:spacing w:before="58" w:line="296" w:lineRule="auto"/>
              <w:ind w:left="99" w:right="102" w:firstLine="17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1</w:t>
            </w:r>
            <w:r>
              <w:rPr>
                <w:spacing w:val="-12"/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月</w:t>
            </w:r>
            <w:r>
              <w:rPr>
                <w:spacing w:val="-40"/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4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日，广宇集团股份有限公司与北京银行股份有限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10"/>
                <w:sz w:val="19"/>
                <w:szCs w:val="19"/>
              </w:rPr>
              <w:t>公司杭州分行签订《最高额保证合同》，为其</w:t>
            </w:r>
            <w:r>
              <w:rPr>
                <w:spacing w:val="9"/>
                <w:sz w:val="19"/>
                <w:szCs w:val="19"/>
              </w:rPr>
              <w:t>控股子公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9"/>
                <w:sz w:val="19"/>
                <w:szCs w:val="19"/>
              </w:rPr>
              <w:t>司一石巨鑫有限公司提供</w:t>
            </w:r>
            <w:r>
              <w:rPr>
                <w:spacing w:val="-36"/>
                <w:sz w:val="19"/>
                <w:szCs w:val="19"/>
              </w:rPr>
              <w:t xml:space="preserve"> </w:t>
            </w:r>
            <w:r>
              <w:rPr>
                <w:spacing w:val="9"/>
                <w:sz w:val="19"/>
                <w:szCs w:val="19"/>
              </w:rPr>
              <w:t>2</w:t>
            </w:r>
            <w:r>
              <w:rPr>
                <w:spacing w:val="-42"/>
                <w:sz w:val="19"/>
                <w:szCs w:val="19"/>
              </w:rPr>
              <w:t xml:space="preserve"> </w:t>
            </w:r>
            <w:r>
              <w:rPr>
                <w:spacing w:val="9"/>
                <w:sz w:val="19"/>
                <w:szCs w:val="19"/>
              </w:rPr>
              <w:t>亿元的综合授信担保。一石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8"/>
                <w:sz w:val="19"/>
                <w:szCs w:val="19"/>
              </w:rPr>
              <w:t>巨鑫的资产负债率超过</w:t>
            </w:r>
            <w:r>
              <w:rPr>
                <w:spacing w:val="-39"/>
                <w:sz w:val="19"/>
                <w:szCs w:val="19"/>
              </w:rPr>
              <w:t xml:space="preserve"> </w:t>
            </w:r>
            <w:r>
              <w:rPr>
                <w:spacing w:val="8"/>
                <w:sz w:val="19"/>
                <w:szCs w:val="19"/>
              </w:rPr>
              <w:t>70%，达到</w:t>
            </w:r>
            <w:r>
              <w:rPr>
                <w:spacing w:val="-39"/>
                <w:sz w:val="19"/>
                <w:szCs w:val="19"/>
              </w:rPr>
              <w:t xml:space="preserve"> </w:t>
            </w:r>
            <w:r>
              <w:rPr>
                <w:spacing w:val="8"/>
                <w:sz w:val="19"/>
                <w:szCs w:val="19"/>
              </w:rPr>
              <w:t>86.8</w:t>
            </w:r>
            <w:r>
              <w:rPr>
                <w:spacing w:val="7"/>
                <w:sz w:val="19"/>
                <w:szCs w:val="19"/>
              </w:rPr>
              <w:t>1%，此次担保占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10"/>
                <w:sz w:val="19"/>
                <w:szCs w:val="19"/>
              </w:rPr>
              <w:t>广宇集团最近一期经审计净资产的</w:t>
            </w:r>
            <w:r>
              <w:rPr>
                <w:spacing w:val="-24"/>
                <w:sz w:val="19"/>
                <w:szCs w:val="19"/>
              </w:rPr>
              <w:t xml:space="preserve"> </w:t>
            </w:r>
            <w:r>
              <w:rPr>
                <w:spacing w:val="10"/>
                <w:sz w:val="19"/>
                <w:szCs w:val="19"/>
              </w:rPr>
              <w:t>5.02%。根据公告，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9"/>
                <w:sz w:val="19"/>
                <w:szCs w:val="19"/>
              </w:rPr>
              <w:t>广宇集团为这</w:t>
            </w:r>
            <w:r>
              <w:rPr>
                <w:spacing w:val="-36"/>
                <w:sz w:val="19"/>
                <w:szCs w:val="19"/>
              </w:rPr>
              <w:t xml:space="preserve"> </w:t>
            </w:r>
            <w:r>
              <w:rPr>
                <w:spacing w:val="9"/>
                <w:sz w:val="19"/>
                <w:szCs w:val="19"/>
              </w:rPr>
              <w:t>2</w:t>
            </w:r>
            <w:r>
              <w:rPr>
                <w:spacing w:val="-42"/>
                <w:sz w:val="19"/>
                <w:szCs w:val="19"/>
              </w:rPr>
              <w:t xml:space="preserve"> </w:t>
            </w:r>
            <w:r>
              <w:rPr>
                <w:spacing w:val="9"/>
                <w:sz w:val="19"/>
                <w:szCs w:val="19"/>
              </w:rPr>
              <w:t>亿元本金以及利息、罚息、复利、违约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10"/>
                <w:sz w:val="19"/>
                <w:szCs w:val="19"/>
              </w:rPr>
              <w:t>金、损害赔偿金、实现债权和担保权益的费</w:t>
            </w:r>
            <w:r>
              <w:rPr>
                <w:spacing w:val="9"/>
                <w:sz w:val="19"/>
                <w:szCs w:val="19"/>
              </w:rPr>
              <w:t>用等相关款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9"/>
                <w:sz w:val="19"/>
                <w:szCs w:val="19"/>
              </w:rPr>
              <w:t>项提供连带责任保证。一石巨鑫的另一股东浙江自贸区</w:t>
            </w:r>
            <w:r>
              <w:rPr>
                <w:spacing w:val="17"/>
                <w:sz w:val="19"/>
                <w:szCs w:val="19"/>
              </w:rPr>
              <w:t xml:space="preserve"> </w:t>
            </w:r>
            <w:r>
              <w:rPr>
                <w:spacing w:val="8"/>
                <w:sz w:val="19"/>
                <w:szCs w:val="19"/>
              </w:rPr>
              <w:t>豪鑫股权投资合伙企业（有限合伙）</w:t>
            </w:r>
            <w:r>
              <w:rPr>
                <w:spacing w:val="-53"/>
                <w:sz w:val="19"/>
                <w:szCs w:val="19"/>
              </w:rPr>
              <w:t xml:space="preserve"> </w:t>
            </w:r>
            <w:r>
              <w:rPr>
                <w:spacing w:val="8"/>
                <w:sz w:val="19"/>
                <w:szCs w:val="19"/>
              </w:rPr>
              <w:t>以其出资比例向广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9"/>
                <w:sz w:val="19"/>
                <w:szCs w:val="19"/>
              </w:rPr>
              <w:t>宇集团提供同等条件的反担保。</w:t>
            </w:r>
          </w:p>
        </w:tc>
      </w:tr>
      <w:tr>
        <w:tblPrEx>
          <w:tblW w:w="8358" w:type="dxa"/>
          <w:tblInd w:w="7" w:type="dxa"/>
          <w:tblLayout w:type="fixed"/>
        </w:tblPrEx>
        <w:trPr>
          <w:trHeight w:val="4368"/>
        </w:trPr>
        <w:tc>
          <w:tcPr>
            <w:tcW w:w="111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34" w:lineRule="auto"/>
              <w:ind w:left="113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招商蛇口</w:t>
            </w:r>
          </w:p>
        </w:tc>
        <w:tc>
          <w:tcPr>
            <w:tcW w:w="125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42" w:lineRule="auto"/>
              <w:ind w:left="1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担保</w:t>
            </w:r>
          </w:p>
        </w:tc>
        <w:tc>
          <w:tcPr>
            <w:tcW w:w="971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91" w:lineRule="auto"/>
              <w:ind w:left="104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20</w:t>
            </w:r>
          </w:p>
        </w:tc>
        <w:tc>
          <w:tcPr>
            <w:tcW w:w="5014" w:type="dxa"/>
            <w:vAlign w:val="top"/>
          </w:tcPr>
          <w:p>
            <w:pPr>
              <w:pStyle w:val="TableText"/>
              <w:spacing w:before="59" w:line="298" w:lineRule="auto"/>
              <w:ind w:left="103" w:right="51" w:firstLine="13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1</w:t>
            </w:r>
            <w:r>
              <w:rPr>
                <w:spacing w:val="-18"/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月</w:t>
            </w:r>
            <w:r>
              <w:rPr>
                <w:spacing w:val="-34"/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3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日，招商局蛇口工业区控股股份有限公司发布公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10"/>
                <w:sz w:val="19"/>
                <w:szCs w:val="19"/>
              </w:rPr>
              <w:t>告，全资子公司深圳乐享置业有限公司于</w:t>
            </w:r>
            <w:r>
              <w:rPr>
                <w:spacing w:val="-29"/>
                <w:sz w:val="19"/>
                <w:szCs w:val="19"/>
              </w:rPr>
              <w:t xml:space="preserve"> </w:t>
            </w:r>
            <w:r>
              <w:rPr>
                <w:spacing w:val="10"/>
                <w:sz w:val="19"/>
                <w:szCs w:val="19"/>
              </w:rPr>
              <w:t>2021</w:t>
            </w:r>
            <w:r>
              <w:rPr>
                <w:spacing w:val="-30"/>
                <w:sz w:val="19"/>
                <w:szCs w:val="19"/>
              </w:rPr>
              <w:t xml:space="preserve"> </w:t>
            </w:r>
            <w:r>
              <w:rPr>
                <w:spacing w:val="10"/>
                <w:sz w:val="19"/>
                <w:szCs w:val="19"/>
              </w:rPr>
              <w:t>年</w:t>
            </w:r>
            <w:r>
              <w:rPr>
                <w:spacing w:val="-33"/>
                <w:sz w:val="19"/>
                <w:szCs w:val="19"/>
              </w:rPr>
              <w:t xml:space="preserve"> </w:t>
            </w:r>
            <w:r>
              <w:rPr>
                <w:spacing w:val="10"/>
                <w:sz w:val="19"/>
                <w:szCs w:val="19"/>
              </w:rPr>
              <w:t>6</w:t>
            </w:r>
            <w:r>
              <w:rPr>
                <w:spacing w:val="-23"/>
                <w:sz w:val="19"/>
                <w:szCs w:val="19"/>
              </w:rPr>
              <w:t xml:space="preserve"> </w:t>
            </w:r>
            <w:r>
              <w:rPr>
                <w:spacing w:val="10"/>
                <w:sz w:val="19"/>
                <w:szCs w:val="19"/>
              </w:rPr>
              <w:t>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8"/>
                <w:sz w:val="19"/>
                <w:szCs w:val="19"/>
              </w:rPr>
              <w:t>23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pacing w:val="8"/>
                <w:sz w:val="19"/>
                <w:szCs w:val="19"/>
              </w:rPr>
              <w:t>日向招商银行深圳分行申请</w:t>
            </w:r>
            <w:r>
              <w:rPr>
                <w:spacing w:val="-34"/>
                <w:sz w:val="19"/>
                <w:szCs w:val="19"/>
              </w:rPr>
              <w:t xml:space="preserve"> </w:t>
            </w:r>
            <w:r>
              <w:rPr>
                <w:spacing w:val="8"/>
                <w:sz w:val="19"/>
                <w:szCs w:val="19"/>
              </w:rPr>
              <w:t>20</w:t>
            </w:r>
            <w:r>
              <w:rPr>
                <w:spacing w:val="-40"/>
                <w:sz w:val="19"/>
                <w:szCs w:val="19"/>
              </w:rPr>
              <w:t xml:space="preserve"> </w:t>
            </w:r>
            <w:r>
              <w:rPr>
                <w:spacing w:val="8"/>
                <w:sz w:val="19"/>
                <w:szCs w:val="19"/>
              </w:rPr>
              <w:t>亿元授信额度，原由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18"/>
                <w:sz w:val="19"/>
                <w:szCs w:val="19"/>
              </w:rPr>
              <w:t>深圳招商房地产有限公司提供连带责任保证。公告显</w:t>
            </w:r>
            <w:r>
              <w:rPr>
                <w:spacing w:val="5"/>
                <w:sz w:val="19"/>
                <w:szCs w:val="19"/>
              </w:rPr>
              <w:t xml:space="preserve"> </w:t>
            </w:r>
            <w:r>
              <w:rPr>
                <w:spacing w:val="10"/>
                <w:sz w:val="19"/>
                <w:szCs w:val="19"/>
              </w:rPr>
              <w:t>示，现计划将该授信下债务的担保人变更为公司本身，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继续提供连带责任保证，担保本金金额不超过</w:t>
            </w:r>
            <w:r>
              <w:rPr>
                <w:spacing w:val="-40"/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20</w:t>
            </w:r>
            <w:r>
              <w:rPr>
                <w:spacing w:val="-42"/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亿元，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18"/>
                <w:sz w:val="19"/>
                <w:szCs w:val="19"/>
              </w:rPr>
              <w:t>保证期间至授信协议项下每笔贷款或其他融资到期日</w:t>
            </w:r>
            <w:r>
              <w:rPr>
                <w:spacing w:val="5"/>
                <w:sz w:val="19"/>
                <w:szCs w:val="19"/>
              </w:rPr>
              <w:t xml:space="preserve"> </w:t>
            </w:r>
            <w:r>
              <w:rPr>
                <w:spacing w:val="9"/>
                <w:sz w:val="19"/>
                <w:szCs w:val="19"/>
              </w:rPr>
              <w:t>或每笔垫款的垫款日起另加三年。深圳乐享置业成立于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2016</w:t>
            </w:r>
            <w:r>
              <w:rPr>
                <w:spacing w:val="-36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年</w:t>
            </w:r>
            <w:r>
              <w:rPr>
                <w:spacing w:val="-48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5</w:t>
            </w:r>
            <w:r>
              <w:rPr>
                <w:spacing w:val="-34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月</w:t>
            </w:r>
            <w:r>
              <w:rPr>
                <w:spacing w:val="-46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30</w:t>
            </w:r>
            <w:r>
              <w:rPr>
                <w:spacing w:val="-3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日，招商蛇口持有其</w:t>
            </w:r>
            <w:r>
              <w:rPr>
                <w:spacing w:val="-34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100%股权。截至</w:t>
            </w:r>
            <w:r>
              <w:rPr>
                <w:spacing w:val="-45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2023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2"/>
                <w:sz w:val="19"/>
                <w:szCs w:val="19"/>
              </w:rPr>
              <w:t>年</w:t>
            </w:r>
            <w:r>
              <w:rPr>
                <w:spacing w:val="-48"/>
                <w:sz w:val="19"/>
                <w:szCs w:val="19"/>
              </w:rPr>
              <w:t xml:space="preserve"> </w:t>
            </w:r>
            <w:r>
              <w:rPr>
                <w:spacing w:val="2"/>
                <w:sz w:val="19"/>
                <w:szCs w:val="19"/>
              </w:rPr>
              <w:t>12</w:t>
            </w:r>
            <w:r>
              <w:rPr>
                <w:spacing w:val="-51"/>
                <w:sz w:val="19"/>
                <w:szCs w:val="19"/>
              </w:rPr>
              <w:t xml:space="preserve"> </w:t>
            </w:r>
            <w:r>
              <w:rPr>
                <w:spacing w:val="2"/>
                <w:sz w:val="19"/>
                <w:szCs w:val="19"/>
              </w:rPr>
              <w:t>月31</w:t>
            </w:r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spacing w:val="2"/>
                <w:sz w:val="19"/>
                <w:szCs w:val="19"/>
              </w:rPr>
              <w:t>日，该公司资产总额63.64亿，负债总额55.15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亿，净资产</w:t>
            </w:r>
            <w:r>
              <w:rPr>
                <w:spacing w:val="-33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8.49</w:t>
            </w:r>
            <w:r>
              <w:rPr>
                <w:spacing w:val="-40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亿；2023</w:t>
            </w:r>
            <w:r>
              <w:rPr>
                <w:spacing w:val="-37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年</w:t>
            </w:r>
            <w:r>
              <w:rPr>
                <w:spacing w:val="-2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1-12</w:t>
            </w:r>
            <w:r>
              <w:rPr>
                <w:spacing w:val="-28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月，营业收入</w:t>
            </w:r>
            <w:r>
              <w:rPr>
                <w:spacing w:val="-38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0，净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6"/>
                <w:sz w:val="19"/>
                <w:szCs w:val="19"/>
              </w:rPr>
              <w:t>利润-1440.67</w:t>
            </w:r>
            <w:r>
              <w:rPr>
                <w:spacing w:val="-31"/>
                <w:sz w:val="19"/>
                <w:szCs w:val="19"/>
              </w:rPr>
              <w:t xml:space="preserve"> </w:t>
            </w:r>
            <w:r>
              <w:rPr>
                <w:spacing w:val="6"/>
                <w:sz w:val="19"/>
                <w:szCs w:val="19"/>
              </w:rPr>
              <w:t>万元。公告指出，深圳乐享置业因</w:t>
            </w:r>
            <w:r>
              <w:rPr>
                <w:spacing w:val="5"/>
                <w:sz w:val="19"/>
                <w:szCs w:val="19"/>
              </w:rPr>
              <w:t>业务发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18"/>
                <w:sz w:val="19"/>
                <w:szCs w:val="19"/>
              </w:rPr>
              <w:t>展需要融资补充资金，招商蛇口为其提供担保风险可</w:t>
            </w:r>
            <w:r>
              <w:rPr>
                <w:spacing w:val="5"/>
                <w:sz w:val="19"/>
                <w:szCs w:val="19"/>
              </w:rPr>
              <w:t xml:space="preserve"> </w:t>
            </w:r>
            <w:r>
              <w:rPr>
                <w:spacing w:val="9"/>
                <w:sz w:val="19"/>
                <w:szCs w:val="19"/>
              </w:rPr>
              <w:t>控，不会对公司正常运作和业务发展造成影响。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9"/>
          <w:pgMar w:top="400" w:right="1242" w:bottom="511" w:left="1682" w:header="0" w:footer="342" w:gutter="0"/>
          <w:pgNumType w:start="11"/>
          <w:cols w:space="708"/>
        </w:sectPr>
      </w:pPr>
    </w:p>
    <w:tbl>
      <w:tblPr>
        <w:tblStyle w:val="TableNormal3"/>
        <w:tblW w:w="8358" w:type="dxa"/>
        <w:tblInd w:w="7" w:type="dxa"/>
        <w:tblBorders>
          <w:top w:val="single" w:sz="6" w:space="0" w:color="4F81BD"/>
          <w:left w:val="single" w:sz="6" w:space="0" w:color="4F81BD"/>
          <w:bottom w:val="single" w:sz="6" w:space="0" w:color="4F81BD"/>
          <w:right w:val="single" w:sz="6" w:space="0" w:color="4F81BD"/>
          <w:insideH w:val="single" w:sz="6" w:space="0" w:color="4F81BD"/>
          <w:insideV w:val="single" w:sz="6" w:space="0" w:color="4F81BD"/>
        </w:tblBorders>
        <w:tblLayout w:type="fixed"/>
      </w:tblPr>
      <w:tblGrid>
        <w:gridCol w:w="1118"/>
        <w:gridCol w:w="1255"/>
        <w:gridCol w:w="971"/>
        <w:gridCol w:w="5014"/>
      </w:tblGrid>
      <w:tr>
        <w:tblPrEx>
          <w:tblW w:w="8358" w:type="dxa"/>
          <w:tblInd w:w="7" w:type="dxa"/>
          <w:tblBorders>
            <w:top w:val="single" w:sz="6" w:space="0" w:color="4F81BD"/>
            <w:left w:val="single" w:sz="6" w:space="0" w:color="4F81BD"/>
            <w:bottom w:val="single" w:sz="6" w:space="0" w:color="4F81BD"/>
            <w:right w:val="single" w:sz="6" w:space="0" w:color="4F81BD"/>
            <w:insideH w:val="single" w:sz="6" w:space="0" w:color="4F81BD"/>
            <w:insideV w:val="single" w:sz="6" w:space="0" w:color="4F81BD"/>
          </w:tblBorders>
          <w:tblLayout w:type="fixed"/>
        </w:tblPrEx>
        <w:trPr>
          <w:trHeight w:val="324"/>
        </w:trPr>
        <w:tc>
          <w:tcPr>
            <w:tcW w:w="1118" w:type="dxa"/>
            <w:vAlign w:val="top"/>
          </w:tcPr>
          <w:p>
            <w:pPr>
              <w:pStyle w:val="TableText"/>
              <w:spacing w:before="67" w:line="236" w:lineRule="auto"/>
              <w:ind w:left="112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广州城投</w:t>
            </w:r>
          </w:p>
        </w:tc>
        <w:tc>
          <w:tcPr>
            <w:tcW w:w="1255" w:type="dxa"/>
            <w:vAlign w:val="top"/>
          </w:tcPr>
          <w:p>
            <w:pPr>
              <w:pStyle w:val="TableText"/>
              <w:spacing w:before="68" w:line="236" w:lineRule="auto"/>
              <w:rPr>
                <w:sz w:val="19"/>
                <w:szCs w:val="19"/>
              </w:rPr>
            </w:pPr>
            <w:r>
              <w:rPr>
                <w:spacing w:val="9"/>
                <w:sz w:val="19"/>
                <w:szCs w:val="19"/>
              </w:rPr>
              <w:t>公司债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spacing w:before="98" w:line="190" w:lineRule="auto"/>
              <w:ind w:left="10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5014" w:type="dxa"/>
            <w:vAlign w:val="top"/>
          </w:tcPr>
          <w:p>
            <w:pPr>
              <w:pStyle w:val="TableText"/>
              <w:spacing w:before="68" w:line="229" w:lineRule="auto"/>
              <w:ind w:left="117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1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月</w:t>
            </w:r>
            <w:r>
              <w:rPr>
                <w:spacing w:val="-39"/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5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日，广州市城市建设投资集团有限公司（以下简</w:t>
            </w:r>
          </w:p>
        </w:tc>
      </w:tr>
    </w:tbl>
    <w:p>
      <w:pPr>
        <w:spacing w:line="466" w:lineRule="auto"/>
        <w:rPr>
          <w:rFonts w:ascii="Arial"/>
          <w:sz w:val="21"/>
        </w:rPr>
      </w:pPr>
    </w:p>
    <w:p>
      <w:pPr>
        <w:spacing w:before="1" w:line="45" w:lineRule="exact"/>
        <w:ind w:firstLine="132"/>
      </w:pPr>
      <w:r>
        <w:drawing>
          <wp:inline distT="0" distB="0" distL="0" distR="0">
            <wp:extent cx="5267350" cy="2857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5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14" w:line="232" w:lineRule="auto"/>
        <w:ind w:left="128"/>
        <w:rPr>
          <w:sz w:val="14"/>
          <w:szCs w:val="14"/>
        </w:rPr>
      </w:pPr>
      <w:r>
        <w:rPr>
          <w:color w:val="24405B"/>
          <w:spacing w:val="8"/>
          <w:sz w:val="14"/>
          <w:szCs w:val="14"/>
          <w14:textOutline w14:w="2705" w14:cap="sq">
            <w14:solidFill>
              <w14:srgbClr w14:val="24405B"/>
            </w14:solidFill>
            <w14:prstDash w14:val="solid"/>
            <w14:bevel/>
          </w14:textOutline>
        </w:rPr>
        <w:t>本报告数据来自于中指研究院大数据中心。如有疑问，请咨询</w:t>
      </w:r>
      <w:r>
        <w:rPr>
          <w:color w:val="24405B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4405B"/>
          <w:spacing w:val="8"/>
          <w:sz w:val="14"/>
          <w:szCs w:val="14"/>
        </w:rPr>
        <w:t>400-630-6618</w:t>
      </w:r>
      <w:r>
        <w:rPr>
          <w:color w:val="24405B"/>
          <w:spacing w:val="8"/>
          <w:sz w:val="14"/>
          <w:szCs w:val="14"/>
          <w14:textOutline w14:w="2705" w14:cap="sq">
            <w14:solidFill>
              <w14:srgbClr w14:val="24405B"/>
            </w14:solidFill>
            <w14:prstDash w14:val="solid"/>
            <w14:bevel/>
          </w14:textOutline>
        </w:rPr>
        <w:t>。</w:t>
      </w:r>
    </w:p>
    <w:p>
      <w:pPr>
        <w:spacing w:line="232" w:lineRule="auto"/>
        <w:rPr>
          <w:sz w:val="14"/>
          <w:szCs w:val="14"/>
        </w:rPr>
      </w:pPr>
      <w:r>
        <w:rPr>
          <w:sz w:val="14"/>
          <w:szCs w:val="14"/>
        </w:rPr>
        <w:br/>
      </w:r>
      <w:r>
        <w:rPr>
          <w:sz w:val="14"/>
          <w:szCs w:val="14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https://d.book118.com/558113060063006037</w:t>
        </w:r>
      </w:hyperlink>
    </w:p>
    <w:p>
      <w:pPr>
        <w:spacing w:line="232" w:lineRule="auto"/>
        <w:rPr>
          <w:sz w:val="14"/>
          <w:szCs w:val="14"/>
        </w:rPr>
      </w:pPr>
    </w:p>
    <w:sectPr>
      <w:headerReference w:type="default" r:id="rId27"/>
      <w:footerReference w:type="default" r:id="rId28"/>
      <w:type w:val="nextPage"/>
      <w:pgSz w:w="11906" w:h="16839"/>
      <w:pgMar w:top="400" w:right="1242" w:bottom="511" w:left="1682" w:header="0" w:footer="342" w:gutter="0"/>
      <w:pgNumType w:start="12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left="8100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left="8100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left="8073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left="8073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left="8178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3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left="8178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KaiTi" w:eastAsia="KaiTi" w:hAnsi="KaiTi" w:cs="KaiTi"/>
      <w:sz w:val="20"/>
      <w:szCs w:val="20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KaiTi" w:eastAsia="KaiTi" w:hAnsi="KaiTi" w:cs="KaiTi"/>
      <w:sz w:val="18"/>
      <w:szCs w:val="18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header" Target="header7.xml" /><Relationship Id="rId15" Type="http://schemas.openxmlformats.org/officeDocument/2006/relationships/footer" Target="footer1.xml" /><Relationship Id="rId16" Type="http://schemas.openxmlformats.org/officeDocument/2006/relationships/image" Target="media/image5.png" /><Relationship Id="rId17" Type="http://schemas.openxmlformats.org/officeDocument/2006/relationships/header" Target="header8.xml" /><Relationship Id="rId18" Type="http://schemas.openxmlformats.org/officeDocument/2006/relationships/footer" Target="footer2.xml" /><Relationship Id="rId19" Type="http://schemas.openxmlformats.org/officeDocument/2006/relationships/header" Target="header9.xml" /><Relationship Id="rId2" Type="http://schemas.openxmlformats.org/officeDocument/2006/relationships/webSettings" Target="webSettings.xml" /><Relationship Id="rId20" Type="http://schemas.openxmlformats.org/officeDocument/2006/relationships/footer" Target="footer3.xml" /><Relationship Id="rId21" Type="http://schemas.openxmlformats.org/officeDocument/2006/relationships/image" Target="media/image6.jpeg" /><Relationship Id="rId22" Type="http://schemas.openxmlformats.org/officeDocument/2006/relationships/header" Target="header10.xml" /><Relationship Id="rId23" Type="http://schemas.openxmlformats.org/officeDocument/2006/relationships/footer" Target="footer4.xml" /><Relationship Id="rId24" Type="http://schemas.openxmlformats.org/officeDocument/2006/relationships/header" Target="header11.xml" /><Relationship Id="rId25" Type="http://schemas.openxmlformats.org/officeDocument/2006/relationships/footer" Target="footer5.xml" /><Relationship Id="rId26" Type="http://schemas.openxmlformats.org/officeDocument/2006/relationships/hyperlink" Target="https://d.book118.com/558113060063006037" TargetMode="External" /><Relationship Id="rId27" Type="http://schemas.openxmlformats.org/officeDocument/2006/relationships/header" Target="header12.xml" /><Relationship Id="rId28" Type="http://schemas.openxmlformats.org/officeDocument/2006/relationships/footer" Target="footer6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image" Target="media/image2.png" /><Relationship Id="rId7" Type="http://schemas.openxmlformats.org/officeDocument/2006/relationships/header" Target="header2.xml" /><Relationship Id="rId8" Type="http://schemas.openxmlformats.org/officeDocument/2006/relationships/image" Target="media/image3.jpeg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2024-02-21T22:56:28Z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2024-02-22T14:45:00Z</vt:filetime>
  </property>
  <property fmtid="{D5CDD505-2E9C-101B-9397-08002B2CF9AE}" pid="3" name="CRO">
    <vt:lpwstr>wqlLaW5nc29mdCBQREYgdG8gV1BTIDkw</vt:lpwstr>
  </property>
</Properties>
</file>