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spacing w:val="-1"/>
        </w:rPr>
        <w:t>路基土石方施工组织设计</w:t>
      </w:r>
    </w:p>
    <w:p>
      <w:pPr>
        <w:pStyle w:val="Heading1"/>
        <w:spacing w:before="271" w:line="568" w:lineRule="exact"/>
        <w:ind w:left="400"/>
        <w:jc w:val="left"/>
      </w:pPr>
      <w:r>
        <w:rPr>
          <w:spacing w:val="2"/>
        </w:rPr>
        <w:t>第一部分 施工工艺及施工方法</w:t>
      </w:r>
    </w:p>
    <w:p>
      <w:pPr>
        <w:pStyle w:val="BodyText"/>
        <w:spacing w:line="286" w:lineRule="exact"/>
        <w:ind w:left="784"/>
      </w:pPr>
      <w:r>
        <w:rPr>
          <w:spacing w:val="10"/>
        </w:rPr>
        <w:t xml:space="preserve">本段路基土石方工程量： 挖淤泥清表 </w:t>
      </w:r>
      <w:r>
        <w:t>23748m</w:t>
      </w:r>
      <w:r>
        <w:rPr>
          <w:vertAlign w:val="superscript"/>
        </w:rPr>
        <w:t>3</w:t>
      </w:r>
      <w:r>
        <w:rPr>
          <w:spacing w:val="-12"/>
          <w:vertAlign w:val="baseline"/>
        </w:rPr>
        <w:t xml:space="preserve">， 挖土方 </w:t>
      </w:r>
      <w:r>
        <w:rPr>
          <w:vertAlign w:val="baseline"/>
        </w:rPr>
        <w:t>394764m</w:t>
      </w:r>
      <w:r>
        <w:rPr>
          <w:vertAlign w:val="superscript"/>
        </w:rPr>
        <w:t>3</w:t>
      </w:r>
      <w:r>
        <w:rPr>
          <w:spacing w:val="-11"/>
          <w:vertAlign w:val="baseline"/>
        </w:rPr>
        <w:t>， 挖石方</w:t>
      </w:r>
    </w:p>
    <w:p>
      <w:pPr>
        <w:pStyle w:val="BodyText"/>
        <w:spacing w:before="4" w:line="286" w:lineRule="exact"/>
      </w:pPr>
      <w:r>
        <w:t>66338m</w:t>
      </w:r>
      <w:r>
        <w:rPr>
          <w:vertAlign w:val="superscript"/>
        </w:rPr>
        <w:t>3</w:t>
      </w:r>
      <w:r>
        <w:rPr>
          <w:spacing w:val="-6"/>
          <w:vertAlign w:val="baseline"/>
        </w:rPr>
        <w:t xml:space="preserve">，填方 </w:t>
      </w:r>
      <w:r>
        <w:rPr>
          <w:vertAlign w:val="baseline"/>
        </w:rPr>
        <w:t>458784m</w:t>
      </w:r>
      <w:r>
        <w:rPr>
          <w:vertAlign w:val="superscript"/>
        </w:rPr>
        <w:t>3</w:t>
      </w:r>
      <w:r>
        <w:rPr>
          <w:spacing w:val="-10"/>
          <w:vertAlign w:val="baseline"/>
        </w:rPr>
        <w:t>。</w:t>
      </w:r>
    </w:p>
    <w:p>
      <w:pPr>
        <w:pStyle w:val="Heading3"/>
        <w:spacing w:line="409" w:lineRule="exact"/>
        <w:ind w:left="785"/>
        <w:rPr>
          <w:rFonts w:ascii="微软雅黑" w:eastAsia="微软雅黑"/>
        </w:rPr>
      </w:pPr>
      <w:r>
        <w:rPr>
          <w:rFonts w:ascii="微软雅黑" w:eastAsia="微软雅黑"/>
          <w:spacing w:val="-2"/>
        </w:rPr>
        <w:t>一、施工方案</w:t>
      </w:r>
    </w:p>
    <w:p>
      <w:pPr>
        <w:pStyle w:val="BodyText"/>
        <w:spacing w:line="295" w:lineRule="exact"/>
        <w:ind w:left="784"/>
      </w:pPr>
      <w:r>
        <w:rPr>
          <w:spacing w:val="-7"/>
        </w:rPr>
        <w:t xml:space="preserve">工期安排： 工期 </w:t>
      </w:r>
      <w:r>
        <w:t>460</w:t>
      </w:r>
      <w:r>
        <w:rPr>
          <w:spacing w:val="-24"/>
        </w:rPr>
        <w:t xml:space="preserve"> 天。</w:t>
      </w:r>
    </w:p>
    <w:p>
      <w:pPr>
        <w:pStyle w:val="BodyText"/>
        <w:spacing w:before="33" w:line="271" w:lineRule="exact"/>
        <w:ind w:left="784"/>
      </w:pPr>
      <w:r>
        <w:rPr>
          <w:spacing w:val="-1"/>
        </w:rPr>
        <w:t>人员、设备配备：根据本段实际情况, 配置以下的人员、设备配置：</w:t>
      </w:r>
    </w:p>
    <w:p>
      <w:pPr>
        <w:pStyle w:val="Heading3"/>
        <w:spacing w:line="406" w:lineRule="exact"/>
        <w:ind w:left="2021"/>
        <w:rPr>
          <w:rFonts w:ascii="微软雅黑" w:eastAsia="微软雅黑"/>
        </w:rPr>
      </w:pPr>
      <w:r>
        <w:rPr>
          <w:rFonts w:ascii="微软雅黑" w:eastAsia="微软雅黑"/>
          <w:spacing w:val="-2"/>
        </w:rPr>
        <w:t>人员配备：</w:t>
      </w:r>
    </w:p>
    <w:p>
      <w:pPr>
        <w:spacing w:before="210" w:line="415" w:lineRule="exact"/>
        <w:ind w:left="2021" w:right="0" w:firstLine="0"/>
        <w:jc w:val="left"/>
        <w:rPr>
          <w:rFonts w:ascii="微软雅黑" w:eastAsia="微软雅黑"/>
          <w:b/>
          <w:sz w:val="24"/>
        </w:rPr>
      </w:pPr>
      <w:r>
        <w:rPr>
          <w:rFonts w:ascii="微软雅黑" w:eastAsia="微软雅黑"/>
          <w:b/>
          <w:spacing w:val="-3"/>
          <w:sz w:val="24"/>
        </w:rPr>
        <w:t>设备配备</w:t>
      </w:r>
    </w:p>
    <w:p>
      <w:pPr>
        <w:pStyle w:val="BodyText"/>
        <w:spacing w:line="280" w:lineRule="exact"/>
        <w:ind w:left="1876"/>
      </w:pPr>
      <w:r>
        <w:t>推土机（</w:t>
      </w:r>
      <w:r>
        <w:rPr>
          <w:rFonts w:ascii="Times New Roman" w:eastAsia="Times New Roman"/>
        </w:rPr>
        <w:t>T320</w:t>
      </w:r>
      <w:r>
        <w:t>、</w:t>
      </w:r>
      <w:r>
        <w:rPr>
          <w:rFonts w:ascii="Times New Roman" w:eastAsia="Times New Roman"/>
        </w:rPr>
        <w:t>T220</w:t>
      </w:r>
      <w:r>
        <w:t>）：</w:t>
      </w:r>
      <w:r>
        <w:rPr>
          <w:rFonts w:ascii="Times New Roman" w:eastAsia="Times New Roman"/>
        </w:rPr>
        <w:t xml:space="preserve">3 </w:t>
      </w:r>
      <w:r>
        <w:rPr>
          <w:spacing w:val="-10"/>
        </w:rPr>
        <w:t>台</w:t>
      </w:r>
    </w:p>
    <w:p>
      <w:pPr>
        <w:pStyle w:val="BodyText"/>
        <w:spacing w:before="4"/>
        <w:ind w:left="1876"/>
      </w:pPr>
      <w:r>
        <w:t>挖掘机</w:t>
      </w:r>
      <w:r>
        <w:rPr>
          <w:rFonts w:ascii="Times New Roman" w:eastAsia="Times New Roman"/>
        </w:rPr>
        <w:t xml:space="preserve">:6 </w:t>
      </w:r>
      <w:r>
        <w:rPr>
          <w:spacing w:val="-10"/>
        </w:rPr>
        <w:t>台</w:t>
      </w:r>
    </w:p>
    <w:p>
      <w:pPr>
        <w:pStyle w:val="BodyText"/>
        <w:spacing w:before="4"/>
        <w:ind w:left="1876"/>
      </w:pPr>
      <w:r>
        <w:t>自卸汽车</w:t>
      </w:r>
      <w:r>
        <w:rPr>
          <w:rFonts w:ascii="Times New Roman" w:eastAsia="Times New Roman"/>
        </w:rPr>
        <w:t xml:space="preserve">:30 </w:t>
      </w:r>
      <w:r>
        <w:rPr>
          <w:spacing w:val="-10"/>
        </w:rPr>
        <w:t>台</w:t>
      </w:r>
    </w:p>
    <w:p>
      <w:pPr>
        <w:pStyle w:val="BodyText"/>
        <w:spacing w:before="4"/>
        <w:ind w:left="1876"/>
      </w:pPr>
      <w:r>
        <w:t>平地机</w:t>
      </w:r>
      <w:r>
        <w:rPr>
          <w:rFonts w:ascii="Times New Roman" w:eastAsia="Times New Roman"/>
        </w:rPr>
        <w:t>(PY180</w:t>
      </w:r>
      <w:r>
        <w:t>、</w:t>
      </w:r>
      <w:r>
        <w:rPr>
          <w:rFonts w:ascii="Times New Roman" w:eastAsia="Times New Roman"/>
        </w:rPr>
        <w:t>PY190):2</w:t>
      </w:r>
      <w:r>
        <w:rPr>
          <w:rFonts w:ascii="Times New Roman" w:eastAsia="Times New Roman"/>
          <w:spacing w:val="-2"/>
        </w:rPr>
        <w:t xml:space="preserve"> </w:t>
      </w:r>
      <w:r>
        <w:rPr>
          <w:spacing w:val="-10"/>
        </w:rPr>
        <w:t>台</w:t>
      </w:r>
    </w:p>
    <w:p>
      <w:pPr>
        <w:pStyle w:val="BodyText"/>
        <w:spacing w:before="3"/>
        <w:ind w:left="1876"/>
      </w:pPr>
      <w:r>
        <w:t>振动压路机</w:t>
      </w:r>
      <w:r>
        <w:rPr>
          <w:rFonts w:ascii="Times New Roman" w:eastAsia="Times New Roman"/>
        </w:rPr>
        <w:t xml:space="preserve">(18T </w:t>
      </w:r>
      <w:r>
        <w:t>以上</w:t>
      </w:r>
      <w:r>
        <w:rPr>
          <w:rFonts w:ascii="Times New Roman" w:eastAsia="Times New Roman"/>
        </w:rPr>
        <w:t>)</w:t>
      </w:r>
      <w:r>
        <w:t>：</w:t>
      </w:r>
      <w:r>
        <w:rPr>
          <w:rFonts w:ascii="Times New Roman" w:eastAsia="Times New Roman"/>
        </w:rPr>
        <w:t xml:space="preserve">2 </w:t>
      </w:r>
      <w:r>
        <w:rPr>
          <w:spacing w:val="-10"/>
        </w:rPr>
        <w:t>台</w:t>
      </w:r>
    </w:p>
    <w:p>
      <w:pPr>
        <w:pStyle w:val="BodyText"/>
        <w:spacing w:before="4"/>
        <w:ind w:left="1876"/>
      </w:pPr>
      <w:r>
        <w:rPr>
          <w:rFonts w:ascii="Times New Roman" w:eastAsia="Times New Roman"/>
        </w:rPr>
        <w:t xml:space="preserve">ZL50 </w:t>
      </w:r>
      <w:r>
        <w:t>装载机</w:t>
      </w:r>
      <w:r>
        <w:rPr>
          <w:rFonts w:ascii="Times New Roman" w:eastAsia="Times New Roman"/>
        </w:rPr>
        <w:t xml:space="preserve">: 2 </w:t>
      </w:r>
      <w:r>
        <w:rPr>
          <w:spacing w:val="-10"/>
        </w:rPr>
        <w:t>台</w:t>
      </w:r>
    </w:p>
    <w:p>
      <w:pPr>
        <w:pStyle w:val="BodyText"/>
        <w:spacing w:before="4"/>
        <w:ind w:left="1876"/>
      </w:pPr>
      <w:r>
        <w:rPr>
          <w:rFonts w:ascii="Times New Roman" w:eastAsia="Times New Roman"/>
        </w:rPr>
        <w:t xml:space="preserve">50T </w:t>
      </w:r>
      <w:r>
        <w:t>拖式振动羊足碾</w:t>
      </w:r>
      <w:r>
        <w:rPr>
          <w:rFonts w:ascii="Times New Roman" w:eastAsia="Times New Roman"/>
        </w:rPr>
        <w:t xml:space="preserve">: 2 </w:t>
      </w:r>
      <w:r>
        <w:rPr>
          <w:spacing w:val="-10"/>
        </w:rPr>
        <w:t>台</w:t>
      </w:r>
    </w:p>
    <w:p>
      <w:pPr>
        <w:pStyle w:val="BodyText"/>
        <w:spacing w:before="4" w:line="254" w:lineRule="auto"/>
        <w:ind w:left="1876" w:right="5815"/>
      </w:pPr>
      <w:r>
        <w:rPr>
          <w:rFonts w:ascii="Times New Roman" w:eastAsia="Times New Roman"/>
        </w:rPr>
        <w:t>8000L</w:t>
      </w:r>
      <w:r>
        <w:rPr>
          <w:rFonts w:ascii="Times New Roman" w:eastAsia="Times New Roman"/>
          <w:spacing w:val="-15"/>
        </w:rPr>
        <w:t xml:space="preserve"> </w:t>
      </w:r>
      <w:r>
        <w:t>洒水车：</w:t>
      </w:r>
      <w:r>
        <w:rPr>
          <w:rFonts w:ascii="Times New Roman" w:eastAsia="Times New Roman"/>
        </w:rPr>
        <w:t>2</w:t>
      </w:r>
      <w:r>
        <w:rPr>
          <w:rFonts w:ascii="Times New Roman" w:eastAsia="Times New Roman"/>
          <w:spacing w:val="-15"/>
        </w:rPr>
        <w:t xml:space="preserve"> </w:t>
      </w:r>
      <w:r>
        <w:t>台</w:t>
      </w:r>
      <w:r>
        <w:t>进口振动夯：</w:t>
      </w:r>
      <w:r>
        <w:rPr>
          <w:rFonts w:ascii="Times New Roman" w:eastAsia="Times New Roman"/>
        </w:rPr>
        <w:t xml:space="preserve">2 </w:t>
      </w:r>
      <w:r>
        <w:t>台凿岩机：</w:t>
      </w:r>
      <w:r>
        <w:rPr>
          <w:rFonts w:ascii="Times New Roman" w:eastAsia="Times New Roman"/>
        </w:rPr>
        <w:t xml:space="preserve">2 </w:t>
      </w:r>
      <w:r>
        <w:t>台</w:t>
      </w:r>
    </w:p>
    <w:p>
      <w:pPr>
        <w:pStyle w:val="BodyText"/>
        <w:spacing w:before="15" w:line="242" w:lineRule="auto"/>
        <w:ind w:right="718" w:firstLine="492"/>
        <w:jc w:val="both"/>
      </w:pPr>
      <w:r>
        <w:rPr>
          <w:spacing w:val="-6"/>
        </w:rPr>
        <w:t xml:space="preserve">挖土方运距在 </w:t>
      </w:r>
      <w:r>
        <w:rPr>
          <w:spacing w:val="-2"/>
        </w:rPr>
        <w:t>100m</w:t>
      </w:r>
      <w:r>
        <w:rPr>
          <w:spacing w:val="-9"/>
        </w:rPr>
        <w:t xml:space="preserve"> 以内采用推土机推运，超过 </w:t>
      </w:r>
      <w:r>
        <w:rPr>
          <w:spacing w:val="-2"/>
        </w:rPr>
        <w:t>100m</w:t>
      </w:r>
      <w:r>
        <w:rPr>
          <w:spacing w:val="-7"/>
        </w:rPr>
        <w:t xml:space="preserve"> 以上采用推土机推松，装</w:t>
      </w:r>
      <w:r>
        <w:rPr>
          <w:spacing w:val="-2"/>
        </w:rPr>
        <w:t>载机装车，配备自卸汽车运输或挖掘机挖装配备自卸汽车运输施工，填方采用推土</w:t>
      </w:r>
      <w:r>
        <w:rPr>
          <w:spacing w:val="-2"/>
        </w:rPr>
        <w:t>机配备平地机平整，振动压路机碾压成型。</w:t>
      </w:r>
    </w:p>
    <w:p>
      <w:pPr>
        <w:pStyle w:val="Heading3"/>
        <w:spacing w:line="385" w:lineRule="exact"/>
        <w:ind w:left="785"/>
        <w:rPr>
          <w:rFonts w:ascii="微软雅黑" w:eastAsia="微软雅黑"/>
        </w:rPr>
      </w:pPr>
      <w:r>
        <w:rPr>
          <w:rFonts w:ascii="微软雅黑" w:eastAsia="微软雅黑"/>
          <w:spacing w:val="-1"/>
        </w:rPr>
        <w:t>二、路基施工的准备工作</w:t>
      </w:r>
    </w:p>
    <w:p>
      <w:pPr>
        <w:pStyle w:val="BodyText"/>
        <w:spacing w:line="295" w:lineRule="exact"/>
        <w:ind w:left="784"/>
      </w:pPr>
      <w:r>
        <w:t>1</w:t>
      </w:r>
      <w:r>
        <w:rPr>
          <w:spacing w:val="-1"/>
        </w:rPr>
        <w:t>、组织技术人员认真阅读设计图纸和技术资料，熟悉合同文件和技术规范。</w:t>
      </w:r>
    </w:p>
    <w:p>
      <w:pPr>
        <w:pStyle w:val="BodyText"/>
        <w:spacing w:before="34" w:line="242" w:lineRule="auto"/>
        <w:ind w:right="695" w:firstLine="492"/>
      </w:pPr>
      <w:r>
        <w:rPr>
          <w:spacing w:val="-2"/>
        </w:rPr>
        <w:t>2、组织有关人员对路线走向，取土场及弃土场的位置、地形地貌、道路交通、</w:t>
      </w:r>
      <w:r>
        <w:rPr>
          <w:spacing w:val="-2"/>
        </w:rPr>
        <w:t>涵洞位置、地质水文状况、水准点及控制桩等进行全面的调查、核对。</w:t>
      </w:r>
    </w:p>
    <w:p>
      <w:pPr>
        <w:pStyle w:val="BodyText"/>
        <w:spacing w:before="32"/>
        <w:ind w:left="784"/>
      </w:pPr>
      <w:r>
        <w:t>3</w:t>
      </w:r>
      <w:r>
        <w:rPr>
          <w:spacing w:val="-1"/>
        </w:rPr>
        <w:t>、做好现场布置及临时设施的施工、维护、修建施工便道。</w:t>
      </w:r>
    </w:p>
    <w:p>
      <w:pPr>
        <w:pStyle w:val="BodyText"/>
        <w:spacing w:before="33" w:line="242" w:lineRule="auto"/>
        <w:ind w:right="677" w:firstLine="510"/>
      </w:pPr>
      <w:r>
        <w:rPr>
          <w:spacing w:val="-2"/>
        </w:rPr>
        <w:t>4、恢复路线中、边线，包括路基坡顶、坡脚、边沟、红线、弃土场、借土场、</w:t>
      </w:r>
      <w:r>
        <w:rPr>
          <w:spacing w:val="-2"/>
        </w:rPr>
        <w:t>涵洞位置、打桩标明后报监理工程师检查。</w:t>
      </w:r>
    </w:p>
    <w:p>
      <w:pPr>
        <w:pStyle w:val="BodyText"/>
        <w:spacing w:before="32" w:line="242" w:lineRule="auto"/>
        <w:ind w:right="718" w:firstLine="510"/>
      </w:pPr>
      <w:r>
        <w:t>5、开挖边沟和横沟（</w:t>
      </w:r>
      <w:r>
        <w:rPr>
          <w:spacing w:val="-21"/>
        </w:rPr>
        <w:t xml:space="preserve">每 </w:t>
      </w:r>
      <w:r>
        <w:t>20m</w:t>
      </w:r>
      <w:r>
        <w:rPr>
          <w:spacing w:val="-12"/>
        </w:rPr>
        <w:t xml:space="preserve"> 设一道</w:t>
      </w:r>
      <w:r>
        <w:rPr>
          <w:spacing w:val="-118"/>
        </w:rPr>
        <w:t>）</w:t>
      </w:r>
      <w:r>
        <w:t>，排除地表水，在放填方段坡脚线时，每</w:t>
      </w:r>
      <w:r>
        <w:rPr>
          <w:spacing w:val="-5"/>
        </w:rPr>
        <w:t xml:space="preserve">侧应按横断面图加宽 </w:t>
      </w:r>
      <w:r>
        <w:t>50cm。</w:t>
      </w:r>
    </w:p>
    <w:p>
      <w:pPr>
        <w:pStyle w:val="BodyText"/>
        <w:spacing w:before="31" w:line="242" w:lineRule="auto"/>
        <w:ind w:right="719" w:firstLine="510"/>
        <w:jc w:val="both"/>
      </w:pPr>
      <w:r>
        <w:rPr>
          <w:spacing w:val="-2"/>
        </w:rPr>
        <w:t>6、将用作路基填方的土样按规范要求送中心试验室进行标准击实试验，计算最</w:t>
      </w:r>
      <w:r>
        <w:rPr>
          <w:spacing w:val="-4"/>
        </w:rPr>
        <w:t>佳含水量和最大干密度，并进行液塑限，塑性指数，有机质含量、CBR</w:t>
      </w:r>
      <w:r>
        <w:rPr>
          <w:spacing w:val="-8"/>
        </w:rPr>
        <w:t xml:space="preserve"> 值，颗粒分析</w:t>
      </w:r>
      <w:r>
        <w:rPr>
          <w:spacing w:val="-2"/>
        </w:rPr>
        <w:t>等试验，并编写开工申请报告，报监理工程师审批。</w:t>
      </w:r>
    </w:p>
    <w:p>
      <w:pPr>
        <w:pStyle w:val="BodyText"/>
        <w:spacing w:before="32" w:line="242" w:lineRule="auto"/>
        <w:ind w:right="677" w:firstLine="510"/>
      </w:pPr>
      <w:r>
        <w:rPr>
          <w:spacing w:val="-2"/>
        </w:rPr>
        <w:t>7、在路基占地范围内和取土场范围内进行场地清理，清除表土、杂草、树根、</w:t>
      </w:r>
      <w:r>
        <w:rPr>
          <w:spacing w:val="-1"/>
        </w:rPr>
        <w:t>淤泥、拆除障碍物。场地清理完成后，应用压路机全面进行填前碾压，使其密实度</w:t>
      </w:r>
    </w:p>
    <w:p>
      <w:pPr>
        <w:spacing w:after="0" w:line="242" w:lineRule="auto"/>
        <w:sectPr>
          <w:footerReference w:type="default" r:id="rId4"/>
          <w:type w:val="continuous"/>
          <w:pgSz w:w="12240" w:h="15840"/>
          <w:pgMar w:top="1480" w:right="1080" w:bottom="900" w:left="1400" w:header="0" w:footer="706"/>
          <w:pgNumType w:start="1"/>
          <w:cols w:space="708"/>
        </w:sectPr>
      </w:pPr>
    </w:p>
    <w:p>
      <w:pPr>
        <w:pStyle w:val="BodyText"/>
        <w:spacing w:before="43"/>
        <w:ind w:left="291"/>
      </w:pPr>
      <w:r>
        <w:rPr>
          <w:spacing w:val="-1"/>
        </w:rPr>
        <w:t>达到规定要求，满足《技术规范》的要求，报工程师审批。</w:t>
      </w:r>
    </w:p>
    <w:p>
      <w:pPr>
        <w:pStyle w:val="BodyText"/>
        <w:spacing w:before="34" w:line="242" w:lineRule="auto"/>
        <w:ind w:right="599" w:firstLine="510"/>
      </w:pPr>
      <w:r>
        <w:rPr>
          <w:spacing w:val="-2"/>
        </w:rPr>
        <w:t>8、在借土场、弃土场及路基两侧的红线范围内沿线开挖临时排水沟渠，修建临</w:t>
      </w:r>
      <w:r>
        <w:rPr>
          <w:spacing w:val="-2"/>
        </w:rPr>
        <w:t>时排水设施，以保持施工场地处于良好的排水状态，以防止工程或附近农田受冲刷、</w:t>
      </w:r>
      <w:r>
        <w:rPr>
          <w:spacing w:val="-4"/>
        </w:rPr>
        <w:t>淤积。</w:t>
      </w:r>
    </w:p>
    <w:p>
      <w:pPr>
        <w:pStyle w:val="Heading3"/>
        <w:spacing w:line="385" w:lineRule="exact"/>
        <w:rPr>
          <w:rFonts w:ascii="微软雅黑" w:eastAsia="微软雅黑"/>
        </w:rPr>
      </w:pPr>
      <w:r>
        <w:rPr>
          <w:rFonts w:ascii="微软雅黑" w:eastAsia="微软雅黑"/>
          <w:spacing w:val="-2"/>
        </w:rPr>
        <w:t>三、临时排水措施</w:t>
      </w:r>
    </w:p>
    <w:p>
      <w:pPr>
        <w:pStyle w:val="BodyText"/>
        <w:spacing w:line="295" w:lineRule="exact"/>
        <w:ind w:left="1045"/>
      </w:pPr>
      <w:r>
        <w:rPr>
          <w:spacing w:val="-1"/>
        </w:rPr>
        <w:t>其施工方法具体详见《第四部分、重点和难点工程的施工方案、方法及其措</w:t>
      </w:r>
    </w:p>
    <w:p>
      <w:pPr>
        <w:pStyle w:val="BodyText"/>
        <w:spacing w:before="4" w:line="286" w:lineRule="exact"/>
        <w:ind w:left="291"/>
      </w:pPr>
      <w:r>
        <w:rPr>
          <w:spacing w:val="-44"/>
        </w:rPr>
        <w:t>施》。</w:t>
      </w:r>
    </w:p>
    <w:p>
      <w:pPr>
        <w:pStyle w:val="Heading3"/>
        <w:spacing w:line="370" w:lineRule="exact"/>
        <w:rPr>
          <w:rFonts w:ascii="微软雅黑" w:eastAsia="微软雅黑"/>
        </w:rPr>
      </w:pPr>
      <w:r>
        <w:rPr>
          <w:rFonts w:ascii="微软雅黑" w:eastAsia="微软雅黑"/>
          <w:spacing w:val="-2"/>
        </w:rPr>
        <w:t>四、软基处理</w:t>
      </w:r>
    </w:p>
    <w:p>
      <w:pPr>
        <w:spacing w:before="0" w:line="380" w:lineRule="exact"/>
        <w:ind w:left="802" w:right="0" w:firstLine="0"/>
        <w:jc w:val="left"/>
        <w:rPr>
          <w:rFonts w:ascii="微软雅黑" w:eastAsia="微软雅黑"/>
          <w:b/>
          <w:sz w:val="24"/>
        </w:rPr>
      </w:pPr>
      <w:r>
        <w:rPr>
          <w:rFonts w:ascii="微软雅黑" w:eastAsia="微软雅黑"/>
          <w:b/>
          <w:spacing w:val="-6"/>
          <w:sz w:val="24"/>
        </w:rPr>
        <w:t>1</w:t>
      </w:r>
      <w:r>
        <w:rPr>
          <w:rFonts w:ascii="微软雅黑" w:eastAsia="微软雅黑"/>
          <w:b/>
          <w:spacing w:val="-7"/>
          <w:sz w:val="24"/>
        </w:rPr>
        <w:t>、施工方案</w:t>
      </w:r>
    </w:p>
    <w:p>
      <w:pPr>
        <w:pStyle w:val="BodyText"/>
        <w:spacing w:line="242" w:lineRule="auto"/>
        <w:ind w:right="718" w:firstLine="510"/>
        <w:jc w:val="both"/>
      </w:pPr>
      <w:r>
        <w:rPr>
          <w:spacing w:val="-4"/>
        </w:rPr>
        <w:t xml:space="preserve">本合同软基共有 </w:t>
      </w:r>
      <w:r>
        <w:t>7</w:t>
      </w:r>
      <w:r>
        <w:rPr>
          <w:spacing w:val="-6"/>
        </w:rPr>
        <w:t xml:space="preserve"> 处，分布在汇水面积较大的冲沟水田处，水库边，山间低洼</w:t>
      </w:r>
      <w:r>
        <w:rPr>
          <w:spacing w:val="-2"/>
        </w:rPr>
        <w:t xml:space="preserve">地段，系冲、洪积或淤积而成，为软塑状亚粘土，一般厚度小于 </w:t>
      </w:r>
      <w:r>
        <w:t xml:space="preserve">2m，局部位置达到 </w:t>
      </w:r>
      <w:r>
        <w:rPr>
          <w:spacing w:val="-2"/>
        </w:rPr>
        <w:t>3m。采用清淤换填碎石土或清淤换填碎石土、加铺土工格栅的方法处治。</w:t>
      </w:r>
    </w:p>
    <w:p>
      <w:pPr>
        <w:pStyle w:val="Heading3"/>
        <w:spacing w:line="385" w:lineRule="exact"/>
        <w:rPr>
          <w:rFonts w:ascii="微软雅黑" w:eastAsia="微软雅黑"/>
        </w:rPr>
      </w:pPr>
      <w:r>
        <w:rPr>
          <w:rFonts w:ascii="微软雅黑" w:eastAsia="微软雅黑"/>
          <w:spacing w:val="-4"/>
        </w:rPr>
        <w:t>2</w:t>
      </w:r>
      <w:r>
        <w:rPr>
          <w:rFonts w:ascii="微软雅黑" w:eastAsia="微软雅黑"/>
          <w:spacing w:val="-5"/>
        </w:rPr>
        <w:t>、软基处理施工方法及措施</w:t>
      </w:r>
    </w:p>
    <w:p>
      <w:pPr>
        <w:pStyle w:val="BodyText"/>
        <w:spacing w:line="274" w:lineRule="exact"/>
        <w:ind w:left="830"/>
      </w:pPr>
      <w:r>
        <w:rPr>
          <w:spacing w:val="-5"/>
        </w:rPr>
        <w:t>具体详见《第四部分、重点和难点工程的施工方案、方法及其措施》。</w:t>
      </w:r>
    </w:p>
    <w:p>
      <w:pPr>
        <w:pStyle w:val="Heading3"/>
        <w:spacing w:line="409" w:lineRule="exact"/>
        <w:rPr>
          <w:rFonts w:ascii="微软雅黑" w:eastAsia="微软雅黑"/>
        </w:rPr>
      </w:pPr>
      <w:r>
        <w:rPr>
          <w:rFonts w:ascii="微软雅黑" w:eastAsia="微软雅黑"/>
          <w:spacing w:val="-2"/>
        </w:rPr>
        <w:t>五、试验路段施工</w:t>
      </w:r>
    </w:p>
    <w:p>
      <w:pPr>
        <w:pStyle w:val="BodyText"/>
        <w:spacing w:line="242" w:lineRule="auto"/>
        <w:ind w:right="718" w:firstLine="510"/>
      </w:pPr>
      <w:r>
        <w:t>1</w:t>
      </w:r>
      <w:r>
        <w:rPr>
          <w:spacing w:val="-5"/>
        </w:rPr>
        <w:t xml:space="preserve">、在试验路开工前 </w:t>
      </w:r>
      <w:r>
        <w:t>28</w:t>
      </w:r>
      <w:r>
        <w:rPr>
          <w:spacing w:val="-7"/>
        </w:rPr>
        <w:t xml:space="preserve"> 天，将用于试验路填筑的材料进行所需的各种试验。包</w:t>
      </w:r>
      <w:r>
        <w:t>括土的液、塑限、塑性指数、颗粒分析、CBR</w:t>
      </w:r>
      <w:r>
        <w:rPr>
          <w:spacing w:val="-7"/>
        </w:rPr>
        <w:t xml:space="preserve"> 值、重型击实试验最佳含水量试验。</w:t>
      </w:r>
    </w:p>
    <w:p>
      <w:pPr>
        <w:pStyle w:val="BodyText"/>
        <w:spacing w:before="7" w:line="242" w:lineRule="auto"/>
        <w:ind w:right="599" w:firstLine="510"/>
      </w:pPr>
      <w:r>
        <w:rPr>
          <w:spacing w:val="-2"/>
        </w:rPr>
        <w:t>2</w:t>
      </w:r>
      <w:r>
        <w:rPr>
          <w:spacing w:val="-16"/>
        </w:rPr>
        <w:t>、将试验室所做的试验结果以及试验路堤施工方案，施工位置设备及人员组织，</w:t>
      </w:r>
      <w:r>
        <w:rPr>
          <w:spacing w:val="-2"/>
        </w:rPr>
        <w:t>各种记录表格的格式报监理工程师审批。</w:t>
      </w:r>
    </w:p>
    <w:p>
      <w:pPr>
        <w:pStyle w:val="BodyText"/>
        <w:spacing w:before="31" w:line="242" w:lineRule="auto"/>
        <w:ind w:right="719" w:firstLine="510"/>
        <w:jc w:val="both"/>
      </w:pPr>
      <w:r>
        <w:rPr>
          <w:spacing w:val="-4"/>
        </w:rPr>
        <w:t>3</w:t>
      </w:r>
      <w:r>
        <w:rPr>
          <w:spacing w:val="-5"/>
        </w:rPr>
        <w:t xml:space="preserve">、经监理工程师同意后，在所选定 </w:t>
      </w:r>
      <w:r>
        <w:rPr>
          <w:spacing w:val="-4"/>
        </w:rPr>
        <w:t>K36+200-K36+300</w:t>
      </w:r>
      <w:r>
        <w:rPr>
          <w:spacing w:val="-8"/>
        </w:rPr>
        <w:t xml:space="preserve"> 段进行试验路填筑，试验</w:t>
      </w:r>
      <w:r>
        <w:rPr>
          <w:spacing w:val="-4"/>
        </w:rPr>
        <w:t>验路长度 100m（全幅</w:t>
      </w:r>
      <w:r>
        <w:rPr>
          <w:spacing w:val="-78"/>
        </w:rPr>
        <w:t>）</w:t>
      </w:r>
      <w:r>
        <w:rPr>
          <w:spacing w:val="-13"/>
        </w:rPr>
        <w:t>，做好试验段各种原始数据记录，为最后试验路资料的整理提</w:t>
      </w:r>
      <w:r>
        <w:rPr>
          <w:spacing w:val="-4"/>
        </w:rPr>
        <w:t>供数据。</w:t>
      </w:r>
    </w:p>
    <w:p>
      <w:pPr>
        <w:pStyle w:val="BodyText"/>
        <w:spacing w:before="32" w:line="242" w:lineRule="auto"/>
        <w:ind w:right="719" w:firstLine="510"/>
        <w:jc w:val="both"/>
      </w:pPr>
      <w:r>
        <w:rPr>
          <w:spacing w:val="-2"/>
        </w:rPr>
        <w:t>4、现场试验应进行到能有效地使该种材料达到规定地压实度为止。试验时应记</w:t>
      </w:r>
      <w:r>
        <w:rPr>
          <w:spacing w:val="-2"/>
        </w:rPr>
        <w:t>录：压实设备的类型、合理的机械配备方式；压实遍数及压实速度、各工序的组合</w:t>
      </w:r>
      <w:r>
        <w:rPr>
          <w:spacing w:val="-2"/>
        </w:rPr>
        <w:t>形式；材料的松铺厚度、施工现场的最佳含水量等，将数据整理成文，报监理工程</w:t>
      </w:r>
      <w:r>
        <w:rPr>
          <w:spacing w:val="-2"/>
        </w:rPr>
        <w:t>师批准，作为以后该种填料进行全面施工的依据。</w:t>
      </w:r>
    </w:p>
    <w:p>
      <w:pPr>
        <w:pStyle w:val="BodyText"/>
        <w:spacing w:before="33" w:line="286" w:lineRule="exact"/>
        <w:ind w:left="802"/>
      </w:pPr>
      <w:r>
        <w:t>5</w:t>
      </w:r>
      <w:r>
        <w:rPr>
          <w:spacing w:val="-1"/>
        </w:rPr>
        <w:t>、用于填方的每种类型的材料都应进行现场压实试验。</w:t>
      </w:r>
    </w:p>
    <w:p>
      <w:pPr>
        <w:pStyle w:val="Heading3"/>
        <w:spacing w:line="409" w:lineRule="exact"/>
        <w:rPr>
          <w:rFonts w:ascii="微软雅黑" w:eastAsia="微软雅黑"/>
        </w:rPr>
      </w:pPr>
      <w:r>
        <w:rPr>
          <w:rFonts w:ascii="微软雅黑" w:eastAsia="微软雅黑"/>
          <w:spacing w:val="-1"/>
        </w:rPr>
        <w:t>六、普通路段施工方法</w:t>
      </w:r>
    </w:p>
    <w:p>
      <w:pPr>
        <w:pStyle w:val="BodyText"/>
        <w:spacing w:line="266" w:lineRule="auto"/>
        <w:ind w:left="802" w:right="3317"/>
      </w:pPr>
      <w:r>
        <w:rPr>
          <w:spacing w:val="-5"/>
        </w:rPr>
        <w:t xml:space="preserve">普通路段指填土高度和开挖深度不超过 </w:t>
      </w:r>
      <w:r>
        <w:rPr>
          <w:spacing w:val="-2"/>
        </w:rPr>
        <w:t>8m</w:t>
      </w:r>
      <w:r>
        <w:rPr>
          <w:spacing w:val="-12"/>
        </w:rPr>
        <w:t xml:space="preserve"> 的的路段。</w:t>
      </w:r>
      <w:r>
        <w:rPr>
          <w:spacing w:val="-2"/>
        </w:rPr>
        <w:t xml:space="preserve"> (一)、土石方开挖施工</w:t>
      </w:r>
    </w:p>
    <w:p>
      <w:pPr>
        <w:pStyle w:val="Heading3"/>
        <w:spacing w:line="353" w:lineRule="exact"/>
        <w:rPr>
          <w:rFonts w:ascii="微软雅黑" w:eastAsia="微软雅黑"/>
        </w:rPr>
      </w:pPr>
      <w:r>
        <w:rPr>
          <w:rFonts w:ascii="微软雅黑" w:eastAsia="微软雅黑"/>
          <w:spacing w:val="-4"/>
        </w:rPr>
        <w:t>1</w:t>
      </w:r>
      <w:r>
        <w:rPr>
          <w:rFonts w:ascii="微软雅黑" w:eastAsia="微软雅黑"/>
          <w:spacing w:val="-5"/>
        </w:rPr>
        <w:t>、土质路堑开挖方式</w:t>
      </w:r>
    </w:p>
    <w:p>
      <w:pPr>
        <w:pStyle w:val="ListParagraph"/>
        <w:numPr>
          <w:ilvl w:val="0"/>
          <w:numId w:val="35"/>
        </w:numPr>
        <w:tabs>
          <w:tab w:val="left" w:pos="1285"/>
        </w:tabs>
        <w:spacing w:before="0" w:after="0" w:line="295" w:lineRule="exact"/>
        <w:ind w:left="1285" w:right="0" w:hanging="241"/>
        <w:jc w:val="left"/>
        <w:rPr>
          <w:sz w:val="24"/>
        </w:rPr>
      </w:pPr>
      <w:r>
        <w:rPr>
          <w:spacing w:val="-2"/>
          <w:sz w:val="24"/>
        </w:rPr>
        <w:t>、单层横向挖掘法</w:t>
      </w:r>
    </w:p>
    <w:p>
      <w:pPr>
        <w:pStyle w:val="BodyText"/>
        <w:spacing w:before="21" w:line="242" w:lineRule="auto"/>
        <w:ind w:left="5413" w:right="718" w:firstLine="510"/>
        <w:jc w:val="both"/>
      </w:pPr>
      <w:r>
        <w:pict>
          <v:group id="_x0000_s1025" style="width:230.7pt;height:59.65pt;margin-top:-0.42pt;margin-left:100.97pt;mso-position-horizontal-relative:page;position:absolute;z-index:251658240" coordorigin="2019,-8" coordsize="4614,1193">
            <v:shape id="_x0000_s1026" style="width:4215;height:990;left:2321;position:absolute;top:134" coordorigin="2321,134" coordsize="4215,990" path="m2321,134l2561,134,3416,1124,3641,1124,3761,959,5111,959,5231,1109,5456,1109,6266,164,6536,164e" filled="f" stroked="t" strokecolor="black" strokeweight="6pt">
              <v:stroke dashstyle="solid"/>
              <v:path arrowok="t"/>
            </v:shape>
            <v:shape id="_x0000_s1027" style="width:4599;height:184;left:2027;position:absolute;top:-1" coordorigin="2027,-1" coordsize="4599,184" path="m2027,120l2114,115,2200,112,2285,109,2369,108,2453,108,2535,109,2617,110,2698,112,2777,115,2857,117,2935,120,3019,125,3101,132,3180,141,3258,151,3336,161,3414,170,3493,177,3575,182,3659,182,3746,179,3816,172,3887,161,3960,147,4035,131,4110,113,4186,94,4263,75,4340,56,4417,39,4494,24,4570,12,4646,3,4721,-1,4801,,4882,5,4962,14,5043,26,5123,41,5203,56,5283,73,5363,89,5443,103,5522,117,5602,127,5681,134,5762,138,5847,140,5935,141,6023,140,6111,138,6199,135,6283,132,6364,129,6440,125,6510,123,6572,120,6626,119e" filled="f" stroked="t" strokecolor="black" strokeweight="0.75pt">
              <v:stroke dashstyle="solid"/>
              <v:path arrowok="t"/>
            </v:shape>
          </v:group>
        </w:pict>
      </w:r>
      <w:r>
        <w:rPr>
          <w:spacing w:val="17"/>
        </w:rPr>
        <w:t>从开挖路堑的一端或两端按</w:t>
      </w:r>
      <w:r>
        <w:rPr>
          <w:spacing w:val="-2"/>
        </w:rPr>
        <w:t>断面全宽一次性开挖到设计标高</w:t>
      </w:r>
      <w:r>
        <w:rPr>
          <w:spacing w:val="-108"/>
        </w:rPr>
        <w:t>，逐</w:t>
      </w:r>
      <w:r>
        <w:rPr>
          <w:spacing w:val="-11"/>
        </w:rPr>
        <w:t>渐向纵深挖掘</w:t>
      </w:r>
      <w:r>
        <w:rPr>
          <w:spacing w:val="-30"/>
        </w:rPr>
        <w:t xml:space="preserve">当，开挖深度不超过 </w:t>
      </w:r>
      <w:r>
        <w:rPr>
          <w:spacing w:val="-2"/>
        </w:rPr>
        <w:t>4m</w:t>
      </w:r>
      <w:r>
        <w:rPr>
          <w:spacing w:val="-2"/>
        </w:rPr>
        <w:t>时，采用此种开挖方法。</w:t>
      </w:r>
    </w:p>
    <w:p>
      <w:pPr>
        <w:pStyle w:val="BodyText"/>
        <w:spacing w:before="11"/>
        <w:ind w:left="0"/>
        <w:rPr>
          <w:sz w:val="17"/>
        </w:rPr>
      </w:pPr>
    </w:p>
    <w:p>
      <w:pPr>
        <w:spacing w:before="71"/>
        <w:ind w:left="2367" w:right="0" w:firstLine="0"/>
        <w:jc w:val="left"/>
        <w:rPr>
          <w:sz w:val="21"/>
        </w:rPr>
      </w:pPr>
      <w:r>
        <w:rPr>
          <w:spacing w:val="-2"/>
          <w:sz w:val="21"/>
        </w:rPr>
        <w:t>单层横向挖掘法</w:t>
      </w:r>
    </w:p>
    <w:p>
      <w:pPr>
        <w:spacing w:after="0"/>
        <w:jc w:val="left"/>
        <w:rPr>
          <w:sz w:val="21"/>
        </w:rPr>
        <w:sectPr>
          <w:footerReference w:type="default" r:id="rId5"/>
          <w:pgSz w:w="12240" w:h="15840"/>
          <w:pgMar w:top="1400" w:right="1080" w:bottom="900" w:left="1400" w:header="0" w:footer="706"/>
          <w:pgNumType w:start="2"/>
          <w:cols w:space="708"/>
        </w:sectPr>
      </w:pPr>
    </w:p>
    <w:p>
      <w:pPr>
        <w:pStyle w:val="ListParagraph"/>
        <w:numPr>
          <w:ilvl w:val="0"/>
          <w:numId w:val="34"/>
        </w:numPr>
        <w:tabs>
          <w:tab w:val="left" w:pos="5489"/>
        </w:tabs>
        <w:spacing w:before="43" w:after="0" w:line="240" w:lineRule="auto"/>
        <w:ind w:left="5489" w:right="0" w:hanging="242"/>
        <w:jc w:val="left"/>
        <w:rPr>
          <w:sz w:val="24"/>
        </w:rPr>
      </w:pPr>
      <w:r>
        <w:rPr>
          <w:spacing w:val="-2"/>
          <w:sz w:val="24"/>
        </w:rPr>
        <w:t>、多层横向挖掘法</w:t>
      </w:r>
    </w:p>
    <w:p>
      <w:pPr>
        <w:pStyle w:val="BodyText"/>
        <w:spacing w:before="34"/>
        <w:ind w:left="802"/>
      </w:pPr>
      <w:r>
        <w:rPr>
          <w:spacing w:val="-1"/>
        </w:rPr>
        <w:t>从开挖路堑的一端或两端按横断面分层开挖至设计标高，逐渐向纵深挖掘，当</w:t>
      </w:r>
    </w:p>
    <w:p>
      <w:pPr>
        <w:pStyle w:val="BodyText"/>
        <w:spacing w:before="4" w:line="242" w:lineRule="auto"/>
        <w:ind w:left="5413" w:right="718"/>
      </w:pPr>
      <w:r>
        <w:pict>
          <v:group id="_x0000_s1028" style="width:242.05pt;height:115.35pt;margin-top:12.26pt;margin-left:89.62pt;mso-position-horizontal-relative:page;position:absolute;z-index:251659264" coordorigin="1793,245" coordsize="4841,2307">
            <v:shape id="_x0000_s1029" style="width:4095;height:1579;left:2274;position:absolute;top:385" coordorigin="2274,386" coordsize="4095,1579" path="m2274,386l2484,386,2889,1226,3009,1211,3114,1091,3534,1106,3924,1796,5044,1815,5164,1965,5389,1965,6084,416,6369,401e" filled="f" stroked="t" strokecolor="black" strokeweight="6pt">
              <v:stroke dashstyle="solid"/>
              <v:path arrowok="t"/>
            </v:shape>
            <v:shape id="_x0000_s1030" style="width:4599;height:184;left:2027;position:absolute;top:252" coordorigin="2027,253" coordsize="4599,184" path="m2027,374l2114,369,2200,365,2285,363,2369,362,2453,362,2535,363,2617,364,2698,366,2777,368,2857,371,2935,374,3019,378,3101,386,3180,395,3258,405,3336,415,3414,424,3493,431,3575,435,3659,436,3746,433,3816,426,3887,415,3960,401,4035,385,4110,367,4186,348,4263,328,4340,310,4417,293,4494,278,4570,265,4646,257,4721,253,4801,254,4882,259,4962,268,5043,280,5123,295,5203,310,5283,326,5363,342,5443,357,5522,370,5602,381,5681,388,5762,392,5847,394,5935,394,6023,393,6111,392,6199,389,6283,386,6364,382,6440,379,6510,376,6572,374,6626,373e" filled="f" stroked="t" strokecolor="black" strokeweight="0.75pt">
              <v:stroke dashstyle="solid"/>
              <v:path arrowok="t"/>
            </v:shape>
            <v:shape id="_x0000_s1031" style="width:869;height:678;left:2935;position:absolute;top:1237" coordorigin="2935,1238" coordsize="869,678" path="m2935,1238l3294,1916,3519,1916,3579,1736,3804,1736e" filled="f" stroked="t" strokecolor="black" strokeweight="0.75pt">
              <v:stroke dashstyle="shortDashDot"/>
              <v:path arrowok="t"/>
            </v:shape>
            <v:shape id="_x0000_s1032" style="width:2175;height:75;left:3564;position:absolute;top:1045" coordorigin="3564,1046" coordsize="2175,75" path="m3564,1046l5574,1061,5739,1121e" filled="f" stroked="t" strokecolor="black" strokeweight="0.75pt">
              <v:stroke dashstyle="solid"/>
              <v:path arrowok="t"/>
            </v:shape>
            <v:shape id="_x0000_s1033" style="width:1486;height:1463;left:1800;position:absolute;top:1014" coordorigin="1800,1015" coordsize="1486,1463" path="m1800,1734l1800,1858,1800,2044,1800,2478,2462,2478,2746,2478,2935,2478,2935,2044,2935,1858,2935,1734,2746,1734,3285,1015,2462,1734,1800,1734xe" filled="f" stroked="t" strokecolor="black" strokeweight="0.75pt">
              <v:stroke dashstyle="solid"/>
              <v:path arrowok="t"/>
            </v:shape>
            <v:shape id="_x0000_s1034" style="width:890;height:585;left:1922;position:absolute;top:1813" coordorigin="1922,1813" coordsize="890,585" path="m2812,1813l1922,1813,1922,2086,1922,2398,2812,2398,2812,2086,2812,1813xe" filled="t" fillcolor="white" stroked="f">
              <v:fill type="solid"/>
              <v:path arrowok="t"/>
            </v:shape>
            <v:shapetype id="_x0000_t202" coordsize="21600,21600" o:spt="202" path="m,l,21600r21600,l21600,xe">
              <v:stroke joinstyle="miter"/>
              <v:path gradientshapeok="t" o:connecttype="rect"/>
            </v:shapetype>
            <v:shape id="_x0000_s1035" type="#_x0000_t202" style="width:860;height:210;left:3994;position:absolute;top:606" filled="f" stroked="f">
              <v:textbox inset="0,0,0,0">
                <w:txbxContent>
                  <w:p>
                    <w:pPr>
                      <w:spacing w:before="0" w:line="210" w:lineRule="exact"/>
                      <w:ind w:left="0" w:right="0" w:firstLine="0"/>
                      <w:jc w:val="left"/>
                      <w:rPr>
                        <w:sz w:val="21"/>
                      </w:rPr>
                    </w:pPr>
                    <w:r>
                      <w:rPr>
                        <w:spacing w:val="-3"/>
                        <w:sz w:val="21"/>
                      </w:rPr>
                      <w:t>第一台阶</w:t>
                    </w:r>
                  </w:p>
                </w:txbxContent>
              </v:textbox>
            </v:shape>
            <v:shape id="_x0000_s1036" type="#_x0000_t202" style="width:860;height:210;left:4221;position:absolute;top:1350" filled="f" stroked="f">
              <v:textbox inset="0,0,0,0">
                <w:txbxContent>
                  <w:p>
                    <w:pPr>
                      <w:spacing w:before="0" w:line="210" w:lineRule="exact"/>
                      <w:ind w:left="0" w:right="0" w:firstLine="0"/>
                      <w:jc w:val="left"/>
                      <w:rPr>
                        <w:sz w:val="21"/>
                      </w:rPr>
                    </w:pPr>
                    <w:r>
                      <w:rPr>
                        <w:spacing w:val="-3"/>
                        <w:sz w:val="21"/>
                      </w:rPr>
                      <w:t>第二台阶</w:t>
                    </w:r>
                  </w:p>
                </w:txbxContent>
              </v:textbox>
            </v:shape>
            <v:shape id="_x0000_s1037" type="#_x0000_t202" style="width:872;height:483;left:1951;position:absolute;top:1846" filled="f" stroked="f">
              <v:textbox inset="0,0,0,0">
                <w:txbxContent>
                  <w:p>
                    <w:pPr>
                      <w:spacing w:before="0" w:line="240" w:lineRule="exact"/>
                      <w:ind w:left="0" w:right="0" w:firstLine="0"/>
                      <w:jc w:val="left"/>
                      <w:rPr>
                        <w:sz w:val="21"/>
                      </w:rPr>
                    </w:pPr>
                    <w:r>
                      <w:rPr>
                        <w:spacing w:val="-3"/>
                        <w:sz w:val="21"/>
                      </w:rPr>
                      <w:t>第一台阶</w:t>
                    </w:r>
                  </w:p>
                  <w:p>
                    <w:pPr>
                      <w:spacing w:before="3" w:line="240" w:lineRule="exact"/>
                      <w:ind w:left="0" w:right="0" w:firstLine="0"/>
                      <w:jc w:val="left"/>
                      <w:rPr>
                        <w:sz w:val="21"/>
                      </w:rPr>
                    </w:pPr>
                    <w:r>
                      <w:rPr>
                        <w:spacing w:val="-22"/>
                        <w:sz w:val="21"/>
                      </w:rPr>
                      <w:t>运土道路</w:t>
                    </w:r>
                  </w:p>
                </w:txbxContent>
              </v:textbox>
            </v:shape>
            <v:shape id="_x0000_s1038" type="#_x0000_t202" style="width:1490;height:210;left:3540;position:absolute;top:2342" filled="f" stroked="f">
              <v:textbox inset="0,0,0,0">
                <w:txbxContent>
                  <w:p>
                    <w:pPr>
                      <w:spacing w:before="0" w:line="210" w:lineRule="exact"/>
                      <w:ind w:left="0" w:right="0" w:firstLine="0"/>
                      <w:jc w:val="left"/>
                      <w:rPr>
                        <w:sz w:val="21"/>
                      </w:rPr>
                    </w:pPr>
                    <w:r>
                      <w:rPr>
                        <w:spacing w:val="-2"/>
                        <w:sz w:val="21"/>
                      </w:rPr>
                      <w:t>多层横向挖掘法</w:t>
                    </w:r>
                  </w:p>
                </w:txbxContent>
              </v:textbox>
            </v:shape>
          </v:group>
        </w:pict>
      </w:r>
      <w:r>
        <w:t>开挖深度超过 4m</w:t>
      </w:r>
      <w:r>
        <w:rPr>
          <w:spacing w:val="-2"/>
        </w:rPr>
        <w:t xml:space="preserve"> 时，采用此种开</w:t>
      </w:r>
      <w:r>
        <w:rPr>
          <w:spacing w:val="-4"/>
        </w:rPr>
        <w:t>挖方法。</w:t>
      </w:r>
    </w:p>
    <w:p>
      <w:pPr>
        <w:pStyle w:val="BodyText"/>
        <w:spacing w:before="1"/>
        <w:ind w:left="0"/>
        <w:rPr>
          <w:sz w:val="29"/>
        </w:rPr>
      </w:pPr>
    </w:p>
    <w:p>
      <w:pPr>
        <w:pStyle w:val="ListParagraph"/>
        <w:numPr>
          <w:ilvl w:val="0"/>
          <w:numId w:val="34"/>
        </w:numPr>
        <w:tabs>
          <w:tab w:val="left" w:pos="241"/>
        </w:tabs>
        <w:spacing w:before="0" w:after="0" w:line="240" w:lineRule="auto"/>
        <w:ind w:left="241" w:right="1493" w:hanging="241"/>
        <w:jc w:val="right"/>
        <w:rPr>
          <w:sz w:val="24"/>
        </w:rPr>
      </w:pPr>
      <w:r>
        <w:rPr>
          <w:spacing w:val="-2"/>
          <w:sz w:val="24"/>
        </w:rPr>
        <w:t>、通道纵挖法</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2"/>
        <w:ind w:left="0"/>
        <w:rPr>
          <w:sz w:val="28"/>
        </w:rPr>
      </w:pPr>
    </w:p>
    <w:p>
      <w:pPr>
        <w:spacing w:after="0"/>
        <w:rPr>
          <w:sz w:val="28"/>
        </w:rPr>
        <w:sectPr>
          <w:footerReference w:type="default" r:id="rId6"/>
          <w:pgSz w:w="12240" w:h="15840"/>
          <w:pgMar w:top="1400" w:right="1080" w:bottom="900" w:left="1400" w:header="0" w:footer="706"/>
          <w:pgNumType w:start="3"/>
          <w:cols w:space="708"/>
        </w:sectPr>
      </w:pPr>
    </w:p>
    <w:p>
      <w:pPr>
        <w:pStyle w:val="BodyText"/>
        <w:spacing w:before="66" w:line="242" w:lineRule="auto"/>
        <w:ind w:right="38" w:firstLine="510"/>
        <w:jc w:val="both"/>
      </w:pPr>
      <w:r>
        <w:rPr>
          <w:spacing w:val="-2"/>
        </w:rPr>
        <w:t>先沿路堑纵向挖掘一条通道，然后利用通</w:t>
      </w:r>
      <w:r>
        <w:rPr>
          <w:spacing w:val="-2"/>
        </w:rPr>
        <w:t>道将两侧拓宽扩大工作面，并利用该通道做为</w:t>
      </w:r>
      <w:r>
        <w:rPr>
          <w:spacing w:val="-22"/>
        </w:rPr>
        <w:t>运土路线及场内排水的出路当。一层通道拓宽至路</w:t>
      </w:r>
      <w:r>
        <w:rPr>
          <w:spacing w:val="-2"/>
        </w:rPr>
        <w:t>堑边</w:t>
      </w:r>
      <w:r>
        <w:rPr>
          <w:spacing w:val="-36"/>
        </w:rPr>
        <w:t>坡再后挖，下层通道，如此向纵深挖至路基设计</w:t>
      </w:r>
      <w:r>
        <w:rPr>
          <w:spacing w:val="-40"/>
        </w:rPr>
        <w:t>标高该。法适用于路堑较长较、深的路堑开挖。</w:t>
      </w:r>
    </w:p>
    <w:p>
      <w:pPr>
        <w:spacing w:before="0" w:line="240" w:lineRule="auto"/>
        <w:rPr>
          <w:sz w:val="20"/>
        </w:rPr>
      </w:pPr>
      <w:r>
        <w:br w:type="column"/>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5"/>
        <w:ind w:left="0"/>
        <w:rPr>
          <w:sz w:val="14"/>
        </w:rPr>
      </w:pPr>
    </w:p>
    <w:p>
      <w:pPr>
        <w:spacing w:before="0"/>
        <w:ind w:left="292" w:right="0" w:firstLine="0"/>
        <w:jc w:val="left"/>
        <w:rPr>
          <w:sz w:val="21"/>
        </w:rPr>
      </w:pPr>
      <w:r>
        <w:rPr>
          <w:spacing w:val="-2"/>
          <w:sz w:val="21"/>
        </w:rPr>
        <w:t>通道纵挖法</w:t>
      </w:r>
    </w:p>
    <w:p>
      <w:pPr>
        <w:spacing w:after="0"/>
        <w:jc w:val="left"/>
        <w:rPr>
          <w:sz w:val="21"/>
        </w:rPr>
        <w:sectPr>
          <w:footerReference w:type="default" r:id="rId7"/>
          <w:type w:val="continuous"/>
          <w:pgSz w:w="12240" w:h="15840"/>
          <w:pgMar w:top="1480" w:right="1080" w:bottom="900" w:left="1400" w:header="0" w:footer="706"/>
          <w:pgNumType w:start="4"/>
          <w:cols w:num="2" w:space="708" w:equalWidth="0">
            <w:col w:w="5266" w:space="1812"/>
            <w:col w:w="2682" w:space="0"/>
          </w:cols>
        </w:sectPr>
      </w:pPr>
    </w:p>
    <w:p>
      <w:pPr>
        <w:pStyle w:val="BodyText"/>
        <w:ind w:left="0"/>
        <w:rPr>
          <w:sz w:val="15"/>
        </w:rPr>
      </w:pPr>
      <w:r>
        <w:pict>
          <v:group id="_x0000_s1039" style="width:231.55pt;height:109.25pt;margin-top:184.8pt;margin-left:340.3pt;mso-position-horizontal-relative:page;mso-position-vertical-relative:page;position:absolute;z-index:251660288" coordorigin="6806,3696" coordsize="4631,2185">
            <v:shape id="_x0000_s1040" style="width:4440;height:1989;left:6936;position:absolute;top:3831" coordorigin="6936,3831" coordsize="4440,1989" path="m6936,3831l7131,3846,8202,5820,8331,5811,8436,5661,9996,5676,10071,5781,10242,5805,11166,3876,11376,3846e" filled="f" stroked="t" strokecolor="black" strokeweight="6pt">
              <v:stroke dashstyle="solid"/>
              <v:path arrowok="t"/>
            </v:shape>
            <v:shape id="_x0000_s1041" style="width:4599;height:184;left:6813;position:absolute;top:3703" coordorigin="6813,3703" coordsize="4599,184" path="m6813,3824l6901,3819,6987,3816,7072,3814,7156,3813,7239,3813,7322,3813,7403,3815,7484,3817,7564,3819,7643,3822,7721,3824,7806,3829,7887,3836,7966,3845,8045,3855,8122,3865,8201,3874,8280,3881,8361,3886,8445,3887,8532,3883,8602,3877,8674,3866,8747,3852,8821,3835,8897,3817,8973,3798,9049,3779,9126,3760,9204,3743,9280,3728,9357,3716,9433,3708,9507,3703,9588,3704,9668,3710,9749,3719,9829,3731,9909,3745,9989,3761,10069,3777,10149,3793,10229,3808,10309,3821,10388,3831,10467,3838,10549,3842,10634,3844,10721,3845,10810,3844,10898,3842,10985,3840,11070,3836,11150,3833,11226,3830,11296,3827,11359,3825,11412,3823e" filled="f" stroked="t" strokecolor="black" strokeweight="0.75pt">
              <v:stroke dashstyle="solid"/>
              <v:path arrowok="t"/>
            </v:shape>
            <v:line id="_x0000_s1042" style="position:absolute" from="7626,4686" to="10761,4686" stroked="t" strokecolor="black" strokeweight="0.75pt">
              <v:stroke dashstyle="solid"/>
            </v:line>
            <v:line id="_x0000_s1043" style="position:absolute" from="8451,3861" to="9156,5631" stroked="t" strokecolor="black" strokeweight="0.75pt">
              <v:stroke dashstyle="solid"/>
            </v:line>
            <v:line id="_x0000_s1044" style="position:absolute" from="10041,3801" to="9276,5646" stroked="t" strokecolor="black" strokeweight="0.75pt">
              <v:stroke dashstyle="solid"/>
            </v:line>
            <v:line id="_x0000_s1045" style="position:absolute" from="7776,3846" to="8631,5661" stroked="t" strokecolor="black" strokeweight="0.75pt">
              <v:stroke dashstyle="solid"/>
            </v:line>
            <v:line id="_x0000_s1046" style="position:absolute" from="10536,3891" to="9801,5631" stroked="t" strokecolor="black" strokeweight="0.75pt">
              <v:stroke dashstyle="solid"/>
            </v:line>
            <v:line id="_x0000_s1047" style="position:absolute" from="9531,3756" to="9186,4701" stroked="t" strokecolor="black" strokeweight="0.75pt">
              <v:stroke dashstyle="solid"/>
            </v:line>
            <v:shape id="_x0000_s1048" style="width:3402;height:1344;left:7382;position:absolute;top:4016" coordorigin="7382,4016" coordsize="3402,1344" path="m7833,4016l7382,4016,7382,4368,7833,4368,7833,4016xm8514,5008l7836,5008,7836,5360,8514,5360,8514,5008xm8514,4016l8063,4016,8063,4368,8514,4368,8514,4016xm8968,5008l8517,5008,8517,5360,8968,5360,8968,5008xm9195,4016l8971,4016,8971,4368,9195,4368,9195,4016xm9422,5008l9198,5008,9198,5360,9422,5360,9422,5008xm9876,5008l9652,5008,9652,5360,9876,5360,9876,5008xm9876,4016l9425,4016,9425,4368,9876,4368,9876,4016xm10330,4016l10106,4016,10106,4368,10330,4368,10330,4016xm10557,5008l10106,5008,10106,5360,10557,5360,10557,5008xm10784,4016l10560,4016,10560,4368,10784,4368,10784,4016xe" filled="t" fillcolor="white" stroked="f">
              <v:fill type="solid"/>
              <v:path arrowok="t"/>
            </v:shape>
            <v:shape id="_x0000_s1049" type="#_x0000_t202" style="width:125;height:233;left:7516;position:absolute;top:4025" filled="f" stroked="f">
              <v:textbox inset="0,0,0,0">
                <w:txbxContent>
                  <w:p>
                    <w:pPr>
                      <w:spacing w:before="0" w:line="233" w:lineRule="exact"/>
                      <w:ind w:left="0" w:right="0" w:firstLine="0"/>
                      <w:jc w:val="left"/>
                      <w:rPr>
                        <w:rFonts w:ascii="Times New Roman"/>
                        <w:sz w:val="21"/>
                      </w:rPr>
                    </w:pPr>
                    <w:r>
                      <w:rPr>
                        <w:rFonts w:ascii="Times New Roman"/>
                        <w:sz w:val="21"/>
                      </w:rPr>
                      <w:t>6</w:t>
                    </w:r>
                  </w:p>
                </w:txbxContent>
              </v:textbox>
            </v:shape>
            <v:shape id="_x0000_s1050" type="#_x0000_t202" style="width:125;height:233;left:8197;position:absolute;top:4025" filled="f" stroked="f">
              <v:textbox inset="0,0,0,0">
                <w:txbxContent>
                  <w:p>
                    <w:pPr>
                      <w:spacing w:before="0" w:line="233" w:lineRule="exact"/>
                      <w:ind w:left="0" w:right="0" w:firstLine="0"/>
                      <w:jc w:val="left"/>
                      <w:rPr>
                        <w:rFonts w:ascii="Times New Roman"/>
                        <w:sz w:val="21"/>
                      </w:rPr>
                    </w:pPr>
                    <w:r>
                      <w:rPr>
                        <w:rFonts w:ascii="Times New Roman"/>
                        <w:sz w:val="21"/>
                      </w:rPr>
                      <w:t>5</w:t>
                    </w:r>
                  </w:p>
                </w:txbxContent>
              </v:textbox>
            </v:shape>
            <v:shape id="_x0000_s1051" type="#_x0000_t202" style="width:684;height:233;left:9000;position:absolute;top:4025" filled="f" stroked="f">
              <v:textbox inset="0,0,0,0">
                <w:txbxContent>
                  <w:p>
                    <w:pPr>
                      <w:tabs>
                        <w:tab w:val="left" w:pos="558"/>
                      </w:tabs>
                      <w:spacing w:before="0" w:line="233" w:lineRule="exact"/>
                      <w:ind w:left="0" w:right="0" w:firstLine="0"/>
                      <w:jc w:val="left"/>
                      <w:rPr>
                        <w:rFonts w:ascii="Times New Roman"/>
                        <w:sz w:val="21"/>
                      </w:rPr>
                    </w:pPr>
                    <w:r>
                      <w:rPr>
                        <w:rFonts w:ascii="Times New Roman"/>
                        <w:spacing w:val="-10"/>
                        <w:sz w:val="21"/>
                      </w:rPr>
                      <w:t>1</w:t>
                    </w:r>
                    <w:r>
                      <w:rPr>
                        <w:rFonts w:ascii="Times New Roman"/>
                        <w:sz w:val="21"/>
                      </w:rPr>
                      <w:tab/>
                    </w:r>
                    <w:r>
                      <w:rPr>
                        <w:rFonts w:ascii="Times New Roman"/>
                        <w:spacing w:val="-10"/>
                        <w:sz w:val="21"/>
                      </w:rPr>
                      <w:t>2</w:t>
                    </w:r>
                  </w:p>
                </w:txbxContent>
              </v:textbox>
            </v:shape>
            <v:shape id="_x0000_s1052" type="#_x0000_t202" style="width:579;height:233;left:10135;position:absolute;top:4025" filled="f" stroked="f">
              <v:textbox inset="0,0,0,0">
                <w:txbxContent>
                  <w:p>
                    <w:pPr>
                      <w:tabs>
                        <w:tab w:val="left" w:pos="453"/>
                      </w:tabs>
                      <w:spacing w:before="0" w:line="233" w:lineRule="exact"/>
                      <w:ind w:left="0" w:right="0" w:firstLine="0"/>
                      <w:jc w:val="left"/>
                      <w:rPr>
                        <w:rFonts w:ascii="Times New Roman"/>
                        <w:sz w:val="21"/>
                      </w:rPr>
                    </w:pPr>
                    <w:r>
                      <w:rPr>
                        <w:rFonts w:ascii="Times New Roman"/>
                        <w:spacing w:val="-10"/>
                        <w:sz w:val="21"/>
                      </w:rPr>
                      <w:t>3</w:t>
                    </w:r>
                    <w:r>
                      <w:rPr>
                        <w:rFonts w:ascii="Times New Roman"/>
                        <w:sz w:val="21"/>
                      </w:rPr>
                      <w:tab/>
                    </w:r>
                    <w:r>
                      <w:rPr>
                        <w:rFonts w:ascii="Times New Roman"/>
                        <w:spacing w:val="-10"/>
                        <w:sz w:val="21"/>
                      </w:rPr>
                      <w:t>4</w:t>
                    </w:r>
                  </w:p>
                </w:txbxContent>
              </v:textbox>
            </v:shape>
            <v:shape id="_x0000_s1053" type="#_x0000_t202" style="width:695;height:233;left:8081;position:absolute;top:5017" filled="f" stroked="f">
              <v:textbox inset="0,0,0,0">
                <w:txbxContent>
                  <w:p>
                    <w:pPr>
                      <w:tabs>
                        <w:tab w:val="left" w:pos="464"/>
                      </w:tabs>
                      <w:spacing w:before="0" w:line="233" w:lineRule="exact"/>
                      <w:ind w:left="0" w:right="0" w:firstLine="0"/>
                      <w:jc w:val="left"/>
                      <w:rPr>
                        <w:rFonts w:ascii="Times New Roman"/>
                        <w:sz w:val="21"/>
                      </w:rPr>
                    </w:pPr>
                    <w:r>
                      <w:rPr>
                        <w:rFonts w:ascii="Times New Roman"/>
                        <w:spacing w:val="-5"/>
                        <w:sz w:val="21"/>
                      </w:rPr>
                      <w:t>11</w:t>
                    </w:r>
                    <w:r>
                      <w:rPr>
                        <w:rFonts w:ascii="Times New Roman"/>
                        <w:sz w:val="21"/>
                      </w:rPr>
                      <w:tab/>
                    </w:r>
                    <w:r>
                      <w:rPr>
                        <w:rFonts w:ascii="Times New Roman"/>
                        <w:spacing w:val="-5"/>
                        <w:sz w:val="21"/>
                      </w:rPr>
                      <w:t>10</w:t>
                    </w:r>
                  </w:p>
                </w:txbxContent>
              </v:textbox>
            </v:shape>
            <v:shape id="_x0000_s1054" type="#_x0000_t202" style="width:1033;height:233;left:9227;position:absolute;top:5017" filled="f" stroked="f">
              <v:textbox inset="0,0,0,0">
                <w:txbxContent>
                  <w:p>
                    <w:pPr>
                      <w:tabs>
                        <w:tab w:val="left" w:pos="453"/>
                        <w:tab w:val="left" w:pos="907"/>
                      </w:tabs>
                      <w:spacing w:before="0" w:line="233" w:lineRule="exact"/>
                      <w:ind w:left="0" w:right="0" w:firstLine="0"/>
                      <w:jc w:val="left"/>
                      <w:rPr>
                        <w:rFonts w:ascii="Times New Roman"/>
                        <w:sz w:val="21"/>
                      </w:rPr>
                    </w:pPr>
                    <w:r>
                      <w:rPr>
                        <w:rFonts w:ascii="Times New Roman"/>
                        <w:spacing w:val="-10"/>
                        <w:sz w:val="21"/>
                      </w:rPr>
                      <w:t>7</w:t>
                    </w:r>
                    <w:r>
                      <w:rPr>
                        <w:rFonts w:ascii="Times New Roman"/>
                        <w:sz w:val="21"/>
                      </w:rPr>
                      <w:tab/>
                    </w:r>
                    <w:r>
                      <w:rPr>
                        <w:rFonts w:ascii="Times New Roman"/>
                        <w:spacing w:val="-10"/>
                        <w:sz w:val="21"/>
                      </w:rPr>
                      <w:t>8</w:t>
                    </w:r>
                    <w:r>
                      <w:rPr>
                        <w:rFonts w:ascii="Times New Roman"/>
                        <w:sz w:val="21"/>
                      </w:rPr>
                      <w:tab/>
                    </w:r>
                    <w:r>
                      <w:rPr>
                        <w:rFonts w:ascii="Times New Roman"/>
                        <w:spacing w:val="-10"/>
                        <w:sz w:val="21"/>
                      </w:rPr>
                      <w:t>9</w:t>
                    </w:r>
                  </w:p>
                </w:txbxContent>
              </v:textbox>
            </v:shape>
          </v:group>
        </w:pict>
      </w:r>
    </w:p>
    <w:p>
      <w:pPr>
        <w:pStyle w:val="Heading3"/>
        <w:spacing w:line="420" w:lineRule="exact"/>
        <w:rPr>
          <w:rFonts w:ascii="微软雅黑" w:eastAsia="微软雅黑"/>
        </w:rPr>
      </w:pPr>
      <w:r>
        <w:rPr>
          <w:rFonts w:ascii="微软雅黑" w:eastAsia="微软雅黑"/>
          <w:spacing w:val="-4"/>
        </w:rPr>
        <w:t>2</w:t>
      </w:r>
      <w:r>
        <w:rPr>
          <w:rFonts w:ascii="微软雅黑" w:eastAsia="微软雅黑"/>
          <w:spacing w:val="-5"/>
        </w:rPr>
        <w:t>、石质路堑开挖方式</w:t>
      </w:r>
    </w:p>
    <w:p>
      <w:pPr>
        <w:pStyle w:val="BodyText"/>
        <w:spacing w:line="295" w:lineRule="exact"/>
        <w:ind w:left="802"/>
      </w:pPr>
      <w:r>
        <w:rPr>
          <w:spacing w:val="-1"/>
        </w:rPr>
        <w:t>石方开挖有两种方式：一是松土机械作业法；二是爆破作业法。</w:t>
      </w:r>
    </w:p>
    <w:p>
      <w:pPr>
        <w:pStyle w:val="BodyText"/>
        <w:spacing w:before="33" w:line="247" w:lineRule="auto"/>
        <w:ind w:right="647" w:firstLine="510"/>
        <w:jc w:val="right"/>
      </w:pPr>
      <w:r>
        <w:rPr>
          <w:spacing w:val="1"/>
        </w:rPr>
        <w:t>对于风化较严重的软石采用松土机械作业法，选用带单齿松土器的大马力推土机把软石破碎钩松，表层翻松后，用推土机进行搬运集堆，然后再用挖掘机或装载机配合自卸汽车运输，形成松土→集堆→外运的机械循环作业。在选择松土器时，</w:t>
      </w:r>
      <w:r>
        <w:rPr>
          <w:spacing w:val="2"/>
        </w:rPr>
        <w:t>先对岩石性质进行分析判断并根据岩石的室内试验</w:t>
      </w:r>
      <w:r>
        <w:rPr>
          <w:spacing w:val="3"/>
        </w:rPr>
        <w:t>（</w:t>
      </w:r>
      <w:r>
        <w:rPr>
          <w:spacing w:val="2"/>
        </w:rPr>
        <w:t>抗压强度、抗拉强度）判断各</w:t>
      </w:r>
      <w:r>
        <w:t>种型号松土器的壁开性能。松土时松土方向顺着岩石的下坡方向，间隔 1.0～1.5m</w:t>
      </w:r>
      <w:r>
        <w:rPr>
          <w:spacing w:val="-19"/>
        </w:rPr>
        <w:t>。</w:t>
      </w:r>
      <w:r>
        <w:rPr>
          <w:spacing w:val="-5"/>
        </w:rPr>
        <w:t xml:space="preserve">石方爆破作业应以小型及松动爆破为主，严禁过量爆破，并应在事前 </w:t>
      </w:r>
      <w:r>
        <w:t>14</w:t>
      </w:r>
      <w:r>
        <w:rPr>
          <w:spacing w:val="-15"/>
        </w:rPr>
        <w:t xml:space="preserve"> 天作出</w:t>
      </w:r>
    </w:p>
    <w:p>
      <w:pPr>
        <w:pStyle w:val="BodyText"/>
        <w:spacing w:line="242" w:lineRule="auto"/>
        <w:ind w:right="719"/>
        <w:jc w:val="both"/>
      </w:pPr>
      <w:r>
        <w:rPr>
          <w:spacing w:val="-2"/>
        </w:rPr>
        <w:t>计划和措施报监理工程师批准，未经批准，不得采用大爆破施工。当确须进行大爆</w:t>
      </w:r>
      <w:r>
        <w:rPr>
          <w:spacing w:val="-8"/>
        </w:rPr>
        <w:t>破施工时，应严格按《公路路基施工技术规范》</w:t>
      </w:r>
      <w:r>
        <w:rPr>
          <w:spacing w:val="-2"/>
        </w:rPr>
        <w:t>（JTJ033-95）</w:t>
      </w:r>
      <w:r>
        <w:rPr>
          <w:spacing w:val="-15"/>
        </w:rPr>
        <w:t xml:space="preserve">第 </w:t>
      </w:r>
      <w:r>
        <w:rPr>
          <w:spacing w:val="-2"/>
        </w:rPr>
        <w:t>6.3.14</w:t>
      </w:r>
      <w:r>
        <w:rPr>
          <w:spacing w:val="-7"/>
        </w:rPr>
        <w:t xml:space="preserve"> 条规定编制</w:t>
      </w:r>
      <w:r>
        <w:rPr>
          <w:spacing w:val="-5"/>
        </w:rPr>
        <w:t xml:space="preserve">技术设计文件，并于爆破前 </w:t>
      </w:r>
      <w:r>
        <w:rPr>
          <w:spacing w:val="-4"/>
        </w:rPr>
        <w:t>28</w:t>
      </w:r>
      <w:r>
        <w:rPr>
          <w:spacing w:val="-7"/>
        </w:rPr>
        <w:t xml:space="preserve"> 天交监理工程师审批，大爆破施工后的石方应凿成平</w:t>
      </w:r>
      <w:r>
        <w:rPr>
          <w:spacing w:val="-4"/>
        </w:rPr>
        <w:t xml:space="preserve">整度不大于 </w:t>
      </w:r>
      <w:r>
        <w:t>150mm</w:t>
      </w:r>
      <w:r>
        <w:rPr>
          <w:spacing w:val="-5"/>
        </w:rPr>
        <w:t xml:space="preserve"> 的表面。</w:t>
      </w:r>
    </w:p>
    <w:p>
      <w:pPr>
        <w:pStyle w:val="BodyText"/>
        <w:spacing w:before="30" w:line="249" w:lineRule="auto"/>
        <w:ind w:left="291" w:right="718" w:firstLine="510"/>
      </w:pPr>
      <w:r>
        <w:rPr>
          <w:spacing w:val="-2"/>
        </w:rPr>
        <w:t>对于比较坚硬，用松土机械作业法施工有困难的软石，可采用浅孔松动爆破，</w:t>
      </w:r>
      <w:r>
        <w:rPr>
          <w:spacing w:val="-2"/>
        </w:rPr>
        <w:t>然后再进行松土作业。爆破施工对边坡的稳定性影响很大，为保证边坡的稳定性，</w:t>
      </w:r>
      <w:r>
        <w:rPr>
          <w:spacing w:val="-2"/>
        </w:rPr>
        <w:t xml:space="preserve">不宜用大爆破，选用小型爆破。施工中采用 </w:t>
      </w:r>
      <w:r>
        <w:t>320</w:t>
      </w:r>
      <w:r>
        <w:rPr>
          <w:spacing w:val="-6"/>
        </w:rPr>
        <w:t xml:space="preserve"> 马力以上的推土机结合小型机具爆</w:t>
      </w:r>
      <w:r>
        <w:rPr>
          <w:spacing w:val="-2"/>
        </w:rPr>
        <w:t>破施工。在石方集中段，采用群爆和微差爆破法进行爆破作业未经。</w:t>
      </w:r>
    </w:p>
    <w:p>
      <w:pPr>
        <w:pStyle w:val="BodyText"/>
        <w:spacing w:before="26" w:line="242" w:lineRule="auto"/>
        <w:ind w:right="717" w:firstLine="433"/>
        <w:jc w:val="both"/>
      </w:pPr>
      <w:r>
        <w:rPr>
          <w:spacing w:val="-7"/>
        </w:rPr>
        <w:t xml:space="preserve">本工程选用 </w:t>
      </w:r>
      <w:r>
        <w:rPr>
          <w:spacing w:val="-2"/>
        </w:rPr>
        <w:t>CM351</w:t>
      </w:r>
      <w:r>
        <w:rPr>
          <w:spacing w:val="-10"/>
        </w:rPr>
        <w:t xml:space="preserve"> 钻机，孔径为 </w:t>
      </w:r>
      <w:r>
        <w:rPr>
          <w:spacing w:val="-2"/>
        </w:rPr>
        <w:t>115mm</w:t>
      </w:r>
      <w:r>
        <w:rPr>
          <w:spacing w:val="-5"/>
        </w:rPr>
        <w:t xml:space="preserve">。边坡光面爆破采用 </w:t>
      </w:r>
      <w:r>
        <w:rPr>
          <w:spacing w:val="-2"/>
        </w:rPr>
        <w:t>76mm</w:t>
      </w:r>
      <w:r>
        <w:rPr>
          <w:spacing w:val="-7"/>
        </w:rPr>
        <w:t xml:space="preserve"> 孔径的液压钻</w:t>
      </w:r>
      <w:r>
        <w:rPr>
          <w:spacing w:val="-2"/>
        </w:rPr>
        <w:t>机。起爆器材采用毫秒电雷管微差起爆系统，对角式“U”型起爆网络，炮孔雷管采</w:t>
      </w:r>
      <w:r>
        <w:rPr>
          <w:spacing w:val="-2"/>
        </w:rPr>
        <w:t>用全半联联接方式。</w:t>
      </w:r>
    </w:p>
    <w:p>
      <w:pPr>
        <w:pStyle w:val="Heading3"/>
        <w:spacing w:line="385" w:lineRule="exact"/>
        <w:rPr>
          <w:rFonts w:ascii="微软雅黑" w:eastAsia="微软雅黑"/>
        </w:rPr>
      </w:pPr>
      <w:r>
        <w:rPr>
          <w:rFonts w:ascii="微软雅黑" w:eastAsia="微软雅黑"/>
          <w:spacing w:val="-2"/>
        </w:rPr>
        <w:t>爆破法开挖程序：</w:t>
      </w:r>
    </w:p>
    <w:p>
      <w:pPr>
        <w:pStyle w:val="BodyText"/>
        <w:spacing w:line="242" w:lineRule="auto"/>
        <w:ind w:right="719" w:firstLine="510"/>
        <w:jc w:val="both"/>
      </w:pPr>
      <w:r>
        <w:rPr>
          <w:spacing w:val="-2"/>
        </w:rPr>
        <w:t>石方爆破法开挖必须严格按如下程序进行。施爆区管线调查→炮位设计与设计</w:t>
      </w:r>
      <w:r>
        <w:rPr>
          <w:spacing w:val="-2"/>
        </w:rPr>
        <w:t>审批→配备专业施爆人员→用机械或人工清除施爆区覆盖层和强风化岩石→钻孔→</w:t>
      </w:r>
      <w:r>
        <w:t>爆破器材检查与试验→炮孔（或坑道、药室）</w:t>
      </w:r>
      <w:r>
        <w:rPr>
          <w:spacing w:val="-1"/>
        </w:rPr>
        <w:t>检查与废渣清除→装药并安装引爆器</w:t>
      </w:r>
    </w:p>
    <w:p>
      <w:pPr>
        <w:spacing w:after="0" w:line="242" w:lineRule="auto"/>
        <w:jc w:val="both"/>
        <w:sectPr>
          <w:footerReference w:type="default" r:id="rId8"/>
          <w:type w:val="continuous"/>
          <w:pgSz w:w="12240" w:h="15840"/>
          <w:pgMar w:top="1480" w:right="1080" w:bottom="900" w:left="1400" w:header="0" w:footer="706"/>
          <w:pgNumType w:start="5"/>
          <w:cols w:space="708"/>
        </w:sectPr>
      </w:pPr>
    </w:p>
    <w:p>
      <w:pPr>
        <w:pStyle w:val="BodyText"/>
        <w:spacing w:before="43" w:line="242" w:lineRule="auto"/>
        <w:ind w:left="291" w:right="718"/>
        <w:jc w:val="both"/>
      </w:pPr>
      <w:r>
        <w:rPr>
          <w:spacing w:val="-2"/>
        </w:rPr>
        <w:t>材→布置安全岗和施爆区安全人员→炮孔堵塞→撤离施爆区和飞石、强地震波影响</w:t>
      </w:r>
      <w:r>
        <w:rPr>
          <w:spacing w:val="-2"/>
        </w:rPr>
        <w:t>区内的人、畜→起爆→清除瞎炮→解除警戒→测定爆破效果（包括飞石、地震波对</w:t>
      </w:r>
      <w:r>
        <w:rPr>
          <w:spacing w:val="-2"/>
        </w:rPr>
        <w:t>施爆区内构造物造成的损伤及造成的损失</w:t>
      </w:r>
      <w:r>
        <w:rPr>
          <w:spacing w:val="-120"/>
        </w:rPr>
        <w:t>）</w:t>
      </w:r>
      <w:r>
        <w:rPr>
          <w:spacing w:val="-2"/>
        </w:rPr>
        <w:t>。</w:t>
      </w:r>
    </w:p>
    <w:p>
      <w:pPr>
        <w:pStyle w:val="BodyText"/>
        <w:spacing w:before="32" w:line="242" w:lineRule="auto"/>
        <w:ind w:right="719" w:firstLine="510"/>
        <w:jc w:val="both"/>
      </w:pPr>
      <w:r>
        <w:rPr>
          <w:spacing w:val="-2"/>
        </w:rPr>
        <w:t>进行爆破作业时必须由经过专业培训并取得爆破证书的专业人员施爆。要注意</w:t>
      </w:r>
      <w:r>
        <w:rPr>
          <w:spacing w:val="-2"/>
        </w:rPr>
        <w:t>开挖区的施工排水，在纵向和横向形成坡面开挖面，其坡度应满足排水要求，以确</w:t>
      </w:r>
      <w:r>
        <w:rPr>
          <w:spacing w:val="-2"/>
        </w:rPr>
        <w:t>保爆破出的石料不受积水浸泡。</w:t>
      </w:r>
    </w:p>
    <w:p>
      <w:pPr>
        <w:pStyle w:val="BodyText"/>
        <w:spacing w:before="32" w:line="242" w:lineRule="auto"/>
        <w:ind w:right="599" w:firstLine="510"/>
      </w:pPr>
      <w:r>
        <w:rPr>
          <w:spacing w:val="-4"/>
        </w:rPr>
        <w:t>单边坡石质深路堑已有一面临空，为了使爆破后的石块较小，便于推土机清方，</w:t>
      </w:r>
      <w:r>
        <w:rPr>
          <w:spacing w:val="1"/>
        </w:rPr>
        <w:t>采用深粗炮眼、分层、多排、多药量、群炮、光面、微差爆破方法。其原则是打炮眼尽量使用机械，爆破后使石块小一些，便于机械清除。若最后一排炮眼靠近边坡时，应采用光面爆破设计施工。</w:t>
      </w:r>
    </w:p>
    <w:p>
      <w:pPr>
        <w:pStyle w:val="BodyText"/>
        <w:spacing w:before="33" w:line="242" w:lineRule="auto"/>
        <w:ind w:right="719" w:firstLine="510"/>
        <w:jc w:val="both"/>
      </w:pPr>
      <w:r>
        <w:rPr>
          <w:spacing w:val="-2"/>
        </w:rPr>
        <w:t>双边坡石质深挖路堑的施工较单边坡的困难一些。首先需用纵向挖掘法在横断</w:t>
      </w:r>
      <w:r>
        <w:rPr>
          <w:spacing w:val="-2"/>
        </w:rPr>
        <w:t>面中部每层开辟一条较宽的纵向通道，以便爆破后的石料运走，同时成为两侧未炸</w:t>
      </w:r>
      <w:r>
        <w:rPr>
          <w:spacing w:val="-2"/>
        </w:rPr>
        <w:t>石方的临空面，然后横断面两侧按单边坡石质路堑的施工方法作业。</w:t>
      </w:r>
    </w:p>
    <w:p>
      <w:pPr>
        <w:pStyle w:val="Heading3"/>
      </w:pPr>
      <w:r>
        <w:rPr>
          <w:spacing w:val="-6"/>
        </w:rPr>
        <w:t>3</w:t>
      </w:r>
      <w:r>
        <w:rPr>
          <w:spacing w:val="-7"/>
        </w:rPr>
        <w:t>、零填挖路基</w:t>
      </w:r>
    </w:p>
    <w:p>
      <w:pPr>
        <w:pStyle w:val="BodyText"/>
        <w:spacing w:line="242" w:lineRule="auto"/>
        <w:ind w:right="599" w:firstLine="510"/>
      </w:pPr>
      <w:r>
        <w:rPr>
          <w:spacing w:val="-7"/>
        </w:rPr>
        <w:t xml:space="preserve">零填挖路基路床顶面以下 </w:t>
      </w:r>
      <w:r>
        <w:rPr>
          <w:spacing w:val="-2"/>
        </w:rPr>
        <w:t>80cm</w:t>
      </w:r>
      <w:r>
        <w:rPr>
          <w:spacing w:val="-17"/>
        </w:rPr>
        <w:t xml:space="preserve"> 应检测其压实度，不应小于 </w:t>
      </w:r>
      <w:r>
        <w:rPr>
          <w:spacing w:val="-2"/>
        </w:rPr>
        <w:t>96%，如不符合要求，</w:t>
      </w:r>
      <w:r>
        <w:rPr>
          <w:spacing w:val="-7"/>
        </w:rPr>
        <w:t xml:space="preserve">应挖开 </w:t>
      </w:r>
      <w:r>
        <w:t>80cm</w:t>
      </w:r>
      <w:r>
        <w:rPr>
          <w:spacing w:val="-5"/>
        </w:rPr>
        <w:t xml:space="preserve"> 后重新按填筑要求分层填筑。若鉴定为不良土质或非适用性材料，必须</w:t>
      </w:r>
      <w:r>
        <w:rPr>
          <w:spacing w:val="-2"/>
        </w:rPr>
        <w:t>进行换填或掺灰处理。</w:t>
      </w:r>
    </w:p>
    <w:p>
      <w:pPr>
        <w:pStyle w:val="Heading3"/>
      </w:pPr>
      <w:r>
        <w:rPr>
          <w:spacing w:val="-4"/>
        </w:rPr>
        <w:t>4</w:t>
      </w:r>
      <w:r>
        <w:rPr>
          <w:spacing w:val="-5"/>
        </w:rPr>
        <w:t>、土石方开挖中的注意事项</w:t>
      </w:r>
    </w:p>
    <w:p>
      <w:pPr>
        <w:pStyle w:val="ListParagraph"/>
        <w:numPr>
          <w:ilvl w:val="0"/>
          <w:numId w:val="36"/>
        </w:numPr>
        <w:tabs>
          <w:tab w:val="left" w:pos="1072"/>
        </w:tabs>
        <w:spacing w:before="0" w:after="0" w:line="242" w:lineRule="auto"/>
        <w:ind w:left="291" w:right="718" w:firstLine="539"/>
        <w:jc w:val="both"/>
        <w:rPr>
          <w:sz w:val="24"/>
        </w:rPr>
      </w:pPr>
      <w:r>
        <w:rPr>
          <w:spacing w:val="-2"/>
          <w:sz w:val="24"/>
        </w:rPr>
        <w:t>、路堑开挖时，应严格控制坡比和边坡的稳定性，开挖时，不论开挖工程量和开挖深度大小，均应自上而下进行，不得乱挖和超挖，特别是不能开挖神仙土。开挖时一方面要注意施工方法，如采用不加控制的爆破法施工，易造成路堑边坡失稳，引起坍方。在不影响边坡稳定的情况下进行爆破法施工，也应经过审批。另一</w:t>
      </w:r>
      <w:r>
        <w:rPr>
          <w:spacing w:val="-2"/>
          <w:sz w:val="24"/>
        </w:rPr>
        <w:t>方面，要注意施工顺序，防止开挖不当而引起边坡失稳崩塌。</w:t>
      </w:r>
    </w:p>
    <w:p>
      <w:pPr>
        <w:pStyle w:val="ListParagraph"/>
        <w:numPr>
          <w:ilvl w:val="0"/>
          <w:numId w:val="36"/>
        </w:numPr>
        <w:tabs>
          <w:tab w:val="left" w:pos="1072"/>
        </w:tabs>
        <w:spacing w:before="13" w:after="0" w:line="242" w:lineRule="auto"/>
        <w:ind w:left="291" w:right="718" w:firstLine="539"/>
        <w:jc w:val="left"/>
        <w:rPr>
          <w:sz w:val="24"/>
        </w:rPr>
      </w:pPr>
      <w:r>
        <w:rPr>
          <w:spacing w:val="-2"/>
          <w:sz w:val="24"/>
        </w:rPr>
        <w:t>、水是造成路堑各种病害的主要原因，在开挖路堑前应做好截水沟。施工期</w:t>
      </w:r>
      <w:r>
        <w:rPr>
          <w:spacing w:val="-2"/>
          <w:sz w:val="24"/>
        </w:rPr>
        <w:t>间，应修建临时排水设施。</w:t>
      </w:r>
    </w:p>
    <w:p>
      <w:pPr>
        <w:pStyle w:val="ListParagraph"/>
        <w:numPr>
          <w:ilvl w:val="0"/>
          <w:numId w:val="36"/>
        </w:numPr>
        <w:tabs>
          <w:tab w:val="left" w:pos="1072"/>
        </w:tabs>
        <w:spacing w:before="31" w:after="0" w:line="242" w:lineRule="auto"/>
        <w:ind w:left="291" w:right="718" w:firstLine="539"/>
        <w:jc w:val="both"/>
        <w:rPr>
          <w:sz w:val="24"/>
        </w:rPr>
      </w:pPr>
      <w:r>
        <w:rPr>
          <w:spacing w:val="-2"/>
          <w:sz w:val="24"/>
        </w:rPr>
        <w:t>、对于路堑边坡为单级的路堑，在路堑开挖到位后，立刻进行边坡防护工程的施工，对于有多级的路堑，应在一级开挖到位后，立刻进行边坡防护的施工。土</w:t>
      </w:r>
      <w:r>
        <w:rPr>
          <w:spacing w:val="-5"/>
          <w:sz w:val="24"/>
        </w:rPr>
        <w:t xml:space="preserve">质边坡为 </w:t>
      </w:r>
      <w:r>
        <w:rPr>
          <w:sz w:val="24"/>
        </w:rPr>
        <w:t>1:1.5，</w:t>
      </w:r>
      <w:r>
        <w:rPr>
          <w:spacing w:val="-4"/>
          <w:sz w:val="24"/>
        </w:rPr>
        <w:t xml:space="preserve">石质边坡为 </w:t>
      </w:r>
      <w:r>
        <w:rPr>
          <w:sz w:val="24"/>
        </w:rPr>
        <w:t>1:1.0。</w:t>
      </w:r>
    </w:p>
    <w:p>
      <w:pPr>
        <w:pStyle w:val="ListParagraph"/>
        <w:numPr>
          <w:ilvl w:val="0"/>
          <w:numId w:val="36"/>
        </w:numPr>
        <w:tabs>
          <w:tab w:val="left" w:pos="1072"/>
        </w:tabs>
        <w:spacing w:before="32" w:after="0" w:line="240" w:lineRule="auto"/>
        <w:ind w:left="1072" w:right="0" w:hanging="242"/>
        <w:jc w:val="left"/>
        <w:rPr>
          <w:sz w:val="24"/>
        </w:rPr>
      </w:pPr>
      <w:r>
        <w:rPr>
          <w:spacing w:val="-1"/>
          <w:sz w:val="24"/>
        </w:rPr>
        <w:t>、路堑开挖基本到位后应立刻进行盲沟的施工，以降低路堑的地下水位。</w:t>
      </w:r>
    </w:p>
    <w:p>
      <w:pPr>
        <w:pStyle w:val="ListParagraph"/>
        <w:numPr>
          <w:ilvl w:val="0"/>
          <w:numId w:val="36"/>
        </w:numPr>
        <w:tabs>
          <w:tab w:val="left" w:pos="1072"/>
        </w:tabs>
        <w:spacing w:before="34" w:after="0" w:line="242" w:lineRule="auto"/>
        <w:ind w:left="291" w:right="719" w:firstLine="539"/>
        <w:jc w:val="both"/>
        <w:rPr>
          <w:sz w:val="24"/>
        </w:rPr>
      </w:pPr>
      <w:r>
        <w:rPr>
          <w:spacing w:val="-3"/>
          <w:sz w:val="24"/>
        </w:rPr>
        <w:t xml:space="preserve">、路堑开挖到设计标高后，应检测路床顶面以下 </w:t>
      </w:r>
      <w:r>
        <w:rPr>
          <w:spacing w:val="-2"/>
          <w:sz w:val="24"/>
        </w:rPr>
        <w:t>0—80cm</w:t>
      </w:r>
      <w:r>
        <w:rPr>
          <w:spacing w:val="-7"/>
          <w:sz w:val="24"/>
        </w:rPr>
        <w:t xml:space="preserve"> 范围内的压实度，</w:t>
      </w:r>
      <w:r>
        <w:rPr>
          <w:spacing w:val="-6"/>
          <w:sz w:val="24"/>
        </w:rPr>
        <w:t xml:space="preserve">若压实度达不到 </w:t>
      </w:r>
      <w:r>
        <w:rPr>
          <w:spacing w:val="-4"/>
          <w:sz w:val="24"/>
        </w:rPr>
        <w:t>96%时，应采用特殊压实机具进一步压实，直到满足要求为止；或者</w:t>
      </w:r>
      <w:r>
        <w:rPr>
          <w:spacing w:val="-10"/>
          <w:sz w:val="24"/>
        </w:rPr>
        <w:t xml:space="preserve">挖除 </w:t>
      </w:r>
      <w:r>
        <w:rPr>
          <w:sz w:val="24"/>
        </w:rPr>
        <w:t>80cm，再按路基填土的方式分层填筑，同时满足压实要求。若路床以下发现为</w:t>
      </w:r>
      <w:r>
        <w:rPr>
          <w:spacing w:val="-2"/>
          <w:sz w:val="24"/>
        </w:rPr>
        <w:t>非适用性材料或不良土质地段，经过监理工程师鉴定和业主批准后应采取换填或改</w:t>
      </w:r>
      <w:r>
        <w:rPr>
          <w:spacing w:val="-2"/>
          <w:sz w:val="24"/>
        </w:rPr>
        <w:t>良土质等措施处理。</w:t>
      </w:r>
    </w:p>
    <w:p>
      <w:pPr>
        <w:pStyle w:val="ListParagraph"/>
        <w:numPr>
          <w:ilvl w:val="0"/>
          <w:numId w:val="32"/>
        </w:numPr>
        <w:tabs>
          <w:tab w:val="left" w:pos="1145"/>
        </w:tabs>
        <w:spacing w:before="33" w:after="0" w:line="242" w:lineRule="auto"/>
        <w:ind w:left="292" w:right="718" w:firstLine="492"/>
        <w:jc w:val="both"/>
        <w:rPr>
          <w:sz w:val="24"/>
        </w:rPr>
      </w:pPr>
      <w:r>
        <w:rPr>
          <w:sz w:val="24"/>
        </w:rPr>
        <w:t>、对于边坡高度大于 20m 或进行岩石顺层边坡开挖前，应编制路基开挖的</w:t>
      </w:r>
      <w:r>
        <w:rPr>
          <w:spacing w:val="-2"/>
          <w:sz w:val="24"/>
        </w:rPr>
        <w:t>施工方法及边坡防护措施报告监理工程师批准。</w:t>
      </w:r>
    </w:p>
    <w:p>
      <w:pPr>
        <w:pStyle w:val="ListParagraph"/>
        <w:numPr>
          <w:ilvl w:val="0"/>
          <w:numId w:val="32"/>
        </w:numPr>
        <w:tabs>
          <w:tab w:val="left" w:pos="1084"/>
        </w:tabs>
        <w:spacing w:before="31" w:after="0" w:line="242" w:lineRule="auto"/>
        <w:ind w:left="292" w:right="599" w:firstLine="431"/>
        <w:jc w:val="left"/>
        <w:rPr>
          <w:sz w:val="24"/>
        </w:rPr>
      </w:pPr>
      <w:r>
        <w:rPr>
          <w:spacing w:val="-8"/>
          <w:sz w:val="24"/>
        </w:rPr>
        <w:t>、石方爆破前应认真确定爆破的危险区，并采取有效的措施防止人、畜、建筑</w:t>
      </w:r>
      <w:r>
        <w:rPr>
          <w:spacing w:val="-9"/>
          <w:sz w:val="24"/>
        </w:rPr>
        <w:t>物和其他公共设施受到危害和损失。在危险区的边界设置明显的标志，建立警戒线，</w:t>
      </w:r>
      <w:r>
        <w:rPr>
          <w:spacing w:val="1"/>
          <w:sz w:val="24"/>
        </w:rPr>
        <w:t>显示爆破时间的警戒信号，在危险区的入口或附近道路应设置标志，并派人看守，严禁人员在爆破时进入危险区。</w:t>
      </w:r>
    </w:p>
    <w:p>
      <w:pPr>
        <w:spacing w:after="0" w:line="242" w:lineRule="auto"/>
        <w:jc w:val="left"/>
        <w:rPr>
          <w:sz w:val="24"/>
        </w:rPr>
        <w:sectPr>
          <w:footerReference w:type="default" r:id="rId9"/>
          <w:pgSz w:w="12240" w:h="15840"/>
          <w:pgMar w:top="1400" w:right="1080" w:bottom="900" w:left="1400" w:header="0" w:footer="706"/>
          <w:pgNumType w:start="6"/>
          <w:cols w:space="708"/>
        </w:sectPr>
      </w:pPr>
    </w:p>
    <w:p>
      <w:pPr>
        <w:pStyle w:val="Heading3"/>
        <w:spacing w:line="356" w:lineRule="exact"/>
        <w:ind w:left="832"/>
      </w:pPr>
      <w:r>
        <w:t>(二)</w:t>
      </w:r>
      <w:r>
        <w:rPr>
          <w:spacing w:val="-2"/>
        </w:rPr>
        <w:t>、土方填筑施工</w:t>
      </w:r>
    </w:p>
    <w:p>
      <w:pPr>
        <w:spacing w:before="0" w:line="381" w:lineRule="exact"/>
        <w:ind w:left="832" w:right="0" w:firstLine="0"/>
        <w:jc w:val="left"/>
        <w:rPr>
          <w:rFonts w:ascii="Microsoft JhengHei" w:eastAsia="Microsoft JhengHei"/>
          <w:b/>
          <w:sz w:val="24"/>
        </w:rPr>
      </w:pPr>
      <w:r>
        <w:rPr>
          <w:rFonts w:ascii="Microsoft JhengHei" w:eastAsia="Microsoft JhengHei"/>
          <w:b/>
          <w:spacing w:val="-4"/>
          <w:sz w:val="24"/>
        </w:rPr>
        <w:t>1</w:t>
      </w:r>
      <w:r>
        <w:rPr>
          <w:rFonts w:ascii="Microsoft JhengHei" w:eastAsia="Microsoft JhengHei"/>
          <w:b/>
          <w:spacing w:val="-5"/>
          <w:sz w:val="24"/>
        </w:rPr>
        <w:t>、填土路堤的施工方法</w:t>
      </w:r>
    </w:p>
    <w:p>
      <w:pPr>
        <w:pStyle w:val="BodyText"/>
        <w:spacing w:line="242" w:lineRule="auto"/>
        <w:ind w:right="719" w:firstLine="510"/>
        <w:jc w:val="both"/>
      </w:pPr>
      <w:r>
        <w:rPr>
          <w:spacing w:val="-2"/>
        </w:rPr>
        <w:t>路基填方要求按“准、细、净、全、均、平、压、检”的要求施工，即：施工</w:t>
      </w:r>
      <w:r>
        <w:rPr>
          <w:spacing w:val="-2"/>
        </w:rPr>
        <w:t>放样准；施工方案细；清淤干净；全断面施工；施工节奏均衡；填方表面平整；压</w:t>
      </w:r>
      <w:r>
        <w:rPr>
          <w:spacing w:val="-2"/>
        </w:rPr>
        <w:t>实机具足、方法科学；检测把好质量关。</w:t>
      </w:r>
    </w:p>
    <w:p>
      <w:pPr>
        <w:pStyle w:val="BodyText"/>
        <w:spacing w:before="21"/>
        <w:ind w:left="802"/>
      </w:pPr>
      <w:r>
        <w:rPr>
          <w:spacing w:val="-1"/>
        </w:rPr>
        <w:t>路堤填筑采用水平分层填筑法施工。施工工艺为：</w:t>
      </w:r>
    </w:p>
    <w:p>
      <w:pPr>
        <w:pStyle w:val="BodyText"/>
        <w:spacing w:before="34" w:line="242" w:lineRule="auto"/>
        <w:ind w:right="719" w:firstLine="510"/>
        <w:jc w:val="both"/>
      </w:pPr>
      <w:r>
        <w:rPr>
          <w:spacing w:val="-2"/>
        </w:rPr>
        <w:t>在处理好的原地面上分层进土，进土前应按规定路基两侧用花杆挂线，并用石</w:t>
      </w:r>
      <w:r>
        <w:rPr>
          <w:spacing w:val="-5"/>
        </w:rPr>
        <w:t xml:space="preserve">灰打好网格，确定自卸汽车卸土位置，每车土按 </w:t>
      </w:r>
      <w:r>
        <w:rPr>
          <w:spacing w:val="-4"/>
        </w:rPr>
        <w:t>4.5m</w:t>
      </w:r>
      <w:r>
        <w:rPr>
          <w:spacing w:val="-4"/>
          <w:vertAlign w:val="superscript"/>
        </w:rPr>
        <w:t>3</w:t>
      </w:r>
      <w:r>
        <w:rPr>
          <w:spacing w:val="-9"/>
          <w:vertAlign w:val="baseline"/>
        </w:rPr>
        <w:t xml:space="preserve"> 计算，松铺厚度按试验路段确</w:t>
      </w:r>
      <w:r>
        <w:rPr>
          <w:spacing w:val="-2"/>
          <w:vertAlign w:val="baseline"/>
        </w:rPr>
        <w:t xml:space="preserve">定的松铺厚度，且每一层不应大于 </w:t>
      </w:r>
      <w:r>
        <w:rPr>
          <w:vertAlign w:val="baseline"/>
        </w:rPr>
        <w:t>30cm。土方中不应含有腐植土，树根、草片或其</w:t>
      </w:r>
      <w:r>
        <w:rPr>
          <w:spacing w:val="-2"/>
          <w:vertAlign w:val="baseline"/>
        </w:rPr>
        <w:t>它有害物质。填筑时必须按路基纵坡分层控制填土标高，分层平行摊铺，保证路基</w:t>
      </w:r>
      <w:r>
        <w:rPr>
          <w:spacing w:val="-2"/>
          <w:vertAlign w:val="baseline"/>
        </w:rPr>
        <w:t xml:space="preserve">压实度。采用平地机平整，平整时应注意保持不小于 </w:t>
      </w:r>
      <w:r>
        <w:rPr>
          <w:vertAlign w:val="baseline"/>
        </w:rPr>
        <w:t>3%的路基双向横坡，填筑宽度</w:t>
      </w:r>
      <w:r>
        <w:rPr>
          <w:spacing w:val="-5"/>
          <w:vertAlign w:val="baseline"/>
        </w:rPr>
        <w:t xml:space="preserve">应超出设计宽度每侧 </w:t>
      </w:r>
      <w:r>
        <w:rPr>
          <w:spacing w:val="-4"/>
          <w:vertAlign w:val="baseline"/>
        </w:rPr>
        <w:t>50cm</w:t>
      </w:r>
      <w:r>
        <w:rPr>
          <w:spacing w:val="-5"/>
          <w:vertAlign w:val="baseline"/>
        </w:rPr>
        <w:t xml:space="preserve">，施工完后每侧刷去 </w:t>
      </w:r>
      <w:r>
        <w:rPr>
          <w:spacing w:val="-4"/>
          <w:vertAlign w:val="baseline"/>
        </w:rPr>
        <w:t>30cm，以保证修整边坡后的路堤边缘</w:t>
      </w:r>
      <w:r>
        <w:rPr>
          <w:spacing w:val="-5"/>
          <w:vertAlign w:val="baseline"/>
        </w:rPr>
        <w:t xml:space="preserve">有足够的压实度。填土平整合格后进行路基碾压。碾压采用 </w:t>
      </w:r>
      <w:r>
        <w:rPr>
          <w:spacing w:val="-4"/>
          <w:vertAlign w:val="baseline"/>
        </w:rPr>
        <w:t>YZ18</w:t>
      </w:r>
      <w:r>
        <w:rPr>
          <w:spacing w:val="-6"/>
          <w:vertAlign w:val="baseline"/>
        </w:rPr>
        <w:t xml:space="preserve"> 的振动压路机，其</w:t>
      </w:r>
      <w:r>
        <w:rPr>
          <w:spacing w:val="-2"/>
          <w:vertAlign w:val="baseline"/>
        </w:rPr>
        <w:t xml:space="preserve">碾压原则为“先边后中，先内后外，先静后振”相邻轨道须重叠 </w:t>
      </w:r>
      <w:r>
        <w:rPr>
          <w:vertAlign w:val="baseline"/>
        </w:rPr>
        <w:t>30—50cm，路肩处</w:t>
      </w:r>
      <w:r>
        <w:rPr>
          <w:spacing w:val="-2"/>
          <w:vertAlign w:val="baseline"/>
        </w:rPr>
        <w:t>多碾压一遍，碾压时按试验路要求严格控制行驶速度、压实遍数。施工中注意检测</w:t>
      </w:r>
      <w:r>
        <w:rPr>
          <w:spacing w:val="-2"/>
          <w:vertAlign w:val="baseline"/>
        </w:rPr>
        <w:t>土在压实前的含水量，使其保证在最佳含水量的±2%范围内，如超此范围则应进行</w:t>
      </w:r>
      <w:r>
        <w:rPr>
          <w:spacing w:val="-1"/>
          <w:vertAlign w:val="baseline"/>
        </w:rPr>
        <w:t xml:space="preserve">洒水或晾晒处理，使其达到要求后再碾压。每层填土顶面必须修筑大于 </w:t>
      </w:r>
      <w:r>
        <w:rPr>
          <w:vertAlign w:val="baseline"/>
        </w:rPr>
        <w:t>3%的横坡，</w:t>
      </w:r>
      <w:r>
        <w:rPr>
          <w:spacing w:val="-2"/>
          <w:vertAlign w:val="baseline"/>
        </w:rPr>
        <w:t>以利路基横向排水。</w:t>
      </w:r>
    </w:p>
    <w:p>
      <w:pPr>
        <w:pStyle w:val="BodyText"/>
        <w:spacing w:before="38"/>
        <w:ind w:left="802"/>
      </w:pPr>
      <w:r>
        <w:rPr>
          <w:spacing w:val="-1"/>
        </w:rPr>
        <w:t>路基压实度、填料要求见下表。</w:t>
      </w:r>
    </w:p>
    <w:p>
      <w:pPr>
        <w:pStyle w:val="BodyText"/>
        <w:ind w:left="0"/>
      </w:pPr>
    </w:p>
    <w:p>
      <w:pPr>
        <w:pStyle w:val="BodyText"/>
        <w:spacing w:before="6"/>
        <w:ind w:left="0"/>
        <w:rPr>
          <w:sz w:val="18"/>
        </w:rPr>
      </w:pPr>
    </w:p>
    <w:p>
      <w:pPr>
        <w:pStyle w:val="Heading2"/>
        <w:ind w:left="1561" w:right="1988" w:firstLine="0"/>
        <w:jc w:val="center"/>
        <w:rPr>
          <w:rFonts w:ascii="Microsoft JhengHei" w:eastAsia="Microsoft JhengHei"/>
        </w:rPr>
      </w:pPr>
      <w:r>
        <w:rPr>
          <w:rFonts w:ascii="Microsoft JhengHei" w:eastAsia="Microsoft JhengHei"/>
          <w:spacing w:val="-1"/>
        </w:rPr>
        <w:t>路基压实度、填料要求</w:t>
      </w:r>
    </w:p>
    <w:p>
      <w:pPr>
        <w:pStyle w:val="BodyText"/>
        <w:spacing w:before="10"/>
        <w:ind w:left="0"/>
        <w:rPr>
          <w:rFonts w:ascii="Microsoft JhengHei"/>
          <w:b/>
          <w:sz w:val="9"/>
        </w:rPr>
      </w:pPr>
    </w:p>
    <w:tbl>
      <w:tblPr>
        <w:tblStyle w:val="TableNormal0"/>
        <w:tblW w:w="0" w:type="auto"/>
        <w:jc w:val="left"/>
        <w:tblInd w:w="4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918"/>
        <w:gridCol w:w="1444"/>
        <w:gridCol w:w="1585"/>
        <w:gridCol w:w="1592"/>
        <w:gridCol w:w="1611"/>
        <w:gridCol w:w="1598"/>
      </w:tblGrid>
      <w:tr>
        <w:tblPrEx>
          <w:tblW w:w="0" w:type="auto"/>
          <w:jc w:val="left"/>
          <w:tblInd w:w="4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590"/>
          <w:jc w:val="left"/>
        </w:trPr>
        <w:tc>
          <w:tcPr>
            <w:tcW w:w="2362" w:type="dxa"/>
            <w:gridSpan w:val="2"/>
            <w:tcBorders>
              <w:bottom w:val="single" w:sz="4" w:space="0" w:color="000000"/>
              <w:right w:val="single" w:sz="4" w:space="0" w:color="000000"/>
            </w:tcBorders>
          </w:tcPr>
          <w:p>
            <w:pPr>
              <w:pStyle w:val="TableParagraph"/>
              <w:spacing w:before="0"/>
              <w:ind w:left="0"/>
              <w:rPr>
                <w:rFonts w:ascii="Microsoft JhengHei"/>
                <w:b/>
                <w:sz w:val="10"/>
              </w:rPr>
            </w:pPr>
          </w:p>
          <w:p>
            <w:pPr>
              <w:pStyle w:val="TableParagraph"/>
              <w:spacing w:before="0"/>
              <w:ind w:left="706"/>
              <w:rPr>
                <w:sz w:val="21"/>
              </w:rPr>
            </w:pPr>
            <w:r>
              <w:rPr>
                <w:spacing w:val="-3"/>
                <w:sz w:val="21"/>
              </w:rPr>
              <w:t>填挖类型</w:t>
            </w:r>
          </w:p>
        </w:tc>
        <w:tc>
          <w:tcPr>
            <w:tcW w:w="1585" w:type="dxa"/>
            <w:tcBorders>
              <w:left w:val="single" w:sz="4" w:space="0" w:color="000000"/>
              <w:bottom w:val="single" w:sz="4" w:space="0" w:color="000000"/>
              <w:right w:val="single" w:sz="4" w:space="0" w:color="000000"/>
            </w:tcBorders>
          </w:tcPr>
          <w:p>
            <w:pPr>
              <w:pStyle w:val="TableParagraph"/>
              <w:spacing w:before="13" w:line="280" w:lineRule="atLeast"/>
              <w:ind w:left="380" w:right="89" w:hanging="368"/>
              <w:rPr>
                <w:sz w:val="21"/>
              </w:rPr>
            </w:pPr>
            <w:r>
              <w:rPr>
                <w:spacing w:val="-2"/>
                <w:sz w:val="21"/>
              </w:rPr>
              <w:t>路面底面以下深</w:t>
            </w:r>
            <w:r>
              <w:rPr>
                <w:sz w:val="21"/>
              </w:rPr>
              <w:t>度 (cm)</w:t>
            </w:r>
          </w:p>
        </w:tc>
        <w:tc>
          <w:tcPr>
            <w:tcW w:w="1592" w:type="dxa"/>
            <w:tcBorders>
              <w:left w:val="single" w:sz="4" w:space="0" w:color="000000"/>
              <w:bottom w:val="single" w:sz="4" w:space="0" w:color="000000"/>
              <w:right w:val="single" w:sz="4" w:space="0" w:color="000000"/>
            </w:tcBorders>
          </w:tcPr>
          <w:p>
            <w:pPr>
              <w:pStyle w:val="TableParagraph"/>
              <w:spacing w:before="13" w:line="280" w:lineRule="atLeast"/>
              <w:ind w:left="489" w:right="94" w:hanging="473"/>
              <w:rPr>
                <w:sz w:val="21"/>
              </w:rPr>
            </w:pPr>
            <w:r>
              <w:rPr>
                <w:spacing w:val="-2"/>
                <w:sz w:val="21"/>
              </w:rPr>
              <w:t>路基压实度（</w:t>
            </w:r>
            <w:r>
              <w:rPr>
                <w:spacing w:val="-2"/>
                <w:sz w:val="21"/>
              </w:rPr>
              <w:t>重</w:t>
            </w:r>
            <w:r>
              <w:rPr>
                <w:spacing w:val="-4"/>
                <w:sz w:val="21"/>
              </w:rPr>
              <w:t>型%）</w:t>
            </w:r>
          </w:p>
        </w:tc>
        <w:tc>
          <w:tcPr>
            <w:tcW w:w="1611" w:type="dxa"/>
            <w:tcBorders>
              <w:left w:val="single" w:sz="4" w:space="0" w:color="000000"/>
              <w:bottom w:val="single" w:sz="4" w:space="0" w:color="000000"/>
              <w:right w:val="single" w:sz="4" w:space="0" w:color="000000"/>
            </w:tcBorders>
          </w:tcPr>
          <w:p>
            <w:pPr>
              <w:pStyle w:val="TableParagraph"/>
              <w:spacing w:before="44"/>
              <w:ind w:left="118" w:right="195"/>
              <w:jc w:val="center"/>
              <w:rPr>
                <w:sz w:val="21"/>
              </w:rPr>
            </w:pPr>
            <w:r>
              <w:rPr>
                <w:spacing w:val="-2"/>
                <w:sz w:val="21"/>
              </w:rPr>
              <w:t>填料最小强度</w:t>
            </w:r>
          </w:p>
          <w:p>
            <w:pPr>
              <w:pStyle w:val="TableParagraph"/>
              <w:spacing w:before="11" w:line="246" w:lineRule="exact"/>
              <w:ind w:left="118" w:right="195"/>
              <w:jc w:val="center"/>
              <w:rPr>
                <w:sz w:val="21"/>
              </w:rPr>
            </w:pPr>
            <w:r>
              <w:rPr>
                <w:spacing w:val="-2"/>
                <w:sz w:val="21"/>
              </w:rPr>
              <w:t>（CBR%）</w:t>
            </w:r>
          </w:p>
        </w:tc>
        <w:tc>
          <w:tcPr>
            <w:tcW w:w="1598" w:type="dxa"/>
            <w:tcBorders>
              <w:left w:val="single" w:sz="4" w:space="0" w:color="000000"/>
              <w:bottom w:val="single" w:sz="4" w:space="0" w:color="000000"/>
            </w:tcBorders>
          </w:tcPr>
          <w:p>
            <w:pPr>
              <w:pStyle w:val="TableParagraph"/>
              <w:spacing w:before="44"/>
              <w:ind w:left="106" w:right="183"/>
              <w:jc w:val="center"/>
              <w:rPr>
                <w:sz w:val="21"/>
              </w:rPr>
            </w:pPr>
            <w:r>
              <w:rPr>
                <w:spacing w:val="-2"/>
                <w:sz w:val="21"/>
              </w:rPr>
              <w:t>填料最大料径</w:t>
            </w:r>
          </w:p>
          <w:p>
            <w:pPr>
              <w:pStyle w:val="TableParagraph"/>
              <w:spacing w:before="11" w:line="246" w:lineRule="exact"/>
              <w:ind w:left="106" w:right="183"/>
              <w:jc w:val="center"/>
              <w:rPr>
                <w:sz w:val="21"/>
              </w:rPr>
            </w:pPr>
            <w:r>
              <w:rPr>
                <w:spacing w:val="-4"/>
                <w:sz w:val="21"/>
              </w:rPr>
              <w:t>（cm）</w:t>
            </w:r>
          </w:p>
        </w:tc>
      </w:tr>
      <w:tr>
        <w:tblPrEx>
          <w:tblW w:w="0" w:type="auto"/>
          <w:jc w:val="left"/>
          <w:tblInd w:w="415" w:type="dxa"/>
          <w:tblLayout w:type="fixed"/>
          <w:tblCellMar>
            <w:top w:w="0" w:type="dxa"/>
            <w:left w:w="0" w:type="dxa"/>
            <w:bottom w:w="0" w:type="dxa"/>
            <w:right w:w="0" w:type="dxa"/>
          </w:tblCellMar>
          <w:tblLook w:val="01E0"/>
        </w:tblPrEx>
        <w:trPr>
          <w:trHeight w:val="550"/>
          <w:jc w:val="left"/>
        </w:trPr>
        <w:tc>
          <w:tcPr>
            <w:tcW w:w="918" w:type="dxa"/>
            <w:vMerge w:val="restart"/>
            <w:tcBorders>
              <w:top w:val="single" w:sz="4" w:space="0" w:color="000000"/>
              <w:bottom w:val="single" w:sz="4" w:space="0" w:color="000000"/>
              <w:right w:val="single" w:sz="4" w:space="0" w:color="000000"/>
            </w:tcBorders>
          </w:tcPr>
          <w:p>
            <w:pPr>
              <w:pStyle w:val="TableParagraph"/>
              <w:spacing w:before="5"/>
              <w:ind w:left="0"/>
              <w:rPr>
                <w:rFonts w:ascii="Microsoft JhengHei"/>
                <w:b/>
                <w:sz w:val="29"/>
              </w:rPr>
            </w:pPr>
          </w:p>
          <w:p>
            <w:pPr>
              <w:pStyle w:val="TableParagraph"/>
              <w:spacing w:before="0" w:line="276" w:lineRule="auto"/>
              <w:ind w:left="300" w:right="377"/>
              <w:jc w:val="both"/>
              <w:rPr>
                <w:sz w:val="21"/>
              </w:rPr>
            </w:pPr>
            <w:r>
              <w:rPr>
                <w:spacing w:val="-10"/>
                <w:sz w:val="21"/>
              </w:rPr>
              <w:t>填</w:t>
            </w:r>
            <w:r>
              <w:rPr>
                <w:spacing w:val="-10"/>
                <w:sz w:val="21"/>
              </w:rPr>
              <w:t>方</w:t>
            </w:r>
            <w:r>
              <w:rPr>
                <w:spacing w:val="-10"/>
                <w:sz w:val="21"/>
              </w:rPr>
              <w:t>路</w:t>
            </w:r>
            <w:r>
              <w:rPr>
                <w:spacing w:val="-10"/>
                <w:sz w:val="21"/>
              </w:rPr>
              <w:t>基</w:t>
            </w:r>
          </w:p>
        </w:tc>
        <w:tc>
          <w:tcPr>
            <w:tcW w:w="1444" w:type="dxa"/>
            <w:tcBorders>
              <w:top w:val="single" w:sz="4" w:space="0" w:color="000000"/>
              <w:left w:val="single" w:sz="4" w:space="0" w:color="000000"/>
              <w:bottom w:val="single" w:sz="4" w:space="0" w:color="000000"/>
              <w:right w:val="single" w:sz="4" w:space="0" w:color="000000"/>
            </w:tcBorders>
          </w:tcPr>
          <w:p>
            <w:pPr>
              <w:pStyle w:val="TableParagraph"/>
              <w:spacing w:before="164"/>
              <w:ind w:left="363"/>
              <w:rPr>
                <w:sz w:val="21"/>
              </w:rPr>
            </w:pPr>
            <w:r>
              <w:rPr>
                <w:spacing w:val="-4"/>
                <w:sz w:val="21"/>
              </w:rPr>
              <w:t>上路床</w:t>
            </w:r>
          </w:p>
        </w:tc>
        <w:tc>
          <w:tcPr>
            <w:tcW w:w="1585" w:type="dxa"/>
            <w:tcBorders>
              <w:top w:val="single" w:sz="4" w:space="0" w:color="000000"/>
              <w:left w:val="single" w:sz="4" w:space="0" w:color="000000"/>
              <w:bottom w:val="single" w:sz="4" w:space="0" w:color="000000"/>
              <w:right w:val="single" w:sz="4" w:space="0" w:color="000000"/>
            </w:tcBorders>
          </w:tcPr>
          <w:p>
            <w:pPr>
              <w:pStyle w:val="TableParagraph"/>
              <w:spacing w:before="164"/>
              <w:ind w:left="485"/>
              <w:rPr>
                <w:sz w:val="21"/>
              </w:rPr>
            </w:pPr>
            <w:r>
              <w:rPr>
                <w:spacing w:val="-4"/>
                <w:sz w:val="21"/>
              </w:rPr>
              <w:t>0～30</w:t>
            </w:r>
          </w:p>
        </w:tc>
        <w:tc>
          <w:tcPr>
            <w:tcW w:w="1592" w:type="dxa"/>
            <w:tcBorders>
              <w:top w:val="single" w:sz="4" w:space="0" w:color="000000"/>
              <w:left w:val="single" w:sz="4" w:space="0" w:color="000000"/>
              <w:bottom w:val="single" w:sz="4" w:space="0" w:color="000000"/>
              <w:right w:val="single" w:sz="4" w:space="0" w:color="000000"/>
            </w:tcBorders>
          </w:tcPr>
          <w:p>
            <w:pPr>
              <w:pStyle w:val="TableParagraph"/>
              <w:spacing w:before="164"/>
              <w:ind w:left="542"/>
              <w:rPr>
                <w:sz w:val="21"/>
              </w:rPr>
            </w:pPr>
            <w:r>
              <w:rPr>
                <w:spacing w:val="-5"/>
                <w:sz w:val="21"/>
              </w:rPr>
              <w:t>≥96</w:t>
            </w:r>
          </w:p>
        </w:tc>
        <w:tc>
          <w:tcPr>
            <w:tcW w:w="1611" w:type="dxa"/>
            <w:tcBorders>
              <w:top w:val="single" w:sz="4" w:space="0" w:color="000000"/>
              <w:left w:val="single" w:sz="4" w:space="0" w:color="000000"/>
              <w:bottom w:val="single" w:sz="4" w:space="0" w:color="000000"/>
              <w:right w:val="single" w:sz="4" w:space="0" w:color="000000"/>
            </w:tcBorders>
          </w:tcPr>
          <w:p>
            <w:pPr>
              <w:pStyle w:val="TableParagraph"/>
              <w:spacing w:before="164"/>
              <w:ind w:left="709"/>
              <w:rPr>
                <w:sz w:val="21"/>
              </w:rPr>
            </w:pPr>
            <w:r>
              <w:rPr>
                <w:sz w:val="21"/>
              </w:rPr>
              <w:t>8</w:t>
            </w:r>
          </w:p>
        </w:tc>
        <w:tc>
          <w:tcPr>
            <w:tcW w:w="1598" w:type="dxa"/>
            <w:tcBorders>
              <w:top w:val="single" w:sz="4" w:space="0" w:color="000000"/>
              <w:left w:val="single" w:sz="4" w:space="0" w:color="000000"/>
              <w:bottom w:val="single" w:sz="4" w:space="0" w:color="000000"/>
            </w:tcBorders>
          </w:tcPr>
          <w:p>
            <w:pPr>
              <w:pStyle w:val="TableParagraph"/>
              <w:spacing w:before="164"/>
              <w:ind w:left="639"/>
              <w:rPr>
                <w:sz w:val="21"/>
              </w:rPr>
            </w:pPr>
            <w:r>
              <w:rPr>
                <w:spacing w:val="-5"/>
                <w:sz w:val="21"/>
              </w:rPr>
              <w:t>10</w:t>
            </w:r>
          </w:p>
        </w:tc>
      </w:tr>
      <w:tr>
        <w:tblPrEx>
          <w:tblW w:w="0" w:type="auto"/>
          <w:jc w:val="left"/>
          <w:tblInd w:w="415" w:type="dxa"/>
          <w:tblLayout w:type="fixed"/>
          <w:tblCellMar>
            <w:top w:w="0" w:type="dxa"/>
            <w:left w:w="0" w:type="dxa"/>
            <w:bottom w:w="0" w:type="dxa"/>
            <w:right w:w="0" w:type="dxa"/>
          </w:tblCellMar>
          <w:tblLook w:val="01E0"/>
        </w:tblPrEx>
        <w:trPr>
          <w:trHeight w:val="550"/>
          <w:jc w:val="left"/>
        </w:trPr>
        <w:tc>
          <w:tcPr>
            <w:tcW w:w="918" w:type="dxa"/>
            <w:vMerge/>
            <w:tcBorders>
              <w:top w:val="nil"/>
              <w:bottom w:val="single" w:sz="4" w:space="0" w:color="000000"/>
              <w:right w:val="single" w:sz="4" w:space="0" w:color="000000"/>
            </w:tcBorders>
          </w:tcPr>
          <w:p>
            <w:pPr>
              <w:rPr>
                <w:sz w:val="2"/>
                <w:szCs w:val="2"/>
              </w:rPr>
            </w:pPr>
          </w:p>
        </w:tc>
        <w:tc>
          <w:tcPr>
            <w:tcW w:w="1444" w:type="dxa"/>
            <w:tcBorders>
              <w:top w:val="single" w:sz="4" w:space="0" w:color="000000"/>
              <w:left w:val="single" w:sz="4" w:space="0" w:color="000000"/>
              <w:bottom w:val="single" w:sz="4" w:space="0" w:color="000000"/>
              <w:right w:val="single" w:sz="4" w:space="0" w:color="000000"/>
            </w:tcBorders>
          </w:tcPr>
          <w:p>
            <w:pPr>
              <w:pStyle w:val="TableParagraph"/>
              <w:spacing w:before="164"/>
              <w:ind w:left="363"/>
              <w:rPr>
                <w:sz w:val="21"/>
              </w:rPr>
            </w:pPr>
            <w:r>
              <w:rPr>
                <w:spacing w:val="-4"/>
                <w:sz w:val="21"/>
              </w:rPr>
              <w:t>下路床</w:t>
            </w:r>
          </w:p>
        </w:tc>
        <w:tc>
          <w:tcPr>
            <w:tcW w:w="1585" w:type="dxa"/>
            <w:tcBorders>
              <w:top w:val="single" w:sz="4" w:space="0" w:color="000000"/>
              <w:left w:val="single" w:sz="4" w:space="0" w:color="000000"/>
              <w:bottom w:val="single" w:sz="4" w:space="0" w:color="000000"/>
              <w:right w:val="single" w:sz="4" w:space="0" w:color="000000"/>
            </w:tcBorders>
          </w:tcPr>
          <w:p>
            <w:pPr>
              <w:pStyle w:val="TableParagraph"/>
              <w:spacing w:before="164"/>
              <w:ind w:left="433"/>
              <w:rPr>
                <w:sz w:val="21"/>
              </w:rPr>
            </w:pPr>
            <w:r>
              <w:rPr>
                <w:spacing w:val="-2"/>
                <w:sz w:val="21"/>
              </w:rPr>
              <w:t>30～80</w:t>
            </w:r>
          </w:p>
        </w:tc>
        <w:tc>
          <w:tcPr>
            <w:tcW w:w="1592" w:type="dxa"/>
            <w:tcBorders>
              <w:top w:val="single" w:sz="4" w:space="0" w:color="000000"/>
              <w:left w:val="single" w:sz="4" w:space="0" w:color="000000"/>
              <w:bottom w:val="single" w:sz="4" w:space="0" w:color="000000"/>
              <w:right w:val="single" w:sz="4" w:space="0" w:color="000000"/>
            </w:tcBorders>
          </w:tcPr>
          <w:p>
            <w:pPr>
              <w:pStyle w:val="TableParagraph"/>
              <w:spacing w:before="164"/>
              <w:ind w:left="542"/>
              <w:rPr>
                <w:sz w:val="21"/>
              </w:rPr>
            </w:pPr>
            <w:r>
              <w:rPr>
                <w:spacing w:val="-5"/>
                <w:sz w:val="21"/>
              </w:rPr>
              <w:t>≥96</w:t>
            </w:r>
          </w:p>
        </w:tc>
        <w:tc>
          <w:tcPr>
            <w:tcW w:w="1611" w:type="dxa"/>
            <w:tcBorders>
              <w:top w:val="single" w:sz="4" w:space="0" w:color="000000"/>
              <w:left w:val="single" w:sz="4" w:space="0" w:color="000000"/>
              <w:bottom w:val="single" w:sz="4" w:space="0" w:color="000000"/>
              <w:right w:val="single" w:sz="4" w:space="0" w:color="000000"/>
            </w:tcBorders>
          </w:tcPr>
          <w:p>
            <w:pPr>
              <w:pStyle w:val="TableParagraph"/>
              <w:spacing w:before="164"/>
              <w:ind w:left="709"/>
              <w:rPr>
                <w:sz w:val="21"/>
              </w:rPr>
            </w:pPr>
            <w:r>
              <w:rPr>
                <w:sz w:val="21"/>
              </w:rPr>
              <w:t>5</w:t>
            </w:r>
          </w:p>
        </w:tc>
        <w:tc>
          <w:tcPr>
            <w:tcW w:w="1598" w:type="dxa"/>
            <w:tcBorders>
              <w:top w:val="single" w:sz="4" w:space="0" w:color="000000"/>
              <w:left w:val="single" w:sz="4" w:space="0" w:color="000000"/>
              <w:bottom w:val="single" w:sz="4" w:space="0" w:color="000000"/>
            </w:tcBorders>
          </w:tcPr>
          <w:p>
            <w:pPr>
              <w:pStyle w:val="TableParagraph"/>
              <w:spacing w:before="164"/>
              <w:ind w:left="639"/>
              <w:rPr>
                <w:sz w:val="21"/>
              </w:rPr>
            </w:pPr>
            <w:r>
              <w:rPr>
                <w:spacing w:val="-5"/>
                <w:sz w:val="21"/>
              </w:rPr>
              <w:t>10</w:t>
            </w:r>
          </w:p>
        </w:tc>
      </w:tr>
      <w:tr>
        <w:tblPrEx>
          <w:tblW w:w="0" w:type="auto"/>
          <w:jc w:val="left"/>
          <w:tblInd w:w="415" w:type="dxa"/>
          <w:tblLayout w:type="fixed"/>
          <w:tblCellMar>
            <w:top w:w="0" w:type="dxa"/>
            <w:left w:w="0" w:type="dxa"/>
            <w:bottom w:w="0" w:type="dxa"/>
            <w:right w:w="0" w:type="dxa"/>
          </w:tblCellMar>
          <w:tblLook w:val="01E0"/>
        </w:tblPrEx>
        <w:trPr>
          <w:trHeight w:val="550"/>
          <w:jc w:val="left"/>
        </w:trPr>
        <w:tc>
          <w:tcPr>
            <w:tcW w:w="918" w:type="dxa"/>
            <w:vMerge/>
            <w:tcBorders>
              <w:top w:val="nil"/>
              <w:bottom w:val="single" w:sz="4" w:space="0" w:color="000000"/>
              <w:right w:val="single" w:sz="4" w:space="0" w:color="000000"/>
            </w:tcBorders>
          </w:tcPr>
          <w:p>
            <w:pPr>
              <w:rPr>
                <w:sz w:val="2"/>
                <w:szCs w:val="2"/>
              </w:rPr>
            </w:pPr>
          </w:p>
        </w:tc>
        <w:tc>
          <w:tcPr>
            <w:tcW w:w="1444" w:type="dxa"/>
            <w:tcBorders>
              <w:top w:val="single" w:sz="4" w:space="0" w:color="000000"/>
              <w:left w:val="single" w:sz="4" w:space="0" w:color="000000"/>
              <w:bottom w:val="single" w:sz="4" w:space="0" w:color="000000"/>
              <w:right w:val="single" w:sz="4" w:space="0" w:color="000000"/>
            </w:tcBorders>
          </w:tcPr>
          <w:p>
            <w:pPr>
              <w:pStyle w:val="TableParagraph"/>
              <w:spacing w:before="164"/>
              <w:ind w:left="363"/>
              <w:rPr>
                <w:sz w:val="21"/>
              </w:rPr>
            </w:pPr>
            <w:r>
              <w:rPr>
                <w:spacing w:val="-4"/>
                <w:sz w:val="21"/>
              </w:rPr>
              <w:t>上路堤</w:t>
            </w:r>
          </w:p>
        </w:tc>
        <w:tc>
          <w:tcPr>
            <w:tcW w:w="1585" w:type="dxa"/>
            <w:tcBorders>
              <w:top w:val="single" w:sz="4" w:space="0" w:color="000000"/>
              <w:left w:val="single" w:sz="4" w:space="0" w:color="000000"/>
              <w:bottom w:val="single" w:sz="4" w:space="0" w:color="000000"/>
              <w:right w:val="single" w:sz="4" w:space="0" w:color="000000"/>
            </w:tcBorders>
          </w:tcPr>
          <w:p>
            <w:pPr>
              <w:pStyle w:val="TableParagraph"/>
              <w:spacing w:before="164"/>
              <w:ind w:left="0" w:right="457"/>
              <w:jc w:val="right"/>
              <w:rPr>
                <w:sz w:val="21"/>
              </w:rPr>
            </w:pPr>
            <w:r>
              <w:rPr>
                <w:spacing w:val="-2"/>
                <w:sz w:val="21"/>
              </w:rPr>
              <w:t>80～150</w:t>
            </w:r>
          </w:p>
        </w:tc>
        <w:tc>
          <w:tcPr>
            <w:tcW w:w="1592" w:type="dxa"/>
            <w:tcBorders>
              <w:top w:val="single" w:sz="4" w:space="0" w:color="000000"/>
              <w:left w:val="single" w:sz="4" w:space="0" w:color="000000"/>
              <w:bottom w:val="single" w:sz="4" w:space="0" w:color="000000"/>
              <w:right w:val="single" w:sz="4" w:space="0" w:color="000000"/>
            </w:tcBorders>
          </w:tcPr>
          <w:p>
            <w:pPr>
              <w:pStyle w:val="TableParagraph"/>
              <w:spacing w:before="164"/>
              <w:ind w:left="542"/>
              <w:rPr>
                <w:sz w:val="21"/>
              </w:rPr>
            </w:pPr>
            <w:r>
              <w:rPr>
                <w:spacing w:val="-5"/>
                <w:sz w:val="21"/>
              </w:rPr>
              <w:t>≥95</w:t>
            </w:r>
          </w:p>
        </w:tc>
        <w:tc>
          <w:tcPr>
            <w:tcW w:w="1611" w:type="dxa"/>
            <w:tcBorders>
              <w:top w:val="single" w:sz="4" w:space="0" w:color="000000"/>
              <w:left w:val="single" w:sz="4" w:space="0" w:color="000000"/>
              <w:bottom w:val="single" w:sz="4" w:space="0" w:color="000000"/>
              <w:right w:val="single" w:sz="4" w:space="0" w:color="000000"/>
            </w:tcBorders>
          </w:tcPr>
          <w:p>
            <w:pPr>
              <w:pStyle w:val="TableParagraph"/>
              <w:spacing w:before="164"/>
              <w:ind w:left="709"/>
              <w:rPr>
                <w:sz w:val="21"/>
              </w:rPr>
            </w:pPr>
            <w:r>
              <w:rPr>
                <w:sz w:val="21"/>
              </w:rPr>
              <w:t>4</w:t>
            </w:r>
          </w:p>
        </w:tc>
        <w:tc>
          <w:tcPr>
            <w:tcW w:w="1598" w:type="dxa"/>
            <w:tcBorders>
              <w:top w:val="single" w:sz="4" w:space="0" w:color="000000"/>
              <w:left w:val="single" w:sz="4" w:space="0" w:color="000000"/>
              <w:bottom w:val="single" w:sz="4" w:space="0" w:color="000000"/>
            </w:tcBorders>
          </w:tcPr>
          <w:p>
            <w:pPr>
              <w:pStyle w:val="TableParagraph"/>
              <w:spacing w:before="164"/>
              <w:ind w:left="639"/>
              <w:rPr>
                <w:sz w:val="21"/>
              </w:rPr>
            </w:pPr>
            <w:r>
              <w:rPr>
                <w:spacing w:val="-5"/>
                <w:sz w:val="21"/>
              </w:rPr>
              <w:t>15</w:t>
            </w:r>
          </w:p>
        </w:tc>
      </w:tr>
      <w:tr>
        <w:tblPrEx>
          <w:tblW w:w="0" w:type="auto"/>
          <w:jc w:val="left"/>
          <w:tblInd w:w="415" w:type="dxa"/>
          <w:tblLayout w:type="fixed"/>
          <w:tblCellMar>
            <w:top w:w="0" w:type="dxa"/>
            <w:left w:w="0" w:type="dxa"/>
            <w:bottom w:w="0" w:type="dxa"/>
            <w:right w:w="0" w:type="dxa"/>
          </w:tblCellMar>
          <w:tblLook w:val="01E0"/>
        </w:tblPrEx>
        <w:trPr>
          <w:trHeight w:val="550"/>
          <w:jc w:val="left"/>
        </w:trPr>
        <w:tc>
          <w:tcPr>
            <w:tcW w:w="918" w:type="dxa"/>
            <w:vMerge/>
            <w:tcBorders>
              <w:top w:val="nil"/>
              <w:bottom w:val="single" w:sz="4" w:space="0" w:color="000000"/>
              <w:right w:val="single" w:sz="4" w:space="0" w:color="000000"/>
            </w:tcBorders>
          </w:tcPr>
          <w:p>
            <w:pPr>
              <w:rPr>
                <w:sz w:val="2"/>
                <w:szCs w:val="2"/>
              </w:rPr>
            </w:pPr>
          </w:p>
        </w:tc>
        <w:tc>
          <w:tcPr>
            <w:tcW w:w="1444" w:type="dxa"/>
            <w:tcBorders>
              <w:top w:val="single" w:sz="4" w:space="0" w:color="000000"/>
              <w:left w:val="single" w:sz="4" w:space="0" w:color="000000"/>
              <w:bottom w:val="single" w:sz="4" w:space="0" w:color="000000"/>
              <w:right w:val="single" w:sz="4" w:space="0" w:color="000000"/>
            </w:tcBorders>
          </w:tcPr>
          <w:p>
            <w:pPr>
              <w:pStyle w:val="TableParagraph"/>
              <w:spacing w:before="164"/>
              <w:ind w:left="363"/>
              <w:rPr>
                <w:sz w:val="21"/>
              </w:rPr>
            </w:pPr>
            <w:r>
              <w:rPr>
                <w:spacing w:val="-4"/>
                <w:sz w:val="21"/>
              </w:rPr>
              <w:t>下路堤</w:t>
            </w:r>
          </w:p>
        </w:tc>
        <w:tc>
          <w:tcPr>
            <w:tcW w:w="1585" w:type="dxa"/>
            <w:tcBorders>
              <w:top w:val="single" w:sz="4" w:space="0" w:color="000000"/>
              <w:left w:val="single" w:sz="4" w:space="0" w:color="000000"/>
              <w:bottom w:val="single" w:sz="4" w:space="0" w:color="000000"/>
              <w:right w:val="single" w:sz="4" w:space="0" w:color="000000"/>
            </w:tcBorders>
          </w:tcPr>
          <w:p>
            <w:pPr>
              <w:pStyle w:val="TableParagraph"/>
              <w:spacing w:before="164"/>
              <w:ind w:left="0" w:right="430"/>
              <w:jc w:val="right"/>
              <w:rPr>
                <w:sz w:val="21"/>
              </w:rPr>
            </w:pPr>
            <w:r>
              <w:rPr>
                <w:sz w:val="21"/>
              </w:rPr>
              <w:t>150</w:t>
            </w:r>
            <w:r>
              <w:rPr>
                <w:spacing w:val="-22"/>
                <w:sz w:val="21"/>
              </w:rPr>
              <w:t xml:space="preserve"> 以下</w:t>
            </w:r>
          </w:p>
        </w:tc>
        <w:tc>
          <w:tcPr>
            <w:tcW w:w="1592" w:type="dxa"/>
            <w:tcBorders>
              <w:top w:val="single" w:sz="4" w:space="0" w:color="000000"/>
              <w:left w:val="single" w:sz="4" w:space="0" w:color="000000"/>
              <w:bottom w:val="single" w:sz="4" w:space="0" w:color="000000"/>
              <w:right w:val="single" w:sz="4" w:space="0" w:color="000000"/>
            </w:tcBorders>
          </w:tcPr>
          <w:p>
            <w:pPr>
              <w:pStyle w:val="TableParagraph"/>
              <w:spacing w:before="164"/>
              <w:ind w:left="542"/>
              <w:rPr>
                <w:sz w:val="21"/>
              </w:rPr>
            </w:pPr>
            <w:r>
              <w:rPr>
                <w:spacing w:val="-5"/>
                <w:sz w:val="21"/>
              </w:rPr>
              <w:t>≥93</w:t>
            </w:r>
          </w:p>
        </w:tc>
        <w:tc>
          <w:tcPr>
            <w:tcW w:w="1611" w:type="dxa"/>
            <w:tcBorders>
              <w:top w:val="single" w:sz="4" w:space="0" w:color="000000"/>
              <w:left w:val="single" w:sz="4" w:space="0" w:color="000000"/>
              <w:bottom w:val="single" w:sz="4" w:space="0" w:color="000000"/>
              <w:right w:val="single" w:sz="4" w:space="0" w:color="000000"/>
            </w:tcBorders>
          </w:tcPr>
          <w:p>
            <w:pPr>
              <w:pStyle w:val="TableParagraph"/>
              <w:spacing w:before="164"/>
              <w:ind w:left="709"/>
              <w:rPr>
                <w:sz w:val="21"/>
              </w:rPr>
            </w:pPr>
            <w:r>
              <w:rPr>
                <w:sz w:val="21"/>
              </w:rPr>
              <w:t>3</w:t>
            </w:r>
          </w:p>
        </w:tc>
        <w:tc>
          <w:tcPr>
            <w:tcW w:w="1598" w:type="dxa"/>
            <w:tcBorders>
              <w:top w:val="single" w:sz="4" w:space="0" w:color="000000"/>
              <w:left w:val="single" w:sz="4" w:space="0" w:color="000000"/>
              <w:bottom w:val="single" w:sz="4" w:space="0" w:color="000000"/>
            </w:tcBorders>
          </w:tcPr>
          <w:p>
            <w:pPr>
              <w:pStyle w:val="TableParagraph"/>
              <w:spacing w:before="164"/>
              <w:ind w:left="639"/>
              <w:rPr>
                <w:sz w:val="21"/>
              </w:rPr>
            </w:pPr>
            <w:r>
              <w:rPr>
                <w:spacing w:val="-5"/>
                <w:sz w:val="21"/>
              </w:rPr>
              <w:t>15</w:t>
            </w:r>
          </w:p>
        </w:tc>
      </w:tr>
      <w:tr>
        <w:tblPrEx>
          <w:tblW w:w="0" w:type="auto"/>
          <w:jc w:val="left"/>
          <w:tblInd w:w="415" w:type="dxa"/>
          <w:tblLayout w:type="fixed"/>
          <w:tblCellMar>
            <w:top w:w="0" w:type="dxa"/>
            <w:left w:w="0" w:type="dxa"/>
            <w:bottom w:w="0" w:type="dxa"/>
            <w:right w:w="0" w:type="dxa"/>
          </w:tblCellMar>
          <w:tblLook w:val="01E0"/>
        </w:tblPrEx>
        <w:trPr>
          <w:trHeight w:val="550"/>
          <w:jc w:val="left"/>
        </w:trPr>
        <w:tc>
          <w:tcPr>
            <w:tcW w:w="2362" w:type="dxa"/>
            <w:gridSpan w:val="2"/>
            <w:tcBorders>
              <w:top w:val="single" w:sz="4" w:space="0" w:color="000000"/>
              <w:right w:val="single" w:sz="4" w:space="0" w:color="000000"/>
            </w:tcBorders>
          </w:tcPr>
          <w:p>
            <w:pPr>
              <w:pStyle w:val="TableParagraph"/>
              <w:spacing w:before="164"/>
              <w:ind w:left="392"/>
              <w:rPr>
                <w:sz w:val="21"/>
              </w:rPr>
            </w:pPr>
            <w:r>
              <w:rPr>
                <w:spacing w:val="-2"/>
                <w:sz w:val="21"/>
              </w:rPr>
              <w:t>零填及路堑路床</w:t>
            </w:r>
          </w:p>
        </w:tc>
        <w:tc>
          <w:tcPr>
            <w:tcW w:w="1585" w:type="dxa"/>
            <w:tcBorders>
              <w:top w:val="single" w:sz="4" w:space="0" w:color="000000"/>
              <w:left w:val="single" w:sz="4" w:space="0" w:color="000000"/>
              <w:right w:val="single" w:sz="4" w:space="0" w:color="000000"/>
            </w:tcBorders>
          </w:tcPr>
          <w:p>
            <w:pPr>
              <w:pStyle w:val="TableParagraph"/>
              <w:spacing w:before="164"/>
              <w:ind w:left="485"/>
              <w:rPr>
                <w:sz w:val="21"/>
              </w:rPr>
            </w:pPr>
            <w:r>
              <w:rPr>
                <w:spacing w:val="-4"/>
                <w:sz w:val="21"/>
              </w:rPr>
              <w:t>0～80</w:t>
            </w:r>
          </w:p>
        </w:tc>
        <w:tc>
          <w:tcPr>
            <w:tcW w:w="1592" w:type="dxa"/>
            <w:tcBorders>
              <w:top w:val="single" w:sz="4" w:space="0" w:color="000000"/>
              <w:left w:val="single" w:sz="4" w:space="0" w:color="000000"/>
              <w:right w:val="single" w:sz="4" w:space="0" w:color="000000"/>
            </w:tcBorders>
          </w:tcPr>
          <w:p>
            <w:pPr>
              <w:pStyle w:val="TableParagraph"/>
              <w:spacing w:before="164"/>
              <w:ind w:left="542"/>
              <w:rPr>
                <w:sz w:val="21"/>
              </w:rPr>
            </w:pPr>
            <w:r>
              <w:rPr>
                <w:spacing w:val="-5"/>
                <w:sz w:val="21"/>
              </w:rPr>
              <w:t>≥96</w:t>
            </w:r>
          </w:p>
        </w:tc>
        <w:tc>
          <w:tcPr>
            <w:tcW w:w="1611" w:type="dxa"/>
            <w:tcBorders>
              <w:top w:val="single" w:sz="4" w:space="0" w:color="000000"/>
              <w:left w:val="single" w:sz="4" w:space="0" w:color="000000"/>
              <w:right w:val="single" w:sz="4" w:space="0" w:color="000000"/>
            </w:tcBorders>
          </w:tcPr>
          <w:p>
            <w:pPr>
              <w:pStyle w:val="TableParagraph"/>
              <w:spacing w:before="164"/>
              <w:ind w:left="709"/>
              <w:rPr>
                <w:sz w:val="21"/>
              </w:rPr>
            </w:pPr>
            <w:r>
              <w:rPr>
                <w:sz w:val="21"/>
              </w:rPr>
              <w:t>8</w:t>
            </w:r>
          </w:p>
        </w:tc>
        <w:tc>
          <w:tcPr>
            <w:tcW w:w="1598" w:type="dxa"/>
            <w:tcBorders>
              <w:top w:val="single" w:sz="4" w:space="0" w:color="000000"/>
              <w:left w:val="single" w:sz="4" w:space="0" w:color="000000"/>
            </w:tcBorders>
          </w:tcPr>
          <w:p>
            <w:pPr>
              <w:pStyle w:val="TableParagraph"/>
              <w:spacing w:before="164"/>
              <w:ind w:left="639"/>
              <w:rPr>
                <w:sz w:val="21"/>
              </w:rPr>
            </w:pPr>
            <w:r>
              <w:rPr>
                <w:spacing w:val="-5"/>
                <w:sz w:val="21"/>
              </w:rPr>
              <w:t>10</w:t>
            </w:r>
          </w:p>
        </w:tc>
      </w:tr>
    </w:tbl>
    <w:p>
      <w:pPr>
        <w:pStyle w:val="Heading3"/>
        <w:spacing w:line="385" w:lineRule="exact"/>
        <w:ind w:left="832"/>
      </w:pPr>
      <w:r>
        <w:rPr>
          <w:spacing w:val="-4"/>
        </w:rPr>
        <w:t>2</w:t>
      </w:r>
      <w:r>
        <w:rPr>
          <w:spacing w:val="-5"/>
        </w:rPr>
        <w:t>、填土路堤的施工注意事项</w:t>
      </w:r>
    </w:p>
    <w:p>
      <w:pPr>
        <w:pStyle w:val="ListParagraph"/>
        <w:numPr>
          <w:ilvl w:val="0"/>
          <w:numId w:val="31"/>
        </w:numPr>
        <w:tabs>
          <w:tab w:val="left" w:pos="1133"/>
        </w:tabs>
        <w:spacing w:before="0" w:after="0" w:line="242" w:lineRule="auto"/>
        <w:ind w:left="292" w:right="719" w:firstLine="480"/>
        <w:jc w:val="left"/>
        <w:rPr>
          <w:sz w:val="24"/>
        </w:rPr>
      </w:pPr>
      <w:r>
        <w:rPr>
          <w:spacing w:val="-2"/>
          <w:sz w:val="24"/>
        </w:rPr>
        <w:t>、路堤基底为耕地或松土时，应先进行清淤和清表，分层回填碾压至规范要</w:t>
      </w:r>
      <w:r>
        <w:rPr>
          <w:spacing w:val="-2"/>
          <w:sz w:val="24"/>
        </w:rPr>
        <w:t>求的压实度，并报监理工程师验收后方可进行填筑。</w:t>
      </w:r>
    </w:p>
    <w:p>
      <w:pPr>
        <w:pStyle w:val="ListParagraph"/>
        <w:numPr>
          <w:ilvl w:val="0"/>
          <w:numId w:val="31"/>
        </w:numPr>
        <w:tabs>
          <w:tab w:val="left" w:pos="1138"/>
        </w:tabs>
        <w:spacing w:before="21" w:after="0" w:line="242" w:lineRule="auto"/>
        <w:ind w:left="292" w:right="642" w:firstLine="485"/>
        <w:jc w:val="left"/>
        <w:rPr>
          <w:sz w:val="24"/>
        </w:rPr>
      </w:pPr>
      <w:r>
        <w:rPr>
          <w:spacing w:val="-2"/>
          <w:sz w:val="24"/>
        </w:rPr>
        <w:t xml:space="preserve">、清理场地后的地面横坡或纵坡不陡于 </w:t>
      </w:r>
      <w:r>
        <w:rPr>
          <w:sz w:val="24"/>
        </w:rPr>
        <w:t>1:5</w:t>
      </w:r>
      <w:r>
        <w:rPr>
          <w:spacing w:val="-8"/>
          <w:sz w:val="24"/>
        </w:rPr>
        <w:t xml:space="preserve"> 时，可直接在其上面填筑路基，</w:t>
      </w:r>
      <w:r>
        <w:rPr>
          <w:spacing w:val="-5"/>
          <w:sz w:val="24"/>
        </w:rPr>
        <w:t xml:space="preserve">当地面横坡或纵坡陡于 </w:t>
      </w:r>
      <w:r>
        <w:rPr>
          <w:sz w:val="24"/>
        </w:rPr>
        <w:t>1:5</w:t>
      </w:r>
      <w:r>
        <w:rPr>
          <w:spacing w:val="-11"/>
          <w:sz w:val="24"/>
        </w:rPr>
        <w:t xml:space="preserve"> 时，应将原地面挖面宽度不小于 </w:t>
      </w:r>
      <w:r>
        <w:rPr>
          <w:sz w:val="24"/>
        </w:rPr>
        <w:t>2m</w:t>
      </w:r>
      <w:r>
        <w:rPr>
          <w:spacing w:val="-8"/>
          <w:sz w:val="24"/>
        </w:rPr>
        <w:t xml:space="preserve"> 的台阶，台阶顶面做</w:t>
      </w:r>
      <w:r>
        <w:rPr>
          <w:spacing w:val="-20"/>
          <w:sz w:val="24"/>
        </w:rPr>
        <w:t xml:space="preserve">成 </w:t>
      </w:r>
      <w:r>
        <w:rPr>
          <w:sz w:val="24"/>
        </w:rPr>
        <w:t>2%—4%内倾斜坡，并用小型机具夯实，对于砂类土则不挖台阶，但应将原地面以</w:t>
      </w:r>
    </w:p>
    <w:p>
      <w:pPr>
        <w:spacing w:after="0" w:line="242" w:lineRule="auto"/>
        <w:jc w:val="left"/>
        <w:rPr>
          <w:sz w:val="24"/>
        </w:rPr>
        <w:sectPr>
          <w:footerReference w:type="default" r:id="rId10"/>
          <w:pgSz w:w="12240" w:h="15840"/>
          <w:pgMar w:top="1400" w:right="1080" w:bottom="900" w:left="1400" w:header="0" w:footer="706"/>
          <w:pgNumType w:start="7"/>
          <w:cols w:space="708"/>
        </w:sectPr>
      </w:pPr>
    </w:p>
    <w:p>
      <w:pPr>
        <w:pStyle w:val="BodyText"/>
        <w:spacing w:before="43"/>
        <w:ind w:left="291"/>
        <w:jc w:val="both"/>
      </w:pPr>
      <w:r>
        <w:rPr>
          <w:spacing w:val="-30"/>
        </w:rPr>
        <w:t xml:space="preserve">下 </w:t>
      </w:r>
      <w:r>
        <w:t>20~30cm</w:t>
      </w:r>
      <w:r>
        <w:rPr>
          <w:spacing w:val="-10"/>
        </w:rPr>
        <w:t xml:space="preserve"> 的表土翻松。</w:t>
      </w:r>
    </w:p>
    <w:p>
      <w:pPr>
        <w:pStyle w:val="ListParagraph"/>
        <w:numPr>
          <w:ilvl w:val="0"/>
          <w:numId w:val="37"/>
        </w:numPr>
        <w:tabs>
          <w:tab w:val="left" w:pos="1133"/>
        </w:tabs>
        <w:spacing w:before="34" w:after="0" w:line="242" w:lineRule="auto"/>
        <w:ind w:left="292" w:right="719" w:firstLine="480"/>
        <w:jc w:val="both"/>
        <w:rPr>
          <w:sz w:val="24"/>
        </w:rPr>
      </w:pPr>
      <w:r>
        <w:rPr>
          <w:spacing w:val="-2"/>
          <w:sz w:val="24"/>
        </w:rPr>
        <w:t>、当路堤通过水田、池塘或低洼地时，应先挖排水沟，并尽可能完成排水工</w:t>
      </w:r>
      <w:r>
        <w:rPr>
          <w:spacing w:val="-5"/>
          <w:sz w:val="24"/>
        </w:rPr>
        <w:t xml:space="preserve">程，挖除淤泥和腐土，并晾晒湿土，将此地面翻松 </w:t>
      </w:r>
      <w:r>
        <w:rPr>
          <w:spacing w:val="-4"/>
          <w:sz w:val="24"/>
        </w:rPr>
        <w:t>30cm</w:t>
      </w:r>
      <w:r>
        <w:rPr>
          <w:spacing w:val="-6"/>
          <w:sz w:val="24"/>
        </w:rPr>
        <w:t xml:space="preserve"> 深，或按设计要求处理完毕</w:t>
      </w:r>
      <w:r>
        <w:rPr>
          <w:spacing w:val="-2"/>
          <w:sz w:val="24"/>
        </w:rPr>
        <w:t>后再进行压实。</w:t>
      </w:r>
    </w:p>
    <w:p>
      <w:pPr>
        <w:pStyle w:val="ListParagraph"/>
        <w:numPr>
          <w:ilvl w:val="0"/>
          <w:numId w:val="37"/>
        </w:numPr>
        <w:tabs>
          <w:tab w:val="left" w:pos="1133"/>
        </w:tabs>
        <w:spacing w:before="32" w:after="0" w:line="242" w:lineRule="auto"/>
        <w:ind w:left="292" w:right="599" w:firstLine="480"/>
        <w:jc w:val="left"/>
        <w:rPr>
          <w:sz w:val="24"/>
        </w:rPr>
      </w:pPr>
      <w:r>
        <w:rPr>
          <w:spacing w:val="-2"/>
          <w:sz w:val="24"/>
        </w:rPr>
        <w:t xml:space="preserve">、当路堤填土高度小于 </w:t>
      </w:r>
      <w:r>
        <w:rPr>
          <w:sz w:val="24"/>
        </w:rPr>
        <w:t>0.8m</w:t>
      </w:r>
      <w:r>
        <w:rPr>
          <w:spacing w:val="-5"/>
          <w:sz w:val="24"/>
        </w:rPr>
        <w:t xml:space="preserve"> 时，对于原地面清理挖除之后的土质基底，应</w:t>
      </w:r>
      <w:r>
        <w:rPr>
          <w:spacing w:val="-14"/>
          <w:sz w:val="24"/>
        </w:rPr>
        <w:t xml:space="preserve">将表面翻松 </w:t>
      </w:r>
      <w:r>
        <w:rPr>
          <w:spacing w:val="-4"/>
          <w:sz w:val="24"/>
        </w:rPr>
        <w:t>30cm</w:t>
      </w:r>
      <w:r>
        <w:rPr>
          <w:spacing w:val="-12"/>
          <w:sz w:val="24"/>
        </w:rPr>
        <w:t xml:space="preserve"> 深，然后整平压实，其压实度应</w:t>
      </w:r>
      <w:r>
        <w:rPr>
          <w:spacing w:val="-4"/>
          <w:sz w:val="24"/>
        </w:rPr>
        <w:t>≥96%</w:t>
      </w:r>
      <w:r>
        <w:rPr>
          <w:spacing w:val="-10"/>
          <w:sz w:val="24"/>
        </w:rPr>
        <w:t xml:space="preserve">，路堤填土高度大于 </w:t>
      </w:r>
      <w:r>
        <w:rPr>
          <w:spacing w:val="-4"/>
          <w:sz w:val="24"/>
        </w:rPr>
        <w:t>0.8m</w:t>
      </w:r>
      <w:r>
        <w:rPr>
          <w:spacing w:val="-23"/>
          <w:sz w:val="24"/>
        </w:rPr>
        <w:t xml:space="preserve"> 时，</w:t>
      </w:r>
      <w:r>
        <w:rPr>
          <w:spacing w:val="-2"/>
          <w:sz w:val="24"/>
        </w:rPr>
        <w:t xml:space="preserve">应将路堤基底整平处理并在填筑前进行碾压，其压实度不应小于 </w:t>
      </w:r>
      <w:r>
        <w:rPr>
          <w:sz w:val="24"/>
        </w:rPr>
        <w:t>85%。</w:t>
      </w:r>
    </w:p>
    <w:p>
      <w:pPr>
        <w:pStyle w:val="ListParagraph"/>
        <w:numPr>
          <w:ilvl w:val="0"/>
          <w:numId w:val="37"/>
        </w:numPr>
        <w:tabs>
          <w:tab w:val="left" w:pos="1133"/>
        </w:tabs>
        <w:spacing w:before="32" w:after="0" w:line="242" w:lineRule="auto"/>
        <w:ind w:left="292" w:right="719" w:firstLine="480"/>
        <w:jc w:val="left"/>
        <w:rPr>
          <w:sz w:val="24"/>
        </w:rPr>
      </w:pPr>
      <w:r>
        <w:rPr>
          <w:spacing w:val="-2"/>
          <w:sz w:val="24"/>
        </w:rPr>
        <w:t>、如在路堤范围内修筑便道或引道时，该便道或引道不得作为路堤填筑的部</w:t>
      </w:r>
      <w:r>
        <w:rPr>
          <w:spacing w:val="-2"/>
          <w:sz w:val="24"/>
        </w:rPr>
        <w:t>分，应挖除后重新填筑符合规定要求的新路堤。</w:t>
      </w:r>
    </w:p>
    <w:p>
      <w:pPr>
        <w:pStyle w:val="ListParagraph"/>
        <w:numPr>
          <w:ilvl w:val="0"/>
          <w:numId w:val="37"/>
        </w:numPr>
        <w:tabs>
          <w:tab w:val="left" w:pos="1133"/>
        </w:tabs>
        <w:spacing w:before="31" w:after="0" w:line="242" w:lineRule="auto"/>
        <w:ind w:left="292" w:right="719" w:firstLine="480"/>
        <w:jc w:val="both"/>
        <w:rPr>
          <w:sz w:val="24"/>
        </w:rPr>
      </w:pPr>
      <w:r>
        <w:rPr>
          <w:spacing w:val="-2"/>
          <w:sz w:val="24"/>
        </w:rPr>
        <w:t>、路堤填料必须符合规范要求，淤泥、有机土、含草皮土、生活垃圾、树根</w:t>
      </w:r>
      <w:r>
        <w:rPr>
          <w:spacing w:val="-7"/>
          <w:sz w:val="24"/>
        </w:rPr>
        <w:t xml:space="preserve">和有腐质特征的土禁止使用；液限大于 </w:t>
      </w:r>
      <w:r>
        <w:rPr>
          <w:spacing w:val="-6"/>
          <w:sz w:val="24"/>
        </w:rPr>
        <w:t>50</w:t>
      </w:r>
      <w:r>
        <w:rPr>
          <w:spacing w:val="-8"/>
          <w:sz w:val="24"/>
        </w:rPr>
        <w:t xml:space="preserve">、塑性指数大于 </w:t>
      </w:r>
      <w:r>
        <w:rPr>
          <w:spacing w:val="-6"/>
          <w:sz w:val="24"/>
        </w:rPr>
        <w:t>26</w:t>
      </w:r>
      <w:r>
        <w:rPr>
          <w:spacing w:val="-10"/>
          <w:sz w:val="24"/>
        </w:rPr>
        <w:t xml:space="preserve"> 的土以及含水量超过规</w:t>
      </w:r>
      <w:r>
        <w:rPr>
          <w:spacing w:val="-2"/>
          <w:sz w:val="24"/>
        </w:rPr>
        <w:t>定的土，不得直接作为路堤填料，需要使用时，采用掺灰处理后方可使用。</w:t>
      </w:r>
    </w:p>
    <w:p>
      <w:pPr>
        <w:pStyle w:val="ListParagraph"/>
        <w:numPr>
          <w:ilvl w:val="0"/>
          <w:numId w:val="37"/>
        </w:numPr>
        <w:tabs>
          <w:tab w:val="left" w:pos="1133"/>
        </w:tabs>
        <w:spacing w:before="32" w:after="0" w:line="242" w:lineRule="auto"/>
        <w:ind w:left="292" w:right="719" w:firstLine="480"/>
        <w:jc w:val="left"/>
        <w:rPr>
          <w:sz w:val="24"/>
        </w:rPr>
      </w:pPr>
      <w:r>
        <w:rPr>
          <w:spacing w:val="-2"/>
          <w:sz w:val="24"/>
        </w:rPr>
        <w:t>、采用不同土质填筑路堤，在施工中是不可避免的，若将不同土质的土随意</w:t>
      </w:r>
      <w:r>
        <w:rPr>
          <w:spacing w:val="-2"/>
          <w:sz w:val="24"/>
        </w:rPr>
        <w:t>混填，会造成路基病害，因此必须注意以下几点：</w:t>
      </w:r>
    </w:p>
    <w:p>
      <w:pPr>
        <w:pStyle w:val="BodyText"/>
        <w:spacing w:before="32"/>
        <w:ind w:left="1007"/>
      </w:pPr>
      <w:r>
        <w:rPr>
          <w:spacing w:val="-1"/>
        </w:rPr>
        <w:t>①、不同土质的填料应分层填筑，填筑层次应尽量减少，每层厚度应不小于</w:t>
      </w:r>
    </w:p>
    <w:p>
      <w:pPr>
        <w:pStyle w:val="BodyText"/>
        <w:spacing w:before="4"/>
      </w:pPr>
      <w:r>
        <w:rPr>
          <w:spacing w:val="-2"/>
        </w:rPr>
        <w:t>50cm</w:t>
      </w:r>
      <w:r>
        <w:rPr>
          <w:spacing w:val="-4"/>
        </w:rPr>
        <w:t xml:space="preserve">，不得杂乱混填，土方路堤填筑至路床顶面最后一层的压实厚度不应小于 </w:t>
      </w:r>
      <w:r>
        <w:rPr>
          <w:spacing w:val="-2"/>
        </w:rPr>
        <w:t>15cm</w:t>
      </w:r>
      <w:r>
        <w:rPr>
          <w:spacing w:val="-10"/>
        </w:rPr>
        <w:t>。</w:t>
      </w:r>
    </w:p>
    <w:p>
      <w:pPr>
        <w:pStyle w:val="BodyText"/>
        <w:spacing w:before="33" w:line="242" w:lineRule="auto"/>
        <w:ind w:right="597" w:firstLine="716"/>
      </w:pPr>
      <w:r>
        <w:rPr>
          <w:spacing w:val="-2"/>
        </w:rPr>
        <w:t>②、透水性差的土应控制含水量在最佳含水量的±2%范围内，当填在下层时，</w:t>
      </w:r>
      <w:r>
        <w:rPr>
          <w:spacing w:val="-5"/>
        </w:rPr>
        <w:t xml:space="preserve">其表层应做成大于 </w:t>
      </w:r>
      <w:r>
        <w:t>4%的双向横坡，以保证来自上面透水性填土的水分及时排出。</w:t>
      </w:r>
    </w:p>
    <w:p>
      <w:pPr>
        <w:pStyle w:val="BodyText"/>
        <w:spacing w:before="32" w:line="242" w:lineRule="auto"/>
        <w:ind w:right="717" w:firstLine="716"/>
      </w:pPr>
      <w:r>
        <w:rPr>
          <w:spacing w:val="-2"/>
        </w:rPr>
        <w:t>③、透水性差的土填筑路堤上层时，不应覆盖在透水性好的土填筑的下层边</w:t>
      </w:r>
      <w:r>
        <w:rPr>
          <w:spacing w:val="-4"/>
        </w:rPr>
        <w:t>坡上。</w:t>
      </w:r>
    </w:p>
    <w:p>
      <w:pPr>
        <w:pStyle w:val="ListParagraph"/>
        <w:numPr>
          <w:ilvl w:val="0"/>
          <w:numId w:val="37"/>
        </w:numPr>
        <w:tabs>
          <w:tab w:val="left" w:pos="1138"/>
        </w:tabs>
        <w:spacing w:before="31" w:after="0" w:line="242" w:lineRule="auto"/>
        <w:ind w:left="292" w:right="718" w:firstLine="485"/>
        <w:jc w:val="both"/>
        <w:rPr>
          <w:sz w:val="24"/>
        </w:rPr>
      </w:pPr>
      <w:r>
        <w:rPr>
          <w:spacing w:val="-2"/>
          <w:sz w:val="24"/>
        </w:rPr>
        <w:t>、任何靠压实设备无法压碎的大块硬质材料，应予以清除或破碎，破碎后的</w:t>
      </w:r>
      <w:r>
        <w:rPr>
          <w:spacing w:val="-3"/>
          <w:sz w:val="24"/>
        </w:rPr>
        <w:t xml:space="preserve">硬质材料最大尺寸不超过厚度的 </w:t>
      </w:r>
      <w:r>
        <w:rPr>
          <w:sz w:val="24"/>
        </w:rPr>
        <w:t>2/3，并应使粒径均匀分布，达到要求的压实度。</w:t>
      </w:r>
    </w:p>
    <w:p>
      <w:pPr>
        <w:pStyle w:val="ListParagraph"/>
        <w:numPr>
          <w:ilvl w:val="0"/>
          <w:numId w:val="37"/>
        </w:numPr>
        <w:tabs>
          <w:tab w:val="left" w:pos="1163"/>
        </w:tabs>
        <w:spacing w:before="31" w:after="0" w:line="242" w:lineRule="auto"/>
        <w:ind w:left="292" w:right="719" w:firstLine="510"/>
        <w:jc w:val="both"/>
        <w:rPr>
          <w:sz w:val="24"/>
        </w:rPr>
      </w:pPr>
      <w:r>
        <w:rPr>
          <w:spacing w:val="-2"/>
          <w:sz w:val="24"/>
        </w:rPr>
        <w:t>、填土路堤分成几个作业段施工时，其交接处不在同一时间填筑，则先填段</w:t>
      </w:r>
      <w:r>
        <w:rPr>
          <w:spacing w:val="-8"/>
          <w:sz w:val="24"/>
        </w:rPr>
        <w:t xml:space="preserve">应按 </w:t>
      </w:r>
      <w:r>
        <w:rPr>
          <w:sz w:val="24"/>
        </w:rPr>
        <w:t>1:1</w:t>
      </w:r>
      <w:r>
        <w:rPr>
          <w:spacing w:val="-6"/>
          <w:sz w:val="24"/>
        </w:rPr>
        <w:t xml:space="preserve"> 坡度分层留台阶，如两阶段同时施工，则应分层相互交迭衔接，其搭接长</w:t>
      </w:r>
      <w:r>
        <w:rPr>
          <w:spacing w:val="-3"/>
          <w:sz w:val="24"/>
        </w:rPr>
        <w:t xml:space="preserve">度不小于 </w:t>
      </w:r>
      <w:r>
        <w:rPr>
          <w:sz w:val="24"/>
        </w:rPr>
        <w:t>2m .</w:t>
      </w:r>
    </w:p>
    <w:p>
      <w:pPr>
        <w:pStyle w:val="ListParagraph"/>
        <w:numPr>
          <w:ilvl w:val="0"/>
          <w:numId w:val="37"/>
        </w:numPr>
        <w:tabs>
          <w:tab w:val="left" w:pos="1283"/>
        </w:tabs>
        <w:spacing w:before="32" w:after="0" w:line="242" w:lineRule="auto"/>
        <w:ind w:left="292" w:right="719" w:firstLine="510"/>
        <w:jc w:val="both"/>
        <w:rPr>
          <w:sz w:val="24"/>
        </w:rPr>
      </w:pPr>
      <w:r>
        <w:rPr>
          <w:spacing w:val="-2"/>
          <w:sz w:val="24"/>
        </w:rPr>
        <w:t>、压实时土的含水量应控制好，必要时应调整整土的含水量，填土层在压</w:t>
      </w:r>
      <w:r>
        <w:rPr>
          <w:spacing w:val="-5"/>
          <w:sz w:val="24"/>
        </w:rPr>
        <w:t xml:space="preserve">实前应先整平，碾压时特别注意均匀。填方小于 </w:t>
      </w:r>
      <w:r>
        <w:rPr>
          <w:spacing w:val="-4"/>
          <w:sz w:val="24"/>
        </w:rPr>
        <w:t>8m</w:t>
      </w:r>
      <w:r>
        <w:rPr>
          <w:spacing w:val="-12"/>
          <w:sz w:val="24"/>
        </w:rPr>
        <w:t xml:space="preserve"> 时边坡为 </w:t>
      </w:r>
      <w:r>
        <w:rPr>
          <w:spacing w:val="-4"/>
          <w:sz w:val="24"/>
        </w:rPr>
        <w:t>1:1.5，80-20m</w:t>
      </w:r>
      <w:r>
        <w:rPr>
          <w:spacing w:val="-10"/>
          <w:sz w:val="24"/>
        </w:rPr>
        <w:t xml:space="preserve"> 上边坡</w:t>
      </w:r>
      <w:r>
        <w:rPr>
          <w:spacing w:val="-15"/>
          <w:sz w:val="24"/>
        </w:rPr>
        <w:t xml:space="preserve">为 </w:t>
      </w:r>
      <w:r>
        <w:rPr>
          <w:sz w:val="24"/>
        </w:rPr>
        <w:t>1:1.5，</w:t>
      </w:r>
      <w:r>
        <w:rPr>
          <w:spacing w:val="-6"/>
          <w:sz w:val="24"/>
        </w:rPr>
        <w:t xml:space="preserve">下边坡为 </w:t>
      </w:r>
      <w:r>
        <w:rPr>
          <w:sz w:val="24"/>
        </w:rPr>
        <w:t>1:1.75，</w:t>
      </w:r>
      <w:r>
        <w:rPr>
          <w:spacing w:val="-10"/>
          <w:sz w:val="24"/>
        </w:rPr>
        <w:t xml:space="preserve">大于 </w:t>
      </w:r>
      <w:r>
        <w:rPr>
          <w:sz w:val="24"/>
        </w:rPr>
        <w:t>20</w:t>
      </w:r>
      <w:r>
        <w:rPr>
          <w:spacing w:val="-13"/>
          <w:sz w:val="24"/>
        </w:rPr>
        <w:t xml:space="preserve"> 边坡为 </w:t>
      </w:r>
      <w:r>
        <w:rPr>
          <w:sz w:val="24"/>
        </w:rPr>
        <w:t>1:2。</w:t>
      </w:r>
    </w:p>
    <w:p>
      <w:pPr>
        <w:pStyle w:val="ListParagraph"/>
        <w:numPr>
          <w:ilvl w:val="0"/>
          <w:numId w:val="37"/>
        </w:numPr>
        <w:tabs>
          <w:tab w:val="left" w:pos="1283"/>
        </w:tabs>
        <w:spacing w:before="32" w:after="0" w:line="242" w:lineRule="auto"/>
        <w:ind w:left="292" w:right="718" w:firstLine="510"/>
        <w:jc w:val="both"/>
        <w:rPr>
          <w:sz w:val="24"/>
        </w:rPr>
      </w:pPr>
      <w:r>
        <w:rPr>
          <w:spacing w:val="-2"/>
          <w:sz w:val="24"/>
        </w:rPr>
        <w:t xml:space="preserve">、路基填筑时，试验检测同步进行，压实度检测应在每层填土 </w:t>
      </w:r>
      <w:r>
        <w:rPr>
          <w:sz w:val="24"/>
        </w:rPr>
        <w:t>1000m</w:t>
      </w:r>
      <w:r>
        <w:rPr>
          <w:sz w:val="24"/>
          <w:vertAlign w:val="superscript"/>
        </w:rPr>
        <w:t>2</w:t>
      </w:r>
      <w:r>
        <w:rPr>
          <w:sz w:val="24"/>
          <w:vertAlign w:val="baseline"/>
        </w:rPr>
        <w:t>, 取</w:t>
      </w:r>
      <w:r>
        <w:rPr>
          <w:spacing w:val="-15"/>
          <w:sz w:val="24"/>
          <w:vertAlign w:val="baseline"/>
        </w:rPr>
        <w:t xml:space="preserve">样 </w:t>
      </w:r>
      <w:r>
        <w:rPr>
          <w:spacing w:val="-4"/>
          <w:sz w:val="24"/>
          <w:vertAlign w:val="baseline"/>
        </w:rPr>
        <w:t>4</w:t>
      </w:r>
      <w:r>
        <w:rPr>
          <w:spacing w:val="-12"/>
          <w:sz w:val="24"/>
          <w:vertAlign w:val="baseline"/>
        </w:rPr>
        <w:t xml:space="preserve"> 处，不足 </w:t>
      </w:r>
      <w:r>
        <w:rPr>
          <w:spacing w:val="-4"/>
          <w:sz w:val="24"/>
          <w:vertAlign w:val="baseline"/>
        </w:rPr>
        <w:t>200</w:t>
      </w:r>
      <w:r>
        <w:rPr>
          <w:spacing w:val="-26"/>
          <w:sz w:val="24"/>
          <w:vertAlign w:val="baseline"/>
        </w:rPr>
        <w:t xml:space="preserve"> </w:t>
      </w:r>
      <w:r>
        <w:rPr>
          <w:spacing w:val="-4"/>
          <w:sz w:val="24"/>
          <w:vertAlign w:val="baseline"/>
        </w:rPr>
        <w:t>m</w:t>
      </w:r>
      <w:r>
        <w:rPr>
          <w:spacing w:val="-4"/>
          <w:sz w:val="24"/>
          <w:vertAlign w:val="superscript"/>
        </w:rPr>
        <w:t>2</w:t>
      </w:r>
      <w:r>
        <w:rPr>
          <w:spacing w:val="-12"/>
          <w:sz w:val="24"/>
          <w:vertAlign w:val="baseline"/>
        </w:rPr>
        <w:t xml:space="preserve"> 时至少取样 </w:t>
      </w:r>
      <w:r>
        <w:rPr>
          <w:spacing w:val="-4"/>
          <w:sz w:val="24"/>
          <w:vertAlign w:val="baseline"/>
        </w:rPr>
        <w:t>2</w:t>
      </w:r>
      <w:r>
        <w:rPr>
          <w:spacing w:val="-9"/>
          <w:sz w:val="24"/>
          <w:vertAlign w:val="baseline"/>
        </w:rPr>
        <w:t xml:space="preserve"> 处进行压实度试验，并随时接受监理工程师的任</w:t>
      </w:r>
      <w:r>
        <w:rPr>
          <w:spacing w:val="-2"/>
          <w:w w:val="105"/>
          <w:sz w:val="24"/>
          <w:vertAlign w:val="baseline"/>
        </w:rPr>
        <w:t>意</w:t>
      </w:r>
      <w:r>
        <w:rPr>
          <w:spacing w:val="-2"/>
          <w:w w:val="105"/>
          <w:sz w:val="24"/>
          <w:vertAlign w:val="baseline"/>
        </w:rPr>
        <w:t>抽</w:t>
      </w:r>
      <w:r>
        <w:rPr>
          <w:spacing w:val="-2"/>
          <w:w w:val="105"/>
          <w:sz w:val="24"/>
          <w:vertAlign w:val="baseline"/>
        </w:rPr>
        <w:t>样</w:t>
      </w:r>
      <w:r>
        <w:rPr>
          <w:spacing w:val="-2"/>
          <w:w w:val="105"/>
          <w:sz w:val="24"/>
          <w:vertAlign w:val="baseline"/>
        </w:rPr>
        <w:t>检</w:t>
      </w:r>
      <w:r>
        <w:rPr>
          <w:spacing w:val="-2"/>
          <w:w w:val="105"/>
          <w:sz w:val="24"/>
          <w:vertAlign w:val="baseline"/>
        </w:rPr>
        <w:t>查</w:t>
      </w:r>
      <w:r>
        <w:rPr>
          <w:spacing w:val="-2"/>
          <w:w w:val="105"/>
          <w:sz w:val="24"/>
          <w:vertAlign w:val="baseline"/>
        </w:rPr>
        <w:t>。</w:t>
      </w:r>
    </w:p>
    <w:p>
      <w:pPr>
        <w:pStyle w:val="ListParagraph"/>
        <w:numPr>
          <w:ilvl w:val="0"/>
          <w:numId w:val="37"/>
        </w:numPr>
        <w:tabs>
          <w:tab w:val="left" w:pos="1283"/>
        </w:tabs>
        <w:spacing w:before="32" w:after="0" w:line="242" w:lineRule="auto"/>
        <w:ind w:left="292" w:right="718" w:firstLine="510"/>
        <w:jc w:val="left"/>
        <w:rPr>
          <w:sz w:val="24"/>
        </w:rPr>
      </w:pPr>
      <w:r>
        <w:rPr>
          <w:spacing w:val="-2"/>
          <w:sz w:val="24"/>
        </w:rPr>
        <w:t>、路堤基底和每层填筑施工完成后应报该层压实度、宽度、压实厚度、逐</w:t>
      </w:r>
      <w:r>
        <w:rPr>
          <w:spacing w:val="-2"/>
          <w:sz w:val="24"/>
        </w:rPr>
        <w:t>桩高程等资料，报监理工程师检查验收后才能进如下层土的施工。</w:t>
      </w:r>
    </w:p>
    <w:p>
      <w:pPr>
        <w:pStyle w:val="Heading3"/>
        <w:spacing w:line="343" w:lineRule="exact"/>
      </w:pPr>
      <w:r>
        <w:t>(三)</w:t>
      </w:r>
      <w:r>
        <w:rPr>
          <w:spacing w:val="-2"/>
        </w:rPr>
        <w:t>石方填筑施工</w:t>
      </w:r>
    </w:p>
    <w:p>
      <w:pPr>
        <w:spacing w:before="0" w:line="381" w:lineRule="exact"/>
        <w:ind w:left="785" w:right="0" w:firstLine="0"/>
        <w:jc w:val="left"/>
        <w:rPr>
          <w:rFonts w:ascii="Microsoft JhengHei" w:eastAsia="Microsoft JhengHei"/>
          <w:b/>
          <w:sz w:val="24"/>
        </w:rPr>
      </w:pPr>
      <w:r>
        <w:rPr>
          <w:rFonts w:ascii="Microsoft JhengHei" w:eastAsia="Microsoft JhengHei"/>
          <w:b/>
          <w:spacing w:val="-4"/>
          <w:sz w:val="24"/>
        </w:rPr>
        <w:t>1</w:t>
      </w:r>
      <w:r>
        <w:rPr>
          <w:rFonts w:ascii="Microsoft JhengHei" w:eastAsia="Microsoft JhengHei"/>
          <w:b/>
          <w:spacing w:val="-5"/>
          <w:sz w:val="24"/>
        </w:rPr>
        <w:t>、石方填筑试验路段施工</w:t>
      </w:r>
    </w:p>
    <w:p>
      <w:pPr>
        <w:pStyle w:val="BodyText"/>
        <w:spacing w:line="242" w:lineRule="auto"/>
        <w:ind w:left="291" w:right="719" w:firstLine="738"/>
        <w:jc w:val="both"/>
      </w:pPr>
      <w:r>
        <w:rPr>
          <w:spacing w:val="-8"/>
        </w:rPr>
        <w:t xml:space="preserve">在开工前 </w:t>
      </w:r>
      <w:r>
        <w:rPr>
          <w:spacing w:val="-4"/>
        </w:rPr>
        <w:t>28</w:t>
      </w:r>
      <w:r>
        <w:rPr>
          <w:spacing w:val="-11"/>
        </w:rPr>
        <w:t xml:space="preserve"> 天，用填路石料在 </w:t>
      </w:r>
      <w:r>
        <w:rPr>
          <w:spacing w:val="-4"/>
        </w:rPr>
        <w:t>K39+650-K39+850</w:t>
      </w:r>
      <w:r>
        <w:rPr>
          <w:spacing w:val="-11"/>
        </w:rPr>
        <w:t xml:space="preserve"> 处填筑长 </w:t>
      </w:r>
      <w:r>
        <w:rPr>
          <w:spacing w:val="-4"/>
        </w:rPr>
        <w:t>200m</w:t>
      </w:r>
      <w:r>
        <w:rPr>
          <w:spacing w:val="-9"/>
        </w:rPr>
        <w:t xml:space="preserve"> 试验路段，</w:t>
      </w:r>
      <w:r>
        <w:rPr>
          <w:spacing w:val="-2"/>
        </w:rPr>
        <w:t>在试验时详细记录：压实设备类型、合理的机械配置方式，压实遍数及速度，各工</w:t>
      </w:r>
      <w:r>
        <w:rPr>
          <w:spacing w:val="-2"/>
        </w:rPr>
        <w:t>序的组合形式，根据试验记录，制定准确的技术保障方案，详细说明施工的填筑方</w:t>
      </w:r>
      <w:r>
        <w:rPr>
          <w:spacing w:val="-2"/>
        </w:rPr>
        <w:t>法，检测手段、频度，并报监理工程师审批，作为以后进行全面施工的依据。</w:t>
      </w:r>
    </w:p>
    <w:p>
      <w:pPr>
        <w:pStyle w:val="Heading3"/>
        <w:spacing w:line="395" w:lineRule="exact"/>
      </w:pPr>
      <w:r>
        <w:rPr>
          <w:spacing w:val="-4"/>
        </w:rPr>
        <w:t>2</w:t>
      </w:r>
      <w:r>
        <w:rPr>
          <w:spacing w:val="-5"/>
        </w:rPr>
        <w:t>、填石路堤的施工方法</w:t>
      </w:r>
    </w:p>
    <w:p>
      <w:pPr>
        <w:spacing w:after="0" w:line="395" w:lineRule="exact"/>
        <w:sectPr>
          <w:footerReference w:type="default" r:id="rId11"/>
          <w:pgSz w:w="12240" w:h="15840"/>
          <w:pgMar w:top="1400" w:right="1080" w:bottom="900" w:left="1400" w:header="0" w:footer="706"/>
          <w:pgNumType w:start="8"/>
          <w:cols w:space="708"/>
        </w:sectPr>
      </w:pPr>
    </w:p>
    <w:p>
      <w:pPr>
        <w:pStyle w:val="BodyText"/>
        <w:spacing w:before="43" w:line="242" w:lineRule="auto"/>
        <w:ind w:right="719" w:firstLine="510"/>
        <w:jc w:val="both"/>
      </w:pPr>
      <w:r>
        <w:rPr>
          <w:spacing w:val="-5"/>
        </w:rPr>
        <w:t xml:space="preserve">用于路基填方的石方其强度值不小于 </w:t>
      </w:r>
      <w:r>
        <w:rPr>
          <w:spacing w:val="-4"/>
        </w:rPr>
        <w:t>15KPa</w:t>
      </w:r>
      <w:r>
        <w:rPr>
          <w:spacing w:val="-8"/>
        </w:rPr>
        <w:t>，采用人工解小分层松铺，其厚度不</w:t>
      </w:r>
      <w:r>
        <w:rPr>
          <w:spacing w:val="-8"/>
        </w:rPr>
        <w:t xml:space="preserve">大于 </w:t>
      </w:r>
      <w:r>
        <w:t>30—40cm，</w:t>
      </w:r>
      <w:r>
        <w:rPr>
          <w:spacing w:val="-2"/>
        </w:rPr>
        <w:t xml:space="preserve">石块尺寸不大于压实厚度的 </w:t>
      </w:r>
      <w:r>
        <w:t>2/3。</w:t>
      </w:r>
    </w:p>
    <w:p>
      <w:pPr>
        <w:pStyle w:val="BodyText"/>
        <w:spacing w:before="32" w:line="242" w:lineRule="auto"/>
        <w:ind w:right="719" w:firstLine="510"/>
        <w:jc w:val="both"/>
      </w:pPr>
      <w:r>
        <w:rPr>
          <w:spacing w:val="-2"/>
        </w:rPr>
        <w:t>填筑时安排好石料运输路线，专人指挥，按水平分层填筑，先低后高；先两侧</w:t>
      </w:r>
      <w:r>
        <w:rPr>
          <w:spacing w:val="-2"/>
        </w:rPr>
        <w:t>后中央卸料；用大型推土机推平；人工填细石料，逐层压实，具体施工及检测程序</w:t>
      </w:r>
      <w:r>
        <w:rPr>
          <w:spacing w:val="-4"/>
        </w:rPr>
        <w:t>如下：</w:t>
      </w:r>
    </w:p>
    <w:p>
      <w:pPr>
        <w:pStyle w:val="ListParagraph"/>
        <w:numPr>
          <w:ilvl w:val="0"/>
          <w:numId w:val="30"/>
        </w:numPr>
        <w:tabs>
          <w:tab w:val="left" w:pos="1385"/>
        </w:tabs>
        <w:spacing w:before="32" w:after="0" w:line="240" w:lineRule="auto"/>
        <w:ind w:left="1385" w:right="0" w:hanging="601"/>
        <w:jc w:val="both"/>
        <w:rPr>
          <w:sz w:val="24"/>
        </w:rPr>
      </w:pPr>
      <w:r>
        <w:rPr>
          <w:spacing w:val="-6"/>
          <w:sz w:val="24"/>
        </w:rPr>
        <w:t xml:space="preserve">、边坡应用粒径大于 </w:t>
      </w:r>
      <w:r>
        <w:rPr>
          <w:sz w:val="24"/>
        </w:rPr>
        <w:t>30cm</w:t>
      </w:r>
      <w:r>
        <w:rPr>
          <w:spacing w:val="-9"/>
          <w:sz w:val="24"/>
        </w:rPr>
        <w:t xml:space="preserve"> 的大块石码砌，中间部分用大型推土机推平，</w:t>
      </w:r>
    </w:p>
    <w:p>
      <w:pPr>
        <w:pStyle w:val="ListParagraph"/>
        <w:numPr>
          <w:ilvl w:val="0"/>
          <w:numId w:val="30"/>
        </w:numPr>
        <w:tabs>
          <w:tab w:val="left" w:pos="1437"/>
        </w:tabs>
        <w:spacing w:before="34" w:after="0" w:line="240" w:lineRule="auto"/>
        <w:ind w:left="1437" w:right="0" w:hanging="602"/>
        <w:jc w:val="both"/>
        <w:rPr>
          <w:sz w:val="24"/>
        </w:rPr>
      </w:pPr>
      <w:r>
        <w:rPr>
          <w:spacing w:val="-8"/>
          <w:sz w:val="24"/>
        </w:rPr>
        <w:t xml:space="preserve">、沿线纵向每隔 </w:t>
      </w:r>
      <w:r>
        <w:rPr>
          <w:sz w:val="24"/>
        </w:rPr>
        <w:t>20m</w:t>
      </w:r>
      <w:r>
        <w:rPr>
          <w:spacing w:val="-13"/>
          <w:sz w:val="24"/>
        </w:rPr>
        <w:t xml:space="preserve"> 设一断面，断面上每 </w:t>
      </w:r>
      <w:r>
        <w:rPr>
          <w:sz w:val="24"/>
        </w:rPr>
        <w:t>10m</w:t>
      </w:r>
      <w:r>
        <w:rPr>
          <w:spacing w:val="-9"/>
          <w:sz w:val="24"/>
        </w:rPr>
        <w:t xml:space="preserve"> 设一测点，用红油漆标出。</w:t>
      </w:r>
    </w:p>
    <w:p>
      <w:pPr>
        <w:pStyle w:val="ListParagraph"/>
        <w:numPr>
          <w:ilvl w:val="0"/>
          <w:numId w:val="30"/>
        </w:numPr>
        <w:tabs>
          <w:tab w:val="left" w:pos="1434"/>
        </w:tabs>
        <w:spacing w:before="33" w:after="0" w:line="242" w:lineRule="auto"/>
        <w:ind w:left="291" w:right="718" w:firstLine="539"/>
        <w:jc w:val="left"/>
        <w:rPr>
          <w:sz w:val="24"/>
        </w:rPr>
      </w:pPr>
      <w:r>
        <w:rPr>
          <w:spacing w:val="-2"/>
          <w:sz w:val="24"/>
        </w:rPr>
        <w:t>、检查松铺厚度，用水准仪测出点的高程与上次该位置处的高程之差，即为本层松铺厚度。</w:t>
      </w:r>
    </w:p>
    <w:p>
      <w:pPr>
        <w:pStyle w:val="ListParagraph"/>
        <w:numPr>
          <w:ilvl w:val="0"/>
          <w:numId w:val="30"/>
        </w:numPr>
        <w:tabs>
          <w:tab w:val="left" w:pos="1434"/>
        </w:tabs>
        <w:spacing w:before="32" w:after="0" w:line="242" w:lineRule="auto"/>
        <w:ind w:left="291" w:right="719" w:firstLine="539"/>
        <w:jc w:val="both"/>
        <w:rPr>
          <w:sz w:val="24"/>
        </w:rPr>
      </w:pPr>
      <w:r>
        <w:rPr>
          <w:spacing w:val="-4"/>
          <w:sz w:val="24"/>
        </w:rPr>
        <w:t xml:space="preserve">、填石路堤应使用 </w:t>
      </w:r>
      <w:r>
        <w:rPr>
          <w:sz w:val="24"/>
        </w:rPr>
        <w:t>18T</w:t>
      </w:r>
      <w:r>
        <w:rPr>
          <w:spacing w:val="-8"/>
          <w:sz w:val="24"/>
        </w:rPr>
        <w:t xml:space="preserve"> 以上振动压路机分层洒水压实。先用 </w:t>
      </w:r>
      <w:r>
        <w:rPr>
          <w:sz w:val="24"/>
        </w:rPr>
        <w:t>25T</w:t>
      </w:r>
      <w:r>
        <w:rPr>
          <w:spacing w:val="-8"/>
          <w:sz w:val="24"/>
        </w:rPr>
        <w:t xml:space="preserve"> 轮式振</w:t>
      </w:r>
      <w:r>
        <w:rPr>
          <w:spacing w:val="-7"/>
          <w:sz w:val="24"/>
        </w:rPr>
        <w:t xml:space="preserve">动碾或相近重型压路机。碾压 </w:t>
      </w:r>
      <w:r>
        <w:rPr>
          <w:spacing w:val="-6"/>
          <w:sz w:val="24"/>
        </w:rPr>
        <w:t>1～2</w:t>
      </w:r>
      <w:r>
        <w:rPr>
          <w:spacing w:val="-10"/>
          <w:sz w:val="24"/>
        </w:rPr>
        <w:t xml:space="preserve"> 遍使侧点稳定，再用净重 </w:t>
      </w:r>
      <w:r>
        <w:rPr>
          <w:spacing w:val="-6"/>
          <w:sz w:val="24"/>
        </w:rPr>
        <w:t>18T</w:t>
      </w:r>
      <w:r>
        <w:rPr>
          <w:spacing w:val="-9"/>
          <w:sz w:val="24"/>
        </w:rPr>
        <w:t xml:space="preserve"> 以上的凸块式振动</w:t>
      </w:r>
      <w:r>
        <w:rPr>
          <w:spacing w:val="-5"/>
          <w:sz w:val="24"/>
        </w:rPr>
        <w:t xml:space="preserve">压路机和 </w:t>
      </w:r>
      <w:r>
        <w:rPr>
          <w:sz w:val="24"/>
        </w:rPr>
        <w:t>50T</w:t>
      </w:r>
      <w:r>
        <w:rPr>
          <w:spacing w:val="-6"/>
          <w:sz w:val="24"/>
        </w:rPr>
        <w:t xml:space="preserve"> 振动压路机碾压。碾压时，应及时用小石块或石屑填缝，直到压实层</w:t>
      </w:r>
      <w:r>
        <w:rPr>
          <w:spacing w:val="-2"/>
          <w:sz w:val="24"/>
        </w:rPr>
        <w:t>顶面稳定、不再下沉（无轮迹</w:t>
      </w:r>
      <w:r>
        <w:rPr>
          <w:spacing w:val="-120"/>
          <w:sz w:val="24"/>
        </w:rPr>
        <w:t>）</w:t>
      </w:r>
      <w:r>
        <w:rPr>
          <w:spacing w:val="-2"/>
          <w:sz w:val="24"/>
        </w:rPr>
        <w:t>、石块精密、表面平整为止。</w:t>
      </w:r>
    </w:p>
    <w:p>
      <w:pPr>
        <w:pStyle w:val="ListParagraph"/>
        <w:numPr>
          <w:ilvl w:val="0"/>
          <w:numId w:val="30"/>
        </w:numPr>
        <w:tabs>
          <w:tab w:val="left" w:pos="1432"/>
        </w:tabs>
        <w:spacing w:before="32" w:after="0" w:line="240" w:lineRule="auto"/>
        <w:ind w:left="1432" w:right="0" w:hanging="602"/>
        <w:jc w:val="both"/>
        <w:rPr>
          <w:sz w:val="24"/>
        </w:rPr>
      </w:pPr>
      <w:r>
        <w:rPr>
          <w:spacing w:val="-24"/>
          <w:sz w:val="24"/>
        </w:rPr>
        <w:t xml:space="preserve">、每压实一遍测量各侧点高程，计算沉降量，进行分析，当沉降量一般在 </w:t>
      </w:r>
      <w:r>
        <w:rPr>
          <w:spacing w:val="-5"/>
          <w:sz w:val="24"/>
        </w:rPr>
        <w:t>5mm</w:t>
      </w:r>
    </w:p>
    <w:p>
      <w:pPr>
        <w:pStyle w:val="BodyText"/>
        <w:spacing w:before="4"/>
        <w:ind w:left="291"/>
      </w:pPr>
      <w:r>
        <w:rPr>
          <w:spacing w:val="-1"/>
        </w:rPr>
        <w:t>以下时，密实度已满足要求。</w:t>
      </w:r>
    </w:p>
    <w:p>
      <w:pPr>
        <w:pStyle w:val="ListParagraph"/>
        <w:numPr>
          <w:ilvl w:val="0"/>
          <w:numId w:val="30"/>
        </w:numPr>
        <w:tabs>
          <w:tab w:val="left" w:pos="1432"/>
        </w:tabs>
        <w:spacing w:before="34" w:after="0" w:line="285" w:lineRule="exact"/>
        <w:ind w:left="1432" w:right="0" w:hanging="602"/>
        <w:jc w:val="left"/>
        <w:rPr>
          <w:sz w:val="24"/>
        </w:rPr>
      </w:pPr>
      <w:r>
        <w:rPr>
          <w:spacing w:val="-1"/>
          <w:sz w:val="24"/>
        </w:rPr>
        <w:t>、填石边坡应严格按照设计图纸施工，并使监理工程师满意。</w:t>
      </w:r>
    </w:p>
    <w:p>
      <w:pPr>
        <w:pStyle w:val="Heading3"/>
        <w:spacing w:line="408" w:lineRule="exact"/>
      </w:pPr>
      <w:r>
        <w:rPr>
          <w:spacing w:val="-4"/>
        </w:rPr>
        <w:t>3</w:t>
      </w:r>
      <w:r>
        <w:rPr>
          <w:spacing w:val="-5"/>
        </w:rPr>
        <w:t>、填石路堤的施工注意事项</w:t>
      </w:r>
    </w:p>
    <w:p>
      <w:pPr>
        <w:pStyle w:val="BodyText"/>
        <w:spacing w:line="242" w:lineRule="auto"/>
        <w:ind w:right="719" w:firstLine="510"/>
      </w:pPr>
      <w:r>
        <w:rPr>
          <w:spacing w:val="-2"/>
        </w:rPr>
        <w:t>填石路堤施工时除应遵守填土施工有关注意事项外，对于填石的特殊性，还应</w:t>
      </w:r>
      <w:r>
        <w:rPr>
          <w:spacing w:val="-2"/>
        </w:rPr>
        <w:t>注意以下事项。</w:t>
      </w:r>
    </w:p>
    <w:p>
      <w:pPr>
        <w:pStyle w:val="ListParagraph"/>
        <w:numPr>
          <w:ilvl w:val="0"/>
          <w:numId w:val="29"/>
        </w:numPr>
        <w:tabs>
          <w:tab w:val="left" w:pos="1434"/>
        </w:tabs>
        <w:spacing w:before="21" w:after="0" w:line="242" w:lineRule="auto"/>
        <w:ind w:left="291" w:right="718" w:firstLine="539"/>
        <w:jc w:val="left"/>
        <w:rPr>
          <w:sz w:val="24"/>
        </w:rPr>
      </w:pPr>
      <w:r>
        <w:rPr>
          <w:spacing w:val="-2"/>
          <w:sz w:val="24"/>
        </w:rPr>
        <w:t>、填石路堤的填料其岩性特别是强度相差较大时，应将岩性不同的填料分层或分段填筑，易风化的软石不能用于路堤上部，也不能用于路堤浸水部分。</w:t>
      </w:r>
    </w:p>
    <w:p>
      <w:pPr>
        <w:pStyle w:val="ListParagraph"/>
        <w:numPr>
          <w:ilvl w:val="0"/>
          <w:numId w:val="29"/>
        </w:numPr>
        <w:tabs>
          <w:tab w:val="left" w:pos="1434"/>
        </w:tabs>
        <w:spacing w:before="31" w:after="0" w:line="242" w:lineRule="auto"/>
        <w:ind w:left="291" w:right="718" w:firstLine="539"/>
        <w:jc w:val="both"/>
        <w:rPr>
          <w:sz w:val="24"/>
        </w:rPr>
      </w:pPr>
      <w:r>
        <w:rPr>
          <w:spacing w:val="-2"/>
          <w:sz w:val="24"/>
        </w:rPr>
        <w:t>、用强风化或软石填筑路堤时，用重型压路机和凸块式振动压路机碾压</w:t>
      </w:r>
      <w:r>
        <w:rPr>
          <w:spacing w:val="-1"/>
          <w:sz w:val="24"/>
        </w:rPr>
        <w:t xml:space="preserve">，石料可能碾压成碎屑、碎粒，这类石料应按土质路堤施工规定检验其 </w:t>
      </w:r>
      <w:r>
        <w:rPr>
          <w:sz w:val="24"/>
        </w:rPr>
        <w:t>CBR</w:t>
      </w:r>
      <w:r>
        <w:rPr>
          <w:spacing w:val="-8"/>
          <w:sz w:val="24"/>
        </w:rPr>
        <w:t xml:space="preserve"> 值，符</w:t>
      </w:r>
      <w:r>
        <w:rPr>
          <w:spacing w:val="-2"/>
          <w:sz w:val="24"/>
        </w:rPr>
        <w:t>合要求时按土质路堤施工。</w:t>
      </w:r>
    </w:p>
    <w:p>
      <w:pPr>
        <w:pStyle w:val="ListParagraph"/>
        <w:numPr>
          <w:ilvl w:val="0"/>
          <w:numId w:val="29"/>
        </w:numPr>
        <w:tabs>
          <w:tab w:val="left" w:pos="1432"/>
        </w:tabs>
        <w:spacing w:before="32" w:after="0" w:line="285" w:lineRule="exact"/>
        <w:ind w:left="1432" w:right="0" w:hanging="602"/>
        <w:jc w:val="both"/>
        <w:rPr>
          <w:sz w:val="24"/>
        </w:rPr>
      </w:pPr>
      <w:r>
        <w:rPr>
          <w:spacing w:val="-7"/>
          <w:sz w:val="24"/>
        </w:rPr>
        <w:t xml:space="preserve">、当填至离路堤顶 </w:t>
      </w:r>
      <w:r>
        <w:rPr>
          <w:sz w:val="24"/>
        </w:rPr>
        <w:t>0.8m</w:t>
      </w:r>
      <w:r>
        <w:rPr>
          <w:spacing w:val="-12"/>
          <w:sz w:val="24"/>
        </w:rPr>
        <w:t xml:space="preserve"> 时，用土方或粒径不大于 </w:t>
      </w:r>
      <w:r>
        <w:rPr>
          <w:sz w:val="24"/>
        </w:rPr>
        <w:t>10cm</w:t>
      </w:r>
      <w:r>
        <w:rPr>
          <w:spacing w:val="-10"/>
          <w:sz w:val="24"/>
        </w:rPr>
        <w:t xml:space="preserve"> 的石渣填筑。</w:t>
      </w:r>
    </w:p>
    <w:p>
      <w:pPr>
        <w:pStyle w:val="Heading3"/>
        <w:spacing w:line="408" w:lineRule="exact"/>
      </w:pPr>
      <w:r>
        <w:t>(四)</w:t>
      </w:r>
      <w:r>
        <w:rPr>
          <w:spacing w:val="-2"/>
        </w:rPr>
        <w:t>、土石混填路堤：</w:t>
      </w:r>
    </w:p>
    <w:p>
      <w:pPr>
        <w:pStyle w:val="BodyText"/>
        <w:spacing w:line="242" w:lineRule="auto"/>
        <w:ind w:right="719" w:firstLine="510"/>
        <w:jc w:val="both"/>
      </w:pPr>
      <w:r>
        <w:rPr>
          <w:spacing w:val="-2"/>
        </w:rPr>
        <w:t>当路堤填料中石料含量≤50%时，按填土路堤施工；当石料含量≥70%时按填石</w:t>
      </w:r>
      <w:r>
        <w:rPr>
          <w:spacing w:val="-5"/>
        </w:rPr>
        <w:t xml:space="preserve">路堤施工；当石料含量在 </w:t>
      </w:r>
      <w:r>
        <w:rPr>
          <w:spacing w:val="-4"/>
        </w:rPr>
        <w:t>50%~70%之间时，按土石混填路堤施工，利用卵石土、块石</w:t>
      </w:r>
      <w:r>
        <w:rPr>
          <w:spacing w:val="-2"/>
        </w:rPr>
        <w:t>土、红砂岩等天然土石混合料填筑的路堤称为土石混合路堤。</w:t>
      </w:r>
    </w:p>
    <w:p>
      <w:pPr>
        <w:pStyle w:val="Heading3"/>
      </w:pPr>
      <w:r>
        <w:rPr>
          <w:spacing w:val="-6"/>
        </w:rPr>
        <w:t>1</w:t>
      </w:r>
      <w:r>
        <w:rPr>
          <w:spacing w:val="-7"/>
        </w:rPr>
        <w:t>、填料要求</w:t>
      </w:r>
    </w:p>
    <w:p>
      <w:pPr>
        <w:pStyle w:val="BodyText"/>
        <w:spacing w:line="242" w:lineRule="auto"/>
        <w:ind w:right="719" w:firstLine="510"/>
      </w:pPr>
      <w:r>
        <w:rPr>
          <w:spacing w:val="-3"/>
        </w:rPr>
        <w:t xml:space="preserve">用于填筑的土石混合料中石料的强度大于 </w:t>
      </w:r>
      <w:r>
        <w:t>20Mpa</w:t>
      </w:r>
      <w:r>
        <w:rPr>
          <w:spacing w:val="-7"/>
        </w:rPr>
        <w:t xml:space="preserve"> 时，其粒径不得超过压实层厚</w:t>
      </w:r>
      <w:r>
        <w:rPr>
          <w:spacing w:val="-21"/>
        </w:rPr>
        <w:t xml:space="preserve">的 </w:t>
      </w:r>
      <w:r>
        <w:t>2/3。</w:t>
      </w:r>
    </w:p>
    <w:p>
      <w:pPr>
        <w:pStyle w:val="Heading3"/>
        <w:spacing w:line="383" w:lineRule="exact"/>
      </w:pPr>
      <w:r>
        <w:rPr>
          <w:spacing w:val="-6"/>
        </w:rPr>
        <w:t>2</w:t>
      </w:r>
      <w:r>
        <w:rPr>
          <w:spacing w:val="-7"/>
        </w:rPr>
        <w:t>、填筑方法</w:t>
      </w:r>
    </w:p>
    <w:p>
      <w:pPr>
        <w:pStyle w:val="BodyText"/>
        <w:spacing w:line="297" w:lineRule="exact"/>
        <w:ind w:left="802"/>
      </w:pPr>
      <w:r>
        <w:rPr>
          <w:spacing w:val="-1"/>
        </w:rPr>
        <w:t>土石混填路堤应按纵坡控制标高，采用分层填筑，分层压实，分层松铺厚度为</w:t>
      </w:r>
    </w:p>
    <w:p>
      <w:pPr>
        <w:pStyle w:val="BodyText"/>
      </w:pPr>
      <w:r>
        <w:t>30cm～40cm（经试验后确定</w:t>
      </w:r>
      <w:r>
        <w:rPr>
          <w:spacing w:val="-120"/>
        </w:rPr>
        <w:t>）</w:t>
      </w:r>
      <w:r>
        <w:rPr>
          <w:spacing w:val="-10"/>
        </w:rPr>
        <w:t>。</w:t>
      </w:r>
    </w:p>
    <w:p>
      <w:pPr>
        <w:pStyle w:val="BodyText"/>
        <w:spacing w:before="17" w:line="242" w:lineRule="auto"/>
        <w:ind w:right="719" w:firstLine="510"/>
        <w:jc w:val="both"/>
      </w:pPr>
      <w:r>
        <w:rPr>
          <w:spacing w:val="-2"/>
        </w:rPr>
        <w:t>填筑时应先铺大块石料，大面向下，设置平稳，缝隙中填土、砾石、石屑，每</w:t>
      </w:r>
      <w:r>
        <w:rPr>
          <w:spacing w:val="-12"/>
        </w:rPr>
        <w:t xml:space="preserve">层厚 </w:t>
      </w:r>
      <w:r>
        <w:rPr>
          <w:spacing w:val="-4"/>
        </w:rPr>
        <w:t>30～40cm</w:t>
      </w:r>
      <w:r>
        <w:rPr>
          <w:spacing w:val="-8"/>
        </w:rPr>
        <w:t xml:space="preserve">，再用净重 </w:t>
      </w:r>
      <w:r>
        <w:rPr>
          <w:spacing w:val="-4"/>
        </w:rPr>
        <w:t>18T</w:t>
      </w:r>
      <w:r>
        <w:rPr>
          <w:spacing w:val="-11"/>
        </w:rPr>
        <w:t xml:space="preserve"> 以上的凸块式振动压路机和 </w:t>
      </w:r>
      <w:r>
        <w:rPr>
          <w:spacing w:val="-4"/>
        </w:rPr>
        <w:t>50T</w:t>
      </w:r>
      <w:r>
        <w:rPr>
          <w:spacing w:val="-9"/>
        </w:rPr>
        <w:t xml:space="preserve"> 振动压路机碾压。碾</w:t>
      </w:r>
      <w:r>
        <w:rPr>
          <w:spacing w:val="-2"/>
        </w:rPr>
        <w:t>压数遍，土石混填路堤压实第一遍应先进行静压，然后先慢后快（振动压路机最佳</w:t>
      </w:r>
      <w:r>
        <w:rPr>
          <w:spacing w:val="-1"/>
        </w:rPr>
        <w:t xml:space="preserve">速度 </w:t>
      </w:r>
      <w:r>
        <w:rPr>
          <w:spacing w:val="9"/>
        </w:rPr>
        <w:t>3</w:t>
      </w:r>
      <w:r>
        <w:rPr>
          <w:spacing w:val="9"/>
          <w:sz w:val="21"/>
        </w:rPr>
        <w:t>～</w:t>
      </w:r>
      <w:r>
        <w:rPr>
          <w:spacing w:val="9"/>
        </w:rPr>
        <w:t>6km/h</w:t>
      </w:r>
      <w:r>
        <w:rPr>
          <w:spacing w:val="-111"/>
        </w:rPr>
        <w:t>）</w:t>
      </w:r>
      <w:r>
        <w:rPr>
          <w:spacing w:val="-7"/>
        </w:rPr>
        <w:t>、先弱振后强振进行碾压，直至使土达到要求的密实度，使石块之间</w:t>
      </w:r>
    </w:p>
    <w:p>
      <w:pPr>
        <w:spacing w:after="0" w:line="242" w:lineRule="auto"/>
        <w:jc w:val="both"/>
        <w:sectPr>
          <w:footerReference w:type="default" r:id="rId12"/>
          <w:pgSz w:w="12240" w:h="15840"/>
          <w:pgMar w:top="1400" w:right="1080" w:bottom="900" w:left="1400" w:header="0" w:footer="706"/>
          <w:pgNumType w:start="9"/>
          <w:cols w:space="708"/>
        </w:sectPr>
      </w:pPr>
    </w:p>
    <w:p>
      <w:pPr>
        <w:pStyle w:val="BodyText"/>
        <w:spacing w:before="43" w:line="285" w:lineRule="exact"/>
        <w:ind w:left="291"/>
      </w:pPr>
      <w:r>
        <w:rPr>
          <w:spacing w:val="-3"/>
        </w:rPr>
        <w:t>松散接触转变为紧密咬合，具体的填筑厚度、碾压遍数及压实标准按现场试验决定。</w:t>
      </w:r>
    </w:p>
    <w:p>
      <w:pPr>
        <w:pStyle w:val="Heading3"/>
        <w:spacing w:line="408" w:lineRule="exact"/>
      </w:pPr>
      <w:r>
        <w:rPr>
          <w:spacing w:val="-1"/>
        </w:rPr>
        <w:t>七、深挖地段施工方案</w:t>
      </w:r>
    </w:p>
    <w:p>
      <w:pPr>
        <w:pStyle w:val="BodyText"/>
        <w:spacing w:line="242" w:lineRule="auto"/>
        <w:ind w:right="719" w:firstLine="510"/>
        <w:jc w:val="both"/>
      </w:pPr>
      <w:r>
        <w:rPr>
          <w:spacing w:val="-2"/>
        </w:rPr>
        <w:t>深挖路堑的施工方法与普通路堑的施工方法基本相同，但因其开挖量大，施工</w:t>
      </w:r>
      <w:r>
        <w:rPr>
          <w:spacing w:val="-2"/>
        </w:rPr>
        <w:t>时间长，影响边坡稳定的因素多，因此是挖方路基施工的关键。本标段深挖路堑段</w:t>
      </w:r>
      <w:r>
        <w:rPr>
          <w:spacing w:val="-2"/>
        </w:rPr>
        <w:t>落较多，因深挖路堑工程量大，施工环境复杂，技术要求高，施工难度大，是控制</w:t>
      </w:r>
      <w:r>
        <w:rPr>
          <w:spacing w:val="-4"/>
        </w:rPr>
        <w:t>工程进度的关键工程之一，必须精心组织、精心施工，尽早安排施工。具体详见《第</w:t>
      </w:r>
      <w:r>
        <w:rPr>
          <w:spacing w:val="-7"/>
        </w:rPr>
        <w:t>四部分、重点和难点工程的施工方案、方法及其措施》。</w:t>
      </w:r>
    </w:p>
    <w:p>
      <w:pPr>
        <w:pStyle w:val="Heading3"/>
        <w:spacing w:line="385" w:lineRule="exact"/>
      </w:pPr>
      <w:r>
        <w:rPr>
          <w:spacing w:val="-1"/>
        </w:rPr>
        <w:t>八、高路堤的施工方案</w:t>
      </w:r>
    </w:p>
    <w:p>
      <w:pPr>
        <w:pStyle w:val="BodyText"/>
        <w:spacing w:line="242" w:lineRule="auto"/>
        <w:ind w:right="719" w:firstLine="510"/>
        <w:jc w:val="both"/>
      </w:pPr>
      <w:r>
        <w:rPr>
          <w:spacing w:val="-6"/>
        </w:rPr>
        <w:t xml:space="preserve">高填路堤是指高度大于 </w:t>
      </w:r>
      <w:r>
        <w:rPr>
          <w:spacing w:val="-4"/>
        </w:rPr>
        <w:t>8m</w:t>
      </w:r>
      <w:r>
        <w:rPr>
          <w:spacing w:val="-9"/>
        </w:rPr>
        <w:t xml:space="preserve"> 的填方路堤。高填路堤多处于软土地基段，其工作量</w:t>
      </w:r>
      <w:r>
        <w:rPr>
          <w:spacing w:val="-1"/>
        </w:rPr>
        <w:t>和施工难度均较大，是路基施工的关键，我公司将安排实力较强的施工队伍，尽早</w:t>
      </w:r>
    </w:p>
    <w:p>
      <w:pPr>
        <w:spacing w:before="0" w:line="184" w:lineRule="auto"/>
        <w:ind w:left="292" w:right="718" w:firstLine="0"/>
        <w:jc w:val="both"/>
        <w:rPr>
          <w:sz w:val="24"/>
        </w:rPr>
      </w:pPr>
      <w:r>
        <w:rPr>
          <w:sz w:val="24"/>
        </w:rPr>
        <w:t>开工，</w:t>
      </w:r>
      <w:r>
        <w:rPr>
          <w:rFonts w:ascii="Microsoft JhengHei" w:eastAsia="Microsoft JhengHei"/>
          <w:b/>
          <w:sz w:val="24"/>
        </w:rPr>
        <w:t>保证其在整个施工过程中有 6 个月以上的沉降期，当路堤沉降变形达到预期</w:t>
      </w:r>
      <w:r>
        <w:rPr>
          <w:rFonts w:ascii="Microsoft JhengHei" w:eastAsia="Microsoft JhengHei"/>
          <w:b/>
          <w:spacing w:val="-2"/>
          <w:sz w:val="24"/>
        </w:rPr>
        <w:t>设计值后，经监理工程师批准才能进行路面底基层的施工。</w:t>
      </w:r>
      <w:r>
        <w:rPr>
          <w:spacing w:val="-2"/>
          <w:sz w:val="24"/>
        </w:rPr>
        <w:t>具体详见《第四部分、</w:t>
      </w:r>
      <w:r>
        <w:rPr>
          <w:spacing w:val="-8"/>
          <w:sz w:val="24"/>
        </w:rPr>
        <w:t>重点和难点工程的施工方案、方法及其措施》。</w:t>
      </w:r>
    </w:p>
    <w:p>
      <w:pPr>
        <w:pStyle w:val="BodyText"/>
        <w:ind w:left="0"/>
      </w:pPr>
    </w:p>
    <w:p>
      <w:pPr>
        <w:pStyle w:val="BodyText"/>
        <w:ind w:left="0"/>
        <w:rPr>
          <w:sz w:val="27"/>
        </w:rPr>
      </w:pPr>
    </w:p>
    <w:p>
      <w:pPr>
        <w:pStyle w:val="Heading3"/>
        <w:spacing w:line="240" w:lineRule="auto"/>
      </w:pPr>
      <w:r>
        <w:rPr>
          <w:rFonts w:ascii="宋体" w:eastAsia="宋体" w:hint="eastAsia"/>
          <w:b w:val="0"/>
        </w:rPr>
        <w:t>九、</w:t>
      </w:r>
      <w:r>
        <w:rPr>
          <w:spacing w:val="-1"/>
        </w:rPr>
        <w:t>半填半挖、填挖交界、新老路基交界及陡坡路段的处理方案</w:t>
      </w:r>
    </w:p>
    <w:p>
      <w:pPr>
        <w:pStyle w:val="BodyText"/>
        <w:spacing w:before="13" w:line="285" w:lineRule="exact"/>
        <w:ind w:left="1521"/>
      </w:pPr>
      <w:r>
        <w:rPr>
          <w:spacing w:val="-5"/>
        </w:rPr>
        <w:t>具体详见《第四部分、重点和难点工程的施工方案、方法及其措施》。</w:t>
      </w:r>
    </w:p>
    <w:p>
      <w:pPr>
        <w:pStyle w:val="Heading3"/>
        <w:spacing w:line="408" w:lineRule="exact"/>
      </w:pPr>
      <w:r>
        <w:rPr>
          <w:spacing w:val="-1"/>
        </w:rPr>
        <w:t>十、台背回填的处理方案</w:t>
      </w:r>
    </w:p>
    <w:p>
      <w:pPr>
        <w:pStyle w:val="BodyText"/>
        <w:spacing w:line="242" w:lineRule="auto"/>
        <w:ind w:right="719" w:firstLine="492"/>
        <w:jc w:val="both"/>
      </w:pPr>
      <w:r>
        <w:rPr>
          <w:spacing w:val="-2"/>
        </w:rPr>
        <w:t>为减少桥涵台背填土的不均匀沉降，保证行车的舒适性，对所有桥涵的台背回</w:t>
      </w:r>
      <w:r>
        <w:rPr>
          <w:spacing w:val="-2"/>
        </w:rPr>
        <w:t>填均采用透水性良好材料分层碾压，台背处理的范围为：顶部为翼墙尾端不小于台</w:t>
      </w:r>
      <w:r>
        <w:rPr>
          <w:spacing w:val="-10"/>
        </w:rPr>
        <w:t xml:space="preserve">高加 </w:t>
      </w:r>
      <w:r>
        <w:rPr>
          <w:spacing w:val="-6"/>
        </w:rPr>
        <w:t>2m</w:t>
      </w:r>
      <w:r>
        <w:rPr>
          <w:spacing w:val="-7"/>
        </w:rPr>
        <w:t xml:space="preserve">，底部距基础内缘不小于 </w:t>
      </w:r>
      <w:r>
        <w:rPr>
          <w:spacing w:val="-6"/>
        </w:rPr>
        <w:t>2m</w:t>
      </w:r>
      <w:r>
        <w:rPr>
          <w:spacing w:val="-7"/>
        </w:rPr>
        <w:t xml:space="preserve">，涵洞填土长度每侧不小于 </w:t>
      </w:r>
      <w:r>
        <w:rPr>
          <w:spacing w:val="-6"/>
        </w:rPr>
        <w:t>2</w:t>
      </w:r>
      <w:r>
        <w:rPr>
          <w:spacing w:val="-9"/>
        </w:rPr>
        <w:t xml:space="preserve"> 倍孔径长度，其他</w:t>
      </w:r>
      <w:r>
        <w:rPr>
          <w:spacing w:val="-2"/>
        </w:rPr>
        <w:t>部分与土方同时填筑。具体详见《第四部分、重点和难点工程的施工方案、方法及</w:t>
      </w:r>
      <w:r>
        <w:rPr>
          <w:spacing w:val="-28"/>
        </w:rPr>
        <w:t>其措施》。</w:t>
      </w:r>
    </w:p>
    <w:p>
      <w:pPr>
        <w:pStyle w:val="Heading3"/>
        <w:spacing w:line="385" w:lineRule="exact"/>
      </w:pPr>
      <w:r>
        <w:rPr>
          <w:spacing w:val="-1"/>
        </w:rPr>
        <w:t>十一、路基精加工施工</w:t>
      </w:r>
    </w:p>
    <w:p>
      <w:pPr>
        <w:pStyle w:val="BodyText"/>
        <w:spacing w:line="242" w:lineRule="auto"/>
        <w:ind w:right="719" w:firstLine="510"/>
        <w:jc w:val="both"/>
      </w:pPr>
      <w:r>
        <w:rPr>
          <w:spacing w:val="-2"/>
        </w:rPr>
        <w:t>路基精加工是控制路基工程质量和进度的关键工序，首先必须严格选用填料，</w:t>
      </w:r>
      <w:r>
        <w:rPr>
          <w:spacing w:val="-3"/>
        </w:rPr>
        <w:t xml:space="preserve">精加工填料质量用 </w:t>
      </w:r>
      <w:r>
        <w:t>CBR</w:t>
      </w:r>
      <w:r>
        <w:rPr>
          <w:spacing w:val="-6"/>
        </w:rPr>
        <w:t xml:space="preserve"> 值严格控制。具体详见《第四部分、重点和难点工程的施工</w:t>
      </w:r>
      <w:r>
        <w:rPr>
          <w:spacing w:val="-13"/>
        </w:rPr>
        <w:t>方案、方法及其措施》。</w:t>
      </w:r>
    </w:p>
    <w:p>
      <w:pPr>
        <w:pStyle w:val="BodyText"/>
        <w:spacing w:before="2"/>
        <w:ind w:left="0"/>
        <w:rPr>
          <w:sz w:val="25"/>
        </w:rPr>
      </w:pPr>
    </w:p>
    <w:p>
      <w:pPr>
        <w:pStyle w:val="Heading1"/>
        <w:ind w:left="2128" w:right="1988"/>
        <w:rPr>
          <w:rFonts w:ascii="Microsoft JhengHei" w:eastAsia="Microsoft JhengHei"/>
        </w:rPr>
      </w:pPr>
      <w:r>
        <w:rPr>
          <w:rFonts w:ascii="Microsoft JhengHei" w:eastAsia="Microsoft JhengHei"/>
        </w:rPr>
        <w:t>第二部分</w:t>
      </w:r>
      <w:r>
        <w:rPr>
          <w:rFonts w:ascii="Microsoft JhengHei" w:eastAsia="Microsoft JhengHei"/>
          <w:spacing w:val="56"/>
          <w:w w:val="150"/>
        </w:rPr>
        <w:t xml:space="preserve"> </w:t>
      </w:r>
      <w:r>
        <w:rPr>
          <w:rFonts w:ascii="Microsoft JhengHei" w:eastAsia="Microsoft JhengHei"/>
          <w:spacing w:val="-1"/>
        </w:rPr>
        <w:t>质量保证体系和质量保证措施</w:t>
      </w:r>
    </w:p>
    <w:p>
      <w:pPr>
        <w:pStyle w:val="BodyText"/>
        <w:spacing w:before="242" w:line="242" w:lineRule="auto"/>
        <w:ind w:right="718" w:firstLine="505"/>
      </w:pPr>
      <w:r>
        <w:rPr>
          <w:spacing w:val="-2"/>
        </w:rPr>
        <w:t>为确保本段土石方工程施工管理和工程质量达到全优工程，我部将建立完善的</w:t>
      </w:r>
      <w:r>
        <w:rPr>
          <w:spacing w:val="-2"/>
        </w:rPr>
        <w:t>质量保证体系，制定完备的质量保证措施。</w:t>
      </w:r>
    </w:p>
    <w:p>
      <w:pPr>
        <w:spacing w:before="0" w:line="298" w:lineRule="exact"/>
        <w:ind w:left="797" w:right="0" w:firstLine="0"/>
        <w:jc w:val="left"/>
        <w:rPr>
          <w:rFonts w:ascii="Microsoft JhengHei" w:eastAsia="Microsoft JhengHei"/>
          <w:b/>
          <w:sz w:val="24"/>
        </w:rPr>
      </w:pPr>
      <w:r>
        <w:rPr>
          <w:rFonts w:ascii="Microsoft JhengHei" w:eastAsia="Microsoft JhengHei"/>
          <w:b/>
          <w:spacing w:val="-2"/>
          <w:sz w:val="24"/>
        </w:rPr>
        <w:t>一、质量目标</w:t>
      </w:r>
    </w:p>
    <w:p>
      <w:pPr>
        <w:spacing w:before="28" w:line="170" w:lineRule="auto"/>
        <w:ind w:left="292" w:right="718" w:firstLine="505"/>
        <w:jc w:val="left"/>
        <w:rPr>
          <w:rFonts w:ascii="Microsoft JhengHei" w:eastAsia="Microsoft JhengHei"/>
          <w:b/>
          <w:sz w:val="24"/>
        </w:rPr>
      </w:pPr>
      <w:r>
        <w:rPr>
          <w:spacing w:val="-4"/>
          <w:sz w:val="24"/>
        </w:rPr>
        <w:t>本项目的质量目标：</w:t>
      </w:r>
      <w:r>
        <w:rPr>
          <w:rFonts w:ascii="Microsoft JhengHei" w:eastAsia="Microsoft JhengHei"/>
          <w:b/>
          <w:spacing w:val="-5"/>
          <w:sz w:val="24"/>
        </w:rPr>
        <w:t xml:space="preserve">严格按技术要求施工，工程一次交验合格率 </w:t>
      </w:r>
      <w:r>
        <w:rPr>
          <w:rFonts w:ascii="Microsoft JhengHei" w:eastAsia="Microsoft JhengHei"/>
          <w:b/>
          <w:spacing w:val="-4"/>
          <w:sz w:val="24"/>
        </w:rPr>
        <w:t>100%，优良率</w:t>
      </w:r>
      <w:r>
        <w:rPr>
          <w:rFonts w:ascii="Microsoft JhengHei" w:eastAsia="Microsoft JhengHei"/>
          <w:b/>
          <w:sz w:val="24"/>
        </w:rPr>
        <w:t>达到 95%</w:t>
      </w:r>
      <w:r>
        <w:rPr>
          <w:rFonts w:ascii="Microsoft JhengHei" w:eastAsia="Microsoft JhengHei"/>
          <w:b/>
          <w:sz w:val="24"/>
        </w:rPr>
        <w:t>以上。</w:t>
      </w:r>
    </w:p>
    <w:p>
      <w:pPr>
        <w:spacing w:before="0" w:line="319" w:lineRule="exact"/>
        <w:ind w:left="797" w:right="0" w:firstLine="0"/>
        <w:jc w:val="left"/>
        <w:rPr>
          <w:rFonts w:ascii="Microsoft JhengHei" w:eastAsia="Microsoft JhengHei"/>
          <w:b/>
          <w:sz w:val="24"/>
        </w:rPr>
      </w:pPr>
      <w:r>
        <w:rPr>
          <w:rFonts w:ascii="Microsoft JhengHei" w:eastAsia="Microsoft JhengHei"/>
          <w:b/>
          <w:spacing w:val="-2"/>
          <w:sz w:val="24"/>
        </w:rPr>
        <w:t>二、质量保证依据</w:t>
      </w:r>
    </w:p>
    <w:p>
      <w:pPr>
        <w:pStyle w:val="BodyText"/>
        <w:spacing w:line="282" w:lineRule="exact"/>
        <w:ind w:left="745"/>
      </w:pPr>
      <w:r>
        <w:rPr>
          <w:spacing w:val="-17"/>
        </w:rPr>
        <w:t>本项目质量计划依据主要是：交通部《公路桥涵施工技术规范》、《公路工程国内</w:t>
      </w:r>
    </w:p>
    <w:p>
      <w:pPr>
        <w:pStyle w:val="BodyText"/>
        <w:spacing w:before="3" w:line="242" w:lineRule="auto"/>
        <w:ind w:left="291" w:right="719"/>
      </w:pPr>
      <w:r>
        <w:rPr>
          <w:spacing w:val="-12"/>
        </w:rPr>
        <w:t>招标文件范本》中技术规范、《沪瑞国道主干线金鱼石</w:t>
      </w:r>
      <w:r>
        <w:rPr>
          <w:spacing w:val="-2"/>
        </w:rPr>
        <w:t>（湘赣界）至湘潭公路项目土</w:t>
      </w:r>
      <w:r>
        <w:rPr>
          <w:spacing w:val="-2"/>
        </w:rPr>
        <w:t>建工程施工招标文件》中补充技术规范、湖南常德路桥建设有限公司《IS09001</w:t>
      </w:r>
      <w:r>
        <w:rPr>
          <w:spacing w:val="-23"/>
        </w:rPr>
        <w:t xml:space="preserve"> 质量</w:t>
      </w:r>
    </w:p>
    <w:p>
      <w:pPr>
        <w:spacing w:after="0" w:line="242" w:lineRule="auto"/>
        <w:sectPr>
          <w:footerReference w:type="default" r:id="rId13"/>
          <w:pgSz w:w="12240" w:h="15840"/>
          <w:pgMar w:top="1400" w:right="1080" w:bottom="900" w:left="1400" w:header="0" w:footer="706"/>
          <w:pgNumType w:start="10"/>
          <w:cols w:space="708"/>
        </w:sectPr>
      </w:pPr>
    </w:p>
    <w:p>
      <w:pPr>
        <w:pStyle w:val="BodyText"/>
        <w:spacing w:before="43" w:line="270" w:lineRule="exact"/>
        <w:ind w:left="291"/>
      </w:pPr>
      <w:r>
        <w:pict>
          <v:group id="_x0000_s1055" style="width:376.55pt;height:91.85pt;margin-top:700.54pt;margin-left:129.57pt;mso-position-horizontal-relative:page;mso-position-vertical-relative:page;position:absolute;z-index:-251655168" coordorigin="2591,14011" coordsize="7531,1837">
            <v:shape id="_x0000_s1056" style="width:1462;height:58;left:2599;position:absolute;top:15782" coordorigin="2599,15782" coordsize="1462,58" path="m2599,15782l4061,15782,4061,15840m2599,15840l2599,15782e" filled="f" stroked="t" strokecolor="black" strokeweight="0.75pt">
              <v:stroke dashstyle="solid"/>
              <v:path arrowok="t"/>
            </v:shape>
            <v:shape id="_x0000_s1057" style="width:120;height:120;left:3230;position:absolute;top:15693" coordorigin="3230,15693" coordsize="120,120" path="m3290,15813l3230,15693,3350,15693,3290,15813xe" filled="t" fillcolor="black" stroked="f">
              <v:fill type="solid"/>
              <v:path arrowok="t"/>
            </v:shape>
            <v:line id="_x0000_s1058" style="position:absolute" from="3290,15470" to="3290,15791" stroked="t" strokecolor="black" strokeweight="0.75pt">
              <v:stroke dashstyle="solid"/>
            </v:line>
            <v:line id="_x0000_s1059" style="position:absolute" from="3279,15451" to="7664,15451" stroked="t" strokecolor="black" strokeweight="0.75pt">
              <v:stroke dashstyle="solid"/>
            </v:line>
            <v:shape id="_x0000_s1060" style="width:1886;height:51;left:6700;position:absolute;top:15789" coordorigin="6700,15789" coordsize="1886,51" path="m6700,15789l8586,15789,8586,15840m6700,15840l6700,15789e" filled="f" stroked="t" strokecolor="black" strokeweight="0.75pt">
              <v:stroke dashstyle="solid"/>
              <v:path arrowok="t"/>
            </v:shape>
            <v:shape id="_x0000_s1061" style="width:120;height:120;left:7604;position:absolute;top:15693" coordorigin="7604,15693" coordsize="120,120" path="m7664,15813l7604,15693,7724,15693,7664,15813xe" filled="t" fillcolor="black" stroked="f">
              <v:fill type="solid"/>
              <v:path arrowok="t"/>
            </v:shape>
            <v:line id="_x0000_s1062" style="position:absolute" from="7664,15470" to="7664,15791" stroked="t" strokecolor="black" strokeweight="0.75pt">
              <v:stroke dashstyle="solid"/>
            </v:line>
            <v:rect id="_x0000_s1063" style="width:1137;height:514;left:5009;position:absolute;top:14509" filled="f" stroked="t" strokecolor="black" strokeweight="0.75pt">
              <v:stroke dashstyle="solid"/>
            </v:rect>
            <v:shape id="_x0000_s1064" style="width:120;height:121;left:5515;position:absolute;top:14391" coordorigin="5516,14391" coordsize="120,121" path="m5576,14511l5516,14392,5636,14391,5576,14511xe" filled="t" fillcolor="black" stroked="f">
              <v:fill type="solid"/>
              <v:path arrowok="t"/>
            </v:shape>
            <v:line id="_x0000_s1065" style="position:absolute" from="5574,14018" to="5576,14489" stroked="t" strokecolor="black" strokeweight="0.75pt">
              <v:stroke dashstyle="solid"/>
            </v:line>
            <v:line id="_x0000_s1066" style="position:absolute" from="5574,15011" to="5574,15476" stroked="t" strokecolor="black" strokeweight="0.75pt">
              <v:stroke dashstyle="solid"/>
            </v:line>
            <v:shape id="_x0000_s1067" style="width:120;height:120;left:5575;position:absolute;top:15073" coordorigin="5575,15073" coordsize="120,120" path="m5695,15193l5575,15133,5695,15073,5695,15193xe" filled="t" fillcolor="black" stroked="f">
              <v:fill type="solid"/>
              <v:path arrowok="t"/>
            </v:shape>
            <v:line id="_x0000_s1068" style="position:absolute" from="10096,15840" to="10096,15134" stroked="t" strokecolor="black" strokeweight="0.75pt">
              <v:stroke dashstyle="solid"/>
            </v:line>
            <v:line id="_x0000_s1069" style="position:absolute" from="10122,15133" to="5598,15133" stroked="t" strokecolor="black" strokeweight="0.75pt">
              <v:stroke dashstyle="solid"/>
            </v:line>
          </v:group>
        </w:pict>
      </w:r>
      <w:r>
        <w:rPr>
          <w:spacing w:val="-12"/>
        </w:rPr>
        <w:t>保证体系∶质量手册》。</w:t>
      </w:r>
    </w:p>
    <w:p>
      <w:pPr>
        <w:pStyle w:val="Heading3"/>
        <w:spacing w:line="378" w:lineRule="exact"/>
        <w:ind w:left="797"/>
      </w:pPr>
      <w:r>
        <w:rPr>
          <w:spacing w:val="-2"/>
        </w:rPr>
        <w:t>三、质量保证体系</w:t>
      </w:r>
    </w:p>
    <w:p>
      <w:pPr>
        <w:pStyle w:val="BodyText"/>
        <w:spacing w:line="282" w:lineRule="exact"/>
        <w:ind w:left="784"/>
      </w:pPr>
      <w:r>
        <w:rPr>
          <w:spacing w:val="-6"/>
        </w:rPr>
        <w:t xml:space="preserve">我公司已通过 </w:t>
      </w:r>
      <w:r>
        <w:t>IS09001</w:t>
      </w:r>
      <w:r>
        <w:rPr>
          <w:spacing w:val="-9"/>
        </w:rPr>
        <w:t xml:space="preserve"> 质量保证体系认证，本项目我们将按 </w:t>
      </w:r>
      <w:r>
        <w:t>IS09001</w:t>
      </w:r>
      <w:r>
        <w:rPr>
          <w:spacing w:val="-12"/>
        </w:rPr>
        <w:t xml:space="preserve"> 国际质量</w:t>
      </w:r>
    </w:p>
    <w:p>
      <w:pPr>
        <w:pStyle w:val="BodyText"/>
        <w:spacing w:before="4" w:line="242" w:lineRule="auto"/>
        <w:ind w:right="599"/>
      </w:pPr>
      <w:r>
        <w:rPr>
          <w:spacing w:val="-3"/>
        </w:rPr>
        <w:t>体系和全面质量管理进行管理，细化落实工序环节管理，建立严格的质量管理制度，</w:t>
      </w:r>
      <w:r>
        <w:rPr>
          <w:spacing w:val="1"/>
        </w:rPr>
        <w:t>健全质量奖罚制度。严格控制施工质量，百分之百满足业主的要求。采取有效的安全与环保措施，确保施工的顺利进行。</w:t>
      </w:r>
    </w:p>
    <w:p>
      <w:pPr>
        <w:pStyle w:val="BodyText"/>
        <w:spacing w:before="2"/>
        <w:ind w:left="797"/>
      </w:pPr>
      <w:r>
        <w:t>1</w:t>
      </w:r>
      <w:r>
        <w:rPr>
          <w:spacing w:val="-1"/>
        </w:rPr>
        <w:t>、质量检查组织机构：</w:t>
      </w:r>
    </w:p>
    <w:p>
      <w:pPr>
        <w:pStyle w:val="ListParagraph"/>
        <w:numPr>
          <w:ilvl w:val="0"/>
          <w:numId w:val="28"/>
        </w:numPr>
        <w:tabs>
          <w:tab w:val="left" w:pos="1025"/>
        </w:tabs>
        <w:spacing w:before="4" w:after="0" w:line="242" w:lineRule="auto"/>
        <w:ind w:left="292" w:right="719" w:firstLine="492"/>
        <w:jc w:val="both"/>
        <w:rPr>
          <w:sz w:val="24"/>
        </w:rPr>
      </w:pPr>
      <w:r>
        <w:rPr>
          <w:spacing w:val="-2"/>
          <w:sz w:val="24"/>
        </w:rPr>
        <w:t>、成立以项目经理为组长、总工程师、项目经理部工程技术负责人和质检部负责人为副组长的全面质量管理领导小组，形成行政上支持，技术上把关的良性循</w:t>
      </w:r>
      <w:r>
        <w:rPr>
          <w:spacing w:val="-2"/>
          <w:sz w:val="24"/>
        </w:rPr>
        <w:t>环，负责工程总体需求量控制。</w:t>
      </w:r>
    </w:p>
    <w:p>
      <w:pPr>
        <w:pStyle w:val="ListParagraph"/>
        <w:numPr>
          <w:ilvl w:val="0"/>
          <w:numId w:val="28"/>
        </w:numPr>
        <w:tabs>
          <w:tab w:val="left" w:pos="1025"/>
        </w:tabs>
        <w:spacing w:before="2" w:after="0" w:line="242" w:lineRule="auto"/>
        <w:ind w:left="292" w:right="719" w:firstLine="492"/>
        <w:jc w:val="left"/>
        <w:rPr>
          <w:sz w:val="24"/>
        </w:rPr>
      </w:pPr>
      <w:r>
        <w:rPr>
          <w:spacing w:val="-2"/>
          <w:sz w:val="24"/>
        </w:rPr>
        <w:t>、由施工组负责人、技术负责人并配备相应的技术人员及质检员，成立质量</w:t>
      </w:r>
      <w:r>
        <w:rPr>
          <w:spacing w:val="-2"/>
          <w:sz w:val="24"/>
        </w:rPr>
        <w:t>自检小组，形成第一级自检体系。</w:t>
      </w:r>
    </w:p>
    <w:p>
      <w:pPr>
        <w:pStyle w:val="ListParagraph"/>
        <w:numPr>
          <w:ilvl w:val="0"/>
          <w:numId w:val="28"/>
        </w:numPr>
        <w:tabs>
          <w:tab w:val="left" w:pos="1025"/>
        </w:tabs>
        <w:spacing w:before="1" w:after="0" w:line="242" w:lineRule="auto"/>
        <w:ind w:left="292" w:right="719" w:firstLine="492"/>
        <w:jc w:val="left"/>
        <w:rPr>
          <w:sz w:val="24"/>
        </w:rPr>
      </w:pPr>
      <w:r>
        <w:rPr>
          <w:spacing w:val="-2"/>
          <w:sz w:val="24"/>
        </w:rPr>
        <w:t>、配备强有力的质检技术力量，以质检部为龙头，组织试验室、测量组、电</w:t>
      </w:r>
      <w:r>
        <w:rPr>
          <w:spacing w:val="-2"/>
          <w:sz w:val="24"/>
        </w:rPr>
        <w:t>算室实施各工序的管理和数据检测，形成第二级自检体系。</w:t>
      </w:r>
    </w:p>
    <w:p>
      <w:pPr>
        <w:pStyle w:val="ListParagraph"/>
        <w:numPr>
          <w:ilvl w:val="0"/>
          <w:numId w:val="28"/>
        </w:numPr>
        <w:tabs>
          <w:tab w:val="left" w:pos="1025"/>
        </w:tabs>
        <w:spacing w:before="2" w:after="0" w:line="242" w:lineRule="auto"/>
        <w:ind w:left="292" w:right="719" w:firstLine="492"/>
        <w:jc w:val="left"/>
        <w:rPr>
          <w:sz w:val="24"/>
        </w:rPr>
      </w:pPr>
      <w:r>
        <w:rPr>
          <w:spacing w:val="-2"/>
          <w:sz w:val="24"/>
        </w:rPr>
        <w:t>、质检人员在施工过程中，被授予事前介入权、事中检查权、事后验收权、</w:t>
      </w:r>
      <w:r>
        <w:rPr>
          <w:spacing w:val="-2"/>
          <w:sz w:val="24"/>
        </w:rPr>
        <w:t>质量否决权，项目部质检部直接对项目经理部负责，不受任何人，任何事干扰。</w:t>
      </w:r>
    </w:p>
    <w:p>
      <w:pPr>
        <w:pStyle w:val="ListParagraph"/>
        <w:numPr>
          <w:ilvl w:val="0"/>
          <w:numId w:val="28"/>
        </w:numPr>
        <w:tabs>
          <w:tab w:val="left" w:pos="1025"/>
        </w:tabs>
        <w:spacing w:before="1" w:after="0" w:line="242" w:lineRule="auto"/>
        <w:ind w:left="292" w:right="719" w:firstLine="492"/>
        <w:jc w:val="left"/>
        <w:rPr>
          <w:sz w:val="24"/>
        </w:rPr>
      </w:pPr>
      <w:r>
        <w:rPr>
          <w:spacing w:val="-2"/>
          <w:sz w:val="24"/>
        </w:rPr>
        <w:t>、专职质检人员必须是经过专门培训，具有一定资质和现场施工经验的专业</w:t>
      </w:r>
      <w:r>
        <w:rPr>
          <w:spacing w:val="-2"/>
          <w:sz w:val="24"/>
        </w:rPr>
        <w:t>技术人员，经项目经理部批准后方能担任。</w:t>
      </w:r>
    </w:p>
    <w:p>
      <w:pPr>
        <w:pStyle w:val="ListParagraph"/>
        <w:numPr>
          <w:ilvl w:val="0"/>
          <w:numId w:val="28"/>
        </w:numPr>
        <w:tabs>
          <w:tab w:val="left" w:pos="1025"/>
        </w:tabs>
        <w:spacing w:before="1" w:after="0" w:line="242" w:lineRule="auto"/>
        <w:ind w:left="292" w:right="719" w:firstLine="492"/>
        <w:jc w:val="left"/>
        <w:rPr>
          <w:sz w:val="24"/>
        </w:rPr>
      </w:pPr>
      <w:r>
        <w:rPr>
          <w:spacing w:val="-2"/>
          <w:sz w:val="24"/>
        </w:rPr>
        <w:t>、本项目内部质量管理体系的质检职能分配及相互关系见附图《质量管理体</w:t>
      </w:r>
      <w:r>
        <w:rPr>
          <w:spacing w:val="-2"/>
          <w:sz w:val="24"/>
        </w:rPr>
        <w:t>系质检职能分配及信息流程图》</w:t>
      </w:r>
    </w:p>
    <w:p>
      <w:pPr>
        <w:pStyle w:val="BodyText"/>
        <w:spacing w:before="2"/>
        <w:ind w:left="797"/>
      </w:pPr>
      <w:r>
        <w:t>2</w:t>
      </w:r>
      <w:r>
        <w:rPr>
          <w:spacing w:val="-1"/>
        </w:rPr>
        <w:t>、工序质量检查程序：</w:t>
      </w:r>
    </w:p>
    <w:p>
      <w:pPr>
        <w:pStyle w:val="BodyText"/>
        <w:spacing w:before="3" w:line="242" w:lineRule="auto"/>
        <w:ind w:right="718" w:firstLine="505"/>
      </w:pPr>
      <w:r>
        <w:rPr>
          <w:spacing w:val="-2"/>
        </w:rPr>
        <w:t>作业班（组）在每一道工序过程完成后，由各班（组）的质量检查小组按设计</w:t>
      </w:r>
      <w:r>
        <w:rPr>
          <w:spacing w:val="-2"/>
        </w:rPr>
        <w:t>图纸和技术规范要求进行自检，合格后报项目经理部的质检科进行复检。</w:t>
      </w:r>
    </w:p>
    <w:p>
      <w:pPr>
        <w:pStyle w:val="BodyText"/>
        <w:spacing w:before="2" w:line="242" w:lineRule="auto"/>
        <w:ind w:right="718" w:firstLine="505"/>
        <w:jc w:val="both"/>
      </w:pPr>
      <w:r>
        <w:rPr>
          <w:spacing w:val="-2"/>
        </w:rPr>
        <w:t>项目经理部质检科确认自检组的检查有效并签字后进行复检。经质检科复查合</w:t>
      </w:r>
      <w:r>
        <w:rPr>
          <w:spacing w:val="-2"/>
        </w:rPr>
        <w:t>格，质检工程师签字后将检查表格报送监理工程师，请监理工程师进行检查，检查</w:t>
      </w:r>
      <w:r>
        <w:rPr>
          <w:spacing w:val="-2"/>
        </w:rPr>
        <w:t>合格后方可进行下道工序施工或计量支付（每道工序完成后及单项工程完成后的质</w:t>
      </w:r>
      <w:r>
        <w:rPr>
          <w:spacing w:val="-2"/>
        </w:rPr>
        <w:t>检流程图附后</w:t>
      </w:r>
      <w:r>
        <w:rPr>
          <w:spacing w:val="-120"/>
        </w:rPr>
        <w:t>）</w:t>
      </w:r>
      <w:r>
        <w:rPr>
          <w:spacing w:val="-2"/>
        </w:rPr>
        <w:t>。</w:t>
      </w:r>
    </w:p>
    <w:p>
      <w:pPr>
        <w:pStyle w:val="BodyText"/>
        <w:ind w:left="0"/>
      </w:pPr>
    </w:p>
    <w:p>
      <w:pPr>
        <w:pStyle w:val="BodyText"/>
        <w:ind w:left="0"/>
      </w:pPr>
    </w:p>
    <w:p>
      <w:pPr>
        <w:pStyle w:val="BodyText"/>
        <w:ind w:left="0"/>
      </w:pPr>
    </w:p>
    <w:p>
      <w:pPr>
        <w:pStyle w:val="BodyText"/>
        <w:spacing w:before="10"/>
        <w:ind w:left="0"/>
        <w:rPr>
          <w:sz w:val="26"/>
        </w:rPr>
      </w:pPr>
    </w:p>
    <w:p>
      <w:pPr>
        <w:spacing w:before="0"/>
        <w:ind w:left="1561" w:right="1988" w:firstLine="0"/>
        <w:jc w:val="center"/>
        <w:rPr>
          <w:rFonts w:ascii="Microsoft JhengHei" w:eastAsia="Microsoft JhengHei"/>
          <w:b/>
          <w:sz w:val="30"/>
        </w:rPr>
      </w:pPr>
      <w:r>
        <w:rPr>
          <w:rFonts w:ascii="Microsoft JhengHei" w:eastAsia="Microsoft JhengHei"/>
          <w:b/>
          <w:spacing w:val="-1"/>
          <w:sz w:val="30"/>
        </w:rPr>
        <w:t>质量检查组织机构示意图</w:t>
      </w: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spacing w:before="8"/>
        <w:ind w:left="0"/>
        <w:rPr>
          <w:rFonts w:ascii="Microsoft JhengHei"/>
          <w:b/>
          <w:sz w:val="23"/>
        </w:rPr>
      </w:pPr>
      <w:r>
        <w:pict>
          <v:shape id="_x0000_s1070" type="#_x0000_t202" style="width:61.9pt;height:39.95pt;margin-top:23.15pt;margin-left:253.1pt;mso-position-horizontal-relative:page;mso-wrap-distance-left:0;mso-wrap-distance-right:0;position:absolute;z-index:-251654144" filled="f" stroked="t" strokecolor="black" strokeweight="0.75pt">
            <v:stroke dashstyle="solid"/>
            <v:textbox inset="0,0,0,0">
              <w:txbxContent>
                <w:p>
                  <w:pPr>
                    <w:spacing w:before="75" w:line="242" w:lineRule="auto"/>
                    <w:ind w:left="191" w:right="189" w:firstLine="0"/>
                    <w:jc w:val="left"/>
                    <w:rPr>
                      <w:sz w:val="21"/>
                    </w:rPr>
                  </w:pPr>
                  <w:r>
                    <w:rPr>
                      <w:spacing w:val="-4"/>
                      <w:sz w:val="21"/>
                    </w:rPr>
                    <w:t>项目经理</w:t>
                  </w:r>
                  <w:r>
                    <w:rPr>
                      <w:spacing w:val="-3"/>
                      <w:sz w:val="21"/>
                    </w:rPr>
                    <w:t>总工程师</w:t>
                  </w:r>
                </w:p>
              </w:txbxContent>
            </v:textbox>
            <w10:wrap type="topAndBottom"/>
          </v:shape>
        </w:pict>
      </w:r>
    </w:p>
    <w:p>
      <w:pPr>
        <w:pStyle w:val="BodyText"/>
        <w:spacing w:before="16"/>
        <w:ind w:left="0"/>
        <w:rPr>
          <w:rFonts w:ascii="Microsoft JhengHei"/>
          <w:b/>
          <w:sz w:val="26"/>
        </w:rPr>
      </w:pPr>
    </w:p>
    <w:p>
      <w:pPr>
        <w:spacing w:before="70"/>
        <w:ind w:left="585" w:right="1988" w:firstLine="0"/>
        <w:jc w:val="center"/>
        <w:rPr>
          <w:sz w:val="21"/>
        </w:rPr>
      </w:pPr>
      <w:r>
        <w:rPr>
          <w:spacing w:val="-4"/>
          <w:sz w:val="21"/>
        </w:rPr>
        <w:t>质检科</w:t>
      </w:r>
    </w:p>
    <w:p>
      <w:pPr>
        <w:spacing w:after="0"/>
        <w:jc w:val="center"/>
        <w:rPr>
          <w:sz w:val="21"/>
        </w:rPr>
        <w:sectPr>
          <w:footerReference w:type="default" r:id="rId14"/>
          <w:pgSz w:w="12240" w:h="15840"/>
          <w:pgMar w:top="1400" w:right="1080" w:bottom="900" w:left="1400" w:header="0" w:footer="706"/>
          <w:pgNumType w:start="11"/>
          <w:cols w:space="708"/>
        </w:sectPr>
      </w:pPr>
    </w:p>
    <w:p>
      <w:pPr>
        <w:pStyle w:val="BodyText"/>
        <w:spacing w:before="7"/>
        <w:ind w:left="0"/>
        <w:rPr>
          <w:sz w:val="15"/>
        </w:rPr>
      </w:pPr>
    </w:p>
    <w:p>
      <w:pPr>
        <w:spacing w:after="0"/>
        <w:rPr>
          <w:sz w:val="15"/>
        </w:rPr>
        <w:sectPr>
          <w:footerReference w:type="default" r:id="rId15"/>
          <w:pgSz w:w="12240" w:h="15840"/>
          <w:pgMar w:top="1820" w:right="1080" w:bottom="900" w:left="1400" w:header="0" w:footer="706"/>
          <w:pgNumType w:start="12"/>
          <w:cols w:space="708"/>
        </w:sectPr>
      </w:pPr>
    </w:p>
    <w:p>
      <w:pPr>
        <w:pStyle w:val="Heading1"/>
        <w:spacing w:line="528" w:lineRule="exact"/>
        <w:ind w:left="1561" w:right="1988"/>
        <w:rPr>
          <w:rFonts w:ascii="Microsoft JhengHei" w:eastAsia="Microsoft JhengHei"/>
        </w:rPr>
      </w:pPr>
      <w:r>
        <w:rPr>
          <w:rFonts w:ascii="Microsoft JhengHei" w:eastAsia="Microsoft JhengHei"/>
          <w:spacing w:val="-2"/>
        </w:rPr>
        <w:t>质量检查程序</w:t>
      </w:r>
    </w:p>
    <w:p>
      <w:pPr>
        <w:pStyle w:val="BodyText"/>
        <w:spacing w:before="17"/>
        <w:ind w:left="0"/>
        <w:rPr>
          <w:rFonts w:ascii="Microsoft JhengHei"/>
          <w:b/>
          <w:sz w:val="22"/>
        </w:rPr>
      </w:pPr>
    </w:p>
    <w:p>
      <w:pPr>
        <w:pStyle w:val="BodyText"/>
        <w:ind w:left="291"/>
      </w:pPr>
      <w:r>
        <w:t>1</w:t>
      </w:r>
      <w:r>
        <w:rPr>
          <w:spacing w:val="-1"/>
        </w:rPr>
        <w:t>、每道工序完成后，质量检验流程图如下：</w:t>
      </w:r>
    </w:p>
    <w:p>
      <w:pPr>
        <w:pStyle w:val="BodyText"/>
        <w:ind w:left="0"/>
        <w:rPr>
          <w:sz w:val="20"/>
        </w:rPr>
      </w:pPr>
    </w:p>
    <w:p>
      <w:pPr>
        <w:pStyle w:val="BodyText"/>
        <w:spacing w:before="9"/>
        <w:ind w:left="0"/>
      </w:pPr>
      <w:r>
        <w:pict>
          <v:group id="_x0000_s1071" style="width:254.55pt;height:274.15pt;margin-top:17.07pt;margin-left:182.02pt;mso-position-horizontal-relative:page;mso-wrap-distance-left:0;mso-wrap-distance-right:0;position:absolute;z-index:-251648000" coordorigin="3640,341" coordsize="5091,5483">
            <v:shape id="_x0000_s1072" style="width:78;height:121;left:4995;position:absolute;top:1158" coordorigin="4996,1159" coordsize="78,121" path="m5035,1279l4996,1159,5074,1159,5035,1279xe" filled="t" fillcolor="black" stroked="f">
              <v:fill type="solid"/>
              <v:path arrowok="t"/>
            </v:shape>
            <v:line id="_x0000_s1073" style="position:absolute" from="5034,839" to="5035,1256" stroked="t" strokecolor="black" strokeweight="0.75pt">
              <v:stroke dashstyle="solid"/>
            </v:line>
            <v:shape id="_x0000_s1074" style="width:120;height:78;left:5034;position:absolute;top:1053" coordorigin="5034,1054" coordsize="120,78" path="m5154,1132l5034,1093,5154,1054,5154,1132xe" filled="t" fillcolor="black" stroked="f">
              <v:fill type="solid"/>
              <v:path arrowok="t"/>
            </v:shape>
            <v:rect id="_x0000_s1075" style="width:540;height:1872;left:8184;position:absolute;top:2046" filled="f" stroked="t" strokecolor="black" strokeweight="0.75pt">
              <v:stroke dashstyle="solid"/>
            </v:rect>
            <v:shape id="_x0000_s1076" style="width:120;height:78;left:8064;position:absolute;top:3118" coordorigin="8064,3119" coordsize="120,78" path="m8064,3197l8064,3119,8184,3158,8064,3197xe" filled="t" fillcolor="black" stroked="f">
              <v:fill type="solid"/>
              <v:path arrowok="t"/>
            </v:shape>
            <v:line id="_x0000_s1077" style="position:absolute" from="6174,3158" to="8161,3158" stroked="t" strokecolor="black" strokeweight="0.75pt">
              <v:stroke dashstyle="solid"/>
            </v:line>
            <v:shape id="_x0000_s1078" style="width:120;height:78;left:8034;position:absolute;top:2368" coordorigin="8034,2369" coordsize="120,78" path="m8034,2447l8034,2369,8154,2408,8034,2447xe" filled="t" fillcolor="black" stroked="f">
              <v:fill type="solid"/>
              <v:path arrowok="t"/>
            </v:shape>
            <v:shape id="_x0000_s1079" style="width:1943;height:870;left:6189;position:absolute;top:1537" coordorigin="6189,1538" coordsize="1943,870" path="m6189,1538l7794,1538,7794,2408,8131,2408e" filled="f" stroked="t" strokecolor="black" strokeweight="0.75pt">
              <v:stroke dashstyle="solid"/>
              <v:path arrowok="t"/>
            </v:shape>
            <v:shape id="_x0000_s1080" style="width:78;height:120;left:8460;position:absolute;top:3917" coordorigin="8460,3918" coordsize="78,120" path="m8538,4038l8460,4038,8499,3918,8538,4038xe" filled="t" fillcolor="black" stroked="f">
              <v:fill type="solid"/>
              <v:path arrowok="t"/>
            </v:shape>
            <v:shape id="_x0000_s1081" style="width:2310;height:908;left:6189;position:absolute;top:3940" coordorigin="6189,3940" coordsize="2310,908" path="m6189,4847l8499,4848,8499,3940e" filled="f" stroked="t" strokecolor="black" strokeweight="0.75pt">
              <v:stroke dashstyle="solid"/>
              <v:path arrowok="t"/>
            </v:shape>
            <v:line id="_x0000_s1082" style="position:absolute" from="8499,2048" to="8500,1094" stroked="t" strokecolor="black" strokeweight="0.75pt">
              <v:stroke dashstyle="solid"/>
            </v:line>
            <v:line id="_x0000_s1083" style="position:absolute" from="8499,1093" to="5056,1093" stroked="t" strokecolor="black" strokeweight="0.75pt">
              <v:stroke dashstyle="solid"/>
            </v:line>
            <v:rect id="_x0000_s1084" style="width:2310;height:485;left:3843;position:absolute;top:348" filled="f" stroked="t" strokecolor="black" strokeweight="0.75pt">
              <v:stroke dashstyle="solid"/>
            </v:rect>
            <v:rect id="_x0000_s1085" style="width:2310;height:485;left:3879;position:absolute;top:1289" filled="f" stroked="t" strokecolor="black" strokeweight="0.75pt">
              <v:stroke dashstyle="solid"/>
            </v:rect>
            <v:rect id="_x0000_s1086" style="width:2310;height:485;left:3879;position:absolute;top:2097" filled="f" stroked="t" strokecolor="black" strokeweight="0.75pt">
              <v:stroke dashstyle="solid"/>
            </v:rect>
            <v:rect id="_x0000_s1087" style="width:2310;height:485;left:3879;position:absolute;top:2906" filled="f" stroked="t" strokecolor="black" strokeweight="0.75pt">
              <v:stroke dashstyle="solid"/>
            </v:rect>
            <v:rect id="_x0000_s1088" style="width:2310;height:485;left:3879;position:absolute;top:3714" filled="f" stroked="t" strokecolor="black" strokeweight="0.75pt">
              <v:stroke dashstyle="solid"/>
            </v:rect>
            <v:rect id="_x0000_s1089" style="width:2772;height:485;left:3648;position:absolute;top:4522" filled="t" fillcolor="white" stroked="f">
              <v:fill type="solid"/>
            </v:rect>
            <v:rect id="_x0000_s1090" style="width:2772;height:485;left:3648;position:absolute;top:4522" filled="f" stroked="t" strokecolor="black" strokeweight="0.75pt">
              <v:stroke dashstyle="solid"/>
            </v:rect>
            <v:shape id="_x0000_s1091" style="width:78;height:120;left:4995;position:absolute;top:1971" coordorigin="4995,1972" coordsize="78,120" path="m5034,2092l4995,1972,5073,1972,5034,2092xe" filled="t" fillcolor="black" stroked="f">
              <v:fill type="solid"/>
              <v:path arrowok="t"/>
            </v:shape>
            <v:line id="_x0000_s1092" style="position:absolute" from="5034,1780" to="5034,2069" stroked="t" strokecolor="black" strokeweight="0.75pt">
              <v:stroke dashstyle="solid"/>
            </v:line>
            <v:shape id="_x0000_s1093" style="width:78;height:120;left:4995;position:absolute;top:2784" coordorigin="4995,2785" coordsize="78,120" path="m5034,2905l4995,2785,5073,2785,5034,2905xe" filled="t" fillcolor="black" stroked="f">
              <v:fill type="solid"/>
              <v:path arrowok="t"/>
            </v:shape>
            <v:line id="_x0000_s1094" style="position:absolute" from="5034,2593" to="5034,2882" stroked="t" strokecolor="black" strokeweight="0.75pt">
              <v:stroke dashstyle="solid"/>
            </v:line>
            <v:shape id="_x0000_s1095" style="width:78;height:120;left:4995;position:absolute;top:3597" coordorigin="4995,3598" coordsize="78,120" path="m5034,3718l4995,3598,5073,3598,5034,3718xe" filled="t" fillcolor="black" stroked="f">
              <v:fill type="solid"/>
              <v:path arrowok="t"/>
            </v:shape>
            <v:line id="_x0000_s1096" style="position:absolute" from="5034,3406" to="5034,3695" stroked="t" strokecolor="black" strokeweight="0.75pt">
              <v:stroke dashstyle="solid"/>
            </v:line>
            <v:shape id="_x0000_s1097" style="width:78;height:120;left:4995;position:absolute;top:4410" coordorigin="4995,4411" coordsize="78,120" path="m5034,4531l4995,4411,5073,4411,5034,4531xe" filled="t" fillcolor="black" stroked="f">
              <v:fill type="solid"/>
              <v:path arrowok="t"/>
            </v:shape>
            <v:line id="_x0000_s1098" style="position:absolute" from="5034,4219" to="5034,4508" stroked="t" strokecolor="black" strokeweight="0.75pt">
              <v:stroke dashstyle="solid"/>
            </v:line>
            <v:shape id="_x0000_s1099" style="width:78;height:120;left:4995;position:absolute;top:5223" coordorigin="4995,5224" coordsize="78,120" path="m5034,5344l4995,5224,5073,5224,5034,5344xe" filled="t" fillcolor="black" stroked="f">
              <v:fill type="solid"/>
              <v:path arrowok="t"/>
            </v:shape>
            <v:line id="_x0000_s1100" style="position:absolute" from="5034,5032" to="5034,5321" stroked="t" strokecolor="black" strokeweight="0.75pt">
              <v:stroke dashstyle="solid"/>
            </v:line>
            <v:rect id="_x0000_s1101" style="width:1243;height:561;left:6591;position:absolute;top:2646" filled="f" stroked="t" strokecolor="white" strokeweight="0.75pt">
              <v:stroke dashstyle="solid"/>
            </v:rect>
            <v:rect id="_x0000_s1102" style="width:1243;height:561;left:6615;position:absolute;top:4366" filled="f" stroked="t" strokecolor="white" strokeweight="0.75pt">
              <v:stroke dashstyle="solid"/>
            </v:rect>
            <v:rect id="_x0000_s1103" style="width:998;height:402;left:6737;position:absolute;top:4446" filled="t" fillcolor="white" stroked="f">
              <v:fill type="solid"/>
            </v:rect>
            <v:shape id="_x0000_s1104" type="#_x0000_t202" style="width:1700;height:210;left:3994;position:absolute;top:461" filled="f" stroked="f">
              <v:textbox inset="0,0,0,0">
                <w:txbxContent>
                  <w:p>
                    <w:pPr>
                      <w:spacing w:before="0" w:line="210" w:lineRule="exact"/>
                      <w:ind w:left="0" w:right="0" w:firstLine="0"/>
                      <w:jc w:val="left"/>
                      <w:rPr>
                        <w:sz w:val="21"/>
                      </w:rPr>
                    </w:pPr>
                    <w:r>
                      <w:rPr>
                        <w:spacing w:val="-2"/>
                        <w:sz w:val="21"/>
                      </w:rPr>
                      <w:t>每道工序完成以后</w:t>
                    </w:r>
                  </w:p>
                </w:txbxContent>
              </v:textbox>
            </v:shape>
            <v:shape id="_x0000_s1105" type="#_x0000_t202" style="width:1460;height:240;left:6430;position:absolute;top:718" filled="f" stroked="f">
              <v:textbox inset="0,0,0,0">
                <w:txbxContent>
                  <w:p>
                    <w:pPr>
                      <w:spacing w:before="0" w:line="240" w:lineRule="exact"/>
                      <w:ind w:left="0" w:right="0" w:firstLine="0"/>
                      <w:jc w:val="left"/>
                      <w:rPr>
                        <w:sz w:val="24"/>
                      </w:rPr>
                    </w:pPr>
                    <w:r>
                      <w:rPr>
                        <w:spacing w:val="-2"/>
                        <w:sz w:val="24"/>
                      </w:rPr>
                      <w:t>分析处理问题</w:t>
                    </w:r>
                  </w:p>
                </w:txbxContent>
              </v:textbox>
            </v:shape>
            <v:shape id="_x0000_s1106" type="#_x0000_t202" style="width:1490;height:210;left:4299;position:absolute;top:1402" filled="f" stroked="f">
              <v:textbox inset="0,0,0,0">
                <w:txbxContent>
                  <w:p>
                    <w:pPr>
                      <w:spacing w:before="0" w:line="210" w:lineRule="exact"/>
                      <w:ind w:left="0" w:right="0" w:firstLine="0"/>
                      <w:jc w:val="left"/>
                      <w:rPr>
                        <w:sz w:val="21"/>
                      </w:rPr>
                    </w:pPr>
                    <w:r>
                      <w:rPr>
                        <w:spacing w:val="-2"/>
                        <w:sz w:val="21"/>
                      </w:rPr>
                      <w:t>现场技术员自检</w:t>
                    </w:r>
                  </w:p>
                </w:txbxContent>
              </v:textbox>
            </v:shape>
            <v:shape id="_x0000_s1107" type="#_x0000_t202" style="width:740;height:240;left:6714;position:absolute;top:1205" filled="f" stroked="f">
              <v:textbox inset="0,0,0,0">
                <w:txbxContent>
                  <w:p>
                    <w:pPr>
                      <w:spacing w:before="0" w:line="240" w:lineRule="exact"/>
                      <w:ind w:left="0" w:right="0" w:firstLine="0"/>
                      <w:jc w:val="left"/>
                      <w:rPr>
                        <w:sz w:val="24"/>
                      </w:rPr>
                    </w:pPr>
                    <w:r>
                      <w:rPr>
                        <w:spacing w:val="-4"/>
                        <w:sz w:val="24"/>
                      </w:rPr>
                      <w:t>不合格</w:t>
                    </w:r>
                  </w:p>
                </w:txbxContent>
              </v:textbox>
            </v:shape>
            <v:shape id="_x0000_s1108" type="#_x0000_t202" style="width:1280;height:210;left:4404;position:absolute;top:2210" filled="f" stroked="f">
              <v:textbox inset="0,0,0,0">
                <w:txbxContent>
                  <w:p>
                    <w:pPr>
                      <w:spacing w:before="0" w:line="210" w:lineRule="exact"/>
                      <w:ind w:left="0" w:right="0" w:firstLine="0"/>
                      <w:jc w:val="left"/>
                      <w:rPr>
                        <w:sz w:val="21"/>
                      </w:rPr>
                    </w:pPr>
                    <w:r>
                      <w:rPr>
                        <w:spacing w:val="-2"/>
                        <w:sz w:val="21"/>
                      </w:rPr>
                      <w:t>填报自检表格</w:t>
                    </w:r>
                  </w:p>
                </w:txbxContent>
              </v:textbox>
            </v:shape>
            <v:shape id="_x0000_s1109" type="#_x0000_t202" style="width:740;height:240;left:6742;position:absolute;top:2763" filled="f" stroked="f">
              <v:textbox inset="0,0,0,0">
                <w:txbxContent>
                  <w:p>
                    <w:pPr>
                      <w:spacing w:before="0" w:line="240" w:lineRule="exact"/>
                      <w:ind w:left="0" w:right="0" w:firstLine="0"/>
                      <w:jc w:val="left"/>
                      <w:rPr>
                        <w:sz w:val="24"/>
                      </w:rPr>
                    </w:pPr>
                    <w:r>
                      <w:rPr>
                        <w:spacing w:val="-4"/>
                        <w:sz w:val="24"/>
                      </w:rPr>
                      <w:t>不合格</w:t>
                    </w:r>
                  </w:p>
                </w:txbxContent>
              </v:textbox>
            </v:shape>
            <v:shape id="_x0000_s1110" type="#_x0000_t202" style="width:1490;height:210;left:4299;position:absolute;top:3019" filled="f" stroked="f">
              <v:textbox inset="0,0,0,0">
                <w:txbxContent>
                  <w:p>
                    <w:pPr>
                      <w:spacing w:before="0" w:line="210" w:lineRule="exact"/>
                      <w:ind w:left="0" w:right="0" w:firstLine="0"/>
                      <w:jc w:val="left"/>
                      <w:rPr>
                        <w:sz w:val="21"/>
                      </w:rPr>
                    </w:pPr>
                    <w:r>
                      <w:rPr>
                        <w:spacing w:val="-2"/>
                        <w:sz w:val="21"/>
                      </w:rPr>
                      <w:t>质检工程师复检</w:t>
                    </w:r>
                  </w:p>
                </w:txbxContent>
              </v:textbox>
            </v:shape>
            <v:shape id="_x0000_s1111" type="#_x0000_t202" style="width:260;height:552;left:8335;position:absolute;top:2523" filled="f" stroked="f">
              <v:textbox inset="0,0,0,0">
                <w:txbxContent>
                  <w:p>
                    <w:pPr>
                      <w:spacing w:before="0" w:line="274" w:lineRule="exact"/>
                      <w:ind w:left="0" w:right="0" w:firstLine="0"/>
                      <w:jc w:val="left"/>
                      <w:rPr>
                        <w:sz w:val="24"/>
                      </w:rPr>
                    </w:pPr>
                    <w:r>
                      <w:rPr>
                        <w:sz w:val="24"/>
                      </w:rPr>
                      <w:t>返</w:t>
                    </w:r>
                  </w:p>
                  <w:p>
                    <w:pPr>
                      <w:spacing w:before="3" w:line="274" w:lineRule="exact"/>
                      <w:ind w:left="0" w:right="0" w:firstLine="0"/>
                      <w:jc w:val="left"/>
                      <w:rPr>
                        <w:sz w:val="24"/>
                      </w:rPr>
                    </w:pPr>
                    <w:r>
                      <w:rPr>
                        <w:sz w:val="24"/>
                      </w:rPr>
                      <w:t>工</w:t>
                    </w:r>
                  </w:p>
                </w:txbxContent>
              </v:textbox>
            </v:shape>
            <v:shape id="_x0000_s1112" type="#_x0000_t202" style="width:1910;height:210;left:4030;position:absolute;top:3827" filled="f" stroked="f">
              <v:textbox inset="0,0,0,0">
                <w:txbxContent>
                  <w:p>
                    <w:pPr>
                      <w:spacing w:before="0" w:line="210" w:lineRule="exact"/>
                      <w:ind w:left="0" w:right="0" w:firstLine="0"/>
                      <w:jc w:val="left"/>
                      <w:rPr>
                        <w:sz w:val="21"/>
                      </w:rPr>
                    </w:pPr>
                    <w:r>
                      <w:rPr>
                        <w:spacing w:val="-2"/>
                        <w:sz w:val="21"/>
                      </w:rPr>
                      <w:t>填报《质量通知单》</w:t>
                    </w:r>
                  </w:p>
                </w:txbxContent>
              </v:textbox>
            </v:shape>
            <v:shape id="_x0000_s1113" type="#_x0000_t202" style="width:1910;height:210;left:4089;position:absolute;top:4635" filled="f" stroked="f">
              <v:textbox inset="0,0,0,0">
                <w:txbxContent>
                  <w:p>
                    <w:pPr>
                      <w:spacing w:before="0" w:line="210" w:lineRule="exact"/>
                      <w:ind w:left="0" w:right="0" w:firstLine="0"/>
                      <w:jc w:val="left"/>
                      <w:rPr>
                        <w:sz w:val="21"/>
                      </w:rPr>
                    </w:pPr>
                    <w:r>
                      <w:rPr>
                        <w:spacing w:val="-2"/>
                        <w:sz w:val="21"/>
                      </w:rPr>
                      <w:t>监理工程师验收签认</w:t>
                    </w:r>
                  </w:p>
                </w:txbxContent>
              </v:textbox>
            </v:shape>
            <v:shape id="_x0000_s1114" type="#_x0000_t202" style="width:740;height:240;left:6766;position:absolute;top:4483" filled="f" stroked="f">
              <v:textbox inset="0,0,0,0">
                <w:txbxContent>
                  <w:p>
                    <w:pPr>
                      <w:spacing w:before="0" w:line="240" w:lineRule="exact"/>
                      <w:ind w:left="0" w:right="0" w:firstLine="0"/>
                      <w:jc w:val="left"/>
                      <w:rPr>
                        <w:sz w:val="24"/>
                      </w:rPr>
                    </w:pPr>
                    <w:r>
                      <w:rPr>
                        <w:spacing w:val="-4"/>
                        <w:sz w:val="24"/>
                      </w:rPr>
                      <w:t>不合格</w:t>
                    </w:r>
                  </w:p>
                </w:txbxContent>
              </v:textbox>
            </v:shape>
            <v:shape id="_x0000_s1115" type="#_x0000_t202" style="width:2310;height:485;left:3879;position:absolute;top:5331" filled="f" stroked="t" strokecolor="black" strokeweight="0.75pt">
              <v:stroke dashstyle="solid"/>
              <v:textbox inset="0,0,0,0">
                <w:txbxContent>
                  <w:p>
                    <w:pPr>
                      <w:spacing w:before="75"/>
                      <w:ind w:left="622" w:right="0" w:firstLine="0"/>
                      <w:jc w:val="left"/>
                      <w:rPr>
                        <w:sz w:val="21"/>
                      </w:rPr>
                    </w:pPr>
                    <w:r>
                      <w:rPr>
                        <w:spacing w:val="-2"/>
                        <w:sz w:val="21"/>
                      </w:rPr>
                      <w:t>下一道工序</w:t>
                    </w:r>
                  </w:p>
                </w:txbxContent>
              </v:textbox>
            </v:shape>
            <w10:wrap type="topAndBottom"/>
          </v:group>
        </w:pict>
      </w:r>
    </w:p>
    <w:p>
      <w:pPr>
        <w:pStyle w:val="BodyText"/>
        <w:spacing w:before="172"/>
        <w:ind w:left="291"/>
      </w:pPr>
      <w:r>
        <w:t>2</w:t>
      </w:r>
      <w:r>
        <w:rPr>
          <w:spacing w:val="-1"/>
        </w:rPr>
        <w:t>、当某一单项工程完成后，中间交验流程图如下：</w:t>
      </w:r>
    </w:p>
    <w:p>
      <w:pPr>
        <w:pStyle w:val="BodyText"/>
        <w:spacing w:before="7"/>
        <w:ind w:left="0"/>
        <w:rPr>
          <w:sz w:val="26"/>
        </w:rPr>
      </w:pPr>
      <w:r>
        <w:pict>
          <v:shape id="_x0000_s1116" type="#_x0000_t202" style="width:115.5pt;height:24.25pt;margin-top:18.65pt;margin-left:193.73pt;mso-position-horizontal-relative:page;mso-wrap-distance-left:0;mso-wrap-distance-right:0;position:absolute;z-index:-251646976" filled="f" stroked="t" strokecolor="black" strokeweight="0.75pt">
            <v:stroke dashstyle="solid"/>
            <v:textbox inset="0,0,0,0">
              <w:txbxContent>
                <w:p>
                  <w:pPr>
                    <w:spacing w:before="75"/>
                    <w:ind w:left="521" w:right="0" w:firstLine="0"/>
                    <w:jc w:val="left"/>
                    <w:rPr>
                      <w:sz w:val="21"/>
                    </w:rPr>
                  </w:pPr>
                  <w:r>
                    <w:rPr>
                      <w:spacing w:val="-2"/>
                      <w:sz w:val="21"/>
                    </w:rPr>
                    <w:t>单项工程完成</w:t>
                  </w:r>
                </w:p>
              </w:txbxContent>
            </v:textbox>
            <w10:wrap type="topAndBottom"/>
          </v:shape>
        </w:pict>
      </w:r>
    </w:p>
    <w:p>
      <w:pPr>
        <w:pStyle w:val="BodyText"/>
        <w:spacing w:before="3"/>
        <w:ind w:left="0"/>
        <w:rPr>
          <w:sz w:val="26"/>
        </w:rPr>
      </w:pPr>
    </w:p>
    <w:p>
      <w:pPr>
        <w:pStyle w:val="BodyText"/>
        <w:spacing w:before="67"/>
        <w:ind w:left="2128" w:right="363"/>
        <w:jc w:val="center"/>
      </w:pPr>
      <w:r>
        <w:pict>
          <v:group id="_x0000_s1117" style="width:244.6pt;height:227.65pt;margin-top:-31.46pt;margin-left:193.57pt;mso-position-horizontal-relative:page;position:absolute;z-index:-251649024" coordorigin="3871,-629" coordsize="4892,4553">
            <v:shape id="_x0000_s1118" style="width:78;height:120;left:5001;position:absolute;top:31" coordorigin="5001,32" coordsize="78,120" path="m5040,152l5001,32,5079,32,5040,152xe" filled="t" fillcolor="black" stroked="f">
              <v:fill type="solid"/>
              <v:path arrowok="t"/>
            </v:shape>
            <v:line id="_x0000_s1119" style="position:absolute" from="5040,-316" to="5040,129" stroked="t" strokecolor="black" strokeweight="0.75pt">
              <v:stroke dashstyle="solid"/>
            </v:line>
            <v:shape id="_x0000_s1120" style="width:120;height:78;left:8148;position:absolute;top:1279" coordorigin="8148,1280" coordsize="120,78" path="m8148,1358l8148,1280,8268,1319,8148,1358xe" filled="t" fillcolor="black" stroked="f">
              <v:fill type="solid"/>
              <v:path arrowok="t"/>
            </v:shape>
            <v:shape id="_x0000_s1121" style="width:2034;height:2;left:6189;position:absolute;top:1318" coordorigin="6189,1319" coordsize="2034,0" path="m7684,1319l8223,1319m6189,1319l6774,1319e" filled="f" stroked="t" strokecolor="black" strokeweight="0.75pt">
              <v:stroke dashstyle="solid"/>
              <v:path arrowok="t"/>
            </v:shape>
            <v:rect id="_x0000_s1122" style="width:1155;height:780;left:6651;position:absolute;top:838" filled="f" stroked="t" strokecolor="white" strokeweight="0.75pt">
              <v:stroke dashstyle="solid"/>
            </v:rect>
            <v:shape id="_x0000_s1123" style="width:2310;height:2;left:6189;position:absolute;top:3307" coordorigin="6189,3308" coordsize="2310,0" path="m6189,3308l6774,3308m7894,3308l8499,3308e" filled="f" stroked="t" strokecolor="black" strokeweight="0.75pt">
              <v:stroke dashstyle="solid"/>
              <v:path arrowok="t"/>
            </v:shape>
            <v:shape id="_x0000_s1124" style="width:78;height:120;left:8460;position:absolute;top:2198" coordorigin="8460,2199" coordsize="78,120" path="m8538,2319l8460,2319,8499,2199,8538,2319xe" filled="t" fillcolor="black" stroked="f">
              <v:fill type="solid"/>
              <v:path arrowok="t"/>
            </v:shape>
            <v:line id="_x0000_s1125" style="position:absolute" from="8499,3308" to="8499,2221" stroked="t" strokecolor="black" strokeweight="0.75pt">
              <v:stroke dashstyle="solid"/>
            </v:line>
            <v:shape id="_x0000_s1126" style="width:2310;height:2380;left:3878;position:absolute;top:125" coordorigin="3879,126" coordsize="2310,2380" path="m6189,2021l3879,2021,3879,2506,6189,2506,6189,2021xm6189,126l3879,126,3879,611,6189,611,6189,126xe" filled="t" fillcolor="white" stroked="f">
              <v:fill type="solid"/>
              <v:path arrowok="t"/>
            </v:shape>
            <v:rect id="_x0000_s1127" style="width:2310;height:485;left:3879;position:absolute;top:2020" filled="f" stroked="t" strokecolor="black" strokeweight="0.75pt">
              <v:stroke dashstyle="solid"/>
            </v:rect>
            <v:rect id="_x0000_s1128" style="width:2310;height:485;left:3879;position:absolute;top:2968" filled="t" fillcolor="white" stroked="f">
              <v:fill type="solid"/>
            </v:rect>
            <v:rect id="_x0000_s1129" style="width:2310;height:485;left:3879;position:absolute;top:2968" filled="f" stroked="t" strokecolor="black" strokeweight="0.75pt">
              <v:stroke dashstyle="solid"/>
            </v:rect>
            <v:shape id="_x0000_s1130" style="width:78;height:120;left:5001;position:absolute;top:974" coordorigin="5001,975" coordsize="78,120" path="m5040,1095l5001,975,5079,975,5040,1095xe" filled="t" fillcolor="black" stroked="f">
              <v:fill type="solid"/>
              <v:path arrowok="t"/>
            </v:shape>
            <v:line id="_x0000_s1131" style="position:absolute" from="5040,627" to="5040,1072" stroked="t" strokecolor="black" strokeweight="0.75pt">
              <v:stroke dashstyle="solid"/>
            </v:line>
            <v:shape id="_x0000_s1132" style="width:78;height:120;left:5001;position:absolute;top:1917" coordorigin="5001,1918" coordsize="78,120" path="m5040,2038l5001,1918,5079,1918,5040,2038xe" filled="t" fillcolor="black" stroked="f">
              <v:fill type="solid"/>
              <v:path arrowok="t"/>
            </v:shape>
            <v:line id="_x0000_s1133" style="position:absolute" from="5040,1570" to="5040,2015" stroked="t" strokecolor="black" strokeweight="0.75pt">
              <v:stroke dashstyle="solid"/>
            </v:line>
            <v:shape id="_x0000_s1134" style="width:78;height:120;left:5001;position:absolute;top:2860" coordorigin="5001,2861" coordsize="78,120" path="m5040,2981l5001,2861,5079,2861,5040,2981xe" filled="t" fillcolor="black" stroked="f">
              <v:fill type="solid"/>
              <v:path arrowok="t"/>
            </v:shape>
            <v:line id="_x0000_s1135" style="position:absolute" from="5040,2513" to="5040,2958" stroked="t" strokecolor="black" strokeweight="0.75pt">
              <v:stroke dashstyle="solid"/>
            </v:line>
            <v:shape id="_x0000_s1136" style="width:78;height:120;left:5001;position:absolute;top:3803" coordorigin="5001,3804" coordsize="78,120" path="m5040,3924l5001,3804,5079,3804,5040,3924xe" filled="t" fillcolor="black" stroked="f">
              <v:fill type="solid"/>
              <v:path arrowok="t"/>
            </v:shape>
            <v:line id="_x0000_s1137" style="position:absolute" from="5040,3456" to="5040,3901" stroked="t" strokecolor="black" strokeweight="0.75pt">
              <v:stroke dashstyle="solid"/>
            </v:line>
            <v:rect id="_x0000_s1138" style="width:540;height:1940;left:8223;position:absolute;top:258" filled="t" fillcolor="white" stroked="f">
              <v:fill type="solid"/>
            </v:rect>
            <v:shape id="_x0000_s1139" style="width:120;height:78;left:8133;position:absolute;top:424" coordorigin="8133,425" coordsize="120,78" path="m8133,503l8133,425,8253,464,8133,503xe" filled="t" fillcolor="black" stroked="f">
              <v:fill type="solid"/>
              <v:path arrowok="t"/>
            </v:shape>
            <v:shape id="_x0000_s1140" style="width:2057;height:2;left:6174;position:absolute;top:463" coordorigin="6174,464" coordsize="2057,0" path="m6174,464l6774,464m7894,464l8231,464e" filled="f" stroked="t" strokecolor="black" strokeweight="0.75pt">
              <v:stroke dashstyle="solid"/>
              <v:path arrowok="t"/>
            </v:shape>
            <v:shape id="_x0000_s1141" style="width:120;height:78;left:6174;position:absolute;top:-630" coordorigin="6174,-629" coordsize="120,78" path="m6294,-551l6174,-590,6294,-629,6294,-551xe" filled="t" fillcolor="black" stroked="f">
              <v:fill type="solid"/>
              <v:path arrowok="t"/>
            </v:shape>
            <v:line id="_x0000_s1142" style="position:absolute" from="6196,-590" to="8499,-590" stroked="t" strokecolor="black" strokeweight="0.75pt">
              <v:stroke dashstyle="solid"/>
            </v:line>
            <v:line id="_x0000_s1143" style="position:absolute" from="8499,-590" to="8499,259" stroked="t" strokecolor="black" strokeweight="0.75pt">
              <v:stroke dashstyle="solid"/>
            </v:line>
            <v:rect id="_x0000_s1144" style="width:1365;height:780;left:6651;position:absolute;top:2823" filled="f" stroked="t" strokecolor="white" strokeweight="0.75pt">
              <v:stroke dashstyle="solid"/>
            </v:rect>
            <v:rect id="_x0000_s1145" style="width:1120;height:621;left:6773;position:absolute;top:2903" filled="t" fillcolor="white" stroked="f">
              <v:fill type="solid"/>
            </v:rect>
            <v:rect id="_x0000_s1146" style="width:1365;height:780;left:6651;position:absolute;top:-17" filled="f" stroked="t" strokecolor="white" strokeweight="0.75pt">
              <v:stroke dashstyle="solid"/>
            </v:rect>
            <v:rect id="_x0000_s1147" style="width:1155;height:780;left:4974;position:absolute;top:513" filled="f" stroked="t" strokecolor="white" strokeweight="0.75pt">
              <v:stroke dashstyle="solid"/>
            </v:rect>
            <v:rect id="_x0000_s1148" style="width:910;height:621;left:5096;position:absolute;top:593" filled="t" fillcolor="white" stroked="f">
              <v:fill type="solid"/>
            </v:rect>
            <v:rect id="_x0000_s1149" style="width:822;height:501;left:4974;position:absolute;top:1438" filled="f" stroked="t" strokecolor="white" strokeweight="0.75pt">
              <v:stroke dashstyle="solid"/>
            </v:rect>
            <v:rect id="_x0000_s1150" style="width:577;height:342;left:5096;position:absolute;top:1518" filled="t" fillcolor="white" stroked="f">
              <v:fill type="solid"/>
            </v:rect>
            <v:rect id="_x0000_s1151" style="width:822;height:479;left:4974;position:absolute;top:2396" filled="f" stroked="t" strokecolor="white" strokeweight="0.75pt">
              <v:stroke dashstyle="solid"/>
            </v:rect>
            <v:rect id="_x0000_s1152" style="width:577;height:320;left:5096;position:absolute;top:2476" filled="t" fillcolor="white" stroked="f">
              <v:fill type="solid"/>
            </v:rect>
            <v:rect id="_x0000_s1153" style="width:822;height:556;left:4974;position:absolute;top:3354" filled="f" stroked="t" strokecolor="white" strokeweight="0.75pt">
              <v:stroke dashstyle="solid"/>
            </v:rect>
            <v:rect id="_x0000_s1154" style="width:577;height:397;left:5096;position:absolute;top:3434" filled="t" fillcolor="white" stroked="f">
              <v:fill type="solid"/>
            </v:rect>
          </v:group>
        </w:pict>
      </w:r>
      <w:r>
        <w:pict>
          <v:shape id="_x0000_s1155" type="#_x0000_t202" style="width:27pt;height:97pt;margin-top:12.94pt;margin-left:411.15pt;mso-position-horizontal-relative:page;position:absolute;z-index:251664384" filled="f" stroked="t" strokecolor="black" strokeweight="0.75pt">
            <v:stroke dashstyle="solid"/>
            <v:textbox inset="0,0,0,0">
              <w:txbxContent>
                <w:p>
                  <w:pPr>
                    <w:pStyle w:val="BodyText"/>
                    <w:ind w:left="0"/>
                    <w:rPr>
                      <w:sz w:val="34"/>
                    </w:rPr>
                  </w:pPr>
                </w:p>
                <w:p>
                  <w:pPr>
                    <w:pStyle w:val="BodyText"/>
                    <w:spacing w:line="458" w:lineRule="auto"/>
                    <w:ind w:left="144" w:right="139"/>
                  </w:pPr>
                  <w:r>
                    <w:rPr>
                      <w:spacing w:val="-10"/>
                    </w:rPr>
                    <w:t>返</w:t>
                  </w:r>
                  <w:r>
                    <w:rPr>
                      <w:spacing w:val="-10"/>
                    </w:rPr>
                    <w:t>工</w:t>
                  </w:r>
                </w:p>
              </w:txbxContent>
            </v:textbox>
          </v:shape>
        </w:pict>
      </w:r>
      <w:r>
        <w:pict>
          <v:shape id="_x0000_s1156" type="#_x0000_t202" style="width:115.5pt;height:24.25pt;margin-top:6.29pt;margin-left:193.73pt;mso-position-horizontal-relative:page;position:absolute;z-index:251665408" filled="f" stroked="t" strokecolor="black" strokeweight="0.75pt">
            <v:stroke dashstyle="solid"/>
            <v:textbox inset="0,0,0,0">
              <w:txbxContent>
                <w:p>
                  <w:pPr>
                    <w:spacing w:before="75"/>
                    <w:ind w:left="416" w:right="0" w:firstLine="0"/>
                    <w:jc w:val="left"/>
                    <w:rPr>
                      <w:sz w:val="21"/>
                    </w:rPr>
                  </w:pPr>
                  <w:r>
                    <w:rPr>
                      <w:spacing w:val="-2"/>
                      <w:sz w:val="21"/>
                    </w:rPr>
                    <w:t>现场技术员自检</w:t>
                  </w:r>
                </w:p>
              </w:txbxContent>
            </v:textbox>
          </v:shape>
        </w:pict>
      </w:r>
      <w:r>
        <w:rPr>
          <w:spacing w:val="-4"/>
        </w:rPr>
        <w:t>不合格</w:t>
      </w:r>
    </w:p>
    <w:p>
      <w:pPr>
        <w:pStyle w:val="BodyText"/>
        <w:spacing w:before="4"/>
        <w:ind w:left="0"/>
        <w:rPr>
          <w:sz w:val="17"/>
        </w:rPr>
      </w:pPr>
    </w:p>
    <w:p>
      <w:pPr>
        <w:pStyle w:val="BodyText"/>
        <w:spacing w:before="1"/>
        <w:ind w:left="161" w:right="1988"/>
        <w:jc w:val="center"/>
      </w:pPr>
      <w:r>
        <w:rPr>
          <w:spacing w:val="-5"/>
        </w:rPr>
        <w:t>合格</w:t>
      </w:r>
    </w:p>
    <w:p>
      <w:pPr>
        <w:pStyle w:val="BodyText"/>
        <w:spacing w:before="17"/>
        <w:ind w:left="2128" w:right="363"/>
        <w:jc w:val="center"/>
      </w:pPr>
      <w:r>
        <w:pict>
          <v:shape id="_x0000_s1157" type="#_x0000_t202" style="width:115.5pt;height:24.25pt;margin-top:8.44pt;margin-left:193.73pt;mso-position-horizontal-relative:page;position:absolute;z-index:251663360" filled="f" stroked="t" strokecolor="black" strokeweight="0.75pt">
            <v:stroke dashstyle="solid"/>
            <v:textbox inset="0,0,0,0">
              <w:txbxContent>
                <w:p>
                  <w:pPr>
                    <w:spacing w:before="75"/>
                    <w:ind w:left="416" w:right="0" w:firstLine="0"/>
                    <w:jc w:val="left"/>
                    <w:rPr>
                      <w:sz w:val="21"/>
                    </w:rPr>
                  </w:pPr>
                  <w:r>
                    <w:rPr>
                      <w:spacing w:val="-2"/>
                      <w:sz w:val="21"/>
                    </w:rPr>
                    <w:t>质检工程师复检</w:t>
                  </w:r>
                </w:p>
              </w:txbxContent>
            </v:textbox>
          </v:shape>
        </w:pict>
      </w:r>
      <w:r>
        <w:rPr>
          <w:spacing w:val="-4"/>
        </w:rPr>
        <w:t>不合格</w:t>
      </w:r>
    </w:p>
    <w:p>
      <w:pPr>
        <w:pStyle w:val="BodyText"/>
        <w:spacing w:before="8"/>
        <w:ind w:left="0"/>
        <w:rPr>
          <w:sz w:val="17"/>
        </w:rPr>
      </w:pPr>
    </w:p>
    <w:p>
      <w:pPr>
        <w:pStyle w:val="BodyText"/>
        <w:spacing w:before="67"/>
        <w:ind w:left="160" w:right="1988"/>
        <w:jc w:val="center"/>
      </w:pPr>
      <w:r>
        <w:rPr>
          <w:spacing w:val="-5"/>
        </w:rPr>
        <w:t>合格</w:t>
      </w:r>
    </w:p>
    <w:p>
      <w:pPr>
        <w:pStyle w:val="BodyText"/>
        <w:spacing w:before="11"/>
        <w:ind w:left="0"/>
        <w:rPr>
          <w:sz w:val="15"/>
        </w:rPr>
      </w:pPr>
    </w:p>
    <w:p>
      <w:pPr>
        <w:spacing w:before="71" w:line="201" w:lineRule="exact"/>
        <w:ind w:left="2793" w:right="0" w:firstLine="0"/>
        <w:jc w:val="left"/>
        <w:rPr>
          <w:sz w:val="21"/>
        </w:rPr>
      </w:pPr>
      <w:r>
        <w:rPr>
          <w:spacing w:val="-2"/>
          <w:sz w:val="21"/>
        </w:rPr>
        <w:t>填报中间交验证书</w:t>
      </w:r>
    </w:p>
    <w:p>
      <w:pPr>
        <w:pStyle w:val="Heading3"/>
        <w:spacing w:line="209" w:lineRule="exact"/>
        <w:ind w:left="1184"/>
      </w:pPr>
      <w:r>
        <w:pict>
          <v:shape id="_x0000_s1158" type="#_x0000_t202" style="width:36.1pt;height:12pt;margin-top:2.24pt;margin-left:195.44pt;mso-position-horizontal-relative:page;position:absolute;z-index:-251650048" filled="f" stroked="f">
            <v:textbox inset="0,0,0,0">
              <w:txbxContent>
                <w:p>
                  <w:pPr>
                    <w:spacing w:before="0" w:line="240" w:lineRule="exact"/>
                    <w:ind w:left="0" w:right="0" w:firstLine="0"/>
                    <w:jc w:val="left"/>
                    <w:rPr>
                      <w:rFonts w:ascii="Microsoft JhengHei" w:eastAsia="Microsoft JhengHei"/>
                      <w:b/>
                      <w:sz w:val="24"/>
                    </w:rPr>
                  </w:pPr>
                  <w:r>
                    <w:rPr>
                      <w:rFonts w:ascii="Microsoft JhengHei" w:eastAsia="Microsoft JhengHei"/>
                      <w:b/>
                      <w:spacing w:val="-4"/>
                      <w:sz w:val="24"/>
                    </w:rPr>
                    <w:t>证措施</w:t>
                  </w:r>
                </w:p>
              </w:txbxContent>
            </v:textbox>
          </v:shape>
        </w:pict>
      </w:r>
      <w:r>
        <w:rPr>
          <w:spacing w:val="8"/>
        </w:rPr>
        <w:t>四、 质量保</w:t>
      </w:r>
    </w:p>
    <w:p>
      <w:pPr>
        <w:spacing w:after="0" w:line="209" w:lineRule="exact"/>
        <w:sectPr>
          <w:footerReference w:type="default" r:id="rId16"/>
          <w:pgSz w:w="12240" w:h="15840"/>
          <w:pgMar w:top="1400" w:right="1080" w:bottom="900" w:left="1400" w:header="0" w:footer="706"/>
          <w:pgNumType w:start="13"/>
          <w:cols w:space="708"/>
        </w:sectPr>
      </w:pPr>
    </w:p>
    <w:p>
      <w:pPr>
        <w:pStyle w:val="BodyText"/>
        <w:spacing w:before="113"/>
        <w:ind w:left="727"/>
      </w:pPr>
      <w:r>
        <w:pict>
          <v:shape id="_x0000_s1159" type="#_x0000_t202" style="width:109.25pt;height:27.6pt;margin-top:22.9pt;margin-left:193.99pt;mso-position-horizontal-relative:page;position:absolute;z-index:-251645952" filled="f" stroked="f">
            <v:textbox inset="0,0,0,0">
              <w:txbxContent>
                <w:p>
                  <w:pPr>
                    <w:pStyle w:val="BodyText"/>
                    <w:spacing w:line="274" w:lineRule="exact"/>
                    <w:ind w:left="0"/>
                  </w:pPr>
                  <w:r>
                    <w:rPr>
                      <w:spacing w:val="-2"/>
                    </w:rPr>
                    <w:t>必须突出“百年大计</w:t>
                  </w:r>
                </w:p>
                <w:p>
                  <w:pPr>
                    <w:pStyle w:val="BodyText"/>
                    <w:spacing w:before="3" w:line="274" w:lineRule="exact"/>
                    <w:ind w:left="0"/>
                  </w:pPr>
                  <w:r>
                    <w:rPr>
                      <w:spacing w:val="-2"/>
                    </w:rPr>
                    <w:t>量保证体系，在施工</w:t>
                  </w:r>
                </w:p>
              </w:txbxContent>
            </v:textbox>
          </v:shape>
        </w:pict>
      </w:r>
      <w:r>
        <w:rPr>
          <w:spacing w:val="-1"/>
        </w:rPr>
        <w:t>工程质量的好坏是检验投资</w:t>
      </w:r>
    </w:p>
    <w:p>
      <w:pPr>
        <w:spacing w:before="0" w:line="193" w:lineRule="exact"/>
        <w:ind w:left="78" w:right="0" w:firstLine="0"/>
        <w:jc w:val="left"/>
        <w:rPr>
          <w:sz w:val="24"/>
        </w:rPr>
      </w:pPr>
      <w:r>
        <w:br w:type="column"/>
      </w:r>
      <w:r>
        <w:rPr>
          <w:spacing w:val="-5"/>
          <w:sz w:val="24"/>
        </w:rPr>
        <w:t>合格</w:t>
      </w:r>
    </w:p>
    <w:p>
      <w:pPr>
        <w:pStyle w:val="BodyText"/>
        <w:spacing w:line="227" w:lineRule="exact"/>
        <w:ind w:left="440"/>
      </w:pPr>
      <w:r>
        <w:pict>
          <v:shape id="_x0000_s1160" type="#_x0000_t202" style="width:48.5pt;height:27.6pt;margin-top:13.23pt;margin-left:339.84pt;mso-position-horizontal-relative:page;position:absolute;z-index:-251644928" filled="f" stroked="f">
            <v:textbox inset="0,0,0,0">
              <w:txbxContent>
                <w:p>
                  <w:pPr>
                    <w:pStyle w:val="BodyText"/>
                    <w:spacing w:line="274" w:lineRule="exact"/>
                    <w:ind w:left="0"/>
                  </w:pPr>
                  <w:r>
                    <w:rPr>
                      <w:spacing w:val="-3"/>
                    </w:rPr>
                    <w:t>第一”的</w:t>
                  </w:r>
                </w:p>
                <w:p>
                  <w:pPr>
                    <w:pStyle w:val="BodyText"/>
                    <w:spacing w:before="3" w:line="274" w:lineRule="exact"/>
                    <w:ind w:left="0"/>
                  </w:pPr>
                  <w:r>
                    <w:rPr>
                      <w:spacing w:val="-3"/>
                    </w:rPr>
                    <w:t>质量关，</w:t>
                  </w:r>
                </w:p>
              </w:txbxContent>
            </v:textbox>
          </v:shape>
        </w:pict>
      </w:r>
      <w:r>
        <w:pict>
          <v:shape id="_x0000_s1161" type="#_x0000_t202" style="width:24pt;height:12pt;margin-top:-2.33pt;margin-left:250.35pt;mso-position-horizontal-relative:page;position:absolute;z-index:-251643904" filled="f" stroked="f">
            <v:textbox inset="0,0,0,0">
              <w:txbxContent>
                <w:p>
                  <w:pPr>
                    <w:pStyle w:val="BodyText"/>
                    <w:spacing w:line="240" w:lineRule="exact"/>
                    <w:ind w:left="0"/>
                  </w:pPr>
                  <w:r>
                    <w:rPr>
                      <w:spacing w:val="-5"/>
                    </w:rPr>
                    <w:t>效益</w:t>
                  </w:r>
                </w:p>
              </w:txbxContent>
            </v:textbox>
          </v:shape>
        </w:pict>
      </w:r>
      <w:r>
        <w:rPr>
          <w:spacing w:val="-10"/>
        </w:rPr>
        <w:t>的主要指标之一，也反映出施工单位的管理水平</w:t>
      </w:r>
    </w:p>
    <w:p>
      <w:pPr>
        <w:spacing w:after="0" w:line="227" w:lineRule="exact"/>
        <w:sectPr>
          <w:footerReference w:type="default" r:id="rId17"/>
          <w:type w:val="continuous"/>
          <w:pgSz w:w="12240" w:h="15840"/>
          <w:pgMar w:top="1480" w:right="1080" w:bottom="900" w:left="1400" w:header="0" w:footer="706"/>
          <w:pgNumType w:start="14"/>
          <w:cols w:num="2" w:space="708" w:equalWidth="0">
            <w:col w:w="3608" w:space="40"/>
            <w:col w:w="6112" w:space="0"/>
          </w:cols>
        </w:sectPr>
      </w:pPr>
    </w:p>
    <w:p>
      <w:pPr>
        <w:pStyle w:val="BodyText"/>
        <w:spacing w:before="3"/>
      </w:pPr>
      <w:r>
        <w:rPr>
          <w:spacing w:val="-2"/>
        </w:rPr>
        <w:t>和队伍素质。因此，</w:t>
      </w:r>
    </w:p>
    <w:p>
      <w:pPr>
        <w:spacing w:before="117" w:line="232" w:lineRule="exact"/>
        <w:ind w:left="277" w:right="0" w:firstLine="0"/>
        <w:jc w:val="left"/>
        <w:rPr>
          <w:sz w:val="21"/>
        </w:rPr>
      </w:pPr>
      <w:r>
        <w:br w:type="column"/>
      </w:r>
      <w:r>
        <w:rPr>
          <w:spacing w:val="-2"/>
          <w:sz w:val="21"/>
        </w:rPr>
        <w:t>报监理工程师检验</w:t>
      </w:r>
    </w:p>
    <w:p>
      <w:pPr>
        <w:pStyle w:val="BodyText"/>
        <w:spacing w:line="310" w:lineRule="exact"/>
        <w:ind w:left="153"/>
      </w:pPr>
      <w:r>
        <w:br w:type="column"/>
      </w:r>
      <w:r>
        <w:rPr>
          <w:position w:val="-2"/>
        </w:rPr>
        <w:t>、质量</w:t>
      </w:r>
      <w:r>
        <w:rPr>
          <w:spacing w:val="-4"/>
        </w:rPr>
        <w:t>不合格</w:t>
      </w:r>
    </w:p>
    <w:p>
      <w:pPr>
        <w:pStyle w:val="BodyText"/>
        <w:spacing w:before="3"/>
        <w:ind w:left="206"/>
      </w:pPr>
      <w:r>
        <w:br w:type="column"/>
      </w:r>
      <w:r>
        <w:rPr>
          <w:spacing w:val="-1"/>
        </w:rPr>
        <w:t>方针，开展全面的质量管</w:t>
      </w:r>
    </w:p>
    <w:p>
      <w:pPr>
        <w:spacing w:after="0"/>
        <w:sectPr>
          <w:footerReference w:type="default" r:id="rId18"/>
          <w:type w:val="continuous"/>
          <w:pgSz w:w="12240" w:h="15840"/>
          <w:pgMar w:top="1480" w:right="1080" w:bottom="900" w:left="1400" w:header="0" w:footer="706"/>
          <w:pgNumType w:start="15"/>
          <w:cols w:num="4" w:space="708" w:equalWidth="0">
            <w:col w:w="2477" w:space="40"/>
            <w:col w:w="1958" w:space="39"/>
            <w:col w:w="1609" w:space="40"/>
            <w:col w:w="3597" w:space="0"/>
          </w:cols>
        </w:sectPr>
      </w:pPr>
    </w:p>
    <w:p>
      <w:pPr>
        <w:pStyle w:val="BodyText"/>
        <w:tabs>
          <w:tab w:val="left" w:pos="4667"/>
          <w:tab w:val="left" w:pos="6368"/>
        </w:tabs>
        <w:spacing w:before="31" w:line="175" w:lineRule="auto"/>
        <w:ind w:right="718"/>
      </w:pPr>
      <w:r>
        <w:pict>
          <v:shape id="_x0000_s1162" type="#_x0000_t202" style="width:24pt;height:12pt;margin-top:15.56pt;margin-left:252.6pt;mso-position-horizontal-relative:page;position:absolute;z-index:-251642880" filled="f" stroked="f">
            <v:textbox inset="0,0,0,0">
              <w:txbxContent>
                <w:p>
                  <w:pPr>
                    <w:pStyle w:val="BodyText"/>
                    <w:spacing w:line="240" w:lineRule="exact"/>
                    <w:ind w:left="0"/>
                  </w:pPr>
                  <w:r>
                    <w:rPr>
                      <w:spacing w:val="-5"/>
                    </w:rPr>
                    <w:t>保工</w:t>
                  </w:r>
                </w:p>
              </w:txbxContent>
            </v:textbox>
          </v:shape>
        </w:pict>
      </w:r>
      <w:r>
        <w:pict>
          <v:shape id="_x0000_s1163" type="#_x0000_t202" style="width:115.5pt;height:24.25pt;margin-top:27.53pt;margin-left:193.73pt;mso-position-horizontal-relative:page;position:absolute;z-index:-251641856" filled="f" stroked="t" strokecolor="black" strokeweight="0.75pt">
            <v:stroke dashstyle="solid"/>
            <v:textbox inset="0,0,0,0">
              <w:txbxContent>
                <w:p>
                  <w:pPr>
                    <w:spacing w:before="75"/>
                    <w:ind w:left="705" w:right="0" w:firstLine="0"/>
                    <w:jc w:val="left"/>
                    <w:rPr>
                      <w:sz w:val="21"/>
                    </w:rPr>
                  </w:pPr>
                  <w:r>
                    <w:rPr>
                      <w:spacing w:val="-3"/>
                      <w:sz w:val="21"/>
                    </w:rPr>
                    <w:t>计量支付</w:t>
                  </w:r>
                </w:p>
              </w:txbxContent>
            </v:textbox>
          </v:shape>
        </w:pict>
      </w:r>
      <w:r>
        <w:pict>
          <v:shape id="_x0000_s1164" type="#_x0000_t202" style="width:48pt;height:12pt;margin-top:15.56pt;margin-left:276.6pt;mso-position-horizontal-relative:page;position:absolute;z-index:-251640832" filled="f" stroked="f">
            <v:textbox inset="0,0,0,0">
              <w:txbxContent>
                <w:p>
                  <w:pPr>
                    <w:pStyle w:val="BodyText"/>
                    <w:spacing w:line="240" w:lineRule="exact"/>
                    <w:ind w:left="0"/>
                  </w:pPr>
                  <w:r>
                    <w:rPr>
                      <w:spacing w:val="-3"/>
                    </w:rPr>
                    <w:t>程质量。</w:t>
                  </w:r>
                </w:p>
              </w:txbxContent>
            </v:textbox>
          </v:shape>
        </w:pict>
      </w:r>
      <w:r>
        <w:rPr>
          <w:spacing w:val="-2"/>
        </w:rPr>
        <w:t>理</w:t>
      </w:r>
      <w:r>
        <w:rPr>
          <w:spacing w:val="-2"/>
        </w:rPr>
        <w:t>活</w:t>
      </w:r>
      <w:r>
        <w:rPr>
          <w:spacing w:val="-2"/>
        </w:rPr>
        <w:t>动，</w:t>
      </w:r>
      <w:r>
        <w:rPr>
          <w:spacing w:val="-2"/>
        </w:rPr>
        <w:t>建</w:t>
      </w:r>
      <w:r>
        <w:rPr>
          <w:spacing w:val="-2"/>
        </w:rPr>
        <w:t>立</w:t>
      </w:r>
      <w:r>
        <w:rPr>
          <w:spacing w:val="-2"/>
        </w:rPr>
        <w:t>三</w:t>
      </w:r>
      <w:r>
        <w:rPr>
          <w:spacing w:val="-2"/>
        </w:rPr>
        <w:t>级</w:t>
      </w:r>
      <w:r>
        <w:rPr>
          <w:spacing w:val="-2"/>
        </w:rPr>
        <w:t>质</w:t>
      </w:r>
      <w:r>
        <w:tab/>
      </w:r>
      <w:r>
        <w:rPr>
          <w:spacing w:val="-4"/>
        </w:rPr>
        <w:t>中</w:t>
      </w:r>
      <w:r>
        <w:rPr>
          <w:spacing w:val="-4"/>
        </w:rPr>
        <w:t>严</w:t>
      </w:r>
      <w:r>
        <w:rPr>
          <w:spacing w:val="-4"/>
        </w:rPr>
        <w:t>把</w:t>
      </w:r>
      <w:r>
        <w:tab/>
      </w:r>
      <w:r>
        <w:rPr>
          <w:spacing w:val="-2"/>
        </w:rPr>
        <w:t>遵循</w:t>
      </w:r>
      <w:r>
        <w:rPr>
          <w:spacing w:val="-2"/>
        </w:rPr>
        <w:t>规</w:t>
      </w:r>
      <w:r>
        <w:rPr>
          <w:spacing w:val="-2"/>
        </w:rPr>
        <w:t>范</w:t>
      </w:r>
      <w:r>
        <w:rPr>
          <w:spacing w:val="-2"/>
        </w:rPr>
        <w:t>规</w:t>
      </w:r>
      <w:r>
        <w:rPr>
          <w:spacing w:val="-2"/>
        </w:rPr>
        <w:t>程</w:t>
      </w:r>
      <w:r>
        <w:rPr>
          <w:spacing w:val="-2"/>
        </w:rPr>
        <w:t>，实</w:t>
      </w:r>
      <w:r>
        <w:rPr>
          <w:spacing w:val="-2"/>
        </w:rPr>
        <w:t>行</w:t>
      </w:r>
      <w:r>
        <w:rPr>
          <w:spacing w:val="-2"/>
        </w:rPr>
        <w:t>总</w:t>
      </w:r>
      <w:r>
        <w:rPr>
          <w:spacing w:val="-2"/>
        </w:rPr>
        <w:t>工</w:t>
      </w:r>
      <w:r>
        <w:t>程师负责和一票否决权制度，确</w:t>
      </w:r>
      <w:r>
        <w:rPr>
          <w:spacing w:val="-15"/>
        </w:rPr>
        <w:t xml:space="preserve"> </w:t>
      </w:r>
      <w:r>
        <w:rPr>
          <w:position w:val="12"/>
        </w:rPr>
        <w:t>合格</w:t>
      </w:r>
    </w:p>
    <w:p>
      <w:pPr>
        <w:spacing w:after="0" w:line="175" w:lineRule="auto"/>
        <w:sectPr>
          <w:footerReference w:type="default" r:id="rId19"/>
          <w:type w:val="continuous"/>
          <w:pgSz w:w="12240" w:h="15840"/>
          <w:pgMar w:top="1480" w:right="1080" w:bottom="900" w:left="1400" w:header="0" w:footer="706"/>
          <w:pgNumType w:start="16"/>
          <w:cols w:space="708"/>
        </w:sectPr>
      </w:pPr>
    </w:p>
    <w:p>
      <w:pPr>
        <w:pStyle w:val="BodyText"/>
        <w:spacing w:before="52" w:line="312" w:lineRule="auto"/>
        <w:ind w:left="291" w:right="718" w:firstLine="492"/>
      </w:pPr>
      <w:r>
        <w:rPr>
          <w:spacing w:val="-2"/>
        </w:rPr>
        <w:t>质量管理首先开展质量先期控制，项目经理部成立试验室，每个专业施工队</w:t>
      </w:r>
      <w:r>
        <w:rPr>
          <w:spacing w:val="80"/>
          <w:w w:val="150"/>
        </w:rPr>
        <w:t xml:space="preserve"> </w:t>
      </w:r>
      <w:r>
        <w:rPr>
          <w:spacing w:val="-2"/>
        </w:rPr>
        <w:t>设试验检测组，负责日常试验、检测工作，形成一个工程质量检测网络。当前工程</w:t>
      </w:r>
    </w:p>
    <w:p>
      <w:pPr>
        <w:pStyle w:val="BodyText"/>
        <w:spacing w:before="1"/>
        <w:ind w:left="291"/>
      </w:pPr>
      <w:r>
        <w:rPr>
          <w:spacing w:val="-12"/>
        </w:rPr>
        <w:t>质量问题，贵在“严”字，重在“落实”，核心是抓“标准化”。</w:t>
      </w:r>
    </w:p>
    <w:p>
      <w:pPr>
        <w:pStyle w:val="BodyText"/>
        <w:spacing w:before="3" w:line="242" w:lineRule="auto"/>
        <w:ind w:right="719" w:firstLine="492"/>
        <w:jc w:val="both"/>
      </w:pPr>
      <w:r>
        <w:rPr>
          <w:spacing w:val="-6"/>
        </w:rPr>
        <w:t>抓工程质量，首要的是“严”字当头，专职人员要做到处处从严出发，实行“一</w:t>
      </w:r>
      <w:r>
        <w:rPr>
          <w:spacing w:val="-2"/>
        </w:rPr>
        <w:t>票否决制”。该返工重做的一定要返工，直至合格为止。做到层层工序谁施工谁负</w:t>
      </w:r>
      <w:r>
        <w:rPr>
          <w:spacing w:val="-2"/>
        </w:rPr>
        <w:t>责质量，真正使工程施工质量得到有效的控制。</w:t>
      </w:r>
    </w:p>
    <w:p>
      <w:pPr>
        <w:pStyle w:val="BodyText"/>
        <w:spacing w:before="2"/>
        <w:ind w:left="652"/>
      </w:pPr>
      <w:r>
        <w:t>1</w:t>
      </w:r>
      <w:r>
        <w:rPr>
          <w:spacing w:val="-2"/>
        </w:rPr>
        <w:t>、建立质量检验机构</w:t>
      </w:r>
    </w:p>
    <w:p>
      <w:pPr>
        <w:pStyle w:val="BodyText"/>
        <w:spacing w:before="4" w:line="242" w:lineRule="auto"/>
        <w:ind w:left="291" w:right="719" w:firstLine="360"/>
        <w:jc w:val="both"/>
      </w:pPr>
      <w:r>
        <w:rPr>
          <w:spacing w:val="-2"/>
        </w:rPr>
        <w:t>成立质量检验小组，项目经理为第一质量负责人，质检组只向项目经理负责，担</w:t>
      </w:r>
      <w:r>
        <w:rPr>
          <w:spacing w:val="-2"/>
        </w:rPr>
        <w:t>负整个工程质量检验工作，对检验质量不符合要求的有权停工，有权责令返工。各</w:t>
      </w:r>
      <w:r>
        <w:rPr>
          <w:spacing w:val="-2"/>
        </w:rPr>
        <w:t>施工队（组）技术主管负责质量工作，开展质量创优活动。</w:t>
      </w:r>
    </w:p>
    <w:p>
      <w:pPr>
        <w:pStyle w:val="BodyText"/>
        <w:spacing w:before="2"/>
        <w:ind w:left="652"/>
      </w:pPr>
      <w:r>
        <w:t>2</w:t>
      </w:r>
      <w:r>
        <w:rPr>
          <w:spacing w:val="-2"/>
        </w:rPr>
        <w:t>、严格工序质量管理</w:t>
      </w:r>
    </w:p>
    <w:p>
      <w:pPr>
        <w:pStyle w:val="BodyText"/>
        <w:spacing w:before="4" w:line="242" w:lineRule="auto"/>
        <w:ind w:right="718" w:firstLine="480"/>
        <w:jc w:val="both"/>
      </w:pPr>
      <w:r>
        <w:rPr>
          <w:spacing w:val="-2"/>
        </w:rPr>
        <w:t>专职质检人员加强施工现场检查，及时检验工序施工中的质量，监督施工人员</w:t>
      </w:r>
      <w:r>
        <w:rPr>
          <w:spacing w:val="-2"/>
        </w:rPr>
        <w:t>加强质量控制。当认为施工工艺、方法、施工操作不符合要求时有权作出停工或返</w:t>
      </w:r>
      <w:r>
        <w:rPr>
          <w:spacing w:val="-2"/>
        </w:rPr>
        <w:t>工的决定，并出具书面通知，限期整改。</w:t>
      </w:r>
    </w:p>
    <w:p>
      <w:pPr>
        <w:pStyle w:val="BodyText"/>
        <w:spacing w:before="2" w:line="242" w:lineRule="auto"/>
        <w:ind w:left="291" w:right="718" w:firstLine="480"/>
        <w:jc w:val="both"/>
      </w:pPr>
      <w:r>
        <w:rPr>
          <w:spacing w:val="-2"/>
        </w:rPr>
        <w:t>工序完成后，施工班(组)必须组织质量自检，现场质检员认可合格后，报质检</w:t>
      </w:r>
      <w:r>
        <w:rPr>
          <w:spacing w:val="-2"/>
        </w:rPr>
        <w:t>工程师复查。隐蔽工程、主要部位，由总工程师主持，质检合格后，填写质量报验</w:t>
      </w:r>
      <w:r>
        <w:rPr>
          <w:spacing w:val="-2"/>
        </w:rPr>
        <w:t>单，报驻地监理检验合格、签署意见后，方可进行下道工序施工。</w:t>
      </w:r>
    </w:p>
    <w:p>
      <w:pPr>
        <w:pStyle w:val="BodyText"/>
        <w:spacing w:before="2" w:line="242" w:lineRule="auto"/>
        <w:ind w:right="719" w:firstLine="476"/>
        <w:jc w:val="both"/>
      </w:pPr>
      <w:r>
        <w:rPr>
          <w:spacing w:val="-2"/>
        </w:rPr>
        <w:t>对自检不合格、监理和业主检验不合格的坚决返工，至到检验合格才可进行下</w:t>
      </w:r>
      <w:r>
        <w:rPr>
          <w:spacing w:val="-4"/>
        </w:rPr>
        <w:t>道工序的施工。 如出现质量事故，由总工程师或质检工程师组织有关人员对事故原</w:t>
      </w:r>
      <w:r>
        <w:rPr>
          <w:spacing w:val="-2"/>
        </w:rPr>
        <w:t>因进行分析，提出缺陷修复方案和质量整改措施，报监理工程师批准后实施。对事</w:t>
      </w:r>
      <w:r>
        <w:rPr>
          <w:spacing w:val="-2"/>
        </w:rPr>
        <w:t>故责任者将予以经济处罚，通报批评，直至限令其离开工地，以杜绝类似事故的再</w:t>
      </w:r>
      <w:r>
        <w:rPr>
          <w:spacing w:val="-4"/>
        </w:rPr>
        <w:t>次发生。</w:t>
      </w:r>
    </w:p>
    <w:p>
      <w:pPr>
        <w:pStyle w:val="BodyText"/>
        <w:spacing w:before="3"/>
        <w:ind w:left="767"/>
      </w:pPr>
      <w:r>
        <w:t>3</w:t>
      </w:r>
      <w:r>
        <w:rPr>
          <w:spacing w:val="-1"/>
        </w:rPr>
        <w:t>、强化质量意识，落实质量管理制度</w:t>
      </w:r>
    </w:p>
    <w:p>
      <w:pPr>
        <w:pStyle w:val="BodyText"/>
        <w:spacing w:before="4" w:line="242" w:lineRule="auto"/>
        <w:ind w:left="291" w:right="598" w:firstLine="539"/>
      </w:pPr>
      <w:r>
        <w:rPr>
          <w:spacing w:val="-8"/>
        </w:rPr>
        <w:t>①、施行质量考核制度：每月定期召开质量例会，组织全面的质量检查和考评，</w:t>
      </w:r>
      <w:r>
        <w:rPr>
          <w:spacing w:val="1"/>
        </w:rPr>
        <w:t>总结质量情况，提出质量改进措施，进行技术研讨，确定施工对策，考核各专业施工对质量管理情况。</w:t>
      </w:r>
    </w:p>
    <w:p>
      <w:pPr>
        <w:pStyle w:val="BodyText"/>
        <w:spacing w:before="2" w:line="242" w:lineRule="auto"/>
        <w:ind w:left="291" w:right="717" w:firstLine="539"/>
        <w:jc w:val="both"/>
      </w:pPr>
      <w:r>
        <w:rPr>
          <w:spacing w:val="-2"/>
        </w:rPr>
        <w:t>a、考核施工工艺方法落实情况；b、主要材料质量；c</w:t>
      </w:r>
      <w:r>
        <w:rPr>
          <w:spacing w:val="-5"/>
        </w:rPr>
        <w:t xml:space="preserve">、测量放样精度； </w:t>
      </w:r>
      <w:r>
        <w:rPr>
          <w:spacing w:val="-2"/>
        </w:rPr>
        <w:t>d、施</w:t>
      </w:r>
      <w:r>
        <w:rPr>
          <w:spacing w:val="-8"/>
        </w:rPr>
        <w:t>工操作方法、操作质量；e、工序自检、报检情况；f、施工原始记录；g、作业队(组)</w:t>
      </w:r>
      <w:r>
        <w:rPr>
          <w:spacing w:val="-2"/>
        </w:rPr>
        <w:t>工序交接情况；h、施工设备操作规范；i、工序施工成果；j、后期养护情况。</w:t>
      </w:r>
    </w:p>
    <w:p>
      <w:pPr>
        <w:pStyle w:val="BodyText"/>
        <w:spacing w:before="2"/>
        <w:ind w:left="830"/>
      </w:pPr>
      <w:r>
        <w:rPr>
          <w:spacing w:val="-1"/>
        </w:rPr>
        <w:t>以上考核作为评定施工队工资奖金总额的依据。</w:t>
      </w:r>
    </w:p>
    <w:p>
      <w:pPr>
        <w:pStyle w:val="BodyText"/>
        <w:spacing w:before="4" w:line="242" w:lineRule="auto"/>
        <w:ind w:left="291" w:right="718" w:firstLine="539"/>
        <w:jc w:val="both"/>
      </w:pPr>
      <w:r>
        <w:rPr>
          <w:spacing w:val="-2"/>
        </w:rPr>
        <w:t>②、施行学习与培训制度：采用各种途径，提高施工人员技术素质，利用雨天</w:t>
      </w:r>
      <w:r>
        <w:rPr>
          <w:spacing w:val="-2"/>
        </w:rPr>
        <w:t>和施工间隙，请监理工程师或监理工程师代表讲授技术要求和施工操作方法，组织</w:t>
      </w:r>
      <w:r>
        <w:rPr>
          <w:spacing w:val="-2"/>
        </w:rPr>
        <w:t>技术比赛，并适当派人外出学习，及时掌握高速公路建设中一流的工艺和技术。</w:t>
      </w:r>
    </w:p>
    <w:p>
      <w:pPr>
        <w:pStyle w:val="BodyText"/>
        <w:spacing w:before="2" w:line="242" w:lineRule="auto"/>
        <w:ind w:left="291" w:right="718" w:firstLine="539"/>
      </w:pPr>
      <w:r>
        <w:rPr>
          <w:spacing w:val="-2"/>
        </w:rPr>
        <w:t>③、施行技术交底制度：技术交底，由总工程师负责实施，由专业工程师负责</w:t>
      </w:r>
      <w:r>
        <w:rPr>
          <w:spacing w:val="-2"/>
        </w:rPr>
        <w:t>分散实施，使上岗前人人做到心中有数。</w:t>
      </w:r>
    </w:p>
    <w:p>
      <w:pPr>
        <w:pStyle w:val="BodyText"/>
        <w:spacing w:before="1" w:line="242" w:lineRule="auto"/>
        <w:ind w:left="291" w:right="718" w:firstLine="539"/>
      </w:pPr>
      <w:r>
        <w:rPr>
          <w:spacing w:val="-2"/>
        </w:rPr>
        <w:t>④、施行质量风险抵押金制度，对工程质量优良的人员给与鼓励表彰，对工程</w:t>
      </w:r>
      <w:r>
        <w:rPr>
          <w:spacing w:val="-2"/>
        </w:rPr>
        <w:t>质量存在问题的责任人给予批评惩罚，至到调离工作岗位</w:t>
      </w:r>
    </w:p>
    <w:p>
      <w:pPr>
        <w:pStyle w:val="BodyText"/>
        <w:spacing w:before="50"/>
        <w:ind w:left="830"/>
      </w:pPr>
      <w:r>
        <w:t>4</w:t>
      </w:r>
      <w:r>
        <w:rPr>
          <w:spacing w:val="-1"/>
        </w:rPr>
        <w:t>、进行方案比选，确定最优方案</w:t>
      </w:r>
    </w:p>
    <w:p>
      <w:pPr>
        <w:pStyle w:val="BodyText"/>
        <w:spacing w:before="53" w:line="280" w:lineRule="auto"/>
        <w:ind w:left="291" w:right="718" w:firstLine="539"/>
      </w:pPr>
      <w:r>
        <w:rPr>
          <w:spacing w:val="-2"/>
        </w:rPr>
        <w:t>以项目总工程师为首组织技术攻关活动，确定确实可行的施工方案，把质量问</w:t>
      </w:r>
      <w:r>
        <w:rPr>
          <w:spacing w:val="-1"/>
        </w:rPr>
        <w:t>题克服在苗头上。重大的施工问题和关键的施工问题如石方爆破方案、软基处理方</w:t>
      </w:r>
    </w:p>
    <w:p>
      <w:pPr>
        <w:spacing w:after="0" w:line="280" w:lineRule="auto"/>
        <w:sectPr>
          <w:footerReference w:type="default" r:id="rId20"/>
          <w:pgSz w:w="12240" w:h="15840"/>
          <w:pgMar w:top="1480" w:right="1080" w:bottom="900" w:left="1400" w:header="0" w:footer="706"/>
          <w:pgNumType w:start="17"/>
          <w:cols w:space="708"/>
        </w:sectPr>
      </w:pPr>
    </w:p>
    <w:p>
      <w:pPr>
        <w:pStyle w:val="BodyText"/>
        <w:spacing w:before="52" w:line="280" w:lineRule="auto"/>
        <w:ind w:left="291" w:right="718"/>
        <w:jc w:val="both"/>
      </w:pPr>
      <w:r>
        <w:rPr>
          <w:spacing w:val="-2"/>
        </w:rPr>
        <w:t>案、高填深堑的施工方案、施工配合比的选定、预应力空心板的预制、吊装、箱梁</w:t>
      </w:r>
      <w:r>
        <w:rPr>
          <w:spacing w:val="-2"/>
        </w:rPr>
        <w:t>的现浇和边坡技术处理措施、底基层的拌和、摊铺，必须组织专门技术小组研究攻</w:t>
      </w:r>
      <w:r>
        <w:rPr>
          <w:spacing w:val="-2"/>
        </w:rPr>
        <w:t>关，在技术上攻破难关，保证质量。</w:t>
      </w:r>
    </w:p>
    <w:p>
      <w:pPr>
        <w:pStyle w:val="BodyText"/>
        <w:spacing w:line="259" w:lineRule="exact"/>
        <w:ind w:left="784"/>
      </w:pPr>
      <w:r>
        <w:t>5</w:t>
      </w:r>
      <w:r>
        <w:rPr>
          <w:spacing w:val="-1"/>
        </w:rPr>
        <w:t>、加强机械、仪具的管理</w:t>
      </w:r>
    </w:p>
    <w:p>
      <w:pPr>
        <w:pStyle w:val="BodyText"/>
        <w:spacing w:before="4"/>
        <w:ind w:left="784"/>
      </w:pPr>
      <w:r>
        <w:rPr>
          <w:spacing w:val="-1"/>
        </w:rPr>
        <w:t>测量仪器，试验仪具须经标定后方能使用，并由专人负责保管。</w:t>
      </w:r>
    </w:p>
    <w:p>
      <w:pPr>
        <w:pStyle w:val="BodyText"/>
        <w:spacing w:before="4" w:line="242" w:lineRule="auto"/>
        <w:ind w:right="718" w:firstLine="492"/>
      </w:pPr>
      <w:r>
        <w:rPr>
          <w:spacing w:val="-2"/>
        </w:rPr>
        <w:t>加强施工机械的维修、保养、调试工作，防止机具设备本身的故障造成质量偏</w:t>
      </w:r>
      <w:r>
        <w:rPr>
          <w:spacing w:val="-2"/>
        </w:rPr>
        <w:t>差与缺陷。</w:t>
      </w:r>
    </w:p>
    <w:p>
      <w:pPr>
        <w:pStyle w:val="BodyText"/>
        <w:spacing w:before="50"/>
        <w:ind w:left="904"/>
      </w:pPr>
      <w:r>
        <w:t>6</w:t>
      </w:r>
      <w:r>
        <w:rPr>
          <w:spacing w:val="-1"/>
        </w:rPr>
        <w:t>、抓好材料的质量管理</w:t>
      </w:r>
    </w:p>
    <w:p>
      <w:pPr>
        <w:pStyle w:val="BodyText"/>
        <w:spacing w:before="52" w:line="280" w:lineRule="auto"/>
        <w:ind w:right="599" w:firstLine="420"/>
      </w:pPr>
      <w:r>
        <w:rPr>
          <w:spacing w:val="-2"/>
        </w:rPr>
        <w:t>所有材料、成品、半成品都必须是经试验检验合格，并经质检、监理认可方能采</w:t>
      </w:r>
      <w:r>
        <w:rPr>
          <w:spacing w:val="-2"/>
        </w:rPr>
        <w:t>购，进入工地的材料、成品、半成品应随机抽样检验，未检验前不得进入工序施工，</w:t>
      </w:r>
      <w:r>
        <w:rPr>
          <w:spacing w:val="-2"/>
        </w:rPr>
        <w:t>对检验不合格的应及时清出现场，并报告项目经理、总工程师。</w:t>
      </w:r>
    </w:p>
    <w:p>
      <w:pPr>
        <w:pStyle w:val="BodyText"/>
        <w:spacing w:line="259" w:lineRule="exact"/>
        <w:ind w:left="784"/>
      </w:pPr>
      <w:r>
        <w:rPr>
          <w:spacing w:val="-3"/>
        </w:rPr>
        <w:t>对进场的合格材料由专人负责保管，按有关要求堆放，避免质量下降，对水泥、</w:t>
      </w:r>
    </w:p>
    <w:p>
      <w:pPr>
        <w:pStyle w:val="BodyText"/>
        <w:spacing w:before="4" w:line="270" w:lineRule="exact"/>
      </w:pPr>
      <w:r>
        <w:rPr>
          <w:spacing w:val="-1"/>
        </w:rPr>
        <w:t>石灰的储存不得超过储存保质期。</w:t>
      </w:r>
    </w:p>
    <w:p>
      <w:pPr>
        <w:pStyle w:val="Heading3"/>
        <w:spacing w:line="339" w:lineRule="exact"/>
        <w:ind w:left="724"/>
      </w:pPr>
      <w:r>
        <w:rPr>
          <w:spacing w:val="-2"/>
        </w:rPr>
        <w:t>五、质量保证计划</w:t>
      </w:r>
    </w:p>
    <w:p>
      <w:pPr>
        <w:spacing w:before="0" w:line="351" w:lineRule="exact"/>
        <w:ind w:left="724" w:right="0" w:firstLine="0"/>
        <w:jc w:val="left"/>
        <w:rPr>
          <w:rFonts w:ascii="Microsoft JhengHei" w:eastAsia="Microsoft JhengHei"/>
          <w:b/>
          <w:sz w:val="24"/>
        </w:rPr>
      </w:pPr>
      <w:r>
        <w:rPr>
          <w:rFonts w:ascii="Microsoft JhengHei" w:eastAsia="Microsoft JhengHei"/>
          <w:b/>
          <w:spacing w:val="-4"/>
          <w:sz w:val="24"/>
        </w:rPr>
        <w:t>1</w:t>
      </w:r>
      <w:r>
        <w:rPr>
          <w:rFonts w:ascii="Microsoft JhengHei" w:eastAsia="Microsoft JhengHei"/>
          <w:b/>
          <w:spacing w:val="-5"/>
          <w:sz w:val="24"/>
        </w:rPr>
        <w:t>、组织结构及职责</w:t>
      </w:r>
    </w:p>
    <w:p>
      <w:pPr>
        <w:pStyle w:val="BodyText"/>
        <w:spacing w:line="282" w:lineRule="exact"/>
        <w:ind w:left="745"/>
      </w:pPr>
      <w:r>
        <w:t>项目经理部质量体系职责分配表（见下表</w:t>
      </w:r>
      <w:r>
        <w:rPr>
          <w:spacing w:val="-10"/>
        </w:rPr>
        <w:t>）</w:t>
      </w:r>
    </w:p>
    <w:p>
      <w:pPr>
        <w:pStyle w:val="BodyText"/>
        <w:spacing w:before="4"/>
        <w:ind w:left="1561" w:right="1988"/>
        <w:jc w:val="center"/>
      </w:pPr>
      <w:r>
        <w:pict>
          <v:line id="_x0000_s1165" style="mso-position-horizontal-relative:page;position:absolute;z-index:-251639808" from="95.25pt,15.15pt" to="251.85pt,86.95pt" stroked="t" strokecolor="black" strokeweight="0.5pt">
            <v:stroke dashstyle="solid"/>
          </v:line>
        </w:pict>
      </w:r>
      <w:r>
        <w:rPr>
          <w:spacing w:val="-1"/>
        </w:rPr>
        <w:t>项目经理部质量体系职能职责分配表</w:t>
      </w:r>
    </w:p>
    <w:tbl>
      <w:tblPr>
        <w:tblStyle w:val="TableNormal1"/>
        <w:tblW w:w="0" w:type="auto"/>
        <w:jc w:val="left"/>
        <w:tblInd w:w="5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159"/>
        <w:gridCol w:w="596"/>
        <w:gridCol w:w="597"/>
        <w:gridCol w:w="597"/>
        <w:gridCol w:w="596"/>
        <w:gridCol w:w="597"/>
        <w:gridCol w:w="597"/>
        <w:gridCol w:w="596"/>
        <w:gridCol w:w="597"/>
        <w:gridCol w:w="597"/>
        <w:gridCol w:w="597"/>
      </w:tblGrid>
      <w:tr>
        <w:tblPrEx>
          <w:tblW w:w="0" w:type="auto"/>
          <w:jc w:val="left"/>
          <w:tblInd w:w="5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473"/>
          <w:jc w:val="left"/>
        </w:trPr>
        <w:tc>
          <w:tcPr>
            <w:tcW w:w="3159" w:type="dxa"/>
            <w:tcBorders>
              <w:bottom w:val="single" w:sz="4" w:space="0" w:color="000000"/>
              <w:right w:val="single" w:sz="4" w:space="0" w:color="000000"/>
            </w:tcBorders>
          </w:tcPr>
          <w:p>
            <w:pPr>
              <w:pStyle w:val="TableParagraph"/>
              <w:tabs>
                <w:tab w:val="left" w:pos="2036"/>
              </w:tabs>
              <w:spacing w:before="46"/>
              <w:ind w:left="1511"/>
              <w:rPr>
                <w:sz w:val="21"/>
              </w:rPr>
            </w:pPr>
            <w:r>
              <w:rPr>
                <w:spacing w:val="-10"/>
                <w:sz w:val="21"/>
              </w:rPr>
              <w:t>部</w:t>
            </w:r>
            <w:r>
              <w:rPr>
                <w:sz w:val="21"/>
              </w:rPr>
              <w:tab/>
            </w:r>
            <w:r>
              <w:rPr>
                <w:spacing w:val="-10"/>
                <w:sz w:val="21"/>
              </w:rPr>
              <w:t>门</w:t>
            </w:r>
          </w:p>
          <w:p>
            <w:pPr>
              <w:pStyle w:val="TableParagraph"/>
              <w:spacing w:before="12"/>
              <w:ind w:left="0"/>
              <w:rPr>
                <w:sz w:val="28"/>
              </w:rPr>
            </w:pPr>
          </w:p>
          <w:p>
            <w:pPr>
              <w:pStyle w:val="TableParagraph"/>
              <w:spacing w:before="0"/>
              <w:ind w:left="2481"/>
              <w:rPr>
                <w:sz w:val="21"/>
              </w:rPr>
            </w:pPr>
            <w:r>
              <w:rPr>
                <w:sz w:val="21"/>
              </w:rPr>
              <w:t>要</w:t>
            </w:r>
          </w:p>
          <w:p>
            <w:pPr>
              <w:pStyle w:val="TableParagraph"/>
              <w:spacing w:before="51"/>
              <w:ind w:left="-1"/>
              <w:rPr>
                <w:sz w:val="21"/>
              </w:rPr>
            </w:pPr>
            <w:r>
              <w:rPr>
                <w:sz w:val="21"/>
              </w:rPr>
              <w:t>素</w:t>
            </w:r>
          </w:p>
        </w:tc>
        <w:tc>
          <w:tcPr>
            <w:tcW w:w="596" w:type="dxa"/>
            <w:tcBorders>
              <w:left w:val="single" w:sz="4" w:space="0" w:color="000000"/>
              <w:bottom w:val="single" w:sz="4" w:space="0" w:color="000000"/>
              <w:right w:val="single" w:sz="4" w:space="0" w:color="000000"/>
            </w:tcBorders>
          </w:tcPr>
          <w:p>
            <w:pPr>
              <w:pStyle w:val="TableParagraph"/>
              <w:spacing w:before="0"/>
              <w:ind w:left="0"/>
              <w:rPr>
                <w:sz w:val="20"/>
              </w:rPr>
            </w:pPr>
          </w:p>
          <w:p>
            <w:pPr>
              <w:pStyle w:val="TableParagraph"/>
              <w:spacing w:before="1"/>
              <w:ind w:left="0"/>
              <w:rPr>
                <w:sz w:val="16"/>
              </w:rPr>
            </w:pPr>
          </w:p>
          <w:p>
            <w:pPr>
              <w:pStyle w:val="TableParagraph"/>
              <w:spacing w:before="0" w:line="285" w:lineRule="auto"/>
              <w:ind w:left="9" w:right="85"/>
              <w:rPr>
                <w:sz w:val="21"/>
              </w:rPr>
            </w:pPr>
            <w:r>
              <w:rPr>
                <w:spacing w:val="-16"/>
                <w:sz w:val="21"/>
              </w:rPr>
              <w:t>项 目</w:t>
            </w:r>
            <w:r>
              <w:rPr>
                <w:spacing w:val="-6"/>
                <w:sz w:val="21"/>
              </w:rPr>
              <w:t>经理</w:t>
            </w:r>
          </w:p>
        </w:tc>
        <w:tc>
          <w:tcPr>
            <w:tcW w:w="597" w:type="dxa"/>
            <w:tcBorders>
              <w:left w:val="single" w:sz="4" w:space="0" w:color="000000"/>
              <w:bottom w:val="single" w:sz="4" w:space="0" w:color="000000"/>
              <w:right w:val="single" w:sz="4" w:space="0" w:color="000000"/>
            </w:tcBorders>
          </w:tcPr>
          <w:p>
            <w:pPr>
              <w:pStyle w:val="TableParagraph"/>
              <w:spacing w:before="0"/>
              <w:ind w:left="0"/>
              <w:rPr>
                <w:sz w:val="20"/>
              </w:rPr>
            </w:pPr>
          </w:p>
          <w:p>
            <w:pPr>
              <w:pStyle w:val="TableParagraph"/>
              <w:spacing w:before="1"/>
              <w:ind w:left="0"/>
              <w:rPr>
                <w:sz w:val="16"/>
              </w:rPr>
            </w:pPr>
          </w:p>
          <w:p>
            <w:pPr>
              <w:pStyle w:val="TableParagraph"/>
              <w:spacing w:before="0" w:line="285" w:lineRule="auto"/>
              <w:ind w:left="10" w:right="85"/>
              <w:rPr>
                <w:sz w:val="21"/>
              </w:rPr>
            </w:pPr>
            <w:r>
              <w:rPr>
                <w:spacing w:val="-15"/>
                <w:sz w:val="21"/>
              </w:rPr>
              <w:t>总 工</w:t>
            </w:r>
            <w:r>
              <w:rPr>
                <w:spacing w:val="-6"/>
                <w:sz w:val="21"/>
              </w:rPr>
              <w:t>程师</w:t>
            </w:r>
          </w:p>
        </w:tc>
        <w:tc>
          <w:tcPr>
            <w:tcW w:w="597" w:type="dxa"/>
            <w:tcBorders>
              <w:left w:val="single" w:sz="4" w:space="0" w:color="000000"/>
              <w:bottom w:val="single" w:sz="4" w:space="0" w:color="000000"/>
              <w:right w:val="single" w:sz="4" w:space="0" w:color="000000"/>
            </w:tcBorders>
          </w:tcPr>
          <w:p>
            <w:pPr>
              <w:pStyle w:val="TableParagraph"/>
              <w:spacing w:before="0"/>
              <w:ind w:left="0"/>
              <w:rPr>
                <w:sz w:val="20"/>
              </w:rPr>
            </w:pPr>
          </w:p>
          <w:p>
            <w:pPr>
              <w:pStyle w:val="TableParagraph"/>
              <w:spacing w:before="1"/>
              <w:ind w:left="0"/>
              <w:rPr>
                <w:sz w:val="16"/>
              </w:rPr>
            </w:pPr>
          </w:p>
          <w:p>
            <w:pPr>
              <w:pStyle w:val="TableParagraph"/>
              <w:spacing w:before="0" w:line="285" w:lineRule="auto"/>
              <w:ind w:left="10" w:right="85"/>
              <w:rPr>
                <w:sz w:val="21"/>
              </w:rPr>
            </w:pPr>
            <w:r>
              <w:rPr>
                <w:spacing w:val="-15"/>
                <w:sz w:val="21"/>
              </w:rPr>
              <w:t>质 检</w:t>
            </w:r>
            <w:r>
              <w:rPr>
                <w:spacing w:val="-10"/>
                <w:sz w:val="21"/>
              </w:rPr>
              <w:t>部</w:t>
            </w:r>
          </w:p>
        </w:tc>
        <w:tc>
          <w:tcPr>
            <w:tcW w:w="596" w:type="dxa"/>
            <w:tcBorders>
              <w:left w:val="single" w:sz="4" w:space="0" w:color="000000"/>
              <w:bottom w:val="single" w:sz="4" w:space="0" w:color="000000"/>
              <w:right w:val="single" w:sz="4" w:space="0" w:color="000000"/>
            </w:tcBorders>
          </w:tcPr>
          <w:p>
            <w:pPr>
              <w:pStyle w:val="TableParagraph"/>
              <w:spacing w:before="0"/>
              <w:ind w:left="0"/>
              <w:rPr>
                <w:sz w:val="20"/>
              </w:rPr>
            </w:pPr>
          </w:p>
          <w:p>
            <w:pPr>
              <w:pStyle w:val="TableParagraph"/>
              <w:spacing w:before="1"/>
              <w:ind w:left="0"/>
              <w:rPr>
                <w:sz w:val="16"/>
              </w:rPr>
            </w:pPr>
          </w:p>
          <w:p>
            <w:pPr>
              <w:pStyle w:val="TableParagraph"/>
              <w:spacing w:before="0" w:line="285" w:lineRule="auto"/>
              <w:ind w:left="9" w:right="85"/>
              <w:rPr>
                <w:sz w:val="21"/>
              </w:rPr>
            </w:pPr>
            <w:r>
              <w:rPr>
                <w:spacing w:val="-16"/>
                <w:sz w:val="21"/>
              </w:rPr>
              <w:t>试 验</w:t>
            </w:r>
            <w:r>
              <w:rPr>
                <w:spacing w:val="-10"/>
                <w:sz w:val="21"/>
              </w:rPr>
              <w:t>室</w:t>
            </w:r>
          </w:p>
        </w:tc>
        <w:tc>
          <w:tcPr>
            <w:tcW w:w="597" w:type="dxa"/>
            <w:tcBorders>
              <w:left w:val="single" w:sz="4" w:space="0" w:color="000000"/>
              <w:bottom w:val="single" w:sz="4" w:space="0" w:color="000000"/>
              <w:right w:val="single" w:sz="4" w:space="0" w:color="000000"/>
            </w:tcBorders>
          </w:tcPr>
          <w:p>
            <w:pPr>
              <w:pStyle w:val="TableParagraph"/>
              <w:spacing w:before="0"/>
              <w:ind w:left="0"/>
              <w:rPr>
                <w:sz w:val="20"/>
              </w:rPr>
            </w:pPr>
          </w:p>
          <w:p>
            <w:pPr>
              <w:pStyle w:val="TableParagraph"/>
              <w:spacing w:before="1"/>
              <w:ind w:left="0"/>
              <w:rPr>
                <w:sz w:val="16"/>
              </w:rPr>
            </w:pPr>
          </w:p>
          <w:p>
            <w:pPr>
              <w:pStyle w:val="TableParagraph"/>
              <w:spacing w:before="0" w:line="285" w:lineRule="auto"/>
              <w:ind w:left="9" w:right="85"/>
              <w:rPr>
                <w:sz w:val="21"/>
              </w:rPr>
            </w:pPr>
            <w:r>
              <w:rPr>
                <w:spacing w:val="-15"/>
                <w:sz w:val="21"/>
              </w:rPr>
              <w:t>工 程</w:t>
            </w:r>
            <w:r>
              <w:rPr>
                <w:spacing w:val="-10"/>
                <w:sz w:val="21"/>
              </w:rPr>
              <w:t>部</w:t>
            </w:r>
          </w:p>
        </w:tc>
        <w:tc>
          <w:tcPr>
            <w:tcW w:w="597" w:type="dxa"/>
            <w:tcBorders>
              <w:left w:val="single" w:sz="4" w:space="0" w:color="000000"/>
              <w:bottom w:val="single" w:sz="4" w:space="0" w:color="000000"/>
              <w:right w:val="single" w:sz="4" w:space="0" w:color="000000"/>
            </w:tcBorders>
          </w:tcPr>
          <w:p>
            <w:pPr>
              <w:pStyle w:val="TableParagraph"/>
              <w:spacing w:before="0"/>
              <w:ind w:left="0"/>
              <w:rPr>
                <w:sz w:val="20"/>
              </w:rPr>
            </w:pPr>
          </w:p>
          <w:p>
            <w:pPr>
              <w:pStyle w:val="TableParagraph"/>
              <w:spacing w:before="1"/>
              <w:ind w:left="0"/>
              <w:rPr>
                <w:sz w:val="16"/>
              </w:rPr>
            </w:pPr>
          </w:p>
          <w:p>
            <w:pPr>
              <w:pStyle w:val="TableParagraph"/>
              <w:spacing w:before="0" w:line="285" w:lineRule="auto"/>
              <w:ind w:left="10" w:right="85"/>
              <w:rPr>
                <w:sz w:val="21"/>
              </w:rPr>
            </w:pPr>
            <w:r>
              <w:rPr>
                <w:spacing w:val="-15"/>
                <w:sz w:val="21"/>
              </w:rPr>
              <w:t>合 同</w:t>
            </w:r>
            <w:r>
              <w:rPr>
                <w:spacing w:val="-10"/>
                <w:sz w:val="21"/>
              </w:rPr>
              <w:t>部</w:t>
            </w:r>
          </w:p>
        </w:tc>
        <w:tc>
          <w:tcPr>
            <w:tcW w:w="596" w:type="dxa"/>
            <w:tcBorders>
              <w:left w:val="single" w:sz="4" w:space="0" w:color="000000"/>
              <w:bottom w:val="single" w:sz="4" w:space="0" w:color="000000"/>
              <w:right w:val="single" w:sz="4" w:space="0" w:color="000000"/>
            </w:tcBorders>
          </w:tcPr>
          <w:p>
            <w:pPr>
              <w:pStyle w:val="TableParagraph"/>
              <w:spacing w:before="0"/>
              <w:ind w:left="0"/>
              <w:rPr>
                <w:sz w:val="20"/>
              </w:rPr>
            </w:pPr>
          </w:p>
          <w:p>
            <w:pPr>
              <w:pStyle w:val="TableParagraph"/>
              <w:spacing w:before="1"/>
              <w:ind w:left="0"/>
              <w:rPr>
                <w:sz w:val="16"/>
              </w:rPr>
            </w:pPr>
          </w:p>
          <w:p>
            <w:pPr>
              <w:pStyle w:val="TableParagraph"/>
              <w:spacing w:before="0" w:line="285" w:lineRule="auto"/>
              <w:ind w:left="10" w:right="85"/>
              <w:rPr>
                <w:sz w:val="21"/>
              </w:rPr>
            </w:pPr>
            <w:r>
              <w:rPr>
                <w:spacing w:val="-16"/>
                <w:sz w:val="21"/>
              </w:rPr>
              <w:t>材 料</w:t>
            </w:r>
            <w:r>
              <w:rPr>
                <w:spacing w:val="-10"/>
                <w:sz w:val="21"/>
              </w:rPr>
              <w:t>部</w:t>
            </w:r>
          </w:p>
        </w:tc>
        <w:tc>
          <w:tcPr>
            <w:tcW w:w="597" w:type="dxa"/>
            <w:tcBorders>
              <w:left w:val="single" w:sz="4" w:space="0" w:color="000000"/>
              <w:bottom w:val="single" w:sz="4" w:space="0" w:color="000000"/>
              <w:right w:val="single" w:sz="4" w:space="0" w:color="000000"/>
            </w:tcBorders>
          </w:tcPr>
          <w:p>
            <w:pPr>
              <w:pStyle w:val="TableParagraph"/>
              <w:spacing w:before="0"/>
              <w:ind w:left="0"/>
              <w:rPr>
                <w:sz w:val="20"/>
              </w:rPr>
            </w:pPr>
          </w:p>
          <w:p>
            <w:pPr>
              <w:pStyle w:val="TableParagraph"/>
              <w:spacing w:before="1"/>
              <w:ind w:left="0"/>
              <w:rPr>
                <w:sz w:val="16"/>
              </w:rPr>
            </w:pPr>
          </w:p>
          <w:p>
            <w:pPr>
              <w:pStyle w:val="TableParagraph"/>
              <w:spacing w:before="0" w:line="285" w:lineRule="auto"/>
              <w:ind w:left="9" w:right="85"/>
              <w:rPr>
                <w:sz w:val="21"/>
              </w:rPr>
            </w:pPr>
            <w:r>
              <w:rPr>
                <w:spacing w:val="-15"/>
                <w:sz w:val="21"/>
              </w:rPr>
              <w:t>机 务</w:t>
            </w:r>
            <w:r>
              <w:rPr>
                <w:spacing w:val="-10"/>
                <w:sz w:val="21"/>
              </w:rPr>
              <w:t>部</w:t>
            </w:r>
          </w:p>
        </w:tc>
        <w:tc>
          <w:tcPr>
            <w:tcW w:w="597" w:type="dxa"/>
            <w:tcBorders>
              <w:left w:val="single" w:sz="4" w:space="0" w:color="000000"/>
              <w:bottom w:val="single" w:sz="4" w:space="0" w:color="000000"/>
              <w:right w:val="single" w:sz="4" w:space="0" w:color="000000"/>
            </w:tcBorders>
          </w:tcPr>
          <w:p>
            <w:pPr>
              <w:pStyle w:val="TableParagraph"/>
              <w:spacing w:before="0"/>
              <w:ind w:left="0"/>
              <w:rPr>
                <w:sz w:val="20"/>
              </w:rPr>
            </w:pPr>
          </w:p>
          <w:p>
            <w:pPr>
              <w:pStyle w:val="TableParagraph"/>
              <w:spacing w:before="1"/>
              <w:ind w:left="0"/>
              <w:rPr>
                <w:sz w:val="16"/>
              </w:rPr>
            </w:pPr>
          </w:p>
          <w:p>
            <w:pPr>
              <w:pStyle w:val="TableParagraph"/>
              <w:spacing w:before="0" w:line="285" w:lineRule="auto"/>
              <w:ind w:left="10" w:right="85"/>
              <w:rPr>
                <w:sz w:val="21"/>
              </w:rPr>
            </w:pPr>
            <w:r>
              <w:rPr>
                <w:spacing w:val="-15"/>
                <w:sz w:val="21"/>
              </w:rPr>
              <w:t>办 公</w:t>
            </w:r>
            <w:r>
              <w:rPr>
                <w:spacing w:val="-10"/>
                <w:sz w:val="21"/>
              </w:rPr>
              <w:t>室</w:t>
            </w:r>
          </w:p>
        </w:tc>
        <w:tc>
          <w:tcPr>
            <w:tcW w:w="597" w:type="dxa"/>
            <w:tcBorders>
              <w:left w:val="single" w:sz="4" w:space="0" w:color="000000"/>
              <w:bottom w:val="single" w:sz="4" w:space="0" w:color="000000"/>
            </w:tcBorders>
          </w:tcPr>
          <w:p>
            <w:pPr>
              <w:pStyle w:val="TableParagraph"/>
              <w:spacing w:before="0"/>
              <w:ind w:left="0"/>
              <w:rPr>
                <w:sz w:val="20"/>
              </w:rPr>
            </w:pPr>
          </w:p>
          <w:p>
            <w:pPr>
              <w:pStyle w:val="TableParagraph"/>
              <w:spacing w:before="8"/>
              <w:ind w:left="0"/>
              <w:rPr>
                <w:sz w:val="28"/>
              </w:rPr>
            </w:pPr>
          </w:p>
          <w:p>
            <w:pPr>
              <w:pStyle w:val="TableParagraph"/>
              <w:spacing w:before="0"/>
              <w:ind w:left="0" w:right="146"/>
              <w:jc w:val="center"/>
              <w:rPr>
                <w:sz w:val="21"/>
              </w:rPr>
            </w:pPr>
            <w:r>
              <w:rPr>
                <w:spacing w:val="-5"/>
                <w:sz w:val="21"/>
              </w:rPr>
              <w:t>备注</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bottom w:val="single" w:sz="4" w:space="0" w:color="000000"/>
              <w:right w:val="single" w:sz="4" w:space="0" w:color="000000"/>
            </w:tcBorders>
          </w:tcPr>
          <w:p>
            <w:pPr>
              <w:pStyle w:val="TableParagraph"/>
              <w:ind w:left="0"/>
              <w:rPr>
                <w:sz w:val="21"/>
              </w:rPr>
            </w:pPr>
            <w:r>
              <w:rPr>
                <w:sz w:val="21"/>
              </w:rPr>
              <w:t>4.1</w:t>
            </w:r>
            <w:r>
              <w:rPr>
                <w:spacing w:val="-14"/>
                <w:sz w:val="21"/>
              </w:rPr>
              <w:t xml:space="preserve"> 管理职责</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1</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tcBorders>
          </w:tcPr>
          <w:p>
            <w:pPr>
              <w:pStyle w:val="TableParagraph"/>
              <w:ind w:left="0" w:right="77"/>
              <w:jc w:val="center"/>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bottom w:val="single" w:sz="4" w:space="0" w:color="000000"/>
              <w:right w:val="single" w:sz="4" w:space="0" w:color="000000"/>
            </w:tcBorders>
          </w:tcPr>
          <w:p>
            <w:pPr>
              <w:pStyle w:val="TableParagraph"/>
              <w:ind w:left="0"/>
              <w:rPr>
                <w:sz w:val="21"/>
              </w:rPr>
            </w:pPr>
            <w:r>
              <w:rPr>
                <w:sz w:val="21"/>
              </w:rPr>
              <w:t>4.2</w:t>
            </w:r>
            <w:r>
              <w:rPr>
                <w:spacing w:val="-14"/>
                <w:sz w:val="21"/>
              </w:rPr>
              <w:t xml:space="preserve"> 质量计划</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1</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tcBorders>
          </w:tcPr>
          <w:p>
            <w:pPr>
              <w:pStyle w:val="TableParagraph"/>
              <w:ind w:left="0" w:right="77"/>
              <w:jc w:val="center"/>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bottom w:val="single" w:sz="4" w:space="0" w:color="000000"/>
              <w:right w:val="single" w:sz="4" w:space="0" w:color="000000"/>
            </w:tcBorders>
          </w:tcPr>
          <w:p>
            <w:pPr>
              <w:pStyle w:val="TableParagraph"/>
              <w:ind w:left="0"/>
              <w:rPr>
                <w:sz w:val="21"/>
              </w:rPr>
            </w:pPr>
            <w:r>
              <w:rPr>
                <w:sz w:val="21"/>
              </w:rPr>
              <w:t>4.3</w:t>
            </w:r>
            <w:r>
              <w:rPr>
                <w:spacing w:val="-14"/>
                <w:sz w:val="21"/>
              </w:rPr>
              <w:t xml:space="preserve"> 合同管理</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1</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tcBorders>
          </w:tcPr>
          <w:p>
            <w:pPr>
              <w:pStyle w:val="TableParagraph"/>
              <w:ind w:left="0" w:right="77"/>
              <w:jc w:val="center"/>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bottom w:val="single" w:sz="4" w:space="0" w:color="000000"/>
              <w:right w:val="single" w:sz="4" w:space="0" w:color="000000"/>
            </w:tcBorders>
          </w:tcPr>
          <w:p>
            <w:pPr>
              <w:pStyle w:val="TableParagraph"/>
              <w:ind w:left="0"/>
              <w:rPr>
                <w:sz w:val="21"/>
              </w:rPr>
            </w:pPr>
            <w:r>
              <w:rPr>
                <w:sz w:val="21"/>
              </w:rPr>
              <w:t>4.5</w:t>
            </w:r>
            <w:r>
              <w:rPr>
                <w:spacing w:val="-10"/>
                <w:sz w:val="21"/>
              </w:rPr>
              <w:t xml:space="preserve"> 文件和资料控制</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1</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1</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1</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tcBorders>
          </w:tcPr>
          <w:p>
            <w:pPr>
              <w:pStyle w:val="TableParagraph"/>
              <w:ind w:left="0" w:right="77"/>
              <w:jc w:val="center"/>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bottom w:val="single" w:sz="4" w:space="0" w:color="000000"/>
              <w:right w:val="single" w:sz="4" w:space="0" w:color="000000"/>
            </w:tcBorders>
          </w:tcPr>
          <w:p>
            <w:pPr>
              <w:pStyle w:val="TableParagraph"/>
              <w:ind w:left="0"/>
              <w:rPr>
                <w:sz w:val="21"/>
              </w:rPr>
            </w:pPr>
            <w:r>
              <w:rPr>
                <w:sz w:val="21"/>
              </w:rPr>
              <w:t>4.6</w:t>
            </w:r>
            <w:r>
              <w:rPr>
                <w:spacing w:val="-22"/>
                <w:sz w:val="21"/>
              </w:rPr>
              <w:t xml:space="preserve"> 采购</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1</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tcBorders>
          </w:tcPr>
          <w:p>
            <w:pPr>
              <w:pStyle w:val="TableParagraph"/>
              <w:ind w:left="0" w:right="77"/>
              <w:jc w:val="center"/>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bottom w:val="single" w:sz="4" w:space="0" w:color="000000"/>
              <w:right w:val="single" w:sz="4" w:space="0" w:color="000000"/>
            </w:tcBorders>
          </w:tcPr>
          <w:p>
            <w:pPr>
              <w:pStyle w:val="TableParagraph"/>
              <w:ind w:left="0"/>
              <w:rPr>
                <w:sz w:val="21"/>
              </w:rPr>
            </w:pPr>
            <w:r>
              <w:rPr>
                <w:sz w:val="21"/>
              </w:rPr>
              <w:t>4.7</w:t>
            </w:r>
            <w:r>
              <w:rPr>
                <w:spacing w:val="-9"/>
                <w:sz w:val="21"/>
              </w:rPr>
              <w:t xml:space="preserve"> 顾客提供产品的控制</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1</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tcBorders>
          </w:tcPr>
          <w:p>
            <w:pPr>
              <w:pStyle w:val="TableParagraph"/>
              <w:ind w:left="0" w:right="77"/>
              <w:jc w:val="center"/>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bottom w:val="single" w:sz="4" w:space="0" w:color="000000"/>
              <w:right w:val="single" w:sz="4" w:space="0" w:color="000000"/>
            </w:tcBorders>
          </w:tcPr>
          <w:p>
            <w:pPr>
              <w:pStyle w:val="TableParagraph"/>
              <w:ind w:left="0"/>
              <w:rPr>
                <w:sz w:val="21"/>
              </w:rPr>
            </w:pPr>
            <w:r>
              <w:rPr>
                <w:sz w:val="21"/>
              </w:rPr>
              <w:t>4.8</w:t>
            </w:r>
            <w:r>
              <w:rPr>
                <w:spacing w:val="-9"/>
                <w:sz w:val="21"/>
              </w:rPr>
              <w:t xml:space="preserve"> 产品标识和可追溯性</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1</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tcBorders>
          </w:tcPr>
          <w:p>
            <w:pPr>
              <w:pStyle w:val="TableParagraph"/>
              <w:ind w:left="0" w:right="77"/>
              <w:jc w:val="center"/>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bottom w:val="single" w:sz="4" w:space="0" w:color="000000"/>
              <w:right w:val="single" w:sz="4" w:space="0" w:color="000000"/>
            </w:tcBorders>
          </w:tcPr>
          <w:p>
            <w:pPr>
              <w:pStyle w:val="TableParagraph"/>
              <w:ind w:left="0"/>
              <w:rPr>
                <w:sz w:val="21"/>
              </w:rPr>
            </w:pPr>
            <w:r>
              <w:rPr>
                <w:sz w:val="21"/>
              </w:rPr>
              <w:t>4.9</w:t>
            </w:r>
            <w:r>
              <w:rPr>
                <w:spacing w:val="-14"/>
                <w:sz w:val="21"/>
              </w:rPr>
              <w:t xml:space="preserve"> 过程控制</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1</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1</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1</w:t>
            </w:r>
          </w:p>
        </w:tc>
        <w:tc>
          <w:tcPr>
            <w:tcW w:w="597" w:type="dxa"/>
            <w:tcBorders>
              <w:top w:val="single" w:sz="4" w:space="0" w:color="000000"/>
              <w:left w:val="single" w:sz="4" w:space="0" w:color="000000"/>
              <w:bottom w:val="single" w:sz="4" w:space="0" w:color="000000"/>
            </w:tcBorders>
          </w:tcPr>
          <w:p>
            <w:pPr>
              <w:pStyle w:val="TableParagraph"/>
              <w:ind w:left="0" w:right="77"/>
              <w:jc w:val="center"/>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bottom w:val="single" w:sz="4" w:space="0" w:color="000000"/>
              <w:right w:val="single" w:sz="4" w:space="0" w:color="000000"/>
            </w:tcBorders>
          </w:tcPr>
          <w:p>
            <w:pPr>
              <w:pStyle w:val="TableParagraph"/>
              <w:ind w:left="0"/>
              <w:rPr>
                <w:sz w:val="21"/>
              </w:rPr>
            </w:pPr>
            <w:r>
              <w:rPr>
                <w:sz w:val="21"/>
              </w:rPr>
              <w:t>4.10</w:t>
            </w:r>
            <w:r>
              <w:rPr>
                <w:spacing w:val="-12"/>
                <w:sz w:val="21"/>
              </w:rPr>
              <w:t xml:space="preserve"> 检验和试验</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1</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tcBorders>
          </w:tcPr>
          <w:p>
            <w:pPr>
              <w:pStyle w:val="TableParagraph"/>
              <w:ind w:left="0" w:right="77"/>
              <w:jc w:val="center"/>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bottom w:val="single" w:sz="4" w:space="0" w:color="000000"/>
              <w:right w:val="single" w:sz="4" w:space="0" w:color="000000"/>
            </w:tcBorders>
          </w:tcPr>
          <w:p>
            <w:pPr>
              <w:pStyle w:val="TableParagraph"/>
              <w:ind w:left="0"/>
              <w:rPr>
                <w:sz w:val="21"/>
              </w:rPr>
            </w:pPr>
            <w:r>
              <w:rPr>
                <w:sz w:val="21"/>
              </w:rPr>
              <w:t>4.11</w:t>
            </w:r>
            <w:r>
              <w:rPr>
                <w:spacing w:val="-9"/>
                <w:sz w:val="21"/>
              </w:rPr>
              <w:t xml:space="preserve"> 检验、测量和试验设备</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1</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tcBorders>
          </w:tcPr>
          <w:p>
            <w:pPr>
              <w:pStyle w:val="TableParagraph"/>
              <w:ind w:left="0" w:right="77"/>
              <w:jc w:val="center"/>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bottom w:val="single" w:sz="4" w:space="0" w:color="000000"/>
              <w:right w:val="single" w:sz="4" w:space="0" w:color="000000"/>
            </w:tcBorders>
          </w:tcPr>
          <w:p>
            <w:pPr>
              <w:pStyle w:val="TableParagraph"/>
              <w:ind w:left="0"/>
              <w:rPr>
                <w:sz w:val="21"/>
              </w:rPr>
            </w:pPr>
            <w:r>
              <w:rPr>
                <w:sz w:val="21"/>
              </w:rPr>
              <w:t>4.12</w:t>
            </w:r>
            <w:r>
              <w:rPr>
                <w:spacing w:val="-10"/>
                <w:sz w:val="21"/>
              </w:rPr>
              <w:t xml:space="preserve"> 检验和试验状态</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1</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tcBorders>
          </w:tcPr>
          <w:p>
            <w:pPr>
              <w:pStyle w:val="TableParagraph"/>
              <w:ind w:left="0" w:right="77"/>
              <w:jc w:val="center"/>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bottom w:val="single" w:sz="4" w:space="0" w:color="000000"/>
              <w:right w:val="single" w:sz="4" w:space="0" w:color="000000"/>
            </w:tcBorders>
          </w:tcPr>
          <w:p>
            <w:pPr>
              <w:pStyle w:val="TableParagraph"/>
              <w:ind w:left="0"/>
              <w:rPr>
                <w:sz w:val="21"/>
              </w:rPr>
            </w:pPr>
            <w:r>
              <w:rPr>
                <w:sz w:val="21"/>
              </w:rPr>
              <w:t>4.13</w:t>
            </w:r>
            <w:r>
              <w:rPr>
                <w:spacing w:val="-9"/>
                <w:sz w:val="21"/>
              </w:rPr>
              <w:t xml:space="preserve"> 不合格产品的控制</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1</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tcBorders>
          </w:tcPr>
          <w:p>
            <w:pPr>
              <w:pStyle w:val="TableParagraph"/>
              <w:ind w:left="0" w:right="77"/>
              <w:jc w:val="center"/>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bottom w:val="single" w:sz="4" w:space="0" w:color="000000"/>
              <w:right w:val="single" w:sz="4" w:space="0" w:color="000000"/>
            </w:tcBorders>
          </w:tcPr>
          <w:p>
            <w:pPr>
              <w:pStyle w:val="TableParagraph"/>
              <w:ind w:left="0"/>
              <w:rPr>
                <w:sz w:val="21"/>
              </w:rPr>
            </w:pPr>
            <w:r>
              <w:rPr>
                <w:sz w:val="21"/>
              </w:rPr>
              <w:t>4.14</w:t>
            </w:r>
            <w:r>
              <w:rPr>
                <w:spacing w:val="-10"/>
                <w:sz w:val="21"/>
              </w:rPr>
              <w:t xml:space="preserve"> 纠正和预防措施</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1</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tcBorders>
          </w:tcPr>
          <w:p>
            <w:pPr>
              <w:pStyle w:val="TableParagraph"/>
              <w:ind w:left="0" w:right="77"/>
              <w:jc w:val="center"/>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right w:val="single" w:sz="4" w:space="0" w:color="000000"/>
            </w:tcBorders>
          </w:tcPr>
          <w:p>
            <w:pPr>
              <w:pStyle w:val="TableParagraph"/>
              <w:ind w:left="0"/>
              <w:rPr>
                <w:sz w:val="21"/>
              </w:rPr>
            </w:pPr>
            <w:r>
              <w:rPr>
                <w:sz w:val="21"/>
              </w:rPr>
              <w:t>4.15</w:t>
            </w:r>
            <w:r>
              <w:rPr>
                <w:spacing w:val="-9"/>
                <w:sz w:val="21"/>
              </w:rPr>
              <w:t xml:space="preserve"> 搬运贮存包装防护支付</w:t>
            </w:r>
          </w:p>
        </w:tc>
        <w:tc>
          <w:tcPr>
            <w:tcW w:w="596" w:type="dxa"/>
            <w:tcBorders>
              <w:top w:val="single" w:sz="4" w:space="0" w:color="000000"/>
              <w:left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right w:val="single" w:sz="4" w:space="0" w:color="000000"/>
            </w:tcBorders>
          </w:tcPr>
          <w:p>
            <w:pPr>
              <w:pStyle w:val="TableParagraph"/>
              <w:ind w:left="201"/>
              <w:rPr>
                <w:sz w:val="21"/>
              </w:rPr>
            </w:pPr>
            <w:r>
              <w:rPr>
                <w:sz w:val="21"/>
              </w:rPr>
              <w:t>1</w:t>
            </w:r>
          </w:p>
        </w:tc>
        <w:tc>
          <w:tcPr>
            <w:tcW w:w="597" w:type="dxa"/>
            <w:tcBorders>
              <w:top w:val="single" w:sz="4" w:space="0" w:color="000000"/>
              <w:left w:val="single" w:sz="4" w:space="0" w:color="000000"/>
              <w:right w:val="single" w:sz="4" w:space="0" w:color="000000"/>
            </w:tcBorders>
          </w:tcPr>
          <w:p>
            <w:pPr>
              <w:pStyle w:val="TableParagraph"/>
              <w:rPr>
                <w:sz w:val="21"/>
              </w:rPr>
            </w:pPr>
            <w:r>
              <w:rPr>
                <w:sz w:val="21"/>
              </w:rPr>
              <w:t>1</w:t>
            </w:r>
          </w:p>
        </w:tc>
        <w:tc>
          <w:tcPr>
            <w:tcW w:w="597" w:type="dxa"/>
            <w:tcBorders>
              <w:top w:val="single" w:sz="4" w:space="0" w:color="000000"/>
              <w:left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tcBorders>
          </w:tcPr>
          <w:p>
            <w:pPr>
              <w:pStyle w:val="TableParagraph"/>
              <w:ind w:left="0" w:right="77"/>
              <w:jc w:val="center"/>
              <w:rPr>
                <w:sz w:val="21"/>
              </w:rPr>
            </w:pPr>
            <w:r>
              <w:rPr>
                <w:sz w:val="21"/>
              </w:rPr>
              <w:t>0</w:t>
            </w:r>
          </w:p>
        </w:tc>
      </w:tr>
    </w:tbl>
    <w:p>
      <w:pPr>
        <w:spacing w:after="0"/>
        <w:jc w:val="center"/>
        <w:rPr>
          <w:sz w:val="21"/>
        </w:rPr>
        <w:sectPr>
          <w:footerReference w:type="default" r:id="rId21"/>
          <w:pgSz w:w="12240" w:h="15840"/>
          <w:pgMar w:top="1440" w:right="1080" w:bottom="1294" w:left="1400" w:header="0" w:footer="706"/>
          <w:pgNumType w:start="18"/>
          <w:cols w:space="708"/>
        </w:sectPr>
      </w:pPr>
    </w:p>
    <w:tbl>
      <w:tblPr>
        <w:tblStyle w:val="TableNormal2"/>
        <w:tblW w:w="0" w:type="auto"/>
        <w:jc w:val="left"/>
        <w:tblInd w:w="5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159"/>
        <w:gridCol w:w="596"/>
        <w:gridCol w:w="597"/>
        <w:gridCol w:w="597"/>
        <w:gridCol w:w="596"/>
        <w:gridCol w:w="597"/>
        <w:gridCol w:w="597"/>
        <w:gridCol w:w="596"/>
        <w:gridCol w:w="597"/>
        <w:gridCol w:w="597"/>
        <w:gridCol w:w="597"/>
      </w:tblGrid>
      <w:tr>
        <w:tblPrEx>
          <w:tblW w:w="0" w:type="auto"/>
          <w:jc w:val="left"/>
          <w:tblInd w:w="5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400"/>
          <w:jc w:val="left"/>
        </w:trPr>
        <w:tc>
          <w:tcPr>
            <w:tcW w:w="3159" w:type="dxa"/>
            <w:tcBorders>
              <w:bottom w:val="single" w:sz="4" w:space="0" w:color="000000"/>
              <w:right w:val="single" w:sz="4" w:space="0" w:color="000000"/>
            </w:tcBorders>
          </w:tcPr>
          <w:p>
            <w:pPr>
              <w:pStyle w:val="TableParagraph"/>
              <w:ind w:left="0"/>
              <w:rPr>
                <w:sz w:val="21"/>
              </w:rPr>
            </w:pPr>
            <w:r>
              <w:rPr>
                <w:sz w:val="21"/>
              </w:rPr>
              <w:t>4.16</w:t>
            </w:r>
            <w:r>
              <w:rPr>
                <w:spacing w:val="-10"/>
                <w:sz w:val="21"/>
              </w:rPr>
              <w:t xml:space="preserve"> 质量记录的控制</w:t>
            </w:r>
          </w:p>
        </w:tc>
        <w:tc>
          <w:tcPr>
            <w:tcW w:w="596" w:type="dxa"/>
            <w:tcBorders>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left w:val="single" w:sz="4" w:space="0" w:color="000000"/>
              <w:bottom w:val="single" w:sz="4" w:space="0" w:color="000000"/>
              <w:right w:val="single" w:sz="4" w:space="0" w:color="000000"/>
            </w:tcBorders>
          </w:tcPr>
          <w:p>
            <w:pPr>
              <w:pStyle w:val="TableParagraph"/>
              <w:rPr>
                <w:sz w:val="21"/>
              </w:rPr>
            </w:pPr>
            <w:r>
              <w:rPr>
                <w:sz w:val="21"/>
              </w:rPr>
              <w:t>1</w:t>
            </w:r>
          </w:p>
        </w:tc>
        <w:tc>
          <w:tcPr>
            <w:tcW w:w="596" w:type="dxa"/>
            <w:tcBorders>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left w:val="single" w:sz="4" w:space="0" w:color="000000"/>
              <w:bottom w:val="single" w:sz="4" w:space="0" w:color="000000"/>
            </w:tcBorders>
          </w:tcPr>
          <w:p>
            <w:pPr>
              <w:pStyle w:val="TableParagraph"/>
              <w:ind w:left="192"/>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bottom w:val="single" w:sz="4" w:space="0" w:color="000000"/>
              <w:right w:val="single" w:sz="4" w:space="0" w:color="000000"/>
            </w:tcBorders>
          </w:tcPr>
          <w:p>
            <w:pPr>
              <w:pStyle w:val="TableParagraph"/>
              <w:ind w:left="0"/>
              <w:rPr>
                <w:sz w:val="21"/>
              </w:rPr>
            </w:pPr>
            <w:r>
              <w:rPr>
                <w:sz w:val="21"/>
              </w:rPr>
              <w:t>4.17</w:t>
            </w:r>
            <w:r>
              <w:rPr>
                <w:spacing w:val="-9"/>
                <w:sz w:val="21"/>
              </w:rPr>
              <w:t xml:space="preserve"> 内部质量体系审核</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1</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1</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tcBorders>
          </w:tcPr>
          <w:p>
            <w:pPr>
              <w:pStyle w:val="TableParagraph"/>
              <w:ind w:left="192"/>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bottom w:val="single" w:sz="4" w:space="0" w:color="000000"/>
              <w:right w:val="single" w:sz="4" w:space="0" w:color="000000"/>
            </w:tcBorders>
          </w:tcPr>
          <w:p>
            <w:pPr>
              <w:pStyle w:val="TableParagraph"/>
              <w:ind w:left="0"/>
              <w:rPr>
                <w:sz w:val="21"/>
              </w:rPr>
            </w:pPr>
            <w:r>
              <w:rPr>
                <w:sz w:val="21"/>
              </w:rPr>
              <w:t>4.18</w:t>
            </w:r>
            <w:r>
              <w:rPr>
                <w:spacing w:val="-22"/>
                <w:sz w:val="21"/>
              </w:rPr>
              <w:t xml:space="preserve"> 培训</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1</w:t>
            </w:r>
          </w:p>
        </w:tc>
        <w:tc>
          <w:tcPr>
            <w:tcW w:w="597" w:type="dxa"/>
            <w:tcBorders>
              <w:top w:val="single" w:sz="4" w:space="0" w:color="000000"/>
              <w:left w:val="single" w:sz="4" w:space="0" w:color="000000"/>
              <w:bottom w:val="single" w:sz="4" w:space="0" w:color="000000"/>
            </w:tcBorders>
          </w:tcPr>
          <w:p>
            <w:pPr>
              <w:pStyle w:val="TableParagraph"/>
              <w:ind w:left="192"/>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bottom w:val="single" w:sz="4" w:space="0" w:color="000000"/>
              <w:right w:val="single" w:sz="4" w:space="0" w:color="000000"/>
            </w:tcBorders>
          </w:tcPr>
          <w:p>
            <w:pPr>
              <w:pStyle w:val="TableParagraph"/>
              <w:ind w:left="0"/>
              <w:rPr>
                <w:sz w:val="21"/>
              </w:rPr>
            </w:pPr>
            <w:r>
              <w:rPr>
                <w:sz w:val="21"/>
              </w:rPr>
              <w:t>4.19</w:t>
            </w:r>
            <w:r>
              <w:rPr>
                <w:spacing w:val="-22"/>
                <w:sz w:val="21"/>
              </w:rPr>
              <w:t xml:space="preserve"> 报务</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1</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1</w:t>
            </w:r>
          </w:p>
        </w:tc>
        <w:tc>
          <w:tcPr>
            <w:tcW w:w="596" w:type="dxa"/>
            <w:tcBorders>
              <w:top w:val="single" w:sz="4" w:space="0" w:color="000000"/>
              <w:left w:val="single" w:sz="4" w:space="0" w:color="000000"/>
              <w:bottom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bottom w:val="single" w:sz="4" w:space="0" w:color="000000"/>
            </w:tcBorders>
          </w:tcPr>
          <w:p>
            <w:pPr>
              <w:pStyle w:val="TableParagraph"/>
              <w:ind w:left="192"/>
              <w:rPr>
                <w:sz w:val="21"/>
              </w:rPr>
            </w:pPr>
            <w:r>
              <w:rPr>
                <w:sz w:val="21"/>
              </w:rPr>
              <w:t>0</w:t>
            </w:r>
          </w:p>
        </w:tc>
      </w:tr>
      <w:tr>
        <w:tblPrEx>
          <w:tblW w:w="0" w:type="auto"/>
          <w:jc w:val="left"/>
          <w:tblInd w:w="532" w:type="dxa"/>
          <w:tblLayout w:type="fixed"/>
          <w:tblCellMar>
            <w:top w:w="0" w:type="dxa"/>
            <w:left w:w="0" w:type="dxa"/>
            <w:bottom w:w="0" w:type="dxa"/>
            <w:right w:w="0" w:type="dxa"/>
          </w:tblCellMar>
          <w:tblLook w:val="01E0"/>
        </w:tblPrEx>
        <w:trPr>
          <w:trHeight w:val="400"/>
          <w:jc w:val="left"/>
        </w:trPr>
        <w:tc>
          <w:tcPr>
            <w:tcW w:w="3159" w:type="dxa"/>
            <w:tcBorders>
              <w:top w:val="single" w:sz="4" w:space="0" w:color="000000"/>
              <w:right w:val="single" w:sz="4" w:space="0" w:color="000000"/>
            </w:tcBorders>
          </w:tcPr>
          <w:p>
            <w:pPr>
              <w:pStyle w:val="TableParagraph"/>
              <w:ind w:left="0"/>
              <w:rPr>
                <w:sz w:val="21"/>
              </w:rPr>
            </w:pPr>
            <w:r>
              <w:rPr>
                <w:sz w:val="21"/>
              </w:rPr>
              <w:t>4.20</w:t>
            </w:r>
            <w:r>
              <w:rPr>
                <w:spacing w:val="-14"/>
                <w:sz w:val="21"/>
              </w:rPr>
              <w:t xml:space="preserve"> 统计技术</w:t>
            </w:r>
          </w:p>
        </w:tc>
        <w:tc>
          <w:tcPr>
            <w:tcW w:w="596" w:type="dxa"/>
            <w:tcBorders>
              <w:top w:val="single" w:sz="4" w:space="0" w:color="000000"/>
              <w:left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right w:val="single" w:sz="4" w:space="0" w:color="000000"/>
            </w:tcBorders>
          </w:tcPr>
          <w:p>
            <w:pPr>
              <w:pStyle w:val="TableParagraph"/>
              <w:rPr>
                <w:sz w:val="21"/>
              </w:rPr>
            </w:pPr>
            <w:r>
              <w:rPr>
                <w:sz w:val="21"/>
              </w:rPr>
              <w:t>1</w:t>
            </w:r>
          </w:p>
        </w:tc>
        <w:tc>
          <w:tcPr>
            <w:tcW w:w="596" w:type="dxa"/>
            <w:tcBorders>
              <w:top w:val="single" w:sz="4" w:space="0" w:color="000000"/>
              <w:left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right w:val="single" w:sz="4" w:space="0" w:color="000000"/>
            </w:tcBorders>
          </w:tcPr>
          <w:p>
            <w:pPr>
              <w:pStyle w:val="TableParagraph"/>
              <w:rPr>
                <w:sz w:val="21"/>
              </w:rPr>
            </w:pPr>
            <w:r>
              <w:rPr>
                <w:sz w:val="21"/>
              </w:rPr>
              <w:t>1</w:t>
            </w:r>
          </w:p>
        </w:tc>
        <w:tc>
          <w:tcPr>
            <w:tcW w:w="597" w:type="dxa"/>
            <w:tcBorders>
              <w:top w:val="single" w:sz="4" w:space="0" w:color="000000"/>
              <w:left w:val="single" w:sz="4" w:space="0" w:color="000000"/>
              <w:right w:val="single" w:sz="4" w:space="0" w:color="000000"/>
            </w:tcBorders>
          </w:tcPr>
          <w:p>
            <w:pPr>
              <w:pStyle w:val="TableParagraph"/>
              <w:rPr>
                <w:sz w:val="21"/>
              </w:rPr>
            </w:pPr>
            <w:r>
              <w:rPr>
                <w:sz w:val="21"/>
              </w:rPr>
              <w:t>0</w:t>
            </w:r>
          </w:p>
        </w:tc>
        <w:tc>
          <w:tcPr>
            <w:tcW w:w="596" w:type="dxa"/>
            <w:tcBorders>
              <w:top w:val="single" w:sz="4" w:space="0" w:color="000000"/>
              <w:left w:val="single" w:sz="4" w:space="0" w:color="000000"/>
              <w:right w:val="single" w:sz="4" w:space="0" w:color="000000"/>
            </w:tcBorders>
          </w:tcPr>
          <w:p>
            <w:pPr>
              <w:pStyle w:val="TableParagraph"/>
              <w:ind w:left="201"/>
              <w:rPr>
                <w:sz w:val="21"/>
              </w:rPr>
            </w:pPr>
            <w:r>
              <w:rPr>
                <w:sz w:val="21"/>
              </w:rPr>
              <w:t>0</w:t>
            </w:r>
          </w:p>
        </w:tc>
        <w:tc>
          <w:tcPr>
            <w:tcW w:w="597" w:type="dxa"/>
            <w:tcBorders>
              <w:top w:val="single" w:sz="4" w:space="0" w:color="000000"/>
              <w:left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right w:val="single" w:sz="4" w:space="0" w:color="000000"/>
            </w:tcBorders>
          </w:tcPr>
          <w:p>
            <w:pPr>
              <w:pStyle w:val="TableParagraph"/>
              <w:rPr>
                <w:sz w:val="21"/>
              </w:rPr>
            </w:pPr>
            <w:r>
              <w:rPr>
                <w:sz w:val="21"/>
              </w:rPr>
              <w:t>0</w:t>
            </w:r>
          </w:p>
        </w:tc>
        <w:tc>
          <w:tcPr>
            <w:tcW w:w="597" w:type="dxa"/>
            <w:tcBorders>
              <w:top w:val="single" w:sz="4" w:space="0" w:color="000000"/>
              <w:left w:val="single" w:sz="4" w:space="0" w:color="000000"/>
            </w:tcBorders>
          </w:tcPr>
          <w:p>
            <w:pPr>
              <w:pStyle w:val="TableParagraph"/>
              <w:ind w:left="192"/>
              <w:rPr>
                <w:sz w:val="21"/>
              </w:rPr>
            </w:pPr>
            <w:r>
              <w:rPr>
                <w:sz w:val="21"/>
              </w:rPr>
              <w:t>0</w:t>
            </w:r>
          </w:p>
        </w:tc>
      </w:tr>
    </w:tbl>
    <w:p>
      <w:pPr>
        <w:pStyle w:val="BodyText"/>
        <w:spacing w:before="23" w:line="270" w:lineRule="exact"/>
        <w:ind w:left="291"/>
      </w:pPr>
      <w:r>
        <w:t>注：“1”表示主管或归口管理部门；“0”</w:t>
      </w:r>
      <w:r>
        <w:rPr>
          <w:spacing w:val="-2"/>
        </w:rPr>
        <w:t>表示协作部。</w:t>
      </w:r>
    </w:p>
    <w:p>
      <w:pPr>
        <w:pStyle w:val="Heading3"/>
        <w:spacing w:line="378" w:lineRule="exact"/>
        <w:ind w:left="724"/>
      </w:pPr>
      <w:r>
        <w:rPr>
          <w:spacing w:val="-4"/>
        </w:rPr>
        <w:t>2</w:t>
      </w:r>
      <w:r>
        <w:rPr>
          <w:spacing w:val="-5"/>
        </w:rPr>
        <w:t>、文件和资料的控制</w:t>
      </w:r>
    </w:p>
    <w:p>
      <w:pPr>
        <w:pStyle w:val="ListParagraph"/>
        <w:numPr>
          <w:ilvl w:val="0"/>
          <w:numId w:val="27"/>
        </w:numPr>
        <w:tabs>
          <w:tab w:val="left" w:pos="1259"/>
        </w:tabs>
        <w:spacing w:before="0" w:after="0" w:line="282" w:lineRule="exact"/>
        <w:ind w:left="1258" w:right="0" w:hanging="607"/>
        <w:jc w:val="left"/>
        <w:rPr>
          <w:sz w:val="24"/>
        </w:rPr>
      </w:pPr>
      <w:r>
        <w:rPr>
          <w:spacing w:val="-1"/>
          <w:sz w:val="24"/>
        </w:rPr>
        <w:t>文件和资料的控制由资料没负责，对文件和资料实施分类、编号、保管、</w:t>
      </w:r>
    </w:p>
    <w:p>
      <w:pPr>
        <w:pStyle w:val="BodyText"/>
        <w:spacing w:before="4" w:line="242" w:lineRule="auto"/>
        <w:ind w:left="291" w:right="718"/>
        <w:jc w:val="both"/>
      </w:pPr>
      <w:r>
        <w:rPr>
          <w:spacing w:val="-2"/>
        </w:rPr>
        <w:t>登记、手法，并建立文件有效版本清单；确保所有对质量影响的场所都使用文件和</w:t>
      </w:r>
      <w:r>
        <w:rPr>
          <w:spacing w:val="-2"/>
        </w:rPr>
        <w:t>资料的有效版本；对已作废仍有保留价值的文件和资料加盖“作废”字样，并隔离</w:t>
      </w:r>
      <w:r>
        <w:rPr>
          <w:spacing w:val="-4"/>
        </w:rPr>
        <w:t>存放。</w:t>
      </w:r>
    </w:p>
    <w:p>
      <w:pPr>
        <w:pStyle w:val="ListParagraph"/>
        <w:numPr>
          <w:ilvl w:val="0"/>
          <w:numId w:val="27"/>
        </w:numPr>
        <w:tabs>
          <w:tab w:val="left" w:pos="1347"/>
        </w:tabs>
        <w:spacing w:before="2" w:after="0" w:line="240" w:lineRule="auto"/>
        <w:ind w:left="1347" w:right="0" w:hanging="602"/>
        <w:jc w:val="left"/>
        <w:rPr>
          <w:sz w:val="24"/>
        </w:rPr>
      </w:pPr>
      <w:r>
        <w:rPr>
          <w:spacing w:val="-1"/>
          <w:sz w:val="24"/>
        </w:rPr>
        <w:t>文件和资料的控制范围：</w:t>
      </w:r>
    </w:p>
    <w:p>
      <w:pPr>
        <w:pStyle w:val="BodyText"/>
        <w:spacing w:before="4"/>
        <w:ind w:left="745"/>
      </w:pPr>
      <w:r>
        <w:t>A</w:t>
      </w:r>
      <w:r>
        <w:rPr>
          <w:spacing w:val="-17"/>
        </w:rPr>
        <w:t>、公司《质量手册》、《程序文件》及有关支持性文件。</w:t>
      </w:r>
    </w:p>
    <w:p>
      <w:pPr>
        <w:pStyle w:val="BodyText"/>
        <w:spacing w:before="4" w:line="242" w:lineRule="auto"/>
        <w:ind w:left="291" w:right="718" w:firstLine="454"/>
      </w:pPr>
      <w:r>
        <w:rPr>
          <w:spacing w:val="-2"/>
        </w:rPr>
        <w:t>B、各类技术标准、规范和图集；施工图纸；施工组织设计方案；作业指导书、</w:t>
      </w:r>
      <w:r>
        <w:rPr>
          <w:spacing w:val="-2"/>
        </w:rPr>
        <w:t>技术交底、会议记要、设计变更及监理通知等。</w:t>
      </w:r>
    </w:p>
    <w:p>
      <w:pPr>
        <w:pStyle w:val="BodyText"/>
        <w:spacing w:before="1" w:line="242" w:lineRule="auto"/>
        <w:ind w:right="717" w:firstLine="433"/>
      </w:pPr>
      <w:r>
        <w:rPr>
          <w:spacing w:val="-2"/>
        </w:rPr>
        <w:t>C、工程竣工后，由项目经理部资料员按规定和要求将文件和资料整理移交业主</w:t>
      </w:r>
      <w:r>
        <w:rPr>
          <w:spacing w:val="-2"/>
        </w:rPr>
        <w:t>及有关部门。</w:t>
      </w:r>
    </w:p>
    <w:p>
      <w:pPr>
        <w:pStyle w:val="Heading3"/>
        <w:spacing w:line="338" w:lineRule="exact"/>
        <w:ind w:left="724"/>
      </w:pPr>
      <w:r>
        <w:rPr>
          <w:spacing w:val="-10"/>
        </w:rPr>
        <w:t>3</w:t>
      </w:r>
      <w:r>
        <w:rPr>
          <w:spacing w:val="-11"/>
        </w:rPr>
        <w:t>、采购</w:t>
      </w:r>
    </w:p>
    <w:p>
      <w:pPr>
        <w:pStyle w:val="ListParagraph"/>
        <w:numPr>
          <w:ilvl w:val="0"/>
          <w:numId w:val="26"/>
        </w:numPr>
        <w:tabs>
          <w:tab w:val="left" w:pos="1247"/>
        </w:tabs>
        <w:spacing w:before="0" w:after="0" w:line="282" w:lineRule="exact"/>
        <w:ind w:left="1247" w:right="0" w:hanging="601"/>
        <w:jc w:val="left"/>
        <w:rPr>
          <w:sz w:val="24"/>
        </w:rPr>
      </w:pPr>
      <w:r>
        <w:rPr>
          <w:spacing w:val="-2"/>
          <w:sz w:val="24"/>
        </w:rPr>
        <w:t>材料供应：</w:t>
      </w:r>
    </w:p>
    <w:p>
      <w:pPr>
        <w:pStyle w:val="BodyText"/>
        <w:spacing w:before="4"/>
        <w:ind w:left="970"/>
      </w:pPr>
      <w:r>
        <w:t>A</w:t>
      </w:r>
      <w:r>
        <w:rPr>
          <w:spacing w:val="-1"/>
        </w:rPr>
        <w:t>、材料有业主提供和自采材料两种。</w:t>
      </w:r>
    </w:p>
    <w:p>
      <w:pPr>
        <w:pStyle w:val="BodyText"/>
        <w:spacing w:before="3" w:line="242" w:lineRule="auto"/>
        <w:ind w:left="291" w:right="718" w:firstLine="679"/>
      </w:pPr>
      <w:r>
        <w:rPr>
          <w:spacing w:val="-2"/>
        </w:rPr>
        <w:t>B、项目经理部材料科组织分承包的评定和选择。工程部、质检部、试验室参</w:t>
      </w:r>
      <w:r>
        <w:rPr>
          <w:spacing w:val="-2"/>
        </w:rPr>
        <w:t>加评定，评审结论由主管领导批准后，纳入合格分承包方名单。</w:t>
      </w:r>
    </w:p>
    <w:p>
      <w:pPr>
        <w:pStyle w:val="BodyText"/>
        <w:spacing w:before="2" w:line="242" w:lineRule="auto"/>
        <w:ind w:left="291" w:right="718" w:firstLine="679"/>
      </w:pPr>
      <w:r>
        <w:rPr>
          <w:spacing w:val="-2"/>
        </w:rPr>
        <w:t>C、项目经理部材料科在工程开工前，根据施工设计进度计划提出原材料采购</w:t>
      </w:r>
      <w:r>
        <w:rPr>
          <w:spacing w:val="-4"/>
        </w:rPr>
        <w:t>计划表。</w:t>
      </w:r>
    </w:p>
    <w:p>
      <w:pPr>
        <w:pStyle w:val="ListParagraph"/>
        <w:numPr>
          <w:ilvl w:val="0"/>
          <w:numId w:val="26"/>
        </w:numPr>
        <w:tabs>
          <w:tab w:val="left" w:pos="1001"/>
        </w:tabs>
        <w:spacing w:before="1" w:after="0" w:line="240" w:lineRule="auto"/>
        <w:ind w:left="1001" w:right="0" w:hanging="601"/>
        <w:jc w:val="left"/>
        <w:rPr>
          <w:sz w:val="24"/>
        </w:rPr>
      </w:pPr>
      <w:r>
        <w:rPr>
          <w:spacing w:val="-2"/>
          <w:sz w:val="24"/>
        </w:rPr>
        <w:t>控制与验证：</w:t>
      </w:r>
    </w:p>
    <w:p>
      <w:pPr>
        <w:pStyle w:val="BodyText"/>
        <w:spacing w:before="4"/>
        <w:ind w:left="970"/>
      </w:pPr>
      <w:r>
        <w:t>A</w:t>
      </w:r>
      <w:r>
        <w:rPr>
          <w:spacing w:val="-1"/>
        </w:rPr>
        <w:t>、所有自采材料、半成品必须有产品合格证书及有关质量检验单。</w:t>
      </w:r>
    </w:p>
    <w:p>
      <w:pPr>
        <w:pStyle w:val="BodyText"/>
        <w:spacing w:before="4" w:line="242" w:lineRule="auto"/>
        <w:ind w:left="970" w:right="597"/>
      </w:pPr>
      <w:r>
        <w:rPr>
          <w:spacing w:val="-4"/>
        </w:rPr>
        <w:t xml:space="preserve">B、工程用的材料应按有关程序和规定进行检验和抽样复查，取得有效证记录。 </w:t>
      </w:r>
      <w:r>
        <w:rPr>
          <w:spacing w:val="-2"/>
        </w:rPr>
        <w:t>C、材料采购单位应对验证资料取得及其完整性和有效性负责，并将验证资料</w:t>
      </w:r>
    </w:p>
    <w:p>
      <w:pPr>
        <w:pStyle w:val="BodyText"/>
        <w:spacing w:before="1" w:line="270" w:lineRule="exact"/>
        <w:ind w:left="291"/>
      </w:pPr>
      <w:r>
        <w:rPr>
          <w:spacing w:val="-1"/>
        </w:rPr>
        <w:t>妥善保管；有关的施工、质检部门应监督检查验证工作，并对验证资料进行检查。</w:t>
      </w:r>
    </w:p>
    <w:p>
      <w:pPr>
        <w:pStyle w:val="Heading3"/>
        <w:spacing w:line="378" w:lineRule="exact"/>
        <w:ind w:left="724"/>
      </w:pPr>
      <w:r>
        <w:rPr>
          <w:spacing w:val="-4"/>
        </w:rPr>
        <w:t>4</w:t>
      </w:r>
      <w:r>
        <w:rPr>
          <w:spacing w:val="-5"/>
        </w:rPr>
        <w:t>、产品标识与可追溯性</w:t>
      </w:r>
    </w:p>
    <w:p>
      <w:pPr>
        <w:pStyle w:val="ListParagraph"/>
        <w:numPr>
          <w:ilvl w:val="1"/>
          <w:numId w:val="26"/>
        </w:numPr>
        <w:tabs>
          <w:tab w:val="left" w:pos="1385"/>
        </w:tabs>
        <w:spacing w:before="0" w:after="0" w:line="282" w:lineRule="exact"/>
        <w:ind w:left="1385" w:right="0" w:hanging="601"/>
        <w:jc w:val="left"/>
        <w:rPr>
          <w:sz w:val="24"/>
        </w:rPr>
      </w:pPr>
      <w:r>
        <w:rPr>
          <w:spacing w:val="-3"/>
          <w:sz w:val="24"/>
        </w:rPr>
        <w:t>用于本工程的主要原材料、半成品及工程设备等均应进行标识，以区别不</w:t>
      </w:r>
    </w:p>
    <w:p>
      <w:pPr>
        <w:pStyle w:val="BodyText"/>
        <w:spacing w:before="4" w:line="242" w:lineRule="auto"/>
        <w:ind w:right="718"/>
      </w:pPr>
      <w:r>
        <w:rPr>
          <w:spacing w:val="-2"/>
        </w:rPr>
        <w:t>同种类、规格、等级的产品，防止误用、混用或使用过期失效的产品，实现可追溯</w:t>
      </w:r>
      <w:r>
        <w:rPr>
          <w:spacing w:val="-6"/>
        </w:rPr>
        <w:t>性。</w:t>
      </w:r>
    </w:p>
    <w:p>
      <w:pPr>
        <w:pStyle w:val="ListParagraph"/>
        <w:numPr>
          <w:ilvl w:val="1"/>
          <w:numId w:val="26"/>
        </w:numPr>
        <w:tabs>
          <w:tab w:val="left" w:pos="1344"/>
        </w:tabs>
        <w:spacing w:before="1" w:after="0" w:line="242" w:lineRule="auto"/>
        <w:ind w:left="292" w:right="718" w:firstLine="450"/>
        <w:jc w:val="left"/>
        <w:rPr>
          <w:sz w:val="24"/>
        </w:rPr>
      </w:pPr>
      <w:r>
        <w:rPr>
          <w:spacing w:val="-2"/>
          <w:sz w:val="24"/>
        </w:rPr>
        <w:t>产品标识的原则：产品标识根据“谁采购，谁生产，谁检验，谁标识”的</w:t>
      </w:r>
      <w:r>
        <w:rPr>
          <w:spacing w:val="-2"/>
          <w:sz w:val="24"/>
        </w:rPr>
        <w:t>原则进行。</w:t>
      </w:r>
    </w:p>
    <w:p>
      <w:pPr>
        <w:pStyle w:val="BodyText"/>
        <w:spacing w:before="1" w:line="242" w:lineRule="auto"/>
        <w:ind w:left="291" w:right="718" w:firstLine="694"/>
      </w:pPr>
      <w:r>
        <w:rPr>
          <w:spacing w:val="-2"/>
        </w:rPr>
        <w:t>A、项目部的原材料由项目部材料科派专人负责挂牌标识，废品应隔离存放，</w:t>
      </w:r>
      <w:r>
        <w:rPr>
          <w:spacing w:val="-2"/>
        </w:rPr>
        <w:t>挂牌标识。</w:t>
      </w:r>
    </w:p>
    <w:p>
      <w:pPr>
        <w:pStyle w:val="BodyText"/>
        <w:spacing w:before="2" w:line="242" w:lineRule="auto"/>
        <w:ind w:left="985" w:right="3853"/>
      </w:pPr>
      <w:r>
        <w:rPr>
          <w:spacing w:val="-2"/>
        </w:rPr>
        <w:t>B、仓储材料采用标识，要求帐、物、卡相符。 C、工程上使用的设备由设备处负责标识。</w:t>
      </w:r>
    </w:p>
    <w:p>
      <w:pPr>
        <w:spacing w:after="0" w:line="242" w:lineRule="auto"/>
        <w:sectPr>
          <w:footerReference w:type="default" r:id="rId22"/>
          <w:type w:val="continuous"/>
          <w:pgSz w:w="12240" w:h="15840"/>
          <w:pgMar w:top="1420" w:right="1080" w:bottom="900" w:left="1400" w:header="0" w:footer="706"/>
          <w:pgNumType w:start="19"/>
          <w:cols w:space="708"/>
        </w:sectPr>
      </w:pPr>
    </w:p>
    <w:p>
      <w:pPr>
        <w:pStyle w:val="BodyText"/>
        <w:spacing w:before="43" w:line="242" w:lineRule="auto"/>
        <w:ind w:left="291" w:right="718" w:firstLine="694"/>
      </w:pPr>
      <w:r>
        <w:rPr>
          <w:spacing w:val="-2"/>
        </w:rPr>
        <w:t>D、各种工序成果采用质量记录进行标识，包括分部\分项\单位工程各种检验</w:t>
      </w:r>
      <w:r>
        <w:rPr>
          <w:spacing w:val="-2"/>
        </w:rPr>
        <w:t>评定表、隐蔽工程验收记录等均作为标识的原始依据。</w:t>
      </w:r>
    </w:p>
    <w:p>
      <w:pPr>
        <w:pStyle w:val="BodyText"/>
        <w:spacing w:before="2" w:line="242" w:lineRule="auto"/>
        <w:ind w:left="291" w:right="598" w:firstLine="694"/>
      </w:pPr>
      <w:r>
        <w:rPr>
          <w:spacing w:val="-4"/>
        </w:rPr>
        <w:t>E、关键工序、特殊工序使用的主要材料如水泥、钢筋、砼等应具有可追溯性，</w:t>
      </w:r>
      <w:r>
        <w:rPr>
          <w:spacing w:val="-2"/>
        </w:rPr>
        <w:t>通过记载的标识，追查产品的原始状态，完成对产品的二次验证。</w:t>
      </w:r>
    </w:p>
    <w:p>
      <w:pPr>
        <w:pStyle w:val="ListParagraph"/>
        <w:numPr>
          <w:ilvl w:val="1"/>
          <w:numId w:val="26"/>
        </w:numPr>
        <w:tabs>
          <w:tab w:val="left" w:pos="1343"/>
        </w:tabs>
        <w:spacing w:before="1" w:after="0" w:line="240" w:lineRule="auto"/>
        <w:ind w:left="1343" w:right="0" w:hanging="601"/>
        <w:jc w:val="left"/>
        <w:rPr>
          <w:sz w:val="24"/>
        </w:rPr>
      </w:pPr>
      <w:r>
        <w:rPr>
          <w:spacing w:val="-2"/>
          <w:sz w:val="24"/>
        </w:rPr>
        <w:t>产品追溯的要求</w:t>
      </w:r>
    </w:p>
    <w:p>
      <w:pPr>
        <w:pStyle w:val="BodyText"/>
        <w:spacing w:before="4" w:line="242" w:lineRule="auto"/>
        <w:ind w:left="291" w:right="718" w:firstLine="694"/>
      </w:pPr>
      <w:r>
        <w:rPr>
          <w:spacing w:val="-2"/>
        </w:rPr>
        <w:t>A、保证产品标识的唯一性，一定要与原始凭证、质量记录相一致，防止交接</w:t>
      </w:r>
      <w:r>
        <w:rPr>
          <w:spacing w:val="-2"/>
        </w:rPr>
        <w:t>过程中的破坏和遗失。</w:t>
      </w:r>
    </w:p>
    <w:p>
      <w:pPr>
        <w:pStyle w:val="BodyText"/>
        <w:spacing w:before="1" w:line="242" w:lineRule="auto"/>
        <w:ind w:left="291" w:right="718" w:firstLine="694"/>
      </w:pPr>
      <w:r>
        <w:rPr>
          <w:spacing w:val="-2"/>
        </w:rPr>
        <w:t>B、各种质量记录要清楚、真实，不许涂改。要定时专人收集归档，为追溯某</w:t>
      </w:r>
      <w:r>
        <w:rPr>
          <w:spacing w:val="-2"/>
        </w:rPr>
        <w:t>以状态提供原始记录。</w:t>
      </w:r>
    </w:p>
    <w:p>
      <w:pPr>
        <w:pStyle w:val="BodyText"/>
        <w:spacing w:before="1" w:line="242" w:lineRule="auto"/>
        <w:ind w:left="291" w:right="718" w:firstLine="694"/>
      </w:pPr>
      <w:r>
        <w:rPr>
          <w:spacing w:val="-2"/>
        </w:rPr>
        <w:t>C、项目经理部质检处负责组织工序成果的追溯，在实施追溯中，凡涉及追溯</w:t>
      </w:r>
      <w:r>
        <w:rPr>
          <w:spacing w:val="-2"/>
        </w:rPr>
        <w:t>范围的有关人员均参与追溯。</w:t>
      </w:r>
    </w:p>
    <w:p>
      <w:pPr>
        <w:pStyle w:val="BodyText"/>
        <w:spacing w:before="2" w:line="242" w:lineRule="auto"/>
        <w:ind w:left="291" w:right="719" w:firstLine="694"/>
        <w:jc w:val="both"/>
      </w:pPr>
      <w:r>
        <w:rPr>
          <w:spacing w:val="-4"/>
        </w:rPr>
        <w:t>D、关键工序（</w:t>
      </w:r>
      <w:r>
        <w:rPr>
          <w:spacing w:val="-11"/>
        </w:rPr>
        <w:t>如软基处理、土石方填筑、灰土改良、、台背处理、桩基础、空</w:t>
      </w:r>
      <w:r>
        <w:rPr>
          <w:spacing w:val="-4"/>
        </w:rPr>
        <w:t>心板、T</w:t>
      </w:r>
      <w:r>
        <w:rPr>
          <w:spacing w:val="-9"/>
        </w:rPr>
        <w:t xml:space="preserve"> 梁预制、底基层施工等</w:t>
      </w:r>
      <w:r>
        <w:rPr>
          <w:spacing w:val="-4"/>
        </w:rPr>
        <w:t>）时，项目经理部质检部派专人到现场全过程跟班旁</w:t>
      </w:r>
      <w:r>
        <w:rPr>
          <w:spacing w:val="-2"/>
        </w:rPr>
        <w:t>站，进行监控，做好记录。</w:t>
      </w:r>
    </w:p>
    <w:p>
      <w:pPr>
        <w:pStyle w:val="Heading3"/>
        <w:spacing w:line="339" w:lineRule="exact"/>
        <w:ind w:left="724"/>
      </w:pPr>
      <w:r>
        <w:rPr>
          <w:spacing w:val="-6"/>
        </w:rPr>
        <w:t>5</w:t>
      </w:r>
      <w:r>
        <w:rPr>
          <w:spacing w:val="-7"/>
        </w:rPr>
        <w:t>、过程控制：</w:t>
      </w:r>
    </w:p>
    <w:p>
      <w:pPr>
        <w:pStyle w:val="ListParagraph"/>
        <w:numPr>
          <w:ilvl w:val="0"/>
          <w:numId w:val="25"/>
        </w:numPr>
        <w:tabs>
          <w:tab w:val="left" w:pos="1343"/>
        </w:tabs>
        <w:spacing w:before="0" w:after="0" w:line="282" w:lineRule="exact"/>
        <w:ind w:left="1343" w:right="0" w:hanging="601"/>
        <w:jc w:val="left"/>
        <w:rPr>
          <w:sz w:val="24"/>
        </w:rPr>
      </w:pPr>
      <w:r>
        <w:rPr>
          <w:spacing w:val="-1"/>
          <w:sz w:val="24"/>
        </w:rPr>
        <w:t>、项目经理部工程部负责施工过程控制。</w:t>
      </w:r>
    </w:p>
    <w:p>
      <w:pPr>
        <w:pStyle w:val="ListParagraph"/>
        <w:numPr>
          <w:ilvl w:val="0"/>
          <w:numId w:val="25"/>
        </w:numPr>
        <w:tabs>
          <w:tab w:val="left" w:pos="1343"/>
        </w:tabs>
        <w:spacing w:before="4" w:after="0" w:line="242" w:lineRule="auto"/>
        <w:ind w:left="292" w:right="719" w:firstLine="450"/>
        <w:jc w:val="left"/>
        <w:rPr>
          <w:sz w:val="24"/>
        </w:rPr>
      </w:pPr>
      <w:r>
        <w:rPr>
          <w:spacing w:val="-2"/>
          <w:sz w:val="24"/>
        </w:rPr>
        <w:t>、工程部责任编制实施组织设计方案，报总工程师审批，并呈报总监理代</w:t>
      </w:r>
      <w:r>
        <w:rPr>
          <w:spacing w:val="-4"/>
          <w:sz w:val="24"/>
        </w:rPr>
        <w:t>表批准。</w:t>
      </w:r>
    </w:p>
    <w:p>
      <w:pPr>
        <w:pStyle w:val="ListParagraph"/>
        <w:numPr>
          <w:ilvl w:val="0"/>
          <w:numId w:val="25"/>
        </w:numPr>
        <w:tabs>
          <w:tab w:val="left" w:pos="1343"/>
        </w:tabs>
        <w:spacing w:before="1" w:after="0" w:line="242" w:lineRule="auto"/>
        <w:ind w:left="292" w:right="719" w:firstLine="450"/>
        <w:jc w:val="left"/>
        <w:rPr>
          <w:sz w:val="24"/>
        </w:rPr>
      </w:pPr>
      <w:r>
        <w:rPr>
          <w:spacing w:val="-2"/>
          <w:sz w:val="24"/>
        </w:rPr>
        <w:t>、合同部负责编制每月进度计划，项目经理部施工应周密部署，做到各作</w:t>
      </w:r>
      <w:r>
        <w:rPr>
          <w:spacing w:val="-2"/>
          <w:sz w:val="24"/>
        </w:rPr>
        <w:t>业组流水作业，交叉有序配合。</w:t>
      </w:r>
    </w:p>
    <w:p>
      <w:pPr>
        <w:pStyle w:val="ListParagraph"/>
        <w:numPr>
          <w:ilvl w:val="0"/>
          <w:numId w:val="25"/>
        </w:numPr>
        <w:tabs>
          <w:tab w:val="left" w:pos="1344"/>
        </w:tabs>
        <w:spacing w:before="1" w:after="0" w:line="242" w:lineRule="auto"/>
        <w:ind w:left="292" w:right="719" w:firstLine="450"/>
        <w:jc w:val="both"/>
        <w:rPr>
          <w:sz w:val="24"/>
        </w:rPr>
      </w:pPr>
      <w:r>
        <w:rPr>
          <w:spacing w:val="-10"/>
          <w:sz w:val="24"/>
        </w:rPr>
        <w:t>、本工程项目采用“二级自检体系”，现场技术人员、项目经理部质检部</w:t>
      </w:r>
      <w:r>
        <w:rPr>
          <w:spacing w:val="-6"/>
          <w:sz w:val="24"/>
        </w:rPr>
        <w:t>人员层层把关，严格执行本项目质量体系标准，实行“质量一票否决要”，直到完全</w:t>
      </w:r>
      <w:r>
        <w:rPr>
          <w:spacing w:val="-2"/>
          <w:sz w:val="24"/>
        </w:rPr>
        <w:t>合格为准。</w:t>
      </w:r>
    </w:p>
    <w:p>
      <w:pPr>
        <w:pStyle w:val="ListParagraph"/>
        <w:numPr>
          <w:ilvl w:val="0"/>
          <w:numId w:val="25"/>
        </w:numPr>
        <w:tabs>
          <w:tab w:val="left" w:pos="1343"/>
        </w:tabs>
        <w:spacing w:before="2" w:after="0" w:line="240" w:lineRule="auto"/>
        <w:ind w:left="1343" w:right="0" w:hanging="601"/>
        <w:jc w:val="left"/>
        <w:rPr>
          <w:sz w:val="24"/>
        </w:rPr>
      </w:pPr>
      <w:r>
        <w:rPr>
          <w:spacing w:val="-1"/>
          <w:sz w:val="24"/>
        </w:rPr>
        <w:t>、关键工序含特殊工序的控制：</w:t>
      </w:r>
    </w:p>
    <w:p>
      <w:pPr>
        <w:pStyle w:val="BodyText"/>
        <w:spacing w:before="4" w:line="242" w:lineRule="auto"/>
        <w:ind w:right="599" w:firstLine="492"/>
      </w:pPr>
      <w:r>
        <w:rPr>
          <w:spacing w:val="-2"/>
        </w:rPr>
        <w:t>根据本工程特点，确定以下几道工序为关键工序：软基处理、挖方及边坡防护、</w:t>
      </w:r>
      <w:r>
        <w:rPr>
          <w:spacing w:val="-2"/>
        </w:rPr>
        <w:t>填方、台背处理、钻孔灌注桩、空心板、箱梁浇筑、底基层混合料的拌和及摊铺。</w:t>
      </w:r>
    </w:p>
    <w:p>
      <w:pPr>
        <w:pStyle w:val="BodyText"/>
        <w:spacing w:before="1" w:line="242" w:lineRule="auto"/>
        <w:ind w:right="719" w:firstLine="492"/>
      </w:pPr>
      <w:r>
        <w:rPr>
          <w:spacing w:val="-2"/>
        </w:rPr>
        <w:t>a、在进入关键工序之前，由项目经理部技术负责人制订详细作业指导书，并逐</w:t>
      </w:r>
      <w:r>
        <w:rPr>
          <w:spacing w:val="-4"/>
        </w:rPr>
        <w:t>项落实。</w:t>
      </w:r>
    </w:p>
    <w:p>
      <w:pPr>
        <w:pStyle w:val="BodyText"/>
        <w:spacing w:before="2" w:line="242" w:lineRule="auto"/>
        <w:ind w:left="784" w:right="1415"/>
      </w:pPr>
      <w:r>
        <w:rPr>
          <w:spacing w:val="-2"/>
        </w:rPr>
        <w:t>b、审查人员资质。验明特殊工种上岗证书，不合格的一律不许上见岗。 c、审核进场机具的验收记录。</w:t>
      </w:r>
    </w:p>
    <w:p>
      <w:pPr>
        <w:pStyle w:val="BodyText"/>
        <w:spacing w:before="1"/>
        <w:ind w:left="784"/>
      </w:pPr>
      <w:r>
        <w:t>d</w:t>
      </w:r>
      <w:r>
        <w:rPr>
          <w:spacing w:val="-1"/>
        </w:rPr>
        <w:t>、审核原材料、半成品材料证明。</w:t>
      </w:r>
    </w:p>
    <w:p>
      <w:pPr>
        <w:pStyle w:val="BodyText"/>
        <w:spacing w:before="4" w:line="242" w:lineRule="auto"/>
        <w:ind w:right="719" w:firstLine="492"/>
      </w:pPr>
      <w:r>
        <w:rPr>
          <w:spacing w:val="-2"/>
        </w:rPr>
        <w:t>e、组织现场施工员进行作业指导书面交底，并由施工员向各业班组进行技术安</w:t>
      </w:r>
      <w:r>
        <w:rPr>
          <w:spacing w:val="-4"/>
        </w:rPr>
        <w:t>全交底。</w:t>
      </w:r>
    </w:p>
    <w:p>
      <w:pPr>
        <w:pStyle w:val="BodyText"/>
        <w:spacing w:before="1"/>
        <w:ind w:left="784"/>
      </w:pPr>
      <w:r>
        <w:t>f</w:t>
      </w:r>
      <w:r>
        <w:rPr>
          <w:spacing w:val="-1"/>
        </w:rPr>
        <w:t>、检查施工环境符安全防护措施，确保施工安全。</w:t>
      </w:r>
    </w:p>
    <w:p>
      <w:pPr>
        <w:pStyle w:val="BodyText"/>
        <w:spacing w:before="4" w:line="242" w:lineRule="auto"/>
        <w:ind w:right="718" w:firstLine="492"/>
      </w:pPr>
      <w:r>
        <w:rPr>
          <w:spacing w:val="-2"/>
        </w:rPr>
        <w:t>关键工序施工过程中，由现场技术员、项目经理及总部质检部人员实行层层把</w:t>
      </w:r>
      <w:r>
        <w:rPr>
          <w:spacing w:val="-2"/>
        </w:rPr>
        <w:t>关，跟踪监督。</w:t>
      </w:r>
    </w:p>
    <w:p>
      <w:pPr>
        <w:pStyle w:val="ListParagraph"/>
        <w:numPr>
          <w:ilvl w:val="0"/>
          <w:numId w:val="25"/>
        </w:numPr>
        <w:tabs>
          <w:tab w:val="left" w:pos="1385"/>
        </w:tabs>
        <w:spacing w:before="1" w:after="0" w:line="240" w:lineRule="auto"/>
        <w:ind w:left="1385" w:right="0" w:hanging="601"/>
        <w:jc w:val="left"/>
        <w:rPr>
          <w:sz w:val="24"/>
        </w:rPr>
      </w:pPr>
      <w:r>
        <w:rPr>
          <w:spacing w:val="-2"/>
          <w:sz w:val="24"/>
        </w:rPr>
        <w:t>技术交底：</w:t>
      </w:r>
    </w:p>
    <w:p>
      <w:pPr>
        <w:pStyle w:val="BodyText"/>
        <w:spacing w:before="4"/>
        <w:ind w:left="784"/>
      </w:pPr>
      <w:r>
        <w:rPr>
          <w:spacing w:val="-1"/>
        </w:rPr>
        <w:t>施工准备阶段的技术交底</w:t>
      </w:r>
    </w:p>
    <w:p>
      <w:pPr>
        <w:pStyle w:val="BodyText"/>
        <w:spacing w:before="4" w:line="242" w:lineRule="auto"/>
        <w:ind w:right="599" w:firstLine="492"/>
      </w:pPr>
      <w:r>
        <w:rPr>
          <w:spacing w:val="-6"/>
        </w:rPr>
        <w:t>a、项目经部经理、副经理、总工程师、技术负责人、质检负责人，约同设计方、</w:t>
      </w:r>
      <w:r>
        <w:rPr>
          <w:spacing w:val="-2"/>
        </w:rPr>
        <w:t>甲方、监理方在项目施工前进行图纸会审工作并做好记录。</w:t>
      </w:r>
    </w:p>
    <w:p>
      <w:pPr>
        <w:pStyle w:val="BodyText"/>
        <w:spacing w:before="1"/>
        <w:ind w:left="784"/>
      </w:pPr>
      <w:r>
        <w:rPr>
          <w:spacing w:val="-2"/>
        </w:rPr>
        <w:t>b</w:t>
      </w:r>
      <w:r>
        <w:rPr>
          <w:spacing w:val="-3"/>
        </w:rPr>
        <w:t>、项目经理部合同部、质检部应及时掌握设计图纸和施工动态情况，随时做到</w:t>
      </w:r>
    </w:p>
    <w:p>
      <w:pPr>
        <w:spacing w:after="0"/>
        <w:sectPr>
          <w:footerReference w:type="default" r:id="rId23"/>
          <w:pgSz w:w="12240" w:h="15840"/>
          <w:pgMar w:top="1400" w:right="1080" w:bottom="900" w:left="1400" w:header="0" w:footer="706"/>
          <w:pgNumType w:start="20"/>
          <w:cols w:space="708"/>
        </w:sectPr>
      </w:pPr>
    </w:p>
    <w:p>
      <w:pPr>
        <w:pStyle w:val="BodyText"/>
        <w:spacing w:before="43" w:line="242" w:lineRule="auto"/>
        <w:ind w:left="784" w:right="4667" w:hanging="492"/>
      </w:pPr>
      <w:r>
        <w:rPr>
          <w:spacing w:val="-2"/>
        </w:rPr>
        <w:t>必中有底，并及时与现场技术人员交流沟通。</w:t>
      </w:r>
      <w:r>
        <w:rPr>
          <w:spacing w:val="-2"/>
        </w:rPr>
        <w:t>施工过程的技术交底</w:t>
      </w:r>
    </w:p>
    <w:p>
      <w:pPr>
        <w:pStyle w:val="BodyText"/>
        <w:spacing w:before="2"/>
        <w:ind w:left="784"/>
      </w:pPr>
      <w:r>
        <w:t>a</w:t>
      </w:r>
      <w:r>
        <w:rPr>
          <w:spacing w:val="-1"/>
        </w:rPr>
        <w:t>、项目经理部资料员负责技术资料的传递、接发。</w:t>
      </w:r>
    </w:p>
    <w:p>
      <w:pPr>
        <w:pStyle w:val="BodyText"/>
        <w:spacing w:before="4" w:line="242" w:lineRule="auto"/>
        <w:ind w:right="719" w:firstLine="492"/>
        <w:jc w:val="both"/>
      </w:pPr>
      <w:r>
        <w:rPr>
          <w:spacing w:val="-2"/>
        </w:rPr>
        <w:t>b、由设计代表向项目经理部进行技术交底。项目经理部技术科负责人向现场技</w:t>
      </w:r>
      <w:r>
        <w:rPr>
          <w:spacing w:val="-2"/>
        </w:rPr>
        <w:t>术负责人进行技术交底，每道工序施工前，技术人员应向施工班组进行技术交底，</w:t>
      </w:r>
      <w:r>
        <w:rPr>
          <w:spacing w:val="-2"/>
        </w:rPr>
        <w:t>确保交底每一位操作者。</w:t>
      </w:r>
    </w:p>
    <w:p>
      <w:pPr>
        <w:pStyle w:val="BodyText"/>
        <w:spacing w:before="2"/>
        <w:ind w:left="784"/>
      </w:pPr>
      <w:r>
        <w:t>c</w:t>
      </w:r>
      <w:r>
        <w:rPr>
          <w:spacing w:val="-1"/>
        </w:rPr>
        <w:t>、所有技术交底均以正式表格记录。</w:t>
      </w:r>
    </w:p>
    <w:p>
      <w:pPr>
        <w:pStyle w:val="ListParagraph"/>
        <w:numPr>
          <w:ilvl w:val="0"/>
          <w:numId w:val="25"/>
        </w:numPr>
        <w:tabs>
          <w:tab w:val="left" w:pos="1385"/>
        </w:tabs>
        <w:spacing w:before="3" w:after="0" w:line="240" w:lineRule="auto"/>
        <w:ind w:left="1385" w:right="0" w:hanging="601"/>
        <w:jc w:val="left"/>
        <w:rPr>
          <w:sz w:val="24"/>
        </w:rPr>
      </w:pPr>
      <w:r>
        <w:rPr>
          <w:spacing w:val="-3"/>
          <w:sz w:val="24"/>
        </w:rPr>
        <w:t>测量控制</w:t>
      </w:r>
    </w:p>
    <w:p>
      <w:pPr>
        <w:pStyle w:val="BodyText"/>
        <w:spacing w:before="4" w:line="242" w:lineRule="auto"/>
        <w:ind w:right="599" w:firstLine="492"/>
      </w:pPr>
      <w:r>
        <w:t>A</w:t>
      </w:r>
      <w:r>
        <w:rPr>
          <w:spacing w:val="-14"/>
        </w:rPr>
        <w:t>、为防止控制点偏移、被破坏，方便施工放样，我项目部原来控制网的基础上，</w:t>
      </w:r>
      <w:r>
        <w:rPr>
          <w:spacing w:val="1"/>
        </w:rPr>
        <w:t>打算增加控制点。经测量监理工程师等复测完全合格后，方可采用。此外，项目部测量组队长还应组织人员定期对控制网进行复测，以掌握变化情况。</w:t>
      </w:r>
    </w:p>
    <w:p>
      <w:pPr>
        <w:pStyle w:val="BodyText"/>
        <w:spacing w:before="2" w:line="242" w:lineRule="auto"/>
        <w:ind w:right="718" w:firstLine="492"/>
      </w:pPr>
      <w:r>
        <w:t>B、项目经理部各施工组测量员负责本项目的测量定位，项目部质检 科测量组</w:t>
      </w:r>
      <w:r>
        <w:rPr>
          <w:spacing w:val="-2"/>
        </w:rPr>
        <w:t>负责复测，经复测无误报监理工程师批准。</w:t>
      </w:r>
    </w:p>
    <w:p>
      <w:pPr>
        <w:pStyle w:val="BodyText"/>
        <w:spacing w:before="1" w:line="242" w:lineRule="auto"/>
        <w:ind w:left="784" w:right="2615"/>
      </w:pPr>
      <w:r>
        <w:rPr>
          <w:spacing w:val="-2"/>
        </w:rPr>
        <w:t xml:space="preserve">C、根据本工程实际情况，确定以下项目测量成果复测项目。 </w:t>
      </w:r>
      <w:r>
        <w:rPr>
          <w:spacing w:val="-4"/>
        </w:rPr>
        <w:t>a、标高</w:t>
      </w:r>
    </w:p>
    <w:p>
      <w:pPr>
        <w:pStyle w:val="BodyText"/>
        <w:spacing w:before="2"/>
        <w:ind w:left="784"/>
      </w:pPr>
      <w:r>
        <w:t>b</w:t>
      </w:r>
      <w:r>
        <w:rPr>
          <w:spacing w:val="-4"/>
        </w:rPr>
        <w:t>、中线</w:t>
      </w:r>
    </w:p>
    <w:p>
      <w:pPr>
        <w:pStyle w:val="BodyText"/>
        <w:spacing w:before="3"/>
        <w:ind w:left="784"/>
      </w:pPr>
      <w:r>
        <w:t>c</w:t>
      </w:r>
      <w:r>
        <w:rPr>
          <w:spacing w:val="-1"/>
        </w:rPr>
        <w:t>、全线测量控制网的定期复测</w:t>
      </w:r>
    </w:p>
    <w:p>
      <w:pPr>
        <w:pStyle w:val="ListParagraph"/>
        <w:numPr>
          <w:ilvl w:val="0"/>
          <w:numId w:val="25"/>
        </w:numPr>
        <w:tabs>
          <w:tab w:val="left" w:pos="1385"/>
        </w:tabs>
        <w:spacing w:before="4" w:after="0" w:line="240" w:lineRule="auto"/>
        <w:ind w:left="1385" w:right="0" w:hanging="601"/>
        <w:jc w:val="left"/>
        <w:rPr>
          <w:sz w:val="24"/>
        </w:rPr>
      </w:pPr>
      <w:r>
        <w:rPr>
          <w:spacing w:val="-2"/>
          <w:sz w:val="24"/>
        </w:rPr>
        <w:t>施工设备控制</w:t>
      </w:r>
    </w:p>
    <w:p>
      <w:pPr>
        <w:pStyle w:val="BodyText"/>
        <w:spacing w:before="4" w:line="242" w:lineRule="auto"/>
        <w:ind w:right="719" w:firstLine="492"/>
      </w:pPr>
      <w:r>
        <w:rPr>
          <w:spacing w:val="-2"/>
        </w:rPr>
        <w:t>A、由机务科负责人现场施工机械设备实行动态和静态的控制。加强机械设备的</w:t>
      </w:r>
      <w:r>
        <w:rPr>
          <w:spacing w:val="-2"/>
        </w:rPr>
        <w:t>管理、维修、保养工作，确保其合理使用、安全运行。</w:t>
      </w:r>
    </w:p>
    <w:p>
      <w:pPr>
        <w:pStyle w:val="BodyText"/>
        <w:spacing w:before="1"/>
        <w:ind w:left="784"/>
      </w:pPr>
      <w:r>
        <w:rPr>
          <w:spacing w:val="-2"/>
        </w:rPr>
        <w:t>B</w:t>
      </w:r>
      <w:r>
        <w:rPr>
          <w:spacing w:val="-3"/>
        </w:rPr>
        <w:t>、建立本项目机械设备操作人员的技术培训制度、岗位责任制度、安全操作制</w:t>
      </w:r>
    </w:p>
    <w:p>
      <w:pPr>
        <w:pStyle w:val="BodyText"/>
        <w:spacing w:before="4"/>
      </w:pPr>
      <w:r>
        <w:rPr>
          <w:spacing w:val="-5"/>
        </w:rPr>
        <w:t>度。</w:t>
      </w:r>
    </w:p>
    <w:p>
      <w:pPr>
        <w:pStyle w:val="BodyText"/>
        <w:spacing w:before="4"/>
        <w:ind w:left="784"/>
      </w:pPr>
      <w:r>
        <w:rPr>
          <w:spacing w:val="-2"/>
        </w:rPr>
        <w:t>C</w:t>
      </w:r>
      <w:r>
        <w:rPr>
          <w:spacing w:val="-3"/>
        </w:rPr>
        <w:t>、项目经理部机务科建立机械设备台帐，祥见本项目部大型设备一览表，并保</w:t>
      </w:r>
    </w:p>
    <w:p>
      <w:pPr>
        <w:pStyle w:val="BodyText"/>
        <w:spacing w:before="3"/>
      </w:pPr>
      <w:r>
        <w:rPr>
          <w:spacing w:val="-2"/>
        </w:rPr>
        <w:t>存有效复印件。</w:t>
      </w:r>
    </w:p>
    <w:p>
      <w:pPr>
        <w:pStyle w:val="BodyText"/>
        <w:spacing w:before="4"/>
        <w:ind w:left="784"/>
      </w:pPr>
      <w:r>
        <w:t>D</w:t>
      </w:r>
      <w:r>
        <w:rPr>
          <w:spacing w:val="-1"/>
        </w:rPr>
        <w:t>、主要机械设备进场后，由项目部设备处进行验证，并予以标识。</w:t>
      </w:r>
    </w:p>
    <w:p>
      <w:pPr>
        <w:pStyle w:val="BodyText"/>
        <w:spacing w:before="4"/>
        <w:ind w:left="784"/>
      </w:pPr>
      <w:r>
        <w:t>E</w:t>
      </w:r>
      <w:r>
        <w:rPr>
          <w:spacing w:val="-1"/>
        </w:rPr>
        <w:t>、机械设备的保养与修理必须贯彻“养、修并重，预防为主”的方针。</w:t>
      </w:r>
    </w:p>
    <w:p>
      <w:pPr>
        <w:pStyle w:val="BodyText"/>
        <w:spacing w:before="4"/>
        <w:ind w:left="784"/>
      </w:pPr>
      <w:r>
        <w:rPr>
          <w:spacing w:val="-2"/>
        </w:rPr>
        <w:t>F</w:t>
      </w:r>
      <w:r>
        <w:rPr>
          <w:spacing w:val="-3"/>
        </w:rPr>
        <w:t>、投入施工的机械设备应保证状态良好。机械设备操作人员应作好设备运行记</w:t>
      </w:r>
    </w:p>
    <w:p>
      <w:pPr>
        <w:pStyle w:val="BodyText"/>
        <w:spacing w:before="3"/>
      </w:pPr>
      <w:r>
        <w:rPr>
          <w:spacing w:val="-5"/>
        </w:rPr>
        <w:t>录。</w:t>
      </w:r>
    </w:p>
    <w:p>
      <w:pPr>
        <w:pStyle w:val="BodyText"/>
        <w:spacing w:before="4"/>
        <w:ind w:left="784"/>
      </w:pPr>
      <w:r>
        <w:rPr>
          <w:spacing w:val="-2"/>
        </w:rPr>
        <w:t>G</w:t>
      </w:r>
      <w:r>
        <w:rPr>
          <w:spacing w:val="-3"/>
        </w:rPr>
        <w:t>、机械设备的操作人员必须经过技术培训，必须遵守操作规程，大型设备和专</w:t>
      </w:r>
    </w:p>
    <w:p>
      <w:pPr>
        <w:pStyle w:val="BodyText"/>
        <w:spacing w:before="4"/>
      </w:pPr>
      <w:r>
        <w:rPr>
          <w:spacing w:val="-1"/>
        </w:rPr>
        <w:t>用设备必须定机、定人、定岗位。</w:t>
      </w:r>
    </w:p>
    <w:p>
      <w:pPr>
        <w:pStyle w:val="BodyText"/>
        <w:spacing w:before="4" w:line="270" w:lineRule="exact"/>
        <w:ind w:left="784"/>
      </w:pPr>
      <w:r>
        <w:t>H</w:t>
      </w:r>
      <w:r>
        <w:rPr>
          <w:spacing w:val="-1"/>
        </w:rPr>
        <w:t>、机械设备租赁、报废按相应程序办理。</w:t>
      </w:r>
    </w:p>
    <w:p>
      <w:pPr>
        <w:pStyle w:val="Heading3"/>
        <w:spacing w:line="378" w:lineRule="exact"/>
        <w:ind w:left="724"/>
      </w:pPr>
      <w:r>
        <w:rPr>
          <w:spacing w:val="-6"/>
        </w:rPr>
        <w:t>6</w:t>
      </w:r>
      <w:r>
        <w:rPr>
          <w:spacing w:val="-7"/>
        </w:rPr>
        <w:t>、检验和试验</w:t>
      </w:r>
    </w:p>
    <w:p>
      <w:pPr>
        <w:pStyle w:val="BodyText"/>
        <w:spacing w:line="282" w:lineRule="exact"/>
        <w:ind w:left="784"/>
      </w:pPr>
      <w:r>
        <w:rPr>
          <w:spacing w:val="-1"/>
        </w:rPr>
        <w:t>保证试验室资质、仪器设备可以满足本项目试验能力的需要。</w:t>
      </w:r>
    </w:p>
    <w:p>
      <w:pPr>
        <w:pStyle w:val="ListParagraph"/>
        <w:numPr>
          <w:ilvl w:val="0"/>
          <w:numId w:val="24"/>
        </w:numPr>
        <w:tabs>
          <w:tab w:val="left" w:pos="1385"/>
        </w:tabs>
        <w:spacing w:before="3" w:after="0" w:line="240" w:lineRule="auto"/>
        <w:ind w:left="1385" w:right="0" w:hanging="601"/>
        <w:jc w:val="left"/>
        <w:rPr>
          <w:sz w:val="24"/>
        </w:rPr>
      </w:pPr>
      <w:r>
        <w:rPr>
          <w:spacing w:val="-2"/>
          <w:sz w:val="24"/>
        </w:rPr>
        <w:t>进货检验和试验</w:t>
      </w:r>
    </w:p>
    <w:p>
      <w:pPr>
        <w:pStyle w:val="BodyText"/>
        <w:spacing w:before="4" w:line="242" w:lineRule="auto"/>
        <w:ind w:right="719" w:firstLine="492"/>
        <w:jc w:val="both"/>
      </w:pPr>
      <w:r>
        <w:rPr>
          <w:spacing w:val="-2"/>
        </w:rPr>
        <w:t>A、保管人员对工地所进每批材料（产品）的规格、数量、外观以及合格证书等</w:t>
      </w:r>
      <w:r>
        <w:rPr>
          <w:spacing w:val="-2"/>
        </w:rPr>
        <w:t>单据进行核查，核查无误后，填写《材料（产品）到货签收单》后，通知中心试验</w:t>
      </w:r>
      <w:r>
        <w:rPr>
          <w:spacing w:val="-2"/>
        </w:rPr>
        <w:t>室，并报清、请监理工程师，一同到存货现场按照试验规程的有关要求取样并对样</w:t>
      </w:r>
      <w:r>
        <w:rPr>
          <w:spacing w:val="-2"/>
        </w:rPr>
        <w:t>品做好标识后，送有关试验室进行或化验，并填写《材料（产品）</w:t>
      </w:r>
      <w:r>
        <w:rPr>
          <w:spacing w:val="-20"/>
        </w:rPr>
        <w:t>到货签收单》。</w:t>
      </w:r>
    </w:p>
    <w:p>
      <w:pPr>
        <w:pStyle w:val="BodyText"/>
        <w:spacing w:before="3" w:line="242" w:lineRule="auto"/>
        <w:ind w:right="707" w:firstLine="492"/>
        <w:jc w:val="both"/>
      </w:pPr>
      <w:r>
        <w:rPr>
          <w:spacing w:val="-2"/>
        </w:rPr>
        <w:t>B、质检人员收到材料保管人员的《材料（产品）到货签收单》后，通知中心试</w:t>
      </w:r>
      <w:r>
        <w:rPr>
          <w:spacing w:val="-2"/>
        </w:rPr>
        <w:t>验室，并报清、请监理工程师，一同到存货现场按照试验规程的有关要求取样并对</w:t>
      </w:r>
      <w:r>
        <w:t>样品做好标识后，送有关试验室进行或化验，并填写《材料（产品）</w:t>
      </w:r>
      <w:r>
        <w:rPr>
          <w:spacing w:val="-19"/>
        </w:rPr>
        <w:t>到货签收单》。</w:t>
      </w:r>
    </w:p>
    <w:p>
      <w:pPr>
        <w:spacing w:after="0" w:line="242" w:lineRule="auto"/>
        <w:jc w:val="both"/>
        <w:sectPr>
          <w:footerReference w:type="default" r:id="rId24"/>
          <w:pgSz w:w="12240" w:h="15840"/>
          <w:pgMar w:top="1400" w:right="1080" w:bottom="900" w:left="1400" w:header="0" w:footer="706"/>
          <w:pgNumType w:start="21"/>
          <w:cols w:space="708"/>
        </w:sectPr>
      </w:pPr>
    </w:p>
    <w:p>
      <w:pPr>
        <w:pStyle w:val="BodyText"/>
        <w:spacing w:before="43" w:line="242" w:lineRule="auto"/>
        <w:ind w:right="719" w:firstLine="492"/>
        <w:jc w:val="both"/>
      </w:pPr>
      <w:r>
        <w:rPr>
          <w:spacing w:val="-2"/>
        </w:rPr>
        <w:t>C、中心试验室《材料（产品）报验单》要求的试验项目，依据试验规定的试验</w:t>
      </w:r>
      <w:r>
        <w:rPr>
          <w:spacing w:val="-2"/>
        </w:rPr>
        <w:t>方法进行试验或化验，并填写《材料（产品）检、试验报告单》一式二份，报试验</w:t>
      </w:r>
      <w:r>
        <w:rPr>
          <w:spacing w:val="-2"/>
        </w:rPr>
        <w:t>监理工程师审批后，返回一份给中心试验室，中心试验室再将其交材料科，由材料</w:t>
      </w:r>
      <w:r>
        <w:rPr>
          <w:spacing w:val="-2"/>
        </w:rPr>
        <w:t>科与质检部一道将其与材料质保单报路面监理工程师复查、审批。路面监理工程师</w:t>
      </w:r>
      <w:r>
        <w:rPr>
          <w:spacing w:val="-2"/>
        </w:rPr>
        <w:t>再将其结果返回给材料科，材料科再将结果书面报告给相关部门。</w:t>
      </w:r>
    </w:p>
    <w:p>
      <w:pPr>
        <w:pStyle w:val="BodyText"/>
        <w:spacing w:before="4" w:line="242" w:lineRule="auto"/>
        <w:ind w:right="719" w:firstLine="492"/>
      </w:pPr>
      <w:r>
        <w:rPr>
          <w:spacing w:val="-2"/>
        </w:rPr>
        <w:t>D、对经验合格并得监理工程师签字认可的工程材料，由质检没会同材料保管员</w:t>
      </w:r>
      <w:r>
        <w:rPr>
          <w:spacing w:val="-2"/>
        </w:rPr>
        <w:t>作好标识，并按指定的地域存放。</w:t>
      </w:r>
    </w:p>
    <w:p>
      <w:pPr>
        <w:pStyle w:val="BodyText"/>
        <w:spacing w:before="1"/>
        <w:ind w:left="784"/>
      </w:pPr>
      <w:r>
        <w:t>E</w:t>
      </w:r>
      <w:r>
        <w:rPr>
          <w:spacing w:val="-1"/>
        </w:rPr>
        <w:t>、不合格口分为材料不合格和工序成果不合格。</w:t>
      </w:r>
    </w:p>
    <w:p>
      <w:pPr>
        <w:pStyle w:val="BodyText"/>
        <w:spacing w:before="4"/>
        <w:ind w:left="784"/>
      </w:pPr>
      <w:r>
        <w:t>F</w:t>
      </w:r>
      <w:r>
        <w:rPr>
          <w:spacing w:val="-1"/>
        </w:rPr>
        <w:t>、未经检验和试验的结构钢材等重要材料，不得投入使用，不允许紧急放行。</w:t>
      </w:r>
    </w:p>
    <w:p>
      <w:pPr>
        <w:pStyle w:val="ListParagraph"/>
        <w:numPr>
          <w:ilvl w:val="0"/>
          <w:numId w:val="24"/>
        </w:numPr>
        <w:tabs>
          <w:tab w:val="left" w:pos="1385"/>
        </w:tabs>
        <w:spacing w:before="4" w:after="0" w:line="240" w:lineRule="auto"/>
        <w:ind w:left="1385" w:right="0" w:hanging="601"/>
        <w:jc w:val="left"/>
        <w:rPr>
          <w:sz w:val="24"/>
        </w:rPr>
      </w:pPr>
      <w:r>
        <w:rPr>
          <w:spacing w:val="-2"/>
          <w:sz w:val="24"/>
        </w:rPr>
        <w:t>过程检验和试验</w:t>
      </w:r>
    </w:p>
    <w:p>
      <w:pPr>
        <w:pStyle w:val="BodyText"/>
        <w:spacing w:before="3" w:line="242" w:lineRule="auto"/>
        <w:ind w:right="707" w:firstLine="492"/>
        <w:jc w:val="both"/>
      </w:pPr>
      <w:r>
        <w:rPr>
          <w:spacing w:val="-2"/>
        </w:rPr>
        <w:t>A、各施工组的施工人员和测量员《按照施工过程控制程序》的要求和《公路工</w:t>
      </w:r>
      <w:r>
        <w:rPr>
          <w:spacing w:val="-2"/>
        </w:rPr>
        <w:t>程施工技术规范》的有关规定,对施工过程中的各道工序和各项隐藏工程、各分项、</w:t>
      </w:r>
      <w:r>
        <w:rPr>
          <w:spacing w:val="-2"/>
        </w:rPr>
        <w:t>分部、部位工程进行自检。</w:t>
      </w:r>
    </w:p>
    <w:p>
      <w:pPr>
        <w:pStyle w:val="BodyText"/>
        <w:spacing w:before="2" w:line="242" w:lineRule="auto"/>
        <w:ind w:right="599" w:firstLine="492"/>
      </w:pPr>
      <w:r>
        <w:t>B</w:t>
      </w:r>
      <w:r>
        <w:rPr>
          <w:spacing w:val="-13"/>
        </w:rPr>
        <w:t>、经自检各项技术指标合格后，由各施工组施工员填写《工程质量检查记录表》</w:t>
      </w:r>
      <w:r>
        <w:rPr>
          <w:spacing w:val="-12"/>
        </w:rPr>
        <w:t>的要求和《分项工程交验表》，经项目经理部质检部质检员现场复核后，签字认可再</w:t>
      </w:r>
      <w:r>
        <w:rPr>
          <w:spacing w:val="1"/>
        </w:rPr>
        <w:t>报请监理工程师检验或验收，经检验或验收合格并得监理工程师签字认可后，方可进入下一道工序。</w:t>
      </w:r>
    </w:p>
    <w:p>
      <w:pPr>
        <w:pStyle w:val="BodyText"/>
        <w:spacing w:before="3" w:line="242" w:lineRule="auto"/>
        <w:ind w:right="719" w:firstLine="492"/>
      </w:pPr>
      <w:r>
        <w:rPr>
          <w:spacing w:val="-2"/>
        </w:rPr>
        <w:t>C、施工过程经检验或验收合格，并未得到监理工程师签字认可前，不得进入下</w:t>
      </w:r>
      <w:r>
        <w:rPr>
          <w:spacing w:val="-2"/>
        </w:rPr>
        <w:t>一道工序。</w:t>
      </w:r>
    </w:p>
    <w:p>
      <w:pPr>
        <w:pStyle w:val="ListParagraph"/>
        <w:numPr>
          <w:ilvl w:val="0"/>
          <w:numId w:val="24"/>
        </w:numPr>
        <w:tabs>
          <w:tab w:val="left" w:pos="1385"/>
        </w:tabs>
        <w:spacing w:before="1" w:after="0" w:line="240" w:lineRule="auto"/>
        <w:ind w:left="1385" w:right="0" w:hanging="601"/>
        <w:jc w:val="left"/>
        <w:rPr>
          <w:sz w:val="24"/>
        </w:rPr>
      </w:pPr>
      <w:r>
        <w:rPr>
          <w:spacing w:val="-2"/>
          <w:sz w:val="24"/>
        </w:rPr>
        <w:t>最终检验和试验</w:t>
      </w:r>
    </w:p>
    <w:p>
      <w:pPr>
        <w:pStyle w:val="BodyText"/>
        <w:spacing w:before="4" w:line="242" w:lineRule="auto"/>
        <w:ind w:right="599" w:firstLine="492"/>
        <w:jc w:val="both"/>
      </w:pPr>
      <w:r>
        <w:t>A</w:t>
      </w:r>
      <w:r>
        <w:rPr>
          <w:spacing w:val="-5"/>
        </w:rPr>
        <w:t>、工程项目再按合同规定和设计图纸要求全部施工完毕、隐蔽工程、分项、分</w:t>
      </w:r>
      <w:r>
        <w:rPr>
          <w:spacing w:val="1"/>
        </w:rPr>
        <w:t>部、单位工程验收全部合格后，由项目经理部总工程师按照《公路工程竣工验收办法》和《公路工程质量检验评定标准》的规定组织工程技术人员整理所需资料，对</w:t>
      </w:r>
      <w:r>
        <w:rPr>
          <w:spacing w:val="-2"/>
        </w:rPr>
        <w:t>合同规定的工程项目进行内部验收，并编写内部验收报告，报总公司技术审核批准。</w:t>
      </w:r>
    </w:p>
    <w:p>
      <w:pPr>
        <w:pStyle w:val="BodyText"/>
        <w:spacing w:before="3" w:line="242" w:lineRule="auto"/>
        <w:ind w:right="695" w:firstLine="492"/>
      </w:pPr>
      <w:r>
        <w:rPr>
          <w:spacing w:val="-2"/>
        </w:rPr>
        <w:t>B、经内部验收合格、竣工资料准备齐全后，报请业主或其代表约期进行验收，</w:t>
      </w:r>
      <w:r>
        <w:rPr>
          <w:spacing w:val="-2"/>
        </w:rPr>
        <w:t>并办理规定的验收手续，双方再验收书上签字盖章。</w:t>
      </w:r>
    </w:p>
    <w:p>
      <w:pPr>
        <w:pStyle w:val="BodyText"/>
        <w:spacing w:before="1" w:line="242" w:lineRule="auto"/>
        <w:ind w:right="719" w:firstLine="492"/>
      </w:pPr>
      <w:r>
        <w:rPr>
          <w:spacing w:val="-2"/>
        </w:rPr>
        <w:t>C、对内部验收和业主验收中发现的不合格项目，按照公司程序文件《合格品控</w:t>
      </w:r>
      <w:r>
        <w:rPr>
          <w:spacing w:val="-20"/>
        </w:rPr>
        <w:t>制程序处置》。</w:t>
      </w:r>
    </w:p>
    <w:p>
      <w:pPr>
        <w:pStyle w:val="ListParagraph"/>
        <w:numPr>
          <w:ilvl w:val="0"/>
          <w:numId w:val="24"/>
        </w:numPr>
        <w:tabs>
          <w:tab w:val="left" w:pos="1001"/>
        </w:tabs>
        <w:spacing w:before="1" w:after="0" w:line="240" w:lineRule="auto"/>
        <w:ind w:left="1001" w:right="0" w:hanging="601"/>
        <w:jc w:val="left"/>
        <w:rPr>
          <w:sz w:val="24"/>
        </w:rPr>
      </w:pPr>
      <w:r>
        <w:rPr>
          <w:spacing w:val="-2"/>
          <w:sz w:val="24"/>
        </w:rPr>
        <w:t>检验和试验记录</w:t>
      </w:r>
    </w:p>
    <w:p>
      <w:pPr>
        <w:pStyle w:val="BodyText"/>
        <w:spacing w:before="4" w:line="242" w:lineRule="auto"/>
        <w:ind w:right="599" w:firstLine="492"/>
      </w:pPr>
      <w:r>
        <w:rPr>
          <w:spacing w:val="-2"/>
        </w:rPr>
        <w:t>A、检验和试验记录应由授权的检验和试验人员填写，并由检验人员填写，并由</w:t>
      </w:r>
      <w:r>
        <w:rPr>
          <w:spacing w:val="-3"/>
        </w:rPr>
        <w:t>检验和试验部门负责人审核签认，合同有规定的施工项目技术负责人还应签字确认。</w:t>
      </w:r>
    </w:p>
    <w:p>
      <w:pPr>
        <w:pStyle w:val="BodyText"/>
        <w:spacing w:before="1" w:line="270" w:lineRule="exact"/>
        <w:ind w:left="784"/>
      </w:pPr>
      <w:r>
        <w:t>B</w:t>
      </w:r>
      <w:r>
        <w:rPr>
          <w:spacing w:val="-1"/>
        </w:rPr>
        <w:t>、检验和试验记录原始文件由试验室保存。</w:t>
      </w:r>
    </w:p>
    <w:p>
      <w:pPr>
        <w:pStyle w:val="Heading3"/>
        <w:spacing w:line="378" w:lineRule="exact"/>
        <w:ind w:left="724"/>
      </w:pPr>
      <w:r>
        <w:rPr>
          <w:spacing w:val="-4"/>
        </w:rPr>
        <w:t>7</w:t>
      </w:r>
      <w:r>
        <w:rPr>
          <w:spacing w:val="-5"/>
        </w:rPr>
        <w:t>、检验和试验设备的控制</w:t>
      </w:r>
    </w:p>
    <w:p>
      <w:pPr>
        <w:pStyle w:val="ListParagraph"/>
        <w:numPr>
          <w:ilvl w:val="1"/>
          <w:numId w:val="24"/>
        </w:numPr>
        <w:tabs>
          <w:tab w:val="left" w:pos="1343"/>
        </w:tabs>
        <w:spacing w:before="0" w:after="0" w:line="282" w:lineRule="exact"/>
        <w:ind w:left="1343" w:right="0" w:hanging="601"/>
        <w:jc w:val="left"/>
        <w:rPr>
          <w:sz w:val="24"/>
        </w:rPr>
      </w:pPr>
      <w:r>
        <w:rPr>
          <w:spacing w:val="-12"/>
          <w:sz w:val="24"/>
        </w:rPr>
        <w:t>、试验室主任负责本项目检验和试验设备的控制管理，质检部测量组队长负</w:t>
      </w:r>
    </w:p>
    <w:p>
      <w:pPr>
        <w:pStyle w:val="BodyText"/>
        <w:spacing w:before="4"/>
      </w:pPr>
      <w:r>
        <w:rPr>
          <w:spacing w:val="-1"/>
        </w:rPr>
        <w:t>责测量仪器的控制管理。按检验、测量、试验三种分类建立台帐。</w:t>
      </w:r>
    </w:p>
    <w:p>
      <w:pPr>
        <w:pStyle w:val="ListParagraph"/>
        <w:numPr>
          <w:ilvl w:val="1"/>
          <w:numId w:val="24"/>
        </w:numPr>
        <w:tabs>
          <w:tab w:val="left" w:pos="1343"/>
        </w:tabs>
        <w:spacing w:before="4" w:after="0" w:line="242" w:lineRule="auto"/>
        <w:ind w:left="292" w:right="719" w:firstLine="450"/>
        <w:jc w:val="left"/>
        <w:rPr>
          <w:sz w:val="24"/>
        </w:rPr>
      </w:pPr>
      <w:r>
        <w:rPr>
          <w:spacing w:val="-2"/>
          <w:sz w:val="24"/>
        </w:rPr>
        <w:t>、样准的检验、测量和试验设备由各负责人统一标识，标识采用有资质的</w:t>
      </w:r>
      <w:r>
        <w:rPr>
          <w:spacing w:val="-2"/>
          <w:sz w:val="24"/>
        </w:rPr>
        <w:t>检定单位所发的合格使用证，标识应放在显眼地方，同时要防止标识污染和脱落。</w:t>
      </w:r>
    </w:p>
    <w:p>
      <w:pPr>
        <w:pStyle w:val="ListParagraph"/>
        <w:numPr>
          <w:ilvl w:val="1"/>
          <w:numId w:val="24"/>
        </w:numPr>
        <w:tabs>
          <w:tab w:val="left" w:pos="1343"/>
        </w:tabs>
        <w:spacing w:before="1" w:after="0" w:line="242" w:lineRule="auto"/>
        <w:ind w:left="292" w:right="719" w:firstLine="450"/>
        <w:jc w:val="left"/>
        <w:rPr>
          <w:sz w:val="24"/>
        </w:rPr>
      </w:pPr>
      <w:r>
        <w:rPr>
          <w:spacing w:val="-2"/>
          <w:sz w:val="24"/>
        </w:rPr>
        <w:t>、各使用人在使用过程要善观察，严格按照操作规程，防止因使用和调整</w:t>
      </w:r>
      <w:r>
        <w:rPr>
          <w:spacing w:val="-2"/>
          <w:sz w:val="24"/>
        </w:rPr>
        <w:t>不当而使用设备校准失效。</w:t>
      </w:r>
    </w:p>
    <w:p>
      <w:pPr>
        <w:pStyle w:val="ListParagraph"/>
        <w:numPr>
          <w:ilvl w:val="1"/>
          <w:numId w:val="24"/>
        </w:numPr>
        <w:tabs>
          <w:tab w:val="left" w:pos="1343"/>
        </w:tabs>
        <w:spacing w:before="2" w:after="0" w:line="270" w:lineRule="exact"/>
        <w:ind w:left="1343" w:right="0" w:hanging="601"/>
        <w:jc w:val="left"/>
        <w:rPr>
          <w:sz w:val="24"/>
        </w:rPr>
      </w:pPr>
      <w:r>
        <w:rPr>
          <w:spacing w:val="-1"/>
          <w:sz w:val="24"/>
        </w:rPr>
        <w:t>、停用设备应有明业标识，报废设备应从现场撤离。</w:t>
      </w:r>
    </w:p>
    <w:p>
      <w:pPr>
        <w:pStyle w:val="Heading3"/>
        <w:spacing w:line="404" w:lineRule="exact"/>
        <w:ind w:left="724"/>
      </w:pPr>
      <w:r>
        <w:rPr>
          <w:spacing w:val="-4"/>
        </w:rPr>
        <w:t>8</w:t>
      </w:r>
      <w:r>
        <w:rPr>
          <w:spacing w:val="-5"/>
        </w:rPr>
        <w:t>、检验和试验状态的控制</w:t>
      </w:r>
    </w:p>
    <w:p>
      <w:pPr>
        <w:spacing w:after="0" w:line="404" w:lineRule="exact"/>
        <w:sectPr>
          <w:footerReference w:type="default" r:id="rId25"/>
          <w:pgSz w:w="12240" w:h="15840"/>
          <w:pgMar w:top="1400" w:right="1080" w:bottom="900" w:left="1400" w:header="0" w:footer="706"/>
          <w:pgNumType w:start="22"/>
          <w:cols w:space="708"/>
        </w:sectPr>
      </w:pPr>
    </w:p>
    <w:p>
      <w:pPr>
        <w:pStyle w:val="ListParagraph"/>
        <w:numPr>
          <w:ilvl w:val="0"/>
          <w:numId w:val="23"/>
        </w:numPr>
        <w:tabs>
          <w:tab w:val="left" w:pos="1343"/>
        </w:tabs>
        <w:spacing w:before="43" w:after="0" w:line="240" w:lineRule="auto"/>
        <w:ind w:left="1343" w:right="0" w:hanging="601"/>
        <w:jc w:val="left"/>
        <w:rPr>
          <w:sz w:val="24"/>
        </w:rPr>
      </w:pPr>
      <w:r>
        <w:rPr>
          <w:spacing w:val="-15"/>
          <w:sz w:val="24"/>
        </w:rPr>
        <w:t>、检验和试验状态有：待检、检验合格、检验不合格、检验结果待定等四种。</w:t>
      </w:r>
    </w:p>
    <w:p>
      <w:pPr>
        <w:pStyle w:val="ListParagraph"/>
        <w:numPr>
          <w:ilvl w:val="0"/>
          <w:numId w:val="23"/>
        </w:numPr>
        <w:tabs>
          <w:tab w:val="left" w:pos="1343"/>
        </w:tabs>
        <w:spacing w:before="4" w:after="0" w:line="242" w:lineRule="auto"/>
        <w:ind w:left="292" w:right="599" w:firstLine="450"/>
        <w:jc w:val="left"/>
        <w:rPr>
          <w:sz w:val="24"/>
        </w:rPr>
      </w:pPr>
      <w:r>
        <w:rPr>
          <w:spacing w:val="-18"/>
          <w:sz w:val="24"/>
        </w:rPr>
        <w:t>、对检验和试验状态应有标识，保证规定的检验和试验项目不漏检、不迟检</w:t>
      </w:r>
      <w:r>
        <w:rPr>
          <w:spacing w:val="-2"/>
          <w:sz w:val="24"/>
        </w:rPr>
        <w:t>；保证未经检验合格的原材料不使用，未经检验合格的工序不转移。</w:t>
      </w:r>
    </w:p>
    <w:p>
      <w:pPr>
        <w:pStyle w:val="ListParagraph"/>
        <w:numPr>
          <w:ilvl w:val="0"/>
          <w:numId w:val="23"/>
        </w:numPr>
        <w:tabs>
          <w:tab w:val="left" w:pos="1343"/>
        </w:tabs>
        <w:spacing w:before="2" w:after="0" w:line="242" w:lineRule="auto"/>
        <w:ind w:left="292" w:right="719" w:firstLine="450"/>
        <w:jc w:val="left"/>
        <w:rPr>
          <w:sz w:val="24"/>
        </w:rPr>
      </w:pPr>
      <w:r>
        <w:rPr>
          <w:spacing w:val="-12"/>
          <w:sz w:val="24"/>
        </w:rPr>
        <w:t>、原材料检验试验状态由项目经理部质检员负责标识，状态标识反映在标</w:t>
      </w:r>
      <w:r>
        <w:rPr>
          <w:spacing w:val="-2"/>
          <w:sz w:val="24"/>
        </w:rPr>
        <w:t>识牌上，与产品一起标识。</w:t>
      </w:r>
    </w:p>
    <w:p>
      <w:pPr>
        <w:pStyle w:val="ListParagraph"/>
        <w:numPr>
          <w:ilvl w:val="0"/>
          <w:numId w:val="23"/>
        </w:numPr>
        <w:tabs>
          <w:tab w:val="left" w:pos="1343"/>
        </w:tabs>
        <w:spacing w:before="1" w:after="0" w:line="242" w:lineRule="auto"/>
        <w:ind w:left="292" w:right="719" w:firstLine="450"/>
        <w:jc w:val="both"/>
        <w:rPr>
          <w:sz w:val="24"/>
        </w:rPr>
      </w:pPr>
      <w:r>
        <w:rPr>
          <w:spacing w:val="-2"/>
          <w:sz w:val="24"/>
        </w:rPr>
        <w:t>、工序成果检验、试验状态由项目经理部现场施工员、项目部质检处人员</w:t>
      </w:r>
      <w:r>
        <w:rPr>
          <w:spacing w:val="-2"/>
          <w:sz w:val="24"/>
        </w:rPr>
        <w:t>层层把关控制，合格以后报监理工程师签证认可后，方可进入下道工序，否则不得进入下道工序。</w:t>
      </w:r>
    </w:p>
    <w:p>
      <w:pPr>
        <w:pStyle w:val="ListParagraph"/>
        <w:numPr>
          <w:ilvl w:val="0"/>
          <w:numId w:val="23"/>
        </w:numPr>
        <w:tabs>
          <w:tab w:val="left" w:pos="1343"/>
        </w:tabs>
        <w:spacing w:before="2" w:after="0" w:line="242" w:lineRule="auto"/>
        <w:ind w:left="292" w:right="719" w:firstLine="450"/>
        <w:jc w:val="left"/>
        <w:rPr>
          <w:sz w:val="24"/>
        </w:rPr>
      </w:pPr>
      <w:r>
        <w:rPr>
          <w:spacing w:val="-2"/>
          <w:sz w:val="24"/>
        </w:rPr>
        <w:t>、根据情况、状态发生改变时，标识及时更换，保证标识的准确和清晰，</w:t>
      </w:r>
      <w:r>
        <w:rPr>
          <w:spacing w:val="-2"/>
          <w:sz w:val="24"/>
        </w:rPr>
        <w:t>如标识不清或涂改，及时查找有关记录，予以标识。</w:t>
      </w:r>
    </w:p>
    <w:p>
      <w:pPr>
        <w:pStyle w:val="Heading3"/>
        <w:spacing w:line="338" w:lineRule="exact"/>
        <w:ind w:left="724"/>
      </w:pPr>
      <w:r>
        <w:rPr>
          <w:spacing w:val="-4"/>
        </w:rPr>
        <w:t>9</w:t>
      </w:r>
      <w:r>
        <w:rPr>
          <w:spacing w:val="-5"/>
        </w:rPr>
        <w:t>、不合格品的控制</w:t>
      </w:r>
    </w:p>
    <w:p>
      <w:pPr>
        <w:pStyle w:val="ListParagraph"/>
        <w:numPr>
          <w:ilvl w:val="0"/>
          <w:numId w:val="22"/>
        </w:numPr>
        <w:tabs>
          <w:tab w:val="left" w:pos="1343"/>
        </w:tabs>
        <w:spacing w:before="0" w:after="0" w:line="282" w:lineRule="exact"/>
        <w:ind w:left="1343" w:right="0" w:hanging="601"/>
        <w:jc w:val="left"/>
        <w:rPr>
          <w:sz w:val="24"/>
        </w:rPr>
      </w:pPr>
      <w:r>
        <w:rPr>
          <w:spacing w:val="-1"/>
          <w:sz w:val="24"/>
        </w:rPr>
        <w:t>、本项目施工不合格包括工序成果不合格及材料不合格。</w:t>
      </w:r>
    </w:p>
    <w:p>
      <w:pPr>
        <w:pStyle w:val="ListParagraph"/>
        <w:numPr>
          <w:ilvl w:val="0"/>
          <w:numId w:val="22"/>
        </w:numPr>
        <w:tabs>
          <w:tab w:val="left" w:pos="1343"/>
        </w:tabs>
        <w:spacing w:before="4" w:after="0" w:line="242" w:lineRule="auto"/>
        <w:ind w:left="292" w:right="719" w:firstLine="450"/>
        <w:jc w:val="both"/>
        <w:rPr>
          <w:sz w:val="24"/>
        </w:rPr>
      </w:pPr>
      <w:r>
        <w:rPr>
          <w:spacing w:val="-2"/>
          <w:sz w:val="24"/>
        </w:rPr>
        <w:t>、对本项目施工中发生的工序成果不合格，应及时进行标识隔离，按标识</w:t>
      </w:r>
      <w:r>
        <w:rPr>
          <w:spacing w:val="-2"/>
          <w:sz w:val="24"/>
        </w:rPr>
        <w:t>—通知—评审—处置—验证的程序进行处理，经质检员检验合格后，才能转入下道</w:t>
      </w:r>
      <w:r>
        <w:rPr>
          <w:spacing w:val="-4"/>
          <w:sz w:val="24"/>
        </w:rPr>
        <w:t>工序。</w:t>
      </w:r>
    </w:p>
    <w:p>
      <w:pPr>
        <w:pStyle w:val="ListParagraph"/>
        <w:numPr>
          <w:ilvl w:val="0"/>
          <w:numId w:val="22"/>
        </w:numPr>
        <w:tabs>
          <w:tab w:val="left" w:pos="1343"/>
        </w:tabs>
        <w:spacing w:before="2" w:after="0" w:line="242" w:lineRule="auto"/>
        <w:ind w:left="292" w:right="719" w:firstLine="450"/>
        <w:jc w:val="left"/>
        <w:rPr>
          <w:sz w:val="24"/>
        </w:rPr>
      </w:pPr>
      <w:r>
        <w:rPr>
          <w:spacing w:val="-2"/>
          <w:sz w:val="24"/>
        </w:rPr>
        <w:t>、施工中发生的材料不合格，及时通知有关部门进行评审处置，如同家供</w:t>
      </w:r>
      <w:r>
        <w:rPr>
          <w:spacing w:val="-2"/>
          <w:sz w:val="24"/>
        </w:rPr>
        <w:t>货单位连续两次出现不合格，取消其合格分供方资格。</w:t>
      </w:r>
    </w:p>
    <w:p>
      <w:pPr>
        <w:pStyle w:val="ListParagraph"/>
        <w:numPr>
          <w:ilvl w:val="0"/>
          <w:numId w:val="22"/>
        </w:numPr>
        <w:tabs>
          <w:tab w:val="left" w:pos="1343"/>
        </w:tabs>
        <w:spacing w:before="1" w:after="0" w:line="242" w:lineRule="auto"/>
        <w:ind w:left="292" w:right="719" w:firstLine="450"/>
        <w:jc w:val="left"/>
        <w:rPr>
          <w:sz w:val="24"/>
        </w:rPr>
      </w:pPr>
      <w:r>
        <w:rPr>
          <w:spacing w:val="-2"/>
          <w:sz w:val="24"/>
        </w:rPr>
        <w:t>、如发生严重不合格（力学、物理性能等）由质检部、材料科、中心试验</w:t>
      </w:r>
      <w:r>
        <w:rPr>
          <w:spacing w:val="-2"/>
          <w:sz w:val="24"/>
        </w:rPr>
        <w:t>室有关人员参与，实施一票否决权。</w:t>
      </w:r>
    </w:p>
    <w:p>
      <w:pPr>
        <w:pStyle w:val="Heading3"/>
        <w:spacing w:line="338" w:lineRule="exact"/>
        <w:ind w:left="724"/>
      </w:pPr>
      <w:r>
        <w:rPr>
          <w:spacing w:val="-6"/>
        </w:rPr>
        <w:t>10</w:t>
      </w:r>
      <w:r>
        <w:rPr>
          <w:spacing w:val="-7"/>
        </w:rPr>
        <w:t>、纠正和预防措施的控制</w:t>
      </w:r>
    </w:p>
    <w:p>
      <w:pPr>
        <w:pStyle w:val="ListParagraph"/>
        <w:numPr>
          <w:ilvl w:val="0"/>
          <w:numId w:val="21"/>
        </w:numPr>
        <w:tabs>
          <w:tab w:val="left" w:pos="1343"/>
        </w:tabs>
        <w:spacing w:before="0" w:after="0" w:line="282" w:lineRule="exact"/>
        <w:ind w:left="1343" w:right="0" w:hanging="601"/>
        <w:jc w:val="left"/>
        <w:rPr>
          <w:sz w:val="24"/>
        </w:rPr>
      </w:pPr>
      <w:r>
        <w:rPr>
          <w:spacing w:val="-1"/>
          <w:sz w:val="24"/>
        </w:rPr>
        <w:t>、项目经理部质检部负责人纠正和预防措施的制订组织实施。</w:t>
      </w:r>
    </w:p>
    <w:p>
      <w:pPr>
        <w:pStyle w:val="ListParagraph"/>
        <w:numPr>
          <w:ilvl w:val="0"/>
          <w:numId w:val="21"/>
        </w:numPr>
        <w:tabs>
          <w:tab w:val="left" w:pos="1343"/>
        </w:tabs>
        <w:spacing w:before="4" w:after="0" w:line="242" w:lineRule="auto"/>
        <w:ind w:left="292" w:right="719" w:firstLine="450"/>
        <w:jc w:val="left"/>
        <w:rPr>
          <w:sz w:val="24"/>
        </w:rPr>
      </w:pPr>
      <w:r>
        <w:rPr>
          <w:spacing w:val="-13"/>
          <w:sz w:val="24"/>
        </w:rPr>
        <w:t>、项目经理部技术负责人根据工程特点，过程和质量体系运行中的不合格</w:t>
      </w:r>
      <w:r>
        <w:rPr>
          <w:spacing w:val="-2"/>
          <w:sz w:val="24"/>
        </w:rPr>
        <w:t>状态进行分荐研究，找出实际和潜在的不合格原因，制订纠正和预防措施。</w:t>
      </w:r>
    </w:p>
    <w:p>
      <w:pPr>
        <w:pStyle w:val="ListParagraph"/>
        <w:numPr>
          <w:ilvl w:val="0"/>
          <w:numId w:val="21"/>
        </w:numPr>
        <w:tabs>
          <w:tab w:val="left" w:pos="1343"/>
        </w:tabs>
        <w:spacing w:before="1" w:after="0" w:line="242" w:lineRule="auto"/>
        <w:ind w:left="292" w:right="719" w:firstLine="450"/>
        <w:jc w:val="left"/>
        <w:rPr>
          <w:sz w:val="24"/>
        </w:rPr>
      </w:pPr>
      <w:r>
        <w:rPr>
          <w:spacing w:val="-13"/>
          <w:sz w:val="24"/>
        </w:rPr>
        <w:t>、对公司内部质量审核中开出的不合格报告，由项目经理部质检部内审员</w:t>
      </w:r>
      <w:r>
        <w:rPr>
          <w:spacing w:val="-2"/>
          <w:sz w:val="24"/>
        </w:rPr>
        <w:t>负责人组织有关部门对不合格事实制订纠正措施并进行实施。</w:t>
      </w:r>
    </w:p>
    <w:p>
      <w:pPr>
        <w:pStyle w:val="Heading3"/>
        <w:spacing w:line="338" w:lineRule="exact"/>
        <w:ind w:left="724"/>
      </w:pPr>
      <w:r>
        <w:rPr>
          <w:spacing w:val="-4"/>
        </w:rPr>
        <w:t>11</w:t>
      </w:r>
      <w:r>
        <w:rPr>
          <w:spacing w:val="-5"/>
        </w:rPr>
        <w:t>、搬运、贮存、防护和交付</w:t>
      </w:r>
    </w:p>
    <w:p>
      <w:pPr>
        <w:pStyle w:val="ListParagraph"/>
        <w:numPr>
          <w:ilvl w:val="0"/>
          <w:numId w:val="20"/>
        </w:numPr>
        <w:tabs>
          <w:tab w:val="left" w:pos="1343"/>
        </w:tabs>
        <w:spacing w:before="0" w:after="0" w:line="282" w:lineRule="exact"/>
        <w:ind w:left="1343" w:right="0" w:hanging="601"/>
        <w:jc w:val="left"/>
        <w:rPr>
          <w:sz w:val="24"/>
        </w:rPr>
      </w:pPr>
      <w:r>
        <w:rPr>
          <w:spacing w:val="-12"/>
          <w:sz w:val="24"/>
        </w:rPr>
        <w:t>、各种物资的搬运及贮存期限未进场材料员验收合格后，到各种物资投入适</w:t>
      </w:r>
    </w:p>
    <w:p>
      <w:pPr>
        <w:pStyle w:val="BodyText"/>
        <w:spacing w:before="4"/>
      </w:pPr>
      <w:r>
        <w:rPr>
          <w:spacing w:val="-3"/>
        </w:rPr>
        <w:t>用为止。</w:t>
      </w:r>
    </w:p>
    <w:p>
      <w:pPr>
        <w:pStyle w:val="ListParagraph"/>
        <w:numPr>
          <w:ilvl w:val="0"/>
          <w:numId w:val="20"/>
        </w:numPr>
        <w:tabs>
          <w:tab w:val="left" w:pos="1343"/>
        </w:tabs>
        <w:spacing w:before="3" w:after="0" w:line="240" w:lineRule="auto"/>
        <w:ind w:left="1343" w:right="0" w:hanging="601"/>
        <w:jc w:val="left"/>
        <w:rPr>
          <w:sz w:val="24"/>
        </w:rPr>
      </w:pPr>
      <w:r>
        <w:rPr>
          <w:spacing w:val="-1"/>
          <w:sz w:val="24"/>
        </w:rPr>
        <w:t>、本项目进行搬运及贮存的物资有：钢材、水泥、砂、石及工程设备等。</w:t>
      </w:r>
    </w:p>
    <w:p>
      <w:pPr>
        <w:pStyle w:val="ListParagraph"/>
        <w:numPr>
          <w:ilvl w:val="0"/>
          <w:numId w:val="20"/>
        </w:numPr>
        <w:tabs>
          <w:tab w:val="left" w:pos="1343"/>
        </w:tabs>
        <w:spacing w:before="4" w:after="0" w:line="242" w:lineRule="auto"/>
        <w:ind w:left="292" w:right="719" w:firstLine="450"/>
        <w:jc w:val="both"/>
        <w:rPr>
          <w:sz w:val="24"/>
        </w:rPr>
      </w:pPr>
      <w:r>
        <w:rPr>
          <w:spacing w:val="-2"/>
          <w:sz w:val="24"/>
        </w:rPr>
        <w:t>、露天存放的物资按照施工平面布置图码放，按品种规格分类存放，要做</w:t>
      </w:r>
      <w:r>
        <w:rPr>
          <w:spacing w:val="-6"/>
          <w:sz w:val="24"/>
        </w:rPr>
        <w:t>到防雨、防潮。入库物资要认真检查做好记录，妥善保管，做到“三防”，即防火、</w:t>
      </w:r>
      <w:r>
        <w:rPr>
          <w:spacing w:val="-2"/>
          <w:sz w:val="24"/>
        </w:rPr>
        <w:t>防雨、防变质，以确保质量。</w:t>
      </w:r>
    </w:p>
    <w:p>
      <w:pPr>
        <w:pStyle w:val="ListParagraph"/>
        <w:numPr>
          <w:ilvl w:val="0"/>
          <w:numId w:val="20"/>
        </w:numPr>
        <w:tabs>
          <w:tab w:val="left" w:pos="1343"/>
        </w:tabs>
        <w:spacing w:before="2" w:after="0" w:line="240" w:lineRule="auto"/>
        <w:ind w:left="1343" w:right="0" w:hanging="601"/>
        <w:jc w:val="left"/>
        <w:rPr>
          <w:sz w:val="24"/>
        </w:rPr>
      </w:pPr>
      <w:r>
        <w:rPr>
          <w:spacing w:val="-1"/>
          <w:sz w:val="24"/>
        </w:rPr>
        <w:t>、贵重仪器、高精度构件应妥善包装，要防撞、防震、防潮。</w:t>
      </w:r>
    </w:p>
    <w:p>
      <w:pPr>
        <w:pStyle w:val="ListParagraph"/>
        <w:numPr>
          <w:ilvl w:val="0"/>
          <w:numId w:val="20"/>
        </w:numPr>
        <w:tabs>
          <w:tab w:val="left" w:pos="1343"/>
        </w:tabs>
        <w:spacing w:before="4" w:after="0" w:line="242" w:lineRule="auto"/>
        <w:ind w:left="292" w:right="719" w:firstLine="450"/>
        <w:jc w:val="left"/>
        <w:rPr>
          <w:sz w:val="24"/>
        </w:rPr>
      </w:pPr>
      <w:r>
        <w:rPr>
          <w:spacing w:val="-13"/>
          <w:sz w:val="24"/>
        </w:rPr>
        <w:t>、项目经理部材料科应建立物资保管台帐，定期对入库物资进行库存情况</w:t>
      </w:r>
      <w:r>
        <w:rPr>
          <w:spacing w:val="-2"/>
          <w:sz w:val="24"/>
        </w:rPr>
        <w:t>检查，做到心中有数。</w:t>
      </w:r>
    </w:p>
    <w:p>
      <w:pPr>
        <w:pStyle w:val="ListParagraph"/>
        <w:numPr>
          <w:ilvl w:val="0"/>
          <w:numId w:val="20"/>
        </w:numPr>
        <w:tabs>
          <w:tab w:val="left" w:pos="1343"/>
        </w:tabs>
        <w:spacing w:before="1" w:after="0" w:line="242" w:lineRule="auto"/>
        <w:ind w:left="292" w:right="719" w:firstLine="450"/>
        <w:jc w:val="left"/>
        <w:rPr>
          <w:sz w:val="24"/>
        </w:rPr>
      </w:pPr>
      <w:r>
        <w:rPr>
          <w:spacing w:val="-2"/>
          <w:sz w:val="24"/>
        </w:rPr>
        <w:t>、根据不同材料，项目经理部派专人制订切实可行的防护措施（如隔离、</w:t>
      </w:r>
      <w:r>
        <w:rPr>
          <w:spacing w:val="-2"/>
          <w:sz w:val="24"/>
        </w:rPr>
        <w:t>防潮、防火、防挤压等</w:t>
      </w:r>
      <w:r>
        <w:rPr>
          <w:spacing w:val="-120"/>
          <w:sz w:val="24"/>
        </w:rPr>
        <w:t>）</w:t>
      </w:r>
      <w:r>
        <w:rPr>
          <w:spacing w:val="-2"/>
          <w:sz w:val="24"/>
        </w:rPr>
        <w:t>，以防损环和变质。</w:t>
      </w:r>
    </w:p>
    <w:p>
      <w:pPr>
        <w:pStyle w:val="ListParagraph"/>
        <w:numPr>
          <w:ilvl w:val="0"/>
          <w:numId w:val="20"/>
        </w:numPr>
        <w:tabs>
          <w:tab w:val="left" w:pos="1343"/>
        </w:tabs>
        <w:spacing w:before="2" w:after="0" w:line="242" w:lineRule="auto"/>
        <w:ind w:left="292" w:right="719" w:firstLine="450"/>
        <w:jc w:val="both"/>
        <w:rPr>
          <w:sz w:val="24"/>
        </w:rPr>
      </w:pPr>
      <w:r>
        <w:rPr>
          <w:spacing w:val="-12"/>
          <w:sz w:val="24"/>
        </w:rPr>
        <w:t>、项目经理部技术负责人应负责对各现场操作人员进行技术交底，制订成</w:t>
      </w:r>
      <w:r>
        <w:rPr>
          <w:spacing w:val="-2"/>
          <w:sz w:val="24"/>
        </w:rPr>
        <w:t>品保护措施，对易损坏的成品要设明显标识，质检中及时监督、检查，发生问题，及时解决。</w:t>
      </w:r>
    </w:p>
    <w:p>
      <w:pPr>
        <w:pStyle w:val="ListParagraph"/>
        <w:numPr>
          <w:ilvl w:val="0"/>
          <w:numId w:val="20"/>
        </w:numPr>
        <w:tabs>
          <w:tab w:val="left" w:pos="1343"/>
        </w:tabs>
        <w:spacing w:before="2" w:after="0" w:line="240" w:lineRule="auto"/>
        <w:ind w:left="1343" w:right="0" w:hanging="601"/>
        <w:jc w:val="left"/>
        <w:rPr>
          <w:sz w:val="24"/>
        </w:rPr>
      </w:pPr>
      <w:r>
        <w:rPr>
          <w:spacing w:val="-1"/>
          <w:sz w:val="24"/>
        </w:rPr>
        <w:t>、工程竣工交付按国家规定的验收办法执行。</w:t>
      </w:r>
    </w:p>
    <w:p>
      <w:pPr>
        <w:spacing w:after="0" w:line="240" w:lineRule="auto"/>
        <w:jc w:val="left"/>
        <w:rPr>
          <w:sz w:val="24"/>
        </w:rPr>
        <w:sectPr>
          <w:footerReference w:type="default" r:id="rId26"/>
          <w:pgSz w:w="12240" w:h="15840"/>
          <w:pgMar w:top="1400" w:right="1080" w:bottom="900" w:left="1400" w:header="0" w:footer="706"/>
          <w:pgNumType w:start="23"/>
          <w:cols w:space="708"/>
        </w:sectPr>
      </w:pPr>
    </w:p>
    <w:p>
      <w:pPr>
        <w:pStyle w:val="Heading3"/>
        <w:spacing w:line="380" w:lineRule="exact"/>
        <w:ind w:left="724"/>
      </w:pPr>
      <w:r>
        <w:rPr>
          <w:spacing w:val="-6"/>
        </w:rPr>
        <w:t>12</w:t>
      </w:r>
      <w:r>
        <w:rPr>
          <w:spacing w:val="-7"/>
        </w:rPr>
        <w:t>、质量记录的控制</w:t>
      </w:r>
    </w:p>
    <w:p>
      <w:pPr>
        <w:pStyle w:val="ListParagraph"/>
        <w:numPr>
          <w:ilvl w:val="0"/>
          <w:numId w:val="38"/>
        </w:numPr>
        <w:tabs>
          <w:tab w:val="left" w:pos="1343"/>
        </w:tabs>
        <w:spacing w:before="0" w:after="0" w:line="282" w:lineRule="exact"/>
        <w:ind w:left="1343" w:right="0" w:hanging="601"/>
        <w:jc w:val="left"/>
        <w:rPr>
          <w:sz w:val="24"/>
        </w:rPr>
      </w:pPr>
      <w:r>
        <w:rPr>
          <w:spacing w:val="-1"/>
          <w:sz w:val="24"/>
        </w:rPr>
        <w:t>、项目经理部资料员负责质量记录的控制，对本项目部质量记录进行标识，</w:t>
      </w:r>
    </w:p>
    <w:p>
      <w:pPr>
        <w:pStyle w:val="BodyText"/>
        <w:spacing w:before="3"/>
      </w:pPr>
      <w:r>
        <w:rPr>
          <w:spacing w:val="-1"/>
        </w:rPr>
        <w:t>收集编目、存贮、防护、借阅、处理和归档，并制订本项目部的质量记录一览表。</w:t>
      </w:r>
    </w:p>
    <w:p>
      <w:pPr>
        <w:pStyle w:val="ListParagraph"/>
        <w:numPr>
          <w:ilvl w:val="0"/>
          <w:numId w:val="38"/>
        </w:numPr>
        <w:tabs>
          <w:tab w:val="left" w:pos="1343"/>
        </w:tabs>
        <w:spacing w:before="4" w:after="0" w:line="242" w:lineRule="auto"/>
        <w:ind w:left="292" w:right="719" w:firstLine="450"/>
        <w:jc w:val="left"/>
        <w:rPr>
          <w:sz w:val="24"/>
        </w:rPr>
      </w:pPr>
      <w:r>
        <w:rPr>
          <w:spacing w:val="-2"/>
          <w:sz w:val="24"/>
        </w:rPr>
        <w:t>、质量记录要求数据准确、完整、真实、字迹工整、不得涂改，但允许按</w:t>
      </w:r>
      <w:r>
        <w:rPr>
          <w:spacing w:val="-2"/>
          <w:sz w:val="24"/>
        </w:rPr>
        <w:t>规定划改。</w:t>
      </w:r>
    </w:p>
    <w:p>
      <w:pPr>
        <w:pStyle w:val="ListParagraph"/>
        <w:numPr>
          <w:ilvl w:val="0"/>
          <w:numId w:val="38"/>
        </w:numPr>
        <w:tabs>
          <w:tab w:val="left" w:pos="1343"/>
        </w:tabs>
        <w:spacing w:before="2" w:after="0" w:line="242" w:lineRule="auto"/>
        <w:ind w:left="292" w:right="719" w:firstLine="450"/>
        <w:jc w:val="left"/>
        <w:rPr>
          <w:sz w:val="24"/>
        </w:rPr>
      </w:pPr>
      <w:r>
        <w:rPr>
          <w:spacing w:val="-12"/>
          <w:sz w:val="24"/>
        </w:rPr>
        <w:t>、项目经理部现场施工员在生产过程的质量活动中按各自的职责、岗位和</w:t>
      </w:r>
      <w:r>
        <w:rPr>
          <w:spacing w:val="-2"/>
          <w:sz w:val="24"/>
        </w:rPr>
        <w:t>相应的控制程序要求，填写质量记录。</w:t>
      </w:r>
    </w:p>
    <w:p>
      <w:pPr>
        <w:pStyle w:val="ListParagraph"/>
        <w:numPr>
          <w:ilvl w:val="0"/>
          <w:numId w:val="38"/>
        </w:numPr>
        <w:tabs>
          <w:tab w:val="left" w:pos="1343"/>
        </w:tabs>
        <w:spacing w:before="1" w:after="0" w:line="240" w:lineRule="auto"/>
        <w:ind w:left="1343" w:right="0" w:hanging="601"/>
        <w:jc w:val="left"/>
        <w:rPr>
          <w:sz w:val="24"/>
        </w:rPr>
      </w:pPr>
      <w:r>
        <w:rPr>
          <w:spacing w:val="-1"/>
          <w:sz w:val="24"/>
        </w:rPr>
        <w:t>、质量记录的借阅、增减、更改、保存按有关程序办理。</w:t>
      </w:r>
    </w:p>
    <w:p>
      <w:pPr>
        <w:pStyle w:val="ListParagraph"/>
        <w:numPr>
          <w:ilvl w:val="0"/>
          <w:numId w:val="38"/>
        </w:numPr>
        <w:tabs>
          <w:tab w:val="left" w:pos="1343"/>
        </w:tabs>
        <w:spacing w:before="4" w:after="0" w:line="240" w:lineRule="auto"/>
        <w:ind w:left="1343" w:right="0" w:hanging="601"/>
        <w:jc w:val="left"/>
        <w:rPr>
          <w:sz w:val="24"/>
        </w:rPr>
      </w:pPr>
      <w:r>
        <w:rPr>
          <w:spacing w:val="-1"/>
          <w:sz w:val="24"/>
        </w:rPr>
        <w:t>、质量记录的控制范围。</w:t>
      </w:r>
    </w:p>
    <w:p>
      <w:pPr>
        <w:pStyle w:val="BodyText"/>
        <w:spacing w:before="3"/>
        <w:ind w:left="985"/>
      </w:pPr>
      <w:r>
        <w:t>A</w:t>
      </w:r>
      <w:r>
        <w:rPr>
          <w:spacing w:val="-1"/>
        </w:rPr>
        <w:t>、公司程序文件中所要求的质量记录。</w:t>
      </w:r>
    </w:p>
    <w:p>
      <w:pPr>
        <w:pStyle w:val="BodyText"/>
        <w:spacing w:before="4" w:line="242" w:lineRule="auto"/>
        <w:ind w:left="985" w:right="4093"/>
      </w:pPr>
      <w:r>
        <w:rPr>
          <w:spacing w:val="-2"/>
        </w:rPr>
        <w:t>B、证明工程质量符合规范要求的质量记录。 a、工程质量保证资料。</w:t>
      </w:r>
    </w:p>
    <w:p>
      <w:pPr>
        <w:pStyle w:val="BodyText"/>
        <w:spacing w:before="1" w:line="242" w:lineRule="auto"/>
        <w:ind w:left="985" w:right="5773"/>
      </w:pPr>
      <w:r>
        <w:rPr>
          <w:spacing w:val="-2"/>
        </w:rPr>
        <w:t xml:space="preserve">b、工程施工技术管理资料。 </w:t>
      </w:r>
      <w:r>
        <w:t>c</w:t>
      </w:r>
      <w:r>
        <w:rPr>
          <w:spacing w:val="-1"/>
        </w:rPr>
        <w:t>、工程质量检验评定资料。</w:t>
      </w:r>
    </w:p>
    <w:p>
      <w:pPr>
        <w:pStyle w:val="Heading3"/>
        <w:spacing w:line="338" w:lineRule="exact"/>
        <w:ind w:left="724"/>
      </w:pPr>
      <w:r>
        <w:rPr>
          <w:w w:val="90"/>
        </w:rPr>
        <w:t>13</w:t>
      </w:r>
      <w:r>
        <w:rPr>
          <w:w w:val="90"/>
        </w:rPr>
        <w:t>、</w:t>
      </w:r>
      <w:r>
        <w:rPr>
          <w:w w:val="90"/>
        </w:rPr>
        <w:t>培</w:t>
      </w:r>
      <w:r>
        <w:rPr>
          <w:spacing w:val="-10"/>
          <w:w w:val="90"/>
        </w:rPr>
        <w:t>训</w:t>
      </w:r>
    </w:p>
    <w:p>
      <w:pPr>
        <w:pStyle w:val="ListParagraph"/>
        <w:numPr>
          <w:ilvl w:val="0"/>
          <w:numId w:val="18"/>
        </w:numPr>
        <w:tabs>
          <w:tab w:val="left" w:pos="1343"/>
        </w:tabs>
        <w:spacing w:before="0" w:after="0" w:line="282" w:lineRule="exact"/>
        <w:ind w:left="1343" w:right="0" w:hanging="601"/>
        <w:jc w:val="left"/>
        <w:rPr>
          <w:sz w:val="24"/>
        </w:rPr>
      </w:pPr>
      <w:r>
        <w:rPr>
          <w:spacing w:val="-12"/>
          <w:sz w:val="24"/>
        </w:rPr>
        <w:t>、由项目部办公室负责人具体负责职工培训管理工作，拟定工程建设期间年</w:t>
      </w:r>
    </w:p>
    <w:p>
      <w:pPr>
        <w:pStyle w:val="BodyText"/>
        <w:spacing w:before="4"/>
      </w:pPr>
      <w:r>
        <w:rPr>
          <w:spacing w:val="-1"/>
        </w:rPr>
        <w:t>度培训计划，确保所有与质量相关人员均获得必须的知识和技能，满足岗位要求。</w:t>
      </w:r>
    </w:p>
    <w:p>
      <w:pPr>
        <w:pStyle w:val="ListParagraph"/>
        <w:numPr>
          <w:ilvl w:val="0"/>
          <w:numId w:val="18"/>
        </w:numPr>
        <w:tabs>
          <w:tab w:val="left" w:pos="1343"/>
        </w:tabs>
        <w:spacing w:before="4" w:after="0" w:line="242" w:lineRule="auto"/>
        <w:ind w:left="292" w:right="719" w:firstLine="450"/>
        <w:jc w:val="left"/>
        <w:rPr>
          <w:sz w:val="24"/>
        </w:rPr>
      </w:pPr>
      <w:r>
        <w:rPr>
          <w:spacing w:val="-8"/>
          <w:sz w:val="24"/>
        </w:rPr>
        <w:t>、本项目经理部所有劳务人员必须挂牌上岗；特殊工种人员</w:t>
      </w:r>
      <w:r>
        <w:rPr>
          <w:spacing w:val="-2"/>
          <w:sz w:val="24"/>
        </w:rPr>
        <w:t>（如电焊工、</w:t>
      </w:r>
      <w:r>
        <w:rPr>
          <w:spacing w:val="-2"/>
          <w:sz w:val="24"/>
        </w:rPr>
        <w:t>电工、吊车司机、司机等）必须持证上岗。</w:t>
      </w:r>
    </w:p>
    <w:p>
      <w:pPr>
        <w:pStyle w:val="ListParagraph"/>
        <w:numPr>
          <w:ilvl w:val="0"/>
          <w:numId w:val="18"/>
        </w:numPr>
        <w:tabs>
          <w:tab w:val="left" w:pos="1343"/>
        </w:tabs>
        <w:spacing w:before="1" w:after="0" w:line="240" w:lineRule="auto"/>
        <w:ind w:left="1343" w:right="0" w:hanging="601"/>
        <w:jc w:val="left"/>
        <w:rPr>
          <w:sz w:val="24"/>
        </w:rPr>
      </w:pPr>
      <w:r>
        <w:rPr>
          <w:spacing w:val="-9"/>
          <w:sz w:val="24"/>
        </w:rPr>
        <w:t>、办公室应建立《个人培训档案》，档案记录必须详细、真实。</w:t>
      </w:r>
    </w:p>
    <w:p>
      <w:pPr>
        <w:pStyle w:val="ListParagraph"/>
        <w:numPr>
          <w:ilvl w:val="0"/>
          <w:numId w:val="18"/>
        </w:numPr>
        <w:tabs>
          <w:tab w:val="left" w:pos="1343"/>
        </w:tabs>
        <w:spacing w:before="4" w:after="0" w:line="242" w:lineRule="auto"/>
        <w:ind w:left="292" w:right="719" w:firstLine="450"/>
        <w:jc w:val="left"/>
        <w:rPr>
          <w:sz w:val="24"/>
        </w:rPr>
      </w:pPr>
      <w:r>
        <w:rPr>
          <w:spacing w:val="-12"/>
          <w:sz w:val="24"/>
        </w:rPr>
        <w:t>、办公室专职安全员负责本项目的安全知识教育。项目经理是本项目的第</w:t>
      </w:r>
      <w:r>
        <w:rPr>
          <w:spacing w:val="-2"/>
          <w:sz w:val="24"/>
        </w:rPr>
        <w:t>一安全责任人。</w:t>
      </w:r>
    </w:p>
    <w:p>
      <w:pPr>
        <w:pStyle w:val="Heading3"/>
        <w:spacing w:line="338" w:lineRule="exact"/>
        <w:ind w:left="724"/>
      </w:pPr>
      <w:r>
        <w:rPr>
          <w:w w:val="90"/>
        </w:rPr>
        <w:t>14</w:t>
      </w:r>
      <w:r>
        <w:rPr>
          <w:w w:val="90"/>
        </w:rPr>
        <w:t>、</w:t>
      </w:r>
      <w:r>
        <w:rPr>
          <w:w w:val="90"/>
        </w:rPr>
        <w:t>服</w:t>
      </w:r>
      <w:r>
        <w:rPr>
          <w:spacing w:val="-10"/>
          <w:w w:val="90"/>
        </w:rPr>
        <w:t>务</w:t>
      </w:r>
    </w:p>
    <w:p>
      <w:pPr>
        <w:pStyle w:val="ListParagraph"/>
        <w:numPr>
          <w:ilvl w:val="0"/>
          <w:numId w:val="17"/>
        </w:numPr>
        <w:tabs>
          <w:tab w:val="left" w:pos="1343"/>
        </w:tabs>
        <w:spacing w:before="0" w:after="0" w:line="282" w:lineRule="exact"/>
        <w:ind w:left="1343" w:right="0" w:hanging="601"/>
        <w:jc w:val="left"/>
        <w:rPr>
          <w:sz w:val="24"/>
        </w:rPr>
      </w:pPr>
      <w:r>
        <w:rPr>
          <w:spacing w:val="-13"/>
          <w:sz w:val="24"/>
        </w:rPr>
        <w:t>、对工程施工过程中业主提出的要求，项目部按有关合同规定尽量满足顾客</w:t>
      </w:r>
    </w:p>
    <w:p>
      <w:pPr>
        <w:pStyle w:val="BodyText"/>
        <w:spacing w:before="4"/>
      </w:pPr>
      <w:r>
        <w:rPr>
          <w:spacing w:val="-3"/>
        </w:rPr>
        <w:t>的需要。</w:t>
      </w:r>
    </w:p>
    <w:p>
      <w:pPr>
        <w:pStyle w:val="ListParagraph"/>
        <w:numPr>
          <w:ilvl w:val="0"/>
          <w:numId w:val="17"/>
        </w:numPr>
        <w:tabs>
          <w:tab w:val="left" w:pos="1343"/>
        </w:tabs>
        <w:spacing w:before="3" w:after="0" w:line="242" w:lineRule="auto"/>
        <w:ind w:left="292" w:right="617" w:firstLine="450"/>
        <w:jc w:val="left"/>
        <w:rPr>
          <w:sz w:val="24"/>
        </w:rPr>
      </w:pPr>
      <w:r>
        <w:rPr>
          <w:spacing w:val="-2"/>
          <w:sz w:val="24"/>
        </w:rPr>
        <w:t>、工程交工验收后，项目经理部负责组织有关人员在合同规定的责任期内</w:t>
      </w:r>
      <w:r>
        <w:rPr>
          <w:spacing w:val="-2"/>
          <w:sz w:val="24"/>
        </w:rPr>
        <w:t>，对工程进行回访、返修，并做好服务记录。</w:t>
      </w:r>
    </w:p>
    <w:p>
      <w:pPr>
        <w:pStyle w:val="ListParagraph"/>
        <w:numPr>
          <w:ilvl w:val="0"/>
          <w:numId w:val="17"/>
        </w:numPr>
        <w:tabs>
          <w:tab w:val="left" w:pos="1343"/>
        </w:tabs>
        <w:spacing w:before="2" w:after="0" w:line="240" w:lineRule="auto"/>
        <w:ind w:left="1343" w:right="0" w:hanging="601"/>
        <w:jc w:val="left"/>
        <w:rPr>
          <w:sz w:val="24"/>
        </w:rPr>
      </w:pPr>
      <w:r>
        <w:rPr>
          <w:spacing w:val="-2"/>
          <w:sz w:val="24"/>
        </w:rPr>
        <w:t>、工程保修</w:t>
      </w:r>
    </w:p>
    <w:p>
      <w:pPr>
        <w:pStyle w:val="BodyText"/>
        <w:spacing w:before="3" w:line="242" w:lineRule="auto"/>
        <w:ind w:right="718" w:firstLine="492"/>
        <w:jc w:val="both"/>
      </w:pPr>
      <w:r>
        <w:rPr>
          <w:spacing w:val="-2"/>
        </w:rPr>
        <w:t>根据国家规定，本工程交付顾客使用后，在规定期限内因工程质量造成的质量</w:t>
      </w:r>
      <w:r>
        <w:rPr>
          <w:spacing w:val="-2"/>
        </w:rPr>
        <w:t>缺陷和质量事故由项目部负责保修，对非工程质量造成的问题，项目部应尽可能为</w:t>
      </w:r>
      <w:r>
        <w:rPr>
          <w:spacing w:val="-2"/>
        </w:rPr>
        <w:t>业主提供满意的服务。</w:t>
      </w:r>
    </w:p>
    <w:p>
      <w:pPr>
        <w:pStyle w:val="Heading3"/>
        <w:spacing w:line="339" w:lineRule="exact"/>
        <w:ind w:left="724"/>
      </w:pPr>
      <w:r>
        <w:rPr>
          <w:spacing w:val="-10"/>
        </w:rPr>
        <w:t>15</w:t>
      </w:r>
      <w:r>
        <w:rPr>
          <w:spacing w:val="-11"/>
        </w:rPr>
        <w:t>、统计技术</w:t>
      </w:r>
    </w:p>
    <w:p>
      <w:pPr>
        <w:pStyle w:val="BodyText"/>
        <w:spacing w:line="282" w:lineRule="exact"/>
        <w:ind w:left="784"/>
      </w:pPr>
      <w:r>
        <w:rPr>
          <w:spacing w:val="-1"/>
        </w:rPr>
        <w:t>为保证工程质量要求，项目部在工程建设中采用以下统计技术，并应在施工过</w:t>
      </w:r>
    </w:p>
    <w:p>
      <w:pPr>
        <w:pStyle w:val="BodyText"/>
        <w:spacing w:before="4"/>
      </w:pPr>
      <w:r>
        <w:rPr>
          <w:spacing w:val="-1"/>
        </w:rPr>
        <w:t>程中保持与施工进度一致，以提高质量监控水平。</w:t>
      </w:r>
    </w:p>
    <w:p>
      <w:pPr>
        <w:pStyle w:val="ListParagraph"/>
        <w:numPr>
          <w:ilvl w:val="0"/>
          <w:numId w:val="16"/>
        </w:numPr>
        <w:tabs>
          <w:tab w:val="left" w:pos="1001"/>
        </w:tabs>
        <w:spacing w:before="4" w:after="0" w:line="240" w:lineRule="auto"/>
        <w:ind w:left="1001" w:right="0" w:hanging="601"/>
        <w:jc w:val="left"/>
        <w:rPr>
          <w:sz w:val="24"/>
        </w:rPr>
      </w:pPr>
      <w:r>
        <w:rPr>
          <w:spacing w:val="-1"/>
          <w:sz w:val="24"/>
        </w:rPr>
        <w:t>、按国家规范的要求进行统计技术分析、应用。</w:t>
      </w:r>
    </w:p>
    <w:p>
      <w:pPr>
        <w:pStyle w:val="BodyText"/>
        <w:spacing w:before="4" w:line="242" w:lineRule="auto"/>
        <w:ind w:right="719" w:firstLine="492"/>
      </w:pPr>
      <w:r>
        <w:rPr>
          <w:spacing w:val="-2"/>
        </w:rPr>
        <w:t>A、数理统计方法，应用于混凝土、原材料的质量特性评定，由试验室主任负责</w:t>
      </w:r>
      <w:r>
        <w:rPr>
          <w:spacing w:val="-2"/>
        </w:rPr>
        <w:t>进行，并存档。</w:t>
      </w:r>
    </w:p>
    <w:p>
      <w:pPr>
        <w:pStyle w:val="BodyText"/>
        <w:spacing w:before="1" w:line="242" w:lineRule="auto"/>
        <w:ind w:right="719" w:firstLine="492"/>
      </w:pPr>
      <w:r>
        <w:rPr>
          <w:spacing w:val="-2"/>
        </w:rPr>
        <w:t>B、抽样统计，应用于分项工程质量检验评定，由质检部派人负责进行，经建设</w:t>
      </w:r>
      <w:r>
        <w:rPr>
          <w:spacing w:val="-2"/>
        </w:rPr>
        <w:t>单位、设计院及监理单位及质检监督部门鉴证认可后，交质检部作好资料存档。</w:t>
      </w:r>
    </w:p>
    <w:p>
      <w:pPr>
        <w:pStyle w:val="ListParagraph"/>
        <w:numPr>
          <w:ilvl w:val="0"/>
          <w:numId w:val="16"/>
        </w:numPr>
        <w:tabs>
          <w:tab w:val="left" w:pos="1001"/>
        </w:tabs>
        <w:spacing w:before="1" w:after="0" w:line="240" w:lineRule="auto"/>
        <w:ind w:left="1001" w:right="0" w:hanging="601"/>
        <w:jc w:val="left"/>
        <w:rPr>
          <w:sz w:val="24"/>
        </w:rPr>
      </w:pPr>
      <w:r>
        <w:rPr>
          <w:spacing w:val="-1"/>
          <w:sz w:val="24"/>
        </w:rPr>
        <w:t>、进行目质量监控的统计技术</w:t>
      </w:r>
    </w:p>
    <w:p>
      <w:pPr>
        <w:pStyle w:val="BodyText"/>
        <w:spacing w:before="4"/>
        <w:ind w:left="784"/>
      </w:pPr>
      <w:r>
        <w:rPr>
          <w:spacing w:val="-2"/>
        </w:rPr>
        <w:t>在各分项工程质量评定抽样统计的基础上，增加抽样统计点数（样本</w:t>
      </w:r>
      <w:r>
        <w:rPr>
          <w:spacing w:val="-120"/>
        </w:rPr>
        <w:t>）</w:t>
      </w:r>
      <w:r>
        <w:rPr>
          <w:spacing w:val="-6"/>
        </w:rPr>
        <w:t>，由质检</w:t>
      </w:r>
    </w:p>
    <w:p>
      <w:pPr>
        <w:spacing w:after="0"/>
        <w:sectPr>
          <w:footerReference w:type="default" r:id="rId27"/>
          <w:pgSz w:w="12240" w:h="15840"/>
          <w:pgMar w:top="1400" w:right="1080" w:bottom="900" w:left="1400" w:header="0" w:footer="706"/>
          <w:pgNumType w:start="24"/>
          <w:cols w:space="708"/>
        </w:sectPr>
      </w:pPr>
    </w:p>
    <w:p>
      <w:pPr>
        <w:pStyle w:val="BodyText"/>
        <w:spacing w:before="43" w:line="242" w:lineRule="auto"/>
        <w:ind w:left="291" w:right="718"/>
        <w:jc w:val="both"/>
      </w:pPr>
      <w:r>
        <w:rPr>
          <w:spacing w:val="-2"/>
        </w:rPr>
        <w:t>部派专人收集、整理样本，进行一次不合格点数百分比统计，用排列图查找产生不</w:t>
      </w:r>
      <w:r>
        <w:rPr>
          <w:spacing w:val="-2"/>
        </w:rPr>
        <w:t>合格点项的主要质量问题，必要时用因果分析图分析出原因，以便采取对策。统计</w:t>
      </w:r>
      <w:r>
        <w:rPr>
          <w:spacing w:val="-2"/>
        </w:rPr>
        <w:t>技术取样对象主要为各分项工程的允许偏差项目，沥青砼、基层料强度及原材料的</w:t>
      </w:r>
      <w:r>
        <w:rPr>
          <w:spacing w:val="-2"/>
        </w:rPr>
        <w:t>试验项目等。</w:t>
      </w:r>
    </w:p>
    <w:p>
      <w:pPr>
        <w:pStyle w:val="ListParagraph"/>
        <w:numPr>
          <w:ilvl w:val="0"/>
          <w:numId w:val="39"/>
        </w:numPr>
        <w:tabs>
          <w:tab w:val="left" w:pos="1139"/>
        </w:tabs>
        <w:spacing w:before="3" w:after="0" w:line="242" w:lineRule="auto"/>
        <w:ind w:left="291" w:right="599" w:firstLine="246"/>
        <w:jc w:val="left"/>
        <w:rPr>
          <w:sz w:val="24"/>
        </w:rPr>
      </w:pPr>
      <w:r>
        <w:rPr>
          <w:spacing w:val="-2"/>
          <w:sz w:val="24"/>
        </w:rPr>
        <w:t>、质检部负责掌握本工程统计技术应用情况，及时总结分析，逐项制订对策</w:t>
      </w:r>
      <w:r>
        <w:rPr>
          <w:spacing w:val="-2"/>
          <w:sz w:val="24"/>
        </w:rPr>
        <w:t>，解决质量问题，并将应用情况汇总反馈到公司总工办，以协助总工办大力宣传推广</w:t>
      </w:r>
      <w:r>
        <w:rPr>
          <w:spacing w:val="-10"/>
          <w:sz w:val="24"/>
        </w:rPr>
        <w:t>。</w:t>
      </w:r>
    </w:p>
    <w:p>
      <w:pPr>
        <w:spacing w:after="0" w:line="242" w:lineRule="auto"/>
        <w:jc w:val="left"/>
        <w:rPr>
          <w:sz w:val="24"/>
        </w:rPr>
      </w:pPr>
      <w:r>
        <w:rPr>
          <w:sz w:val="24"/>
        </w:rPr>
        <w:br/>
      </w:r>
      <w:r>
        <w:rPr>
          <w:sz w:val="24"/>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8" w:history="1">
        <w:r>
          <w:rPr>
            <w:rFonts w:ascii="SimSun" w:eastAsia="SimSun" w:hAnsi="SimSun" w:cs="SimSun"/>
            <w:b/>
            <w:bCs/>
            <w:color w:val="0000EE"/>
            <w:sz w:val="30"/>
            <w:szCs w:val="30"/>
            <w:u w:val="single" w:color="0000EE"/>
          </w:rPr>
          <w:t>https://d.book118.com/565112023320011120</w:t>
        </w:r>
      </w:hyperlink>
    </w:p>
    <w:p>
      <w:pPr>
        <w:spacing w:after="0" w:line="242" w:lineRule="auto"/>
        <w:jc w:val="left"/>
        <w:rPr>
          <w:sz w:val="24"/>
        </w:rPr>
      </w:pPr>
    </w:p>
    <w:sectPr>
      <w:footerReference w:type="default" r:id="rId29"/>
      <w:pgSz w:w="12240" w:h="15840"/>
      <w:pgMar w:top="1400" w:right="1080" w:bottom="900" w:left="1400" w:header="0" w:footer="706"/>
      <w:pgNumType w:start="25"/>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Wingdings">
    <w:altName w:val="Wingdings"/>
    <w:charset w:val="02"/>
    <w:family w:val="auto"/>
    <w:pitch w:val="variable"/>
    <w:sig w:usb0="00000000" w:usb1="0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16pt;height:12pt;margin-top:745.68pt;margin-left:510pt;mso-position-horizontal-relative:page;mso-position-vertical-relative:page;position:absolute;z-index:-25165824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w:t>
                </w:r>
                <w:r>
                  <w:rPr>
                    <w:rFonts w:ascii="Times New Roman"/>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16pt;height:12pt;margin-top:745.68pt;margin-left:510pt;mso-position-horizontal-relative:page;mso-position-vertical-relative:page;position:absolute;z-index:-25165721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w:t>
                </w:r>
                <w:r>
                  <w:rPr>
                    <w:rFonts w:ascii="Times New Roman"/>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16pt;height:12pt;margin-top:745.68pt;margin-left:510pt;mso-position-horizontal-relative:page;mso-position-vertical-relative:page;position:absolute;z-index:-25165619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w:t>
                </w:r>
                <w:r>
                  <w:rPr>
                    <w:rFonts w:ascii="Times New Roman"/>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16pt;height:12pt;margin-top:745.68pt;margin-left:510pt;mso-position-horizontal-relative:page;mso-position-vertical-relative:page;position:absolute;z-index:-25165516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45</w:t>
                </w:r>
                <w:r>
                  <w:rPr>
                    <w:rFonts w:ascii="Times New Roman"/>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16pt;height:12pt;margin-top:745.68pt;margin-left:510pt;mso-position-horizontal-relative:page;mso-position-vertical-relative:page;position:absolute;z-index:-25165414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45</w:t>
                </w:r>
                <w:r>
                  <w:rPr>
                    <w:rFonts w:ascii="Times New Roman"/>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16pt;height:12pt;margin-top:745.68pt;margin-left:510pt;mso-position-horizontal-relative:page;mso-position-vertical-relative:page;position:absolute;z-index:-25165312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6</w:t>
                </w:r>
                <w:r>
                  <w:rPr>
                    <w:rFonts w:ascii="Times New Roman"/>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16pt;height:12pt;margin-top:745.68pt;margin-left:510pt;mso-position-horizontal-relative:page;mso-position-vertical-relative:page;position:absolute;z-index:-25165209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7</w:t>
                </w:r>
                <w:r>
                  <w:rPr>
                    <w:rFonts w:ascii="Times New Roman"/>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16pt;height:12pt;margin-top:745.68pt;margin-left:510pt;mso-position-horizontal-relative:page;mso-position-vertical-relative:page;position:absolute;z-index:-25165107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8</w:t>
                </w:r>
                <w:r>
                  <w:rPr>
                    <w:rFonts w:ascii="Times New Roman"/>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16pt;height:12pt;margin-top:745.68pt;margin-left:510pt;mso-position-horizontal-relative:page;mso-position-vertical-relative:page;position:absolute;z-index:-25165004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9</w:t>
                </w:r>
                <w:r>
                  <w:rPr>
                    <w:rFonts w:ascii="Times New Roman"/>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16pt;height:12pt;margin-top:745.68pt;margin-left:510pt;mso-position-horizontal-relative:page;mso-position-vertical-relative:page;position:absolute;z-index:-25164902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10</w:t>
                </w:r>
                <w:r>
                  <w:rPr>
                    <w:rFonts w:ascii="Times New Roman"/>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16pt;height:12pt;margin-top:745.68pt;margin-left:510pt;mso-position-horizontal-relative:page;mso-position-vertical-relative:page;position:absolute;z-index:-25164800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11</w:t>
                </w:r>
                <w:r>
                  <w:rPr>
                    <w:rFonts w:ascii="Times New Roman"/>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0" type="#_x0000_t202" style="width:16pt;height:12pt;margin-top:745.68pt;margin-left:510pt;mso-position-horizontal-relative:page;mso-position-vertical-relative:page;position:absolute;z-index:-25164697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12</w:t>
                </w:r>
                <w:r>
                  <w:rPr>
                    <w:rFonts w:ascii="Times New Roman"/>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1" type="#_x0000_t202" style="width:16pt;height:12pt;margin-top:745.68pt;margin-left:510pt;mso-position-horizontal-relative:page;mso-position-vertical-relative:page;position:absolute;z-index:-25164595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13</w:t>
                </w:r>
                <w:r>
                  <w:rPr>
                    <w:rFonts w:ascii="Times New Roman"/>
                    <w:spacing w:val="-5"/>
                    <w:sz w:val="18"/>
                  </w:rPr>
                  <w:fldChar w:fldCharType="end"/>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2" type="#_x0000_t202" style="width:16pt;height:12pt;margin-top:745.68pt;margin-left:510pt;mso-position-horizontal-relative:page;mso-position-vertical-relative:page;position:absolute;z-index:-25164492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45</w:t>
                </w:r>
                <w:r>
                  <w:rPr>
                    <w:rFonts w:ascii="Times New Roman"/>
                    <w:spacing w:val="-5"/>
                    <w:sz w:val="18"/>
                  </w:rPr>
                  <w:fldChar w:fldCharType="end"/>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3" type="#_x0000_t202" style="width:16pt;height:12pt;margin-top:745.68pt;margin-left:510pt;mso-position-horizontal-relative:page;mso-position-vertical-relative:page;position:absolute;z-index:-25164390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45</w:t>
                </w:r>
                <w:r>
                  <w:rPr>
                    <w:rFonts w:ascii="Times New Roman"/>
                    <w:spacing w:val="-5"/>
                    <w:sz w:val="18"/>
                  </w:rPr>
                  <w:fldChar w:fldCharType="end"/>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4" type="#_x0000_t202" style="width:16pt;height:12pt;margin-top:745.68pt;margin-left:510pt;mso-position-horizontal-relative:page;mso-position-vertical-relative:page;position:absolute;z-index:-25164288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45</w:t>
                </w:r>
                <w:r>
                  <w:rPr>
                    <w:rFonts w:ascii="Times New Roman"/>
                    <w:spacing w:val="-5"/>
                    <w:sz w:val="18"/>
                  </w:rPr>
                  <w:fldChar w:fldCharType="end"/>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5" type="#_x0000_t202" style="width:16pt;height:12pt;margin-top:745.68pt;margin-left:510pt;mso-position-horizontal-relative:page;mso-position-vertical-relative:page;position:absolute;z-index:-25164185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17</w:t>
                </w:r>
                <w:r>
                  <w:rPr>
                    <w:rFonts w:ascii="Times New Roman"/>
                    <w:spacing w:val="-5"/>
                    <w:sz w:val="18"/>
                  </w:rPr>
                  <w:fldChar w:fldCharType="end"/>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6" type="#_x0000_t202" style="width:16pt;height:12pt;margin-top:745.68pt;margin-left:510pt;mso-position-horizontal-relative:page;mso-position-vertical-relative:page;position:absolute;z-index:-25164083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18</w:t>
                </w:r>
                <w:r>
                  <w:rPr>
                    <w:rFonts w:ascii="Times New Roman"/>
                    <w:spacing w:val="-5"/>
                    <w:sz w:val="18"/>
                  </w:rPr>
                  <w:fldChar w:fldCharType="end"/>
                </w:r>
              </w:p>
            </w:txbxContent>
          </v:textbox>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7" type="#_x0000_t202" style="width:16pt;height:12pt;margin-top:745.68pt;margin-left:510pt;mso-position-horizontal-relative:page;mso-position-vertical-relative:page;position:absolute;z-index:-25163980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19</w:t>
                </w:r>
                <w:r>
                  <w:rPr>
                    <w:rFonts w:ascii="Times New Roman"/>
                    <w:spacing w:val="-5"/>
                    <w:sz w:val="18"/>
                  </w:rPr>
                  <w:fldChar w:fldCharType="end"/>
                </w:r>
              </w:p>
            </w:txbxContent>
          </v:textbox>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8" type="#_x0000_t202" style="width:16pt;height:12pt;margin-top:745.68pt;margin-left:510pt;mso-position-horizontal-relative:page;mso-position-vertical-relative:page;position:absolute;z-index:-25163878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20</w:t>
                </w:r>
                <w:r>
                  <w:rPr>
                    <w:rFonts w:ascii="Times New Roman"/>
                    <w:spacing w:val="-5"/>
                    <w:sz w:val="18"/>
                  </w:rPr>
                  <w:fldChar w:fldCharType="end"/>
                </w:r>
              </w:p>
            </w:txbxContent>
          </v:textbox>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9" type="#_x0000_t202" style="width:16pt;height:12pt;margin-top:745.68pt;margin-left:510pt;mso-position-horizontal-relative:page;mso-position-vertical-relative:page;position:absolute;z-index:-25163776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21</w:t>
                </w:r>
                <w:r>
                  <w:rPr>
                    <w:rFonts w:ascii="Times New Roman"/>
                    <w:spacing w:val="-5"/>
                    <w:sz w:val="18"/>
                  </w:rPr>
                  <w:fldChar w:fldCharType="end"/>
                </w:r>
              </w:p>
            </w:txbxContent>
          </v:textbox>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0" type="#_x0000_t202" style="width:16pt;height:12pt;margin-top:745.68pt;margin-left:510pt;mso-position-horizontal-relative:page;mso-position-vertical-relative:page;position:absolute;z-index:-25163673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22</w:t>
                </w:r>
                <w:r>
                  <w:rPr>
                    <w:rFonts w:ascii="Times New Roman"/>
                    <w:spacing w:val="-5"/>
                    <w:sz w:val="18"/>
                  </w:rPr>
                  <w:fldChar w:fldCharType="end"/>
                </w:r>
              </w:p>
            </w:txbxContent>
          </v:textbox>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1" type="#_x0000_t202" style="width:16pt;height:12pt;margin-top:745.68pt;margin-left:510pt;mso-position-horizontal-relative:page;mso-position-vertical-relative:page;position:absolute;z-index:-25163571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23</w:t>
                </w:r>
                <w:r>
                  <w:rPr>
                    <w:rFonts w:ascii="Times New Roman"/>
                    <w:spacing w:val="-5"/>
                    <w:sz w:val="18"/>
                  </w:rPr>
                  <w:fldChar w:fldCharType="end"/>
                </w:r>
              </w:p>
            </w:txbxContent>
          </v:textbox>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2" type="#_x0000_t202" style="width:16pt;height:12pt;margin-top:745.68pt;margin-left:510pt;mso-position-horizontal-relative:page;mso-position-vertical-relative:page;position:absolute;z-index:-25163468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24</w:t>
                </w:r>
                <w:r>
                  <w:rPr>
                    <w:rFonts w:ascii="Times New Roman"/>
                    <w:spacing w:val="-5"/>
                    <w:sz w:val="18"/>
                  </w:rPr>
                  <w:fldChar w:fldCharType="end"/>
                </w:r>
              </w:p>
            </w:txbxContent>
          </v:textbox>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3" type="#_x0000_t202" style="width:16pt;height:12pt;margin-top:745.68pt;margin-left:510pt;mso-position-horizontal-relative:page;mso-position-vertical-relative:page;position:absolute;z-index:-25163366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25</w:t>
                </w:r>
                <w:r>
                  <w:rPr>
                    <w:rFonts w:ascii="Times New Roman"/>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7F113"/>
    <w:multiLevelType w:val="hybridMultilevel"/>
    <w:tmpl w:val="00000000"/>
    <w:lvl w:ilvl="0">
      <w:start w:val="1"/>
      <w:numFmt w:val="decimal"/>
      <w:lvlText w:val="%1）"/>
      <w:lvlJc w:val="left"/>
      <w:pPr>
        <w:ind w:left="1135" w:hanging="316"/>
        <w:jc w:val="left"/>
      </w:pPr>
      <w:rPr>
        <w:rFonts w:ascii="宋体" w:eastAsia="宋体" w:hAnsi="宋体" w:cs="宋体" w:hint="default"/>
        <w:b w:val="0"/>
        <w:bCs w:val="0"/>
        <w:i w:val="0"/>
        <w:iCs w:val="0"/>
        <w:spacing w:val="-13"/>
        <w:w w:val="100"/>
        <w:sz w:val="19"/>
        <w:szCs w:val="19"/>
        <w:lang w:val="en-US" w:eastAsia="zh-CN" w:bidi="ar-SA"/>
      </w:rPr>
    </w:lvl>
    <w:lvl w:ilvl="1">
      <w:start w:val="0"/>
      <w:numFmt w:val="bullet"/>
      <w:lvlText w:val="•"/>
      <w:lvlJc w:val="left"/>
      <w:pPr>
        <w:ind w:left="2002" w:hanging="316"/>
      </w:pPr>
      <w:rPr>
        <w:rFonts w:hint="default"/>
        <w:lang w:val="en-US" w:eastAsia="zh-CN" w:bidi="ar-SA"/>
      </w:rPr>
    </w:lvl>
    <w:lvl w:ilvl="2">
      <w:start w:val="0"/>
      <w:numFmt w:val="bullet"/>
      <w:lvlText w:val="•"/>
      <w:lvlJc w:val="left"/>
      <w:pPr>
        <w:ind w:left="2864" w:hanging="316"/>
      </w:pPr>
      <w:rPr>
        <w:rFonts w:hint="default"/>
        <w:lang w:val="en-US" w:eastAsia="zh-CN" w:bidi="ar-SA"/>
      </w:rPr>
    </w:lvl>
    <w:lvl w:ilvl="3">
      <w:start w:val="0"/>
      <w:numFmt w:val="bullet"/>
      <w:lvlText w:val="•"/>
      <w:lvlJc w:val="left"/>
      <w:pPr>
        <w:ind w:left="3726" w:hanging="316"/>
      </w:pPr>
      <w:rPr>
        <w:rFonts w:hint="default"/>
        <w:lang w:val="en-US" w:eastAsia="zh-CN" w:bidi="ar-SA"/>
      </w:rPr>
    </w:lvl>
    <w:lvl w:ilvl="4">
      <w:start w:val="0"/>
      <w:numFmt w:val="bullet"/>
      <w:lvlText w:val="•"/>
      <w:lvlJc w:val="left"/>
      <w:pPr>
        <w:ind w:left="4588" w:hanging="316"/>
      </w:pPr>
      <w:rPr>
        <w:rFonts w:hint="default"/>
        <w:lang w:val="en-US" w:eastAsia="zh-CN" w:bidi="ar-SA"/>
      </w:rPr>
    </w:lvl>
    <w:lvl w:ilvl="5">
      <w:start w:val="0"/>
      <w:numFmt w:val="bullet"/>
      <w:lvlText w:val="•"/>
      <w:lvlJc w:val="left"/>
      <w:pPr>
        <w:ind w:left="5450" w:hanging="316"/>
      </w:pPr>
      <w:rPr>
        <w:rFonts w:hint="default"/>
        <w:lang w:val="en-US" w:eastAsia="zh-CN" w:bidi="ar-SA"/>
      </w:rPr>
    </w:lvl>
    <w:lvl w:ilvl="6">
      <w:start w:val="0"/>
      <w:numFmt w:val="bullet"/>
      <w:lvlText w:val="•"/>
      <w:lvlJc w:val="left"/>
      <w:pPr>
        <w:ind w:left="6312" w:hanging="316"/>
      </w:pPr>
      <w:rPr>
        <w:rFonts w:hint="default"/>
        <w:lang w:val="en-US" w:eastAsia="zh-CN" w:bidi="ar-SA"/>
      </w:rPr>
    </w:lvl>
    <w:lvl w:ilvl="7">
      <w:start w:val="0"/>
      <w:numFmt w:val="bullet"/>
      <w:lvlText w:val="•"/>
      <w:lvlJc w:val="left"/>
      <w:pPr>
        <w:ind w:left="7174" w:hanging="316"/>
      </w:pPr>
      <w:rPr>
        <w:rFonts w:hint="default"/>
        <w:lang w:val="en-US" w:eastAsia="zh-CN" w:bidi="ar-SA"/>
      </w:rPr>
    </w:lvl>
    <w:lvl w:ilvl="8">
      <w:start w:val="0"/>
      <w:numFmt w:val="bullet"/>
      <w:lvlText w:val="•"/>
      <w:lvlJc w:val="left"/>
      <w:pPr>
        <w:ind w:left="8036" w:hanging="316"/>
      </w:pPr>
      <w:rPr>
        <w:rFonts w:hint="default"/>
        <w:lang w:val="en-US" w:eastAsia="zh-CN" w:bidi="ar-SA"/>
      </w:rPr>
    </w:lvl>
  </w:abstractNum>
  <w:abstractNum w:abstractNumId="1">
    <w:nsid w:val="03C5262C"/>
    <w:multiLevelType w:val="hybridMultilevel"/>
    <w:tmpl w:val="00000000"/>
    <w:lvl w:ilvl="0">
      <w:start w:val="1"/>
      <w:numFmt w:val="decimal"/>
      <w:lvlText w:val="（%1）"/>
      <w:lvlJc w:val="left"/>
      <w:pPr>
        <w:ind w:left="1432" w:hanging="601"/>
        <w:jc w:val="left"/>
      </w:pPr>
      <w:rPr>
        <w:rFonts w:ascii="宋体" w:eastAsia="宋体" w:hAnsi="宋体" w:cs="宋体" w:hint="default"/>
        <w:b w:val="0"/>
        <w:bCs w:val="0"/>
        <w:i w:val="0"/>
        <w:iCs w:val="0"/>
        <w:w w:val="100"/>
        <w:sz w:val="22"/>
        <w:szCs w:val="22"/>
        <w:lang w:val="en-US" w:eastAsia="zh-CN" w:bidi="ar-SA"/>
      </w:rPr>
    </w:lvl>
    <w:lvl w:ilvl="1">
      <w:start w:val="1"/>
      <w:numFmt w:val="decimal"/>
      <w:lvlText w:val="%2."/>
      <w:lvlJc w:val="left"/>
      <w:pPr>
        <w:ind w:left="4095" w:hanging="482"/>
        <w:jc w:val="right"/>
      </w:pPr>
      <w:rPr>
        <w:rFonts w:ascii="Times New Roman" w:eastAsia="Times New Roman" w:hAnsi="Times New Roman" w:cs="Times New Roman" w:hint="default"/>
        <w:b/>
        <w:bCs/>
        <w:i w:val="0"/>
        <w:iCs w:val="0"/>
        <w:w w:val="100"/>
        <w:sz w:val="30"/>
        <w:szCs w:val="30"/>
        <w:lang w:val="en-US" w:eastAsia="zh-CN" w:bidi="ar-SA"/>
      </w:rPr>
    </w:lvl>
    <w:lvl w:ilvl="2">
      <w:start w:val="1"/>
      <w:numFmt w:val="decimal"/>
      <w:lvlText w:val="%2.%3"/>
      <w:lvlJc w:val="left"/>
      <w:pPr>
        <w:ind w:left="535" w:hanging="424"/>
        <w:jc w:val="left"/>
      </w:pPr>
      <w:rPr>
        <w:rFonts w:hint="default"/>
        <w:spacing w:val="1"/>
        <w:w w:val="81"/>
        <w:lang w:val="en-US" w:eastAsia="zh-CN" w:bidi="ar-SA"/>
      </w:rPr>
    </w:lvl>
    <w:lvl w:ilvl="3">
      <w:start w:val="0"/>
      <w:numFmt w:val="bullet"/>
      <w:lvlText w:val=""/>
      <w:lvlJc w:val="left"/>
      <w:pPr>
        <w:ind w:left="1380" w:hanging="424"/>
      </w:pPr>
      <w:rPr>
        <w:rFonts w:ascii="Wingdings" w:eastAsia="Wingdings" w:hAnsi="Wingdings" w:cs="Wingdings" w:hint="default"/>
        <w:w w:val="100"/>
        <w:lang w:val="en-US" w:eastAsia="zh-CN" w:bidi="ar-SA"/>
      </w:rPr>
    </w:lvl>
    <w:lvl w:ilvl="4">
      <w:start w:val="0"/>
      <w:numFmt w:val="bullet"/>
      <w:lvlText w:val="•"/>
      <w:lvlJc w:val="left"/>
      <w:pPr>
        <w:ind w:left="4100" w:hanging="424"/>
      </w:pPr>
      <w:rPr>
        <w:rFonts w:hint="default"/>
        <w:lang w:val="en-US" w:eastAsia="zh-CN" w:bidi="ar-SA"/>
      </w:rPr>
    </w:lvl>
    <w:lvl w:ilvl="5">
      <w:start w:val="0"/>
      <w:numFmt w:val="bullet"/>
      <w:lvlText w:val="•"/>
      <w:lvlJc w:val="left"/>
      <w:pPr>
        <w:ind w:left="5043" w:hanging="424"/>
      </w:pPr>
      <w:rPr>
        <w:rFonts w:hint="default"/>
        <w:lang w:val="en-US" w:eastAsia="zh-CN" w:bidi="ar-SA"/>
      </w:rPr>
    </w:lvl>
    <w:lvl w:ilvl="6">
      <w:start w:val="0"/>
      <w:numFmt w:val="bullet"/>
      <w:lvlText w:val="•"/>
      <w:lvlJc w:val="left"/>
      <w:pPr>
        <w:ind w:left="5986" w:hanging="424"/>
      </w:pPr>
      <w:rPr>
        <w:rFonts w:hint="default"/>
        <w:lang w:val="en-US" w:eastAsia="zh-CN" w:bidi="ar-SA"/>
      </w:rPr>
    </w:lvl>
    <w:lvl w:ilvl="7">
      <w:start w:val="0"/>
      <w:numFmt w:val="bullet"/>
      <w:lvlText w:val="•"/>
      <w:lvlJc w:val="left"/>
      <w:pPr>
        <w:ind w:left="6930" w:hanging="424"/>
      </w:pPr>
      <w:rPr>
        <w:rFonts w:hint="default"/>
        <w:lang w:val="en-US" w:eastAsia="zh-CN" w:bidi="ar-SA"/>
      </w:rPr>
    </w:lvl>
    <w:lvl w:ilvl="8">
      <w:start w:val="0"/>
      <w:numFmt w:val="bullet"/>
      <w:lvlText w:val="•"/>
      <w:lvlJc w:val="left"/>
      <w:pPr>
        <w:ind w:left="7873" w:hanging="424"/>
      </w:pPr>
      <w:rPr>
        <w:rFonts w:hint="default"/>
        <w:lang w:val="en-US" w:eastAsia="zh-CN" w:bidi="ar-SA"/>
      </w:rPr>
    </w:lvl>
  </w:abstractNum>
  <w:abstractNum w:abstractNumId="2">
    <w:nsid w:val="0486F39E"/>
    <w:multiLevelType w:val="hybridMultilevel"/>
    <w:tmpl w:val="00000000"/>
    <w:lvl w:ilvl="0">
      <w:start w:val="1"/>
      <w:numFmt w:val="decimal"/>
      <w:lvlText w:val="(%1)"/>
      <w:lvlJc w:val="left"/>
      <w:pPr>
        <w:ind w:left="29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246" w:hanging="361"/>
      </w:pPr>
      <w:rPr>
        <w:rFonts w:hint="default"/>
        <w:lang w:val="en-US" w:eastAsia="zh-CN" w:bidi="ar-SA"/>
      </w:rPr>
    </w:lvl>
    <w:lvl w:ilvl="2">
      <w:start w:val="0"/>
      <w:numFmt w:val="bullet"/>
      <w:lvlText w:val="•"/>
      <w:lvlJc w:val="left"/>
      <w:pPr>
        <w:ind w:left="2192" w:hanging="361"/>
      </w:pPr>
      <w:rPr>
        <w:rFonts w:hint="default"/>
        <w:lang w:val="en-US" w:eastAsia="zh-CN" w:bidi="ar-SA"/>
      </w:rPr>
    </w:lvl>
    <w:lvl w:ilvl="3">
      <w:start w:val="0"/>
      <w:numFmt w:val="bullet"/>
      <w:lvlText w:val="•"/>
      <w:lvlJc w:val="left"/>
      <w:pPr>
        <w:ind w:left="3138" w:hanging="361"/>
      </w:pPr>
      <w:rPr>
        <w:rFonts w:hint="default"/>
        <w:lang w:val="en-US" w:eastAsia="zh-CN" w:bidi="ar-SA"/>
      </w:rPr>
    </w:lvl>
    <w:lvl w:ilvl="4">
      <w:start w:val="0"/>
      <w:numFmt w:val="bullet"/>
      <w:lvlText w:val="•"/>
      <w:lvlJc w:val="left"/>
      <w:pPr>
        <w:ind w:left="4084" w:hanging="361"/>
      </w:pPr>
      <w:rPr>
        <w:rFonts w:hint="default"/>
        <w:lang w:val="en-US" w:eastAsia="zh-CN" w:bidi="ar-SA"/>
      </w:rPr>
    </w:lvl>
    <w:lvl w:ilvl="5">
      <w:start w:val="0"/>
      <w:numFmt w:val="bullet"/>
      <w:lvlText w:val="•"/>
      <w:lvlJc w:val="left"/>
      <w:pPr>
        <w:ind w:left="5030" w:hanging="361"/>
      </w:pPr>
      <w:rPr>
        <w:rFonts w:hint="default"/>
        <w:lang w:val="en-US" w:eastAsia="zh-CN" w:bidi="ar-SA"/>
      </w:rPr>
    </w:lvl>
    <w:lvl w:ilvl="6">
      <w:start w:val="0"/>
      <w:numFmt w:val="bullet"/>
      <w:lvlText w:val="•"/>
      <w:lvlJc w:val="left"/>
      <w:pPr>
        <w:ind w:left="5976" w:hanging="361"/>
      </w:pPr>
      <w:rPr>
        <w:rFonts w:hint="default"/>
        <w:lang w:val="en-US" w:eastAsia="zh-CN" w:bidi="ar-SA"/>
      </w:rPr>
    </w:lvl>
    <w:lvl w:ilvl="7">
      <w:start w:val="0"/>
      <w:numFmt w:val="bullet"/>
      <w:lvlText w:val="•"/>
      <w:lvlJc w:val="left"/>
      <w:pPr>
        <w:ind w:left="6922" w:hanging="361"/>
      </w:pPr>
      <w:rPr>
        <w:rFonts w:hint="default"/>
        <w:lang w:val="en-US" w:eastAsia="zh-CN" w:bidi="ar-SA"/>
      </w:rPr>
    </w:lvl>
    <w:lvl w:ilvl="8">
      <w:start w:val="0"/>
      <w:numFmt w:val="bullet"/>
      <w:lvlText w:val="•"/>
      <w:lvlJc w:val="left"/>
      <w:pPr>
        <w:ind w:left="7868" w:hanging="361"/>
      </w:pPr>
      <w:rPr>
        <w:rFonts w:hint="default"/>
        <w:lang w:val="en-US" w:eastAsia="zh-CN" w:bidi="ar-SA"/>
      </w:rPr>
    </w:lvl>
  </w:abstractNum>
  <w:abstractNum w:abstractNumId="3">
    <w:nsid w:val="04D7C76D"/>
    <w:multiLevelType w:val="hybridMultilevel"/>
    <w:tmpl w:val="00000000"/>
    <w:lvl w:ilvl="0">
      <w:start w:val="1"/>
      <w:numFmt w:val="decimal"/>
      <w:lvlText w:val="%1)"/>
      <w:lvlJc w:val="left"/>
      <w:pPr>
        <w:ind w:left="292" w:hanging="24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246" w:hanging="241"/>
      </w:pPr>
      <w:rPr>
        <w:rFonts w:hint="default"/>
        <w:lang w:val="en-US" w:eastAsia="zh-CN" w:bidi="ar-SA"/>
      </w:rPr>
    </w:lvl>
    <w:lvl w:ilvl="2">
      <w:start w:val="0"/>
      <w:numFmt w:val="bullet"/>
      <w:lvlText w:val="•"/>
      <w:lvlJc w:val="left"/>
      <w:pPr>
        <w:ind w:left="2192" w:hanging="241"/>
      </w:pPr>
      <w:rPr>
        <w:rFonts w:hint="default"/>
        <w:lang w:val="en-US" w:eastAsia="zh-CN" w:bidi="ar-SA"/>
      </w:rPr>
    </w:lvl>
    <w:lvl w:ilvl="3">
      <w:start w:val="0"/>
      <w:numFmt w:val="bullet"/>
      <w:lvlText w:val="•"/>
      <w:lvlJc w:val="left"/>
      <w:pPr>
        <w:ind w:left="3138" w:hanging="241"/>
      </w:pPr>
      <w:rPr>
        <w:rFonts w:hint="default"/>
        <w:lang w:val="en-US" w:eastAsia="zh-CN" w:bidi="ar-SA"/>
      </w:rPr>
    </w:lvl>
    <w:lvl w:ilvl="4">
      <w:start w:val="0"/>
      <w:numFmt w:val="bullet"/>
      <w:lvlText w:val="•"/>
      <w:lvlJc w:val="left"/>
      <w:pPr>
        <w:ind w:left="4084" w:hanging="241"/>
      </w:pPr>
      <w:rPr>
        <w:rFonts w:hint="default"/>
        <w:lang w:val="en-US" w:eastAsia="zh-CN" w:bidi="ar-SA"/>
      </w:rPr>
    </w:lvl>
    <w:lvl w:ilvl="5">
      <w:start w:val="0"/>
      <w:numFmt w:val="bullet"/>
      <w:lvlText w:val="•"/>
      <w:lvlJc w:val="left"/>
      <w:pPr>
        <w:ind w:left="5030" w:hanging="241"/>
      </w:pPr>
      <w:rPr>
        <w:rFonts w:hint="default"/>
        <w:lang w:val="en-US" w:eastAsia="zh-CN" w:bidi="ar-SA"/>
      </w:rPr>
    </w:lvl>
    <w:lvl w:ilvl="6">
      <w:start w:val="0"/>
      <w:numFmt w:val="bullet"/>
      <w:lvlText w:val="•"/>
      <w:lvlJc w:val="left"/>
      <w:pPr>
        <w:ind w:left="5976" w:hanging="241"/>
      </w:pPr>
      <w:rPr>
        <w:rFonts w:hint="default"/>
        <w:lang w:val="en-US" w:eastAsia="zh-CN" w:bidi="ar-SA"/>
      </w:rPr>
    </w:lvl>
    <w:lvl w:ilvl="7">
      <w:start w:val="0"/>
      <w:numFmt w:val="bullet"/>
      <w:lvlText w:val="•"/>
      <w:lvlJc w:val="left"/>
      <w:pPr>
        <w:ind w:left="6922" w:hanging="241"/>
      </w:pPr>
      <w:rPr>
        <w:rFonts w:hint="default"/>
        <w:lang w:val="en-US" w:eastAsia="zh-CN" w:bidi="ar-SA"/>
      </w:rPr>
    </w:lvl>
    <w:lvl w:ilvl="8">
      <w:start w:val="0"/>
      <w:numFmt w:val="bullet"/>
      <w:lvlText w:val="•"/>
      <w:lvlJc w:val="left"/>
      <w:pPr>
        <w:ind w:left="7868" w:hanging="241"/>
      </w:pPr>
      <w:rPr>
        <w:rFonts w:hint="default"/>
        <w:lang w:val="en-US" w:eastAsia="zh-CN" w:bidi="ar-SA"/>
      </w:rPr>
    </w:lvl>
  </w:abstractNum>
  <w:abstractNum w:abstractNumId="4">
    <w:nsid w:val="056729A0"/>
    <w:multiLevelType w:val="hybridMultilevel"/>
    <w:tmpl w:val="00000000"/>
    <w:lvl w:ilvl="0">
      <w:start w:val="1"/>
      <w:numFmt w:val="decimal"/>
      <w:lvlText w:val="（%1）"/>
      <w:lvlJc w:val="left"/>
      <w:pPr>
        <w:ind w:left="143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272" w:hanging="601"/>
      </w:pPr>
      <w:rPr>
        <w:rFonts w:hint="default"/>
        <w:lang w:val="en-US" w:eastAsia="zh-CN" w:bidi="ar-SA"/>
      </w:rPr>
    </w:lvl>
    <w:lvl w:ilvl="2">
      <w:start w:val="0"/>
      <w:numFmt w:val="bullet"/>
      <w:lvlText w:val="•"/>
      <w:lvlJc w:val="left"/>
      <w:pPr>
        <w:ind w:left="3104" w:hanging="601"/>
      </w:pPr>
      <w:rPr>
        <w:rFonts w:hint="default"/>
        <w:lang w:val="en-US" w:eastAsia="zh-CN" w:bidi="ar-SA"/>
      </w:rPr>
    </w:lvl>
    <w:lvl w:ilvl="3">
      <w:start w:val="0"/>
      <w:numFmt w:val="bullet"/>
      <w:lvlText w:val="•"/>
      <w:lvlJc w:val="left"/>
      <w:pPr>
        <w:ind w:left="3936" w:hanging="601"/>
      </w:pPr>
      <w:rPr>
        <w:rFonts w:hint="default"/>
        <w:lang w:val="en-US" w:eastAsia="zh-CN" w:bidi="ar-SA"/>
      </w:rPr>
    </w:lvl>
    <w:lvl w:ilvl="4">
      <w:start w:val="0"/>
      <w:numFmt w:val="bullet"/>
      <w:lvlText w:val="•"/>
      <w:lvlJc w:val="left"/>
      <w:pPr>
        <w:ind w:left="4768" w:hanging="601"/>
      </w:pPr>
      <w:rPr>
        <w:rFonts w:hint="default"/>
        <w:lang w:val="en-US" w:eastAsia="zh-CN" w:bidi="ar-SA"/>
      </w:rPr>
    </w:lvl>
    <w:lvl w:ilvl="5">
      <w:start w:val="0"/>
      <w:numFmt w:val="bullet"/>
      <w:lvlText w:val="•"/>
      <w:lvlJc w:val="left"/>
      <w:pPr>
        <w:ind w:left="5600" w:hanging="601"/>
      </w:pPr>
      <w:rPr>
        <w:rFonts w:hint="default"/>
        <w:lang w:val="en-US" w:eastAsia="zh-CN" w:bidi="ar-SA"/>
      </w:rPr>
    </w:lvl>
    <w:lvl w:ilvl="6">
      <w:start w:val="0"/>
      <w:numFmt w:val="bullet"/>
      <w:lvlText w:val="•"/>
      <w:lvlJc w:val="left"/>
      <w:pPr>
        <w:ind w:left="6432" w:hanging="601"/>
      </w:pPr>
      <w:rPr>
        <w:rFonts w:hint="default"/>
        <w:lang w:val="en-US" w:eastAsia="zh-CN" w:bidi="ar-SA"/>
      </w:rPr>
    </w:lvl>
    <w:lvl w:ilvl="7">
      <w:start w:val="0"/>
      <w:numFmt w:val="bullet"/>
      <w:lvlText w:val="•"/>
      <w:lvlJc w:val="left"/>
      <w:pPr>
        <w:ind w:left="7264" w:hanging="601"/>
      </w:pPr>
      <w:rPr>
        <w:rFonts w:hint="default"/>
        <w:lang w:val="en-US" w:eastAsia="zh-CN" w:bidi="ar-SA"/>
      </w:rPr>
    </w:lvl>
    <w:lvl w:ilvl="8">
      <w:start w:val="0"/>
      <w:numFmt w:val="bullet"/>
      <w:lvlText w:val="•"/>
      <w:lvlJc w:val="left"/>
      <w:pPr>
        <w:ind w:left="8096" w:hanging="601"/>
      </w:pPr>
      <w:rPr>
        <w:rFonts w:hint="default"/>
        <w:lang w:val="en-US" w:eastAsia="zh-CN" w:bidi="ar-SA"/>
      </w:rPr>
    </w:lvl>
  </w:abstractNum>
  <w:abstractNum w:abstractNumId="5">
    <w:nsid w:val="09EDA8A8"/>
    <w:multiLevelType w:val="hybridMultilevel"/>
    <w:tmpl w:val="00000000"/>
    <w:lvl w:ilvl="0">
      <w:start w:val="1"/>
      <w:numFmt w:val="decimal"/>
      <w:lvlText w:val="（%1）"/>
      <w:lvlJc w:val="left"/>
      <w:pPr>
        <w:ind w:left="1343" w:hanging="60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2182" w:hanging="601"/>
      </w:pPr>
      <w:rPr>
        <w:rFonts w:hint="default"/>
        <w:lang w:val="en-US" w:eastAsia="zh-CN" w:bidi="ar-SA"/>
      </w:rPr>
    </w:lvl>
    <w:lvl w:ilvl="2">
      <w:start w:val="0"/>
      <w:numFmt w:val="bullet"/>
      <w:lvlText w:val="•"/>
      <w:lvlJc w:val="left"/>
      <w:pPr>
        <w:ind w:left="3024" w:hanging="601"/>
      </w:pPr>
      <w:rPr>
        <w:rFonts w:hint="default"/>
        <w:lang w:val="en-US" w:eastAsia="zh-CN" w:bidi="ar-SA"/>
      </w:rPr>
    </w:lvl>
    <w:lvl w:ilvl="3">
      <w:start w:val="0"/>
      <w:numFmt w:val="bullet"/>
      <w:lvlText w:val="•"/>
      <w:lvlJc w:val="left"/>
      <w:pPr>
        <w:ind w:left="3866" w:hanging="601"/>
      </w:pPr>
      <w:rPr>
        <w:rFonts w:hint="default"/>
        <w:lang w:val="en-US" w:eastAsia="zh-CN" w:bidi="ar-SA"/>
      </w:rPr>
    </w:lvl>
    <w:lvl w:ilvl="4">
      <w:start w:val="0"/>
      <w:numFmt w:val="bullet"/>
      <w:lvlText w:val="•"/>
      <w:lvlJc w:val="left"/>
      <w:pPr>
        <w:ind w:left="4708" w:hanging="601"/>
      </w:pPr>
      <w:rPr>
        <w:rFonts w:hint="default"/>
        <w:lang w:val="en-US" w:eastAsia="zh-CN" w:bidi="ar-SA"/>
      </w:rPr>
    </w:lvl>
    <w:lvl w:ilvl="5">
      <w:start w:val="0"/>
      <w:numFmt w:val="bullet"/>
      <w:lvlText w:val="•"/>
      <w:lvlJc w:val="left"/>
      <w:pPr>
        <w:ind w:left="5550" w:hanging="601"/>
      </w:pPr>
      <w:rPr>
        <w:rFonts w:hint="default"/>
        <w:lang w:val="en-US" w:eastAsia="zh-CN" w:bidi="ar-SA"/>
      </w:rPr>
    </w:lvl>
    <w:lvl w:ilvl="6">
      <w:start w:val="0"/>
      <w:numFmt w:val="bullet"/>
      <w:lvlText w:val="•"/>
      <w:lvlJc w:val="left"/>
      <w:pPr>
        <w:ind w:left="6392" w:hanging="601"/>
      </w:pPr>
      <w:rPr>
        <w:rFonts w:hint="default"/>
        <w:lang w:val="en-US" w:eastAsia="zh-CN" w:bidi="ar-SA"/>
      </w:rPr>
    </w:lvl>
    <w:lvl w:ilvl="7">
      <w:start w:val="0"/>
      <w:numFmt w:val="bullet"/>
      <w:lvlText w:val="•"/>
      <w:lvlJc w:val="left"/>
      <w:pPr>
        <w:ind w:left="7234" w:hanging="601"/>
      </w:pPr>
      <w:rPr>
        <w:rFonts w:hint="default"/>
        <w:lang w:val="en-US" w:eastAsia="zh-CN" w:bidi="ar-SA"/>
      </w:rPr>
    </w:lvl>
    <w:lvl w:ilvl="8">
      <w:start w:val="0"/>
      <w:numFmt w:val="bullet"/>
      <w:lvlText w:val="•"/>
      <w:lvlJc w:val="left"/>
      <w:pPr>
        <w:ind w:left="8076" w:hanging="601"/>
      </w:pPr>
      <w:rPr>
        <w:rFonts w:hint="default"/>
        <w:lang w:val="en-US" w:eastAsia="zh-CN" w:bidi="ar-SA"/>
      </w:rPr>
    </w:lvl>
  </w:abstractNum>
  <w:abstractNum w:abstractNumId="6">
    <w:nsid w:val="0A264DAD"/>
    <w:multiLevelType w:val="hybridMultilevel"/>
    <w:tmpl w:val="00000000"/>
    <w:lvl w:ilvl="0">
      <w:start w:val="1"/>
      <w:numFmt w:val="decimal"/>
      <w:lvlText w:val="（%1）"/>
      <w:lvlJc w:val="left"/>
      <w:pPr>
        <w:ind w:left="1247" w:hanging="601"/>
        <w:jc w:val="right"/>
      </w:pPr>
      <w:rPr>
        <w:rFonts w:ascii="宋体" w:eastAsia="宋体" w:hAnsi="宋体" w:cs="宋体" w:hint="default"/>
        <w:b w:val="0"/>
        <w:bCs w:val="0"/>
        <w:i w:val="0"/>
        <w:iCs w:val="0"/>
        <w:w w:val="100"/>
        <w:sz w:val="22"/>
        <w:szCs w:val="22"/>
        <w:lang w:val="en-US" w:eastAsia="zh-CN" w:bidi="ar-SA"/>
      </w:rPr>
    </w:lvl>
    <w:lvl w:ilvl="1">
      <w:start w:val="1"/>
      <w:numFmt w:val="decimal"/>
      <w:lvlText w:val="（%2）"/>
      <w:lvlJc w:val="left"/>
      <w:pPr>
        <w:ind w:left="1385" w:hanging="601"/>
        <w:jc w:val="left"/>
      </w:pPr>
      <w:rPr>
        <w:rFonts w:ascii="宋体" w:eastAsia="宋体" w:hAnsi="宋体" w:cs="宋体" w:hint="default"/>
        <w:b w:val="0"/>
        <w:bCs w:val="0"/>
        <w:i w:val="0"/>
        <w:iCs w:val="0"/>
        <w:spacing w:val="-8"/>
        <w:w w:val="100"/>
        <w:sz w:val="22"/>
        <w:szCs w:val="22"/>
        <w:lang w:val="en-US" w:eastAsia="zh-CN" w:bidi="ar-SA"/>
      </w:rPr>
    </w:lvl>
    <w:lvl w:ilvl="2">
      <w:start w:val="0"/>
      <w:numFmt w:val="bullet"/>
      <w:lvlText w:val="•"/>
      <w:lvlJc w:val="left"/>
      <w:pPr>
        <w:ind w:left="2311" w:hanging="601"/>
      </w:pPr>
      <w:rPr>
        <w:rFonts w:hint="default"/>
        <w:lang w:val="en-US" w:eastAsia="zh-CN" w:bidi="ar-SA"/>
      </w:rPr>
    </w:lvl>
    <w:lvl w:ilvl="3">
      <w:start w:val="0"/>
      <w:numFmt w:val="bullet"/>
      <w:lvlText w:val="•"/>
      <w:lvlJc w:val="left"/>
      <w:pPr>
        <w:ind w:left="3242" w:hanging="601"/>
      </w:pPr>
      <w:rPr>
        <w:rFonts w:hint="default"/>
        <w:lang w:val="en-US" w:eastAsia="zh-CN" w:bidi="ar-SA"/>
      </w:rPr>
    </w:lvl>
    <w:lvl w:ilvl="4">
      <w:start w:val="0"/>
      <w:numFmt w:val="bullet"/>
      <w:lvlText w:val="•"/>
      <w:lvlJc w:val="left"/>
      <w:pPr>
        <w:ind w:left="4173" w:hanging="601"/>
      </w:pPr>
      <w:rPr>
        <w:rFonts w:hint="default"/>
        <w:lang w:val="en-US" w:eastAsia="zh-CN" w:bidi="ar-SA"/>
      </w:rPr>
    </w:lvl>
    <w:lvl w:ilvl="5">
      <w:start w:val="0"/>
      <w:numFmt w:val="bullet"/>
      <w:lvlText w:val="•"/>
      <w:lvlJc w:val="left"/>
      <w:pPr>
        <w:ind w:left="5104" w:hanging="601"/>
      </w:pPr>
      <w:rPr>
        <w:rFonts w:hint="default"/>
        <w:lang w:val="en-US" w:eastAsia="zh-CN" w:bidi="ar-SA"/>
      </w:rPr>
    </w:lvl>
    <w:lvl w:ilvl="6">
      <w:start w:val="0"/>
      <w:numFmt w:val="bullet"/>
      <w:lvlText w:val="•"/>
      <w:lvlJc w:val="left"/>
      <w:pPr>
        <w:ind w:left="6035" w:hanging="601"/>
      </w:pPr>
      <w:rPr>
        <w:rFonts w:hint="default"/>
        <w:lang w:val="en-US" w:eastAsia="zh-CN" w:bidi="ar-SA"/>
      </w:rPr>
    </w:lvl>
    <w:lvl w:ilvl="7">
      <w:start w:val="0"/>
      <w:numFmt w:val="bullet"/>
      <w:lvlText w:val="•"/>
      <w:lvlJc w:val="left"/>
      <w:pPr>
        <w:ind w:left="6966" w:hanging="601"/>
      </w:pPr>
      <w:rPr>
        <w:rFonts w:hint="default"/>
        <w:lang w:val="en-US" w:eastAsia="zh-CN" w:bidi="ar-SA"/>
      </w:rPr>
    </w:lvl>
    <w:lvl w:ilvl="8">
      <w:start w:val="0"/>
      <w:numFmt w:val="bullet"/>
      <w:lvlText w:val="•"/>
      <w:lvlJc w:val="left"/>
      <w:pPr>
        <w:ind w:left="7897" w:hanging="601"/>
      </w:pPr>
      <w:rPr>
        <w:rFonts w:hint="default"/>
        <w:lang w:val="en-US" w:eastAsia="zh-CN" w:bidi="ar-SA"/>
      </w:rPr>
    </w:lvl>
  </w:abstractNum>
  <w:abstractNum w:abstractNumId="7">
    <w:nsid w:val="0A3841F3"/>
    <w:multiLevelType w:val="hybridMultilevel"/>
    <w:tmpl w:val="00000000"/>
    <w:lvl w:ilvl="0">
      <w:start w:val="1"/>
      <w:numFmt w:val="decimal"/>
      <w:lvlText w:val="（%1）"/>
      <w:lvlJc w:val="left"/>
      <w:pPr>
        <w:ind w:left="1385" w:hanging="601"/>
        <w:jc w:val="right"/>
      </w:pPr>
      <w:rPr>
        <w:rFonts w:ascii="宋体" w:eastAsia="宋体" w:hAnsi="宋体" w:cs="宋体" w:hint="default"/>
        <w:b w:val="0"/>
        <w:bCs w:val="0"/>
        <w:i w:val="0"/>
        <w:iCs w:val="0"/>
        <w:w w:val="100"/>
        <w:sz w:val="22"/>
        <w:szCs w:val="22"/>
        <w:lang w:val="en-US" w:eastAsia="zh-CN" w:bidi="ar-SA"/>
      </w:rPr>
    </w:lvl>
    <w:lvl w:ilvl="1">
      <w:start w:val="1"/>
      <w:numFmt w:val="decimal"/>
      <w:lvlText w:val="（%2）"/>
      <w:lvlJc w:val="left"/>
      <w:pPr>
        <w:ind w:left="1343" w:hanging="601"/>
        <w:jc w:val="left"/>
      </w:pPr>
      <w:rPr>
        <w:rFonts w:ascii="宋体" w:eastAsia="宋体" w:hAnsi="宋体" w:cs="宋体" w:hint="default"/>
        <w:b w:val="0"/>
        <w:bCs w:val="0"/>
        <w:i w:val="0"/>
        <w:iCs w:val="0"/>
        <w:spacing w:val="-120"/>
        <w:w w:val="100"/>
        <w:sz w:val="22"/>
        <w:szCs w:val="22"/>
        <w:lang w:val="en-US" w:eastAsia="zh-CN" w:bidi="ar-SA"/>
      </w:rPr>
    </w:lvl>
    <w:lvl w:ilvl="2">
      <w:start w:val="0"/>
      <w:numFmt w:val="bullet"/>
      <w:lvlText w:val="•"/>
      <w:lvlJc w:val="left"/>
      <w:pPr>
        <w:ind w:left="2311" w:hanging="601"/>
      </w:pPr>
      <w:rPr>
        <w:rFonts w:hint="default"/>
        <w:lang w:val="en-US" w:eastAsia="zh-CN" w:bidi="ar-SA"/>
      </w:rPr>
    </w:lvl>
    <w:lvl w:ilvl="3">
      <w:start w:val="0"/>
      <w:numFmt w:val="bullet"/>
      <w:lvlText w:val="•"/>
      <w:lvlJc w:val="left"/>
      <w:pPr>
        <w:ind w:left="3242" w:hanging="601"/>
      </w:pPr>
      <w:rPr>
        <w:rFonts w:hint="default"/>
        <w:lang w:val="en-US" w:eastAsia="zh-CN" w:bidi="ar-SA"/>
      </w:rPr>
    </w:lvl>
    <w:lvl w:ilvl="4">
      <w:start w:val="0"/>
      <w:numFmt w:val="bullet"/>
      <w:lvlText w:val="•"/>
      <w:lvlJc w:val="left"/>
      <w:pPr>
        <w:ind w:left="4173" w:hanging="601"/>
      </w:pPr>
      <w:rPr>
        <w:rFonts w:hint="default"/>
        <w:lang w:val="en-US" w:eastAsia="zh-CN" w:bidi="ar-SA"/>
      </w:rPr>
    </w:lvl>
    <w:lvl w:ilvl="5">
      <w:start w:val="0"/>
      <w:numFmt w:val="bullet"/>
      <w:lvlText w:val="•"/>
      <w:lvlJc w:val="left"/>
      <w:pPr>
        <w:ind w:left="5104" w:hanging="601"/>
      </w:pPr>
      <w:rPr>
        <w:rFonts w:hint="default"/>
        <w:lang w:val="en-US" w:eastAsia="zh-CN" w:bidi="ar-SA"/>
      </w:rPr>
    </w:lvl>
    <w:lvl w:ilvl="6">
      <w:start w:val="0"/>
      <w:numFmt w:val="bullet"/>
      <w:lvlText w:val="•"/>
      <w:lvlJc w:val="left"/>
      <w:pPr>
        <w:ind w:left="6035" w:hanging="601"/>
      </w:pPr>
      <w:rPr>
        <w:rFonts w:hint="default"/>
        <w:lang w:val="en-US" w:eastAsia="zh-CN" w:bidi="ar-SA"/>
      </w:rPr>
    </w:lvl>
    <w:lvl w:ilvl="7">
      <w:start w:val="0"/>
      <w:numFmt w:val="bullet"/>
      <w:lvlText w:val="•"/>
      <w:lvlJc w:val="left"/>
      <w:pPr>
        <w:ind w:left="6966" w:hanging="601"/>
      </w:pPr>
      <w:rPr>
        <w:rFonts w:hint="default"/>
        <w:lang w:val="en-US" w:eastAsia="zh-CN" w:bidi="ar-SA"/>
      </w:rPr>
    </w:lvl>
    <w:lvl w:ilvl="8">
      <w:start w:val="0"/>
      <w:numFmt w:val="bullet"/>
      <w:lvlText w:val="•"/>
      <w:lvlJc w:val="left"/>
      <w:pPr>
        <w:ind w:left="7897" w:hanging="601"/>
      </w:pPr>
      <w:rPr>
        <w:rFonts w:hint="default"/>
        <w:lang w:val="en-US" w:eastAsia="zh-CN" w:bidi="ar-SA"/>
      </w:rPr>
    </w:lvl>
  </w:abstractNum>
  <w:abstractNum w:abstractNumId="8">
    <w:nsid w:val="0B0A9390"/>
    <w:multiLevelType w:val="hybridMultilevel"/>
    <w:tmpl w:val="00000000"/>
    <w:lvl w:ilvl="0">
      <w:start w:val="1"/>
      <w:numFmt w:val="decimal"/>
      <w:lvlText w:val="（%1）"/>
      <w:lvlJc w:val="left"/>
      <w:pPr>
        <w:ind w:left="292" w:hanging="603"/>
        <w:jc w:val="left"/>
      </w:pPr>
      <w:rPr>
        <w:rFonts w:ascii="宋体" w:eastAsia="宋体" w:hAnsi="宋体" w:cs="宋体" w:hint="default"/>
        <w:b w:val="0"/>
        <w:bCs w:val="0"/>
        <w:i w:val="0"/>
        <w:iCs w:val="0"/>
        <w:spacing w:val="-119"/>
        <w:w w:val="100"/>
        <w:sz w:val="22"/>
        <w:szCs w:val="22"/>
        <w:lang w:val="en-US" w:eastAsia="zh-CN" w:bidi="ar-SA"/>
      </w:rPr>
    </w:lvl>
    <w:lvl w:ilvl="1">
      <w:start w:val="0"/>
      <w:numFmt w:val="bullet"/>
      <w:lvlText w:val="•"/>
      <w:lvlJc w:val="left"/>
      <w:pPr>
        <w:ind w:left="1246" w:hanging="603"/>
      </w:pPr>
      <w:rPr>
        <w:rFonts w:hint="default"/>
        <w:lang w:val="en-US" w:eastAsia="zh-CN" w:bidi="ar-SA"/>
      </w:rPr>
    </w:lvl>
    <w:lvl w:ilvl="2">
      <w:start w:val="0"/>
      <w:numFmt w:val="bullet"/>
      <w:lvlText w:val="•"/>
      <w:lvlJc w:val="left"/>
      <w:pPr>
        <w:ind w:left="2192" w:hanging="603"/>
      </w:pPr>
      <w:rPr>
        <w:rFonts w:hint="default"/>
        <w:lang w:val="en-US" w:eastAsia="zh-CN" w:bidi="ar-SA"/>
      </w:rPr>
    </w:lvl>
    <w:lvl w:ilvl="3">
      <w:start w:val="0"/>
      <w:numFmt w:val="bullet"/>
      <w:lvlText w:val="•"/>
      <w:lvlJc w:val="left"/>
      <w:pPr>
        <w:ind w:left="3138" w:hanging="603"/>
      </w:pPr>
      <w:rPr>
        <w:rFonts w:hint="default"/>
        <w:lang w:val="en-US" w:eastAsia="zh-CN" w:bidi="ar-SA"/>
      </w:rPr>
    </w:lvl>
    <w:lvl w:ilvl="4">
      <w:start w:val="0"/>
      <w:numFmt w:val="bullet"/>
      <w:lvlText w:val="•"/>
      <w:lvlJc w:val="left"/>
      <w:pPr>
        <w:ind w:left="4084" w:hanging="603"/>
      </w:pPr>
      <w:rPr>
        <w:rFonts w:hint="default"/>
        <w:lang w:val="en-US" w:eastAsia="zh-CN" w:bidi="ar-SA"/>
      </w:rPr>
    </w:lvl>
    <w:lvl w:ilvl="5">
      <w:start w:val="0"/>
      <w:numFmt w:val="bullet"/>
      <w:lvlText w:val="•"/>
      <w:lvlJc w:val="left"/>
      <w:pPr>
        <w:ind w:left="5030" w:hanging="603"/>
      </w:pPr>
      <w:rPr>
        <w:rFonts w:hint="default"/>
        <w:lang w:val="en-US" w:eastAsia="zh-CN" w:bidi="ar-SA"/>
      </w:rPr>
    </w:lvl>
    <w:lvl w:ilvl="6">
      <w:start w:val="0"/>
      <w:numFmt w:val="bullet"/>
      <w:lvlText w:val="•"/>
      <w:lvlJc w:val="left"/>
      <w:pPr>
        <w:ind w:left="5976" w:hanging="603"/>
      </w:pPr>
      <w:rPr>
        <w:rFonts w:hint="default"/>
        <w:lang w:val="en-US" w:eastAsia="zh-CN" w:bidi="ar-SA"/>
      </w:rPr>
    </w:lvl>
    <w:lvl w:ilvl="7">
      <w:start w:val="0"/>
      <w:numFmt w:val="bullet"/>
      <w:lvlText w:val="•"/>
      <w:lvlJc w:val="left"/>
      <w:pPr>
        <w:ind w:left="6922" w:hanging="603"/>
      </w:pPr>
      <w:rPr>
        <w:rFonts w:hint="default"/>
        <w:lang w:val="en-US" w:eastAsia="zh-CN" w:bidi="ar-SA"/>
      </w:rPr>
    </w:lvl>
    <w:lvl w:ilvl="8">
      <w:start w:val="0"/>
      <w:numFmt w:val="bullet"/>
      <w:lvlText w:val="•"/>
      <w:lvlJc w:val="left"/>
      <w:pPr>
        <w:ind w:left="7868" w:hanging="603"/>
      </w:pPr>
      <w:rPr>
        <w:rFonts w:hint="default"/>
        <w:lang w:val="en-US" w:eastAsia="zh-CN" w:bidi="ar-SA"/>
      </w:rPr>
    </w:lvl>
  </w:abstractNum>
  <w:abstractNum w:abstractNumId="9">
    <w:nsid w:val="0E6F8A7E"/>
    <w:multiLevelType w:val="hybridMultilevel"/>
    <w:tmpl w:val="00000000"/>
    <w:lvl w:ilvl="0">
      <w:start w:val="1"/>
      <w:numFmt w:val="decimal"/>
      <w:lvlText w:val="（%1）"/>
      <w:lvlJc w:val="left"/>
      <w:pPr>
        <w:ind w:left="1432" w:hanging="601"/>
        <w:jc w:val="left"/>
      </w:pPr>
      <w:rPr>
        <w:rFonts w:ascii="宋体" w:eastAsia="宋体" w:hAnsi="宋体" w:cs="宋体" w:hint="default"/>
        <w:b w:val="0"/>
        <w:bCs w:val="0"/>
        <w:i w:val="0"/>
        <w:iCs w:val="0"/>
        <w:spacing w:val="-120"/>
        <w:w w:val="100"/>
        <w:sz w:val="22"/>
        <w:szCs w:val="22"/>
        <w:lang w:val="en-US" w:eastAsia="zh-CN" w:bidi="ar-SA"/>
      </w:rPr>
    </w:lvl>
    <w:lvl w:ilvl="1">
      <w:start w:val="1"/>
      <w:numFmt w:val="decimal"/>
      <w:lvlText w:val="（%2）"/>
      <w:lvlJc w:val="left"/>
      <w:pPr>
        <w:ind w:left="1540" w:hanging="601"/>
        <w:jc w:val="left"/>
      </w:pPr>
      <w:rPr>
        <w:rFonts w:ascii="宋体" w:eastAsia="宋体" w:hAnsi="宋体" w:cs="宋体" w:hint="default"/>
        <w:b w:val="0"/>
        <w:bCs w:val="0"/>
        <w:i w:val="0"/>
        <w:iCs w:val="0"/>
        <w:w w:val="100"/>
        <w:sz w:val="22"/>
        <w:szCs w:val="22"/>
        <w:lang w:val="en-US" w:eastAsia="zh-CN" w:bidi="ar-SA"/>
      </w:rPr>
    </w:lvl>
    <w:lvl w:ilvl="2">
      <w:start w:val="0"/>
      <w:numFmt w:val="bullet"/>
      <w:lvlText w:val="•"/>
      <w:lvlJc w:val="left"/>
      <w:pPr>
        <w:ind w:left="2453" w:hanging="601"/>
      </w:pPr>
      <w:rPr>
        <w:rFonts w:hint="default"/>
        <w:lang w:val="en-US" w:eastAsia="zh-CN" w:bidi="ar-SA"/>
      </w:rPr>
    </w:lvl>
    <w:lvl w:ilvl="3">
      <w:start w:val="0"/>
      <w:numFmt w:val="bullet"/>
      <w:lvlText w:val="•"/>
      <w:lvlJc w:val="left"/>
      <w:pPr>
        <w:ind w:left="3366" w:hanging="601"/>
      </w:pPr>
      <w:rPr>
        <w:rFonts w:hint="default"/>
        <w:lang w:val="en-US" w:eastAsia="zh-CN" w:bidi="ar-SA"/>
      </w:rPr>
    </w:lvl>
    <w:lvl w:ilvl="4">
      <w:start w:val="0"/>
      <w:numFmt w:val="bullet"/>
      <w:lvlText w:val="•"/>
      <w:lvlJc w:val="left"/>
      <w:pPr>
        <w:ind w:left="4280" w:hanging="601"/>
      </w:pPr>
      <w:rPr>
        <w:rFonts w:hint="default"/>
        <w:lang w:val="en-US" w:eastAsia="zh-CN" w:bidi="ar-SA"/>
      </w:rPr>
    </w:lvl>
    <w:lvl w:ilvl="5">
      <w:start w:val="0"/>
      <w:numFmt w:val="bullet"/>
      <w:lvlText w:val="•"/>
      <w:lvlJc w:val="left"/>
      <w:pPr>
        <w:ind w:left="5193" w:hanging="601"/>
      </w:pPr>
      <w:rPr>
        <w:rFonts w:hint="default"/>
        <w:lang w:val="en-US" w:eastAsia="zh-CN" w:bidi="ar-SA"/>
      </w:rPr>
    </w:lvl>
    <w:lvl w:ilvl="6">
      <w:start w:val="0"/>
      <w:numFmt w:val="bullet"/>
      <w:lvlText w:val="•"/>
      <w:lvlJc w:val="left"/>
      <w:pPr>
        <w:ind w:left="6106" w:hanging="601"/>
      </w:pPr>
      <w:rPr>
        <w:rFonts w:hint="default"/>
        <w:lang w:val="en-US" w:eastAsia="zh-CN" w:bidi="ar-SA"/>
      </w:rPr>
    </w:lvl>
    <w:lvl w:ilvl="7">
      <w:start w:val="0"/>
      <w:numFmt w:val="bullet"/>
      <w:lvlText w:val="•"/>
      <w:lvlJc w:val="left"/>
      <w:pPr>
        <w:ind w:left="7020" w:hanging="601"/>
      </w:pPr>
      <w:rPr>
        <w:rFonts w:hint="default"/>
        <w:lang w:val="en-US" w:eastAsia="zh-CN" w:bidi="ar-SA"/>
      </w:rPr>
    </w:lvl>
    <w:lvl w:ilvl="8">
      <w:start w:val="0"/>
      <w:numFmt w:val="bullet"/>
      <w:lvlText w:val="•"/>
      <w:lvlJc w:val="left"/>
      <w:pPr>
        <w:ind w:left="7933" w:hanging="601"/>
      </w:pPr>
      <w:rPr>
        <w:rFonts w:hint="default"/>
        <w:lang w:val="en-US" w:eastAsia="zh-CN" w:bidi="ar-SA"/>
      </w:rPr>
    </w:lvl>
  </w:abstractNum>
  <w:abstractNum w:abstractNumId="10">
    <w:nsid w:val="1497A602"/>
    <w:multiLevelType w:val="hybridMultilevel"/>
    <w:tmpl w:val="00000000"/>
    <w:lvl w:ilvl="0">
      <w:start w:val="1"/>
      <w:numFmt w:val="decimal"/>
      <w:lvlText w:val="（%1）"/>
      <w:lvlJc w:val="left"/>
      <w:pPr>
        <w:ind w:left="1343" w:hanging="60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2182" w:hanging="601"/>
      </w:pPr>
      <w:rPr>
        <w:rFonts w:hint="default"/>
        <w:lang w:val="en-US" w:eastAsia="zh-CN" w:bidi="ar-SA"/>
      </w:rPr>
    </w:lvl>
    <w:lvl w:ilvl="2">
      <w:start w:val="0"/>
      <w:numFmt w:val="bullet"/>
      <w:lvlText w:val="•"/>
      <w:lvlJc w:val="left"/>
      <w:pPr>
        <w:ind w:left="3024" w:hanging="601"/>
      </w:pPr>
      <w:rPr>
        <w:rFonts w:hint="default"/>
        <w:lang w:val="en-US" w:eastAsia="zh-CN" w:bidi="ar-SA"/>
      </w:rPr>
    </w:lvl>
    <w:lvl w:ilvl="3">
      <w:start w:val="0"/>
      <w:numFmt w:val="bullet"/>
      <w:lvlText w:val="•"/>
      <w:lvlJc w:val="left"/>
      <w:pPr>
        <w:ind w:left="3866" w:hanging="601"/>
      </w:pPr>
      <w:rPr>
        <w:rFonts w:hint="default"/>
        <w:lang w:val="en-US" w:eastAsia="zh-CN" w:bidi="ar-SA"/>
      </w:rPr>
    </w:lvl>
    <w:lvl w:ilvl="4">
      <w:start w:val="0"/>
      <w:numFmt w:val="bullet"/>
      <w:lvlText w:val="•"/>
      <w:lvlJc w:val="left"/>
      <w:pPr>
        <w:ind w:left="4708" w:hanging="601"/>
      </w:pPr>
      <w:rPr>
        <w:rFonts w:hint="default"/>
        <w:lang w:val="en-US" w:eastAsia="zh-CN" w:bidi="ar-SA"/>
      </w:rPr>
    </w:lvl>
    <w:lvl w:ilvl="5">
      <w:start w:val="0"/>
      <w:numFmt w:val="bullet"/>
      <w:lvlText w:val="•"/>
      <w:lvlJc w:val="left"/>
      <w:pPr>
        <w:ind w:left="5550" w:hanging="601"/>
      </w:pPr>
      <w:rPr>
        <w:rFonts w:hint="default"/>
        <w:lang w:val="en-US" w:eastAsia="zh-CN" w:bidi="ar-SA"/>
      </w:rPr>
    </w:lvl>
    <w:lvl w:ilvl="6">
      <w:start w:val="0"/>
      <w:numFmt w:val="bullet"/>
      <w:lvlText w:val="•"/>
      <w:lvlJc w:val="left"/>
      <w:pPr>
        <w:ind w:left="6392" w:hanging="601"/>
      </w:pPr>
      <w:rPr>
        <w:rFonts w:hint="default"/>
        <w:lang w:val="en-US" w:eastAsia="zh-CN" w:bidi="ar-SA"/>
      </w:rPr>
    </w:lvl>
    <w:lvl w:ilvl="7">
      <w:start w:val="0"/>
      <w:numFmt w:val="bullet"/>
      <w:lvlText w:val="•"/>
      <w:lvlJc w:val="left"/>
      <w:pPr>
        <w:ind w:left="7234" w:hanging="601"/>
      </w:pPr>
      <w:rPr>
        <w:rFonts w:hint="default"/>
        <w:lang w:val="en-US" w:eastAsia="zh-CN" w:bidi="ar-SA"/>
      </w:rPr>
    </w:lvl>
    <w:lvl w:ilvl="8">
      <w:start w:val="0"/>
      <w:numFmt w:val="bullet"/>
      <w:lvlText w:val="•"/>
      <w:lvlJc w:val="left"/>
      <w:pPr>
        <w:ind w:left="8076" w:hanging="601"/>
      </w:pPr>
      <w:rPr>
        <w:rFonts w:hint="default"/>
        <w:lang w:val="en-US" w:eastAsia="zh-CN" w:bidi="ar-SA"/>
      </w:rPr>
    </w:lvl>
  </w:abstractNum>
  <w:abstractNum w:abstractNumId="11">
    <w:nsid w:val="1C382928"/>
    <w:multiLevelType w:val="hybridMultilevel"/>
    <w:tmpl w:val="00000000"/>
    <w:lvl w:ilvl="0">
      <w:start w:val="1"/>
      <w:numFmt w:val="decimal"/>
      <w:lvlText w:val="%1)"/>
      <w:lvlJc w:val="left"/>
      <w:pPr>
        <w:ind w:left="292" w:hanging="24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246" w:hanging="241"/>
      </w:pPr>
      <w:rPr>
        <w:rFonts w:hint="default"/>
        <w:lang w:val="en-US" w:eastAsia="zh-CN" w:bidi="ar-SA"/>
      </w:rPr>
    </w:lvl>
    <w:lvl w:ilvl="2">
      <w:start w:val="0"/>
      <w:numFmt w:val="bullet"/>
      <w:lvlText w:val="•"/>
      <w:lvlJc w:val="left"/>
      <w:pPr>
        <w:ind w:left="2192" w:hanging="241"/>
      </w:pPr>
      <w:rPr>
        <w:rFonts w:hint="default"/>
        <w:lang w:val="en-US" w:eastAsia="zh-CN" w:bidi="ar-SA"/>
      </w:rPr>
    </w:lvl>
    <w:lvl w:ilvl="3">
      <w:start w:val="0"/>
      <w:numFmt w:val="bullet"/>
      <w:lvlText w:val="•"/>
      <w:lvlJc w:val="left"/>
      <w:pPr>
        <w:ind w:left="3138" w:hanging="241"/>
      </w:pPr>
      <w:rPr>
        <w:rFonts w:hint="default"/>
        <w:lang w:val="en-US" w:eastAsia="zh-CN" w:bidi="ar-SA"/>
      </w:rPr>
    </w:lvl>
    <w:lvl w:ilvl="4">
      <w:start w:val="0"/>
      <w:numFmt w:val="bullet"/>
      <w:lvlText w:val="•"/>
      <w:lvlJc w:val="left"/>
      <w:pPr>
        <w:ind w:left="4084" w:hanging="241"/>
      </w:pPr>
      <w:rPr>
        <w:rFonts w:hint="default"/>
        <w:lang w:val="en-US" w:eastAsia="zh-CN" w:bidi="ar-SA"/>
      </w:rPr>
    </w:lvl>
    <w:lvl w:ilvl="5">
      <w:start w:val="0"/>
      <w:numFmt w:val="bullet"/>
      <w:lvlText w:val="•"/>
      <w:lvlJc w:val="left"/>
      <w:pPr>
        <w:ind w:left="5030" w:hanging="241"/>
      </w:pPr>
      <w:rPr>
        <w:rFonts w:hint="default"/>
        <w:lang w:val="en-US" w:eastAsia="zh-CN" w:bidi="ar-SA"/>
      </w:rPr>
    </w:lvl>
    <w:lvl w:ilvl="6">
      <w:start w:val="0"/>
      <w:numFmt w:val="bullet"/>
      <w:lvlText w:val="•"/>
      <w:lvlJc w:val="left"/>
      <w:pPr>
        <w:ind w:left="5976" w:hanging="241"/>
      </w:pPr>
      <w:rPr>
        <w:rFonts w:hint="default"/>
        <w:lang w:val="en-US" w:eastAsia="zh-CN" w:bidi="ar-SA"/>
      </w:rPr>
    </w:lvl>
    <w:lvl w:ilvl="7">
      <w:start w:val="0"/>
      <w:numFmt w:val="bullet"/>
      <w:lvlText w:val="•"/>
      <w:lvlJc w:val="left"/>
      <w:pPr>
        <w:ind w:left="6922" w:hanging="241"/>
      </w:pPr>
      <w:rPr>
        <w:rFonts w:hint="default"/>
        <w:lang w:val="en-US" w:eastAsia="zh-CN" w:bidi="ar-SA"/>
      </w:rPr>
    </w:lvl>
    <w:lvl w:ilvl="8">
      <w:start w:val="0"/>
      <w:numFmt w:val="bullet"/>
      <w:lvlText w:val="•"/>
      <w:lvlJc w:val="left"/>
      <w:pPr>
        <w:ind w:left="7868" w:hanging="241"/>
      </w:pPr>
      <w:rPr>
        <w:rFonts w:hint="default"/>
        <w:lang w:val="en-US" w:eastAsia="zh-CN" w:bidi="ar-SA"/>
      </w:rPr>
    </w:lvl>
  </w:abstractNum>
  <w:abstractNum w:abstractNumId="12">
    <w:nsid w:val="27BDCDAA"/>
    <w:multiLevelType w:val="hybridMultilevel"/>
    <w:tmpl w:val="00000000"/>
    <w:lvl w:ilvl="0">
      <w:start w:val="1"/>
      <w:numFmt w:val="decimal"/>
      <w:lvlText w:val="%1）"/>
      <w:lvlJc w:val="left"/>
      <w:pPr>
        <w:ind w:left="1135" w:hanging="316"/>
        <w:jc w:val="left"/>
      </w:pPr>
      <w:rPr>
        <w:rFonts w:ascii="宋体" w:eastAsia="宋体" w:hAnsi="宋体" w:cs="宋体" w:hint="default"/>
        <w:b w:val="0"/>
        <w:bCs w:val="0"/>
        <w:i w:val="0"/>
        <w:iCs w:val="0"/>
        <w:spacing w:val="-19"/>
        <w:w w:val="100"/>
        <w:sz w:val="19"/>
        <w:szCs w:val="19"/>
        <w:lang w:val="en-US" w:eastAsia="zh-CN" w:bidi="ar-SA"/>
      </w:rPr>
    </w:lvl>
    <w:lvl w:ilvl="1">
      <w:start w:val="0"/>
      <w:numFmt w:val="bullet"/>
      <w:lvlText w:val="•"/>
      <w:lvlJc w:val="left"/>
      <w:pPr>
        <w:ind w:left="2002" w:hanging="316"/>
      </w:pPr>
      <w:rPr>
        <w:rFonts w:hint="default"/>
        <w:lang w:val="en-US" w:eastAsia="zh-CN" w:bidi="ar-SA"/>
      </w:rPr>
    </w:lvl>
    <w:lvl w:ilvl="2">
      <w:start w:val="0"/>
      <w:numFmt w:val="bullet"/>
      <w:lvlText w:val="•"/>
      <w:lvlJc w:val="left"/>
      <w:pPr>
        <w:ind w:left="2864" w:hanging="316"/>
      </w:pPr>
      <w:rPr>
        <w:rFonts w:hint="default"/>
        <w:lang w:val="en-US" w:eastAsia="zh-CN" w:bidi="ar-SA"/>
      </w:rPr>
    </w:lvl>
    <w:lvl w:ilvl="3">
      <w:start w:val="0"/>
      <w:numFmt w:val="bullet"/>
      <w:lvlText w:val="•"/>
      <w:lvlJc w:val="left"/>
      <w:pPr>
        <w:ind w:left="3726" w:hanging="316"/>
      </w:pPr>
      <w:rPr>
        <w:rFonts w:hint="default"/>
        <w:lang w:val="en-US" w:eastAsia="zh-CN" w:bidi="ar-SA"/>
      </w:rPr>
    </w:lvl>
    <w:lvl w:ilvl="4">
      <w:start w:val="0"/>
      <w:numFmt w:val="bullet"/>
      <w:lvlText w:val="•"/>
      <w:lvlJc w:val="left"/>
      <w:pPr>
        <w:ind w:left="4588" w:hanging="316"/>
      </w:pPr>
      <w:rPr>
        <w:rFonts w:hint="default"/>
        <w:lang w:val="en-US" w:eastAsia="zh-CN" w:bidi="ar-SA"/>
      </w:rPr>
    </w:lvl>
    <w:lvl w:ilvl="5">
      <w:start w:val="0"/>
      <w:numFmt w:val="bullet"/>
      <w:lvlText w:val="•"/>
      <w:lvlJc w:val="left"/>
      <w:pPr>
        <w:ind w:left="5450" w:hanging="316"/>
      </w:pPr>
      <w:rPr>
        <w:rFonts w:hint="default"/>
        <w:lang w:val="en-US" w:eastAsia="zh-CN" w:bidi="ar-SA"/>
      </w:rPr>
    </w:lvl>
    <w:lvl w:ilvl="6">
      <w:start w:val="0"/>
      <w:numFmt w:val="bullet"/>
      <w:lvlText w:val="•"/>
      <w:lvlJc w:val="left"/>
      <w:pPr>
        <w:ind w:left="6312" w:hanging="316"/>
      </w:pPr>
      <w:rPr>
        <w:rFonts w:hint="default"/>
        <w:lang w:val="en-US" w:eastAsia="zh-CN" w:bidi="ar-SA"/>
      </w:rPr>
    </w:lvl>
    <w:lvl w:ilvl="7">
      <w:start w:val="0"/>
      <w:numFmt w:val="bullet"/>
      <w:lvlText w:val="•"/>
      <w:lvlJc w:val="left"/>
      <w:pPr>
        <w:ind w:left="7174" w:hanging="316"/>
      </w:pPr>
      <w:rPr>
        <w:rFonts w:hint="default"/>
        <w:lang w:val="en-US" w:eastAsia="zh-CN" w:bidi="ar-SA"/>
      </w:rPr>
    </w:lvl>
    <w:lvl w:ilvl="8">
      <w:start w:val="0"/>
      <w:numFmt w:val="bullet"/>
      <w:lvlText w:val="•"/>
      <w:lvlJc w:val="left"/>
      <w:pPr>
        <w:ind w:left="8036" w:hanging="316"/>
      </w:pPr>
      <w:rPr>
        <w:rFonts w:hint="default"/>
        <w:lang w:val="en-US" w:eastAsia="zh-CN" w:bidi="ar-SA"/>
      </w:rPr>
    </w:lvl>
  </w:abstractNum>
  <w:abstractNum w:abstractNumId="13">
    <w:nsid w:val="2FE4CBD5"/>
    <w:multiLevelType w:val="hybridMultilevel"/>
    <w:tmpl w:val="00000000"/>
    <w:lvl w:ilvl="0">
      <w:start w:val="6"/>
      <w:numFmt w:val="decimal"/>
      <w:lvlText w:val="%1）"/>
      <w:lvlJc w:val="left"/>
      <w:pPr>
        <w:ind w:left="292" w:hanging="361"/>
        <w:jc w:val="right"/>
      </w:pPr>
      <w:rPr>
        <w:rFonts w:ascii="宋体" w:eastAsia="宋体" w:hAnsi="宋体" w:cs="宋体" w:hint="default"/>
        <w:b w:val="0"/>
        <w:bCs w:val="0"/>
        <w:i w:val="0"/>
        <w:iCs w:val="0"/>
        <w:spacing w:val="-117"/>
        <w:w w:val="100"/>
        <w:sz w:val="22"/>
        <w:szCs w:val="22"/>
        <w:lang w:val="en-US" w:eastAsia="zh-CN" w:bidi="ar-SA"/>
      </w:rPr>
    </w:lvl>
    <w:lvl w:ilvl="1">
      <w:start w:val="0"/>
      <w:numFmt w:val="bullet"/>
      <w:lvlText w:val="•"/>
      <w:lvlJc w:val="left"/>
      <w:pPr>
        <w:ind w:left="1246" w:hanging="361"/>
      </w:pPr>
      <w:rPr>
        <w:rFonts w:hint="default"/>
        <w:lang w:val="en-US" w:eastAsia="zh-CN" w:bidi="ar-SA"/>
      </w:rPr>
    </w:lvl>
    <w:lvl w:ilvl="2">
      <w:start w:val="0"/>
      <w:numFmt w:val="bullet"/>
      <w:lvlText w:val="•"/>
      <w:lvlJc w:val="left"/>
      <w:pPr>
        <w:ind w:left="2192" w:hanging="361"/>
      </w:pPr>
      <w:rPr>
        <w:rFonts w:hint="default"/>
        <w:lang w:val="en-US" w:eastAsia="zh-CN" w:bidi="ar-SA"/>
      </w:rPr>
    </w:lvl>
    <w:lvl w:ilvl="3">
      <w:start w:val="0"/>
      <w:numFmt w:val="bullet"/>
      <w:lvlText w:val="•"/>
      <w:lvlJc w:val="left"/>
      <w:pPr>
        <w:ind w:left="3138" w:hanging="361"/>
      </w:pPr>
      <w:rPr>
        <w:rFonts w:hint="default"/>
        <w:lang w:val="en-US" w:eastAsia="zh-CN" w:bidi="ar-SA"/>
      </w:rPr>
    </w:lvl>
    <w:lvl w:ilvl="4">
      <w:start w:val="0"/>
      <w:numFmt w:val="bullet"/>
      <w:lvlText w:val="•"/>
      <w:lvlJc w:val="left"/>
      <w:pPr>
        <w:ind w:left="4084" w:hanging="361"/>
      </w:pPr>
      <w:rPr>
        <w:rFonts w:hint="default"/>
        <w:lang w:val="en-US" w:eastAsia="zh-CN" w:bidi="ar-SA"/>
      </w:rPr>
    </w:lvl>
    <w:lvl w:ilvl="5">
      <w:start w:val="0"/>
      <w:numFmt w:val="bullet"/>
      <w:lvlText w:val="•"/>
      <w:lvlJc w:val="left"/>
      <w:pPr>
        <w:ind w:left="5030" w:hanging="361"/>
      </w:pPr>
      <w:rPr>
        <w:rFonts w:hint="default"/>
        <w:lang w:val="en-US" w:eastAsia="zh-CN" w:bidi="ar-SA"/>
      </w:rPr>
    </w:lvl>
    <w:lvl w:ilvl="6">
      <w:start w:val="0"/>
      <w:numFmt w:val="bullet"/>
      <w:lvlText w:val="•"/>
      <w:lvlJc w:val="left"/>
      <w:pPr>
        <w:ind w:left="5976" w:hanging="361"/>
      </w:pPr>
      <w:rPr>
        <w:rFonts w:hint="default"/>
        <w:lang w:val="en-US" w:eastAsia="zh-CN" w:bidi="ar-SA"/>
      </w:rPr>
    </w:lvl>
    <w:lvl w:ilvl="7">
      <w:start w:val="0"/>
      <w:numFmt w:val="bullet"/>
      <w:lvlText w:val="•"/>
      <w:lvlJc w:val="left"/>
      <w:pPr>
        <w:ind w:left="6922" w:hanging="361"/>
      </w:pPr>
      <w:rPr>
        <w:rFonts w:hint="default"/>
        <w:lang w:val="en-US" w:eastAsia="zh-CN" w:bidi="ar-SA"/>
      </w:rPr>
    </w:lvl>
    <w:lvl w:ilvl="8">
      <w:start w:val="0"/>
      <w:numFmt w:val="bullet"/>
      <w:lvlText w:val="•"/>
      <w:lvlJc w:val="left"/>
      <w:pPr>
        <w:ind w:left="7868" w:hanging="361"/>
      </w:pPr>
      <w:rPr>
        <w:rFonts w:hint="default"/>
        <w:lang w:val="en-US" w:eastAsia="zh-CN" w:bidi="ar-SA"/>
      </w:rPr>
    </w:lvl>
  </w:abstractNum>
  <w:abstractNum w:abstractNumId="14">
    <w:nsid w:val="37CA2CD1"/>
    <w:multiLevelType w:val="hybridMultilevel"/>
    <w:tmpl w:val="00000000"/>
    <w:lvl w:ilvl="0">
      <w:start w:val="1"/>
      <w:numFmt w:val="decimal"/>
      <w:lvlText w:val="（%1）"/>
      <w:lvlJc w:val="left"/>
      <w:pPr>
        <w:ind w:left="292" w:hanging="601"/>
        <w:jc w:val="left"/>
      </w:pPr>
      <w:rPr>
        <w:rFonts w:ascii="宋体" w:eastAsia="宋体" w:hAnsi="宋体" w:cs="宋体" w:hint="default"/>
        <w:b w:val="0"/>
        <w:bCs w:val="0"/>
        <w:i w:val="0"/>
        <w:iCs w:val="0"/>
        <w:spacing w:val="-5"/>
        <w:w w:val="100"/>
        <w:sz w:val="22"/>
        <w:szCs w:val="22"/>
        <w:lang w:val="en-US" w:eastAsia="zh-CN" w:bidi="ar-SA"/>
      </w:rPr>
    </w:lvl>
    <w:lvl w:ilvl="1">
      <w:start w:val="0"/>
      <w:numFmt w:val="bullet"/>
      <w:lvlText w:val="•"/>
      <w:lvlJc w:val="left"/>
      <w:pPr>
        <w:ind w:left="1246" w:hanging="601"/>
      </w:pPr>
      <w:rPr>
        <w:rFonts w:hint="default"/>
        <w:lang w:val="en-US" w:eastAsia="zh-CN" w:bidi="ar-SA"/>
      </w:rPr>
    </w:lvl>
    <w:lvl w:ilvl="2">
      <w:start w:val="0"/>
      <w:numFmt w:val="bullet"/>
      <w:lvlText w:val="•"/>
      <w:lvlJc w:val="left"/>
      <w:pPr>
        <w:ind w:left="2192" w:hanging="601"/>
      </w:pPr>
      <w:rPr>
        <w:rFonts w:hint="default"/>
        <w:lang w:val="en-US" w:eastAsia="zh-CN" w:bidi="ar-SA"/>
      </w:rPr>
    </w:lvl>
    <w:lvl w:ilvl="3">
      <w:start w:val="0"/>
      <w:numFmt w:val="bullet"/>
      <w:lvlText w:val="•"/>
      <w:lvlJc w:val="left"/>
      <w:pPr>
        <w:ind w:left="3138" w:hanging="601"/>
      </w:pPr>
      <w:rPr>
        <w:rFonts w:hint="default"/>
        <w:lang w:val="en-US" w:eastAsia="zh-CN" w:bidi="ar-SA"/>
      </w:rPr>
    </w:lvl>
    <w:lvl w:ilvl="4">
      <w:start w:val="0"/>
      <w:numFmt w:val="bullet"/>
      <w:lvlText w:val="•"/>
      <w:lvlJc w:val="left"/>
      <w:pPr>
        <w:ind w:left="4084" w:hanging="601"/>
      </w:pPr>
      <w:rPr>
        <w:rFonts w:hint="default"/>
        <w:lang w:val="en-US" w:eastAsia="zh-CN" w:bidi="ar-SA"/>
      </w:rPr>
    </w:lvl>
    <w:lvl w:ilvl="5">
      <w:start w:val="0"/>
      <w:numFmt w:val="bullet"/>
      <w:lvlText w:val="•"/>
      <w:lvlJc w:val="left"/>
      <w:pPr>
        <w:ind w:left="5030" w:hanging="601"/>
      </w:pPr>
      <w:rPr>
        <w:rFonts w:hint="default"/>
        <w:lang w:val="en-US" w:eastAsia="zh-CN" w:bidi="ar-SA"/>
      </w:rPr>
    </w:lvl>
    <w:lvl w:ilvl="6">
      <w:start w:val="0"/>
      <w:numFmt w:val="bullet"/>
      <w:lvlText w:val="•"/>
      <w:lvlJc w:val="left"/>
      <w:pPr>
        <w:ind w:left="5976" w:hanging="601"/>
      </w:pPr>
      <w:rPr>
        <w:rFonts w:hint="default"/>
        <w:lang w:val="en-US" w:eastAsia="zh-CN" w:bidi="ar-SA"/>
      </w:rPr>
    </w:lvl>
    <w:lvl w:ilvl="7">
      <w:start w:val="0"/>
      <w:numFmt w:val="bullet"/>
      <w:lvlText w:val="•"/>
      <w:lvlJc w:val="left"/>
      <w:pPr>
        <w:ind w:left="6922" w:hanging="601"/>
      </w:pPr>
      <w:rPr>
        <w:rFonts w:hint="default"/>
        <w:lang w:val="en-US" w:eastAsia="zh-CN" w:bidi="ar-SA"/>
      </w:rPr>
    </w:lvl>
    <w:lvl w:ilvl="8">
      <w:start w:val="0"/>
      <w:numFmt w:val="bullet"/>
      <w:lvlText w:val="•"/>
      <w:lvlJc w:val="left"/>
      <w:pPr>
        <w:ind w:left="7868" w:hanging="601"/>
      </w:pPr>
      <w:rPr>
        <w:rFonts w:hint="default"/>
        <w:lang w:val="en-US" w:eastAsia="zh-CN" w:bidi="ar-SA"/>
      </w:rPr>
    </w:lvl>
  </w:abstractNum>
  <w:abstractNum w:abstractNumId="15">
    <w:nsid w:val="3CAB58D4"/>
    <w:multiLevelType w:val="hybridMultilevel"/>
    <w:tmpl w:val="00000000"/>
    <w:lvl w:ilvl="0">
      <w:start w:val="1"/>
      <w:numFmt w:val="decimal"/>
      <w:lvlText w:val="（%1）"/>
      <w:lvlJc w:val="left"/>
      <w:pPr>
        <w:ind w:left="1343" w:hanging="60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2182" w:hanging="601"/>
      </w:pPr>
      <w:rPr>
        <w:rFonts w:hint="default"/>
        <w:lang w:val="en-US" w:eastAsia="zh-CN" w:bidi="ar-SA"/>
      </w:rPr>
    </w:lvl>
    <w:lvl w:ilvl="2">
      <w:start w:val="0"/>
      <w:numFmt w:val="bullet"/>
      <w:lvlText w:val="•"/>
      <w:lvlJc w:val="left"/>
      <w:pPr>
        <w:ind w:left="3024" w:hanging="601"/>
      </w:pPr>
      <w:rPr>
        <w:rFonts w:hint="default"/>
        <w:lang w:val="en-US" w:eastAsia="zh-CN" w:bidi="ar-SA"/>
      </w:rPr>
    </w:lvl>
    <w:lvl w:ilvl="3">
      <w:start w:val="0"/>
      <w:numFmt w:val="bullet"/>
      <w:lvlText w:val="•"/>
      <w:lvlJc w:val="left"/>
      <w:pPr>
        <w:ind w:left="3866" w:hanging="601"/>
      </w:pPr>
      <w:rPr>
        <w:rFonts w:hint="default"/>
        <w:lang w:val="en-US" w:eastAsia="zh-CN" w:bidi="ar-SA"/>
      </w:rPr>
    </w:lvl>
    <w:lvl w:ilvl="4">
      <w:start w:val="0"/>
      <w:numFmt w:val="bullet"/>
      <w:lvlText w:val="•"/>
      <w:lvlJc w:val="left"/>
      <w:pPr>
        <w:ind w:left="4708" w:hanging="601"/>
      </w:pPr>
      <w:rPr>
        <w:rFonts w:hint="default"/>
        <w:lang w:val="en-US" w:eastAsia="zh-CN" w:bidi="ar-SA"/>
      </w:rPr>
    </w:lvl>
    <w:lvl w:ilvl="5">
      <w:start w:val="0"/>
      <w:numFmt w:val="bullet"/>
      <w:lvlText w:val="•"/>
      <w:lvlJc w:val="left"/>
      <w:pPr>
        <w:ind w:left="5550" w:hanging="601"/>
      </w:pPr>
      <w:rPr>
        <w:rFonts w:hint="default"/>
        <w:lang w:val="en-US" w:eastAsia="zh-CN" w:bidi="ar-SA"/>
      </w:rPr>
    </w:lvl>
    <w:lvl w:ilvl="6">
      <w:start w:val="0"/>
      <w:numFmt w:val="bullet"/>
      <w:lvlText w:val="•"/>
      <w:lvlJc w:val="left"/>
      <w:pPr>
        <w:ind w:left="6392" w:hanging="601"/>
      </w:pPr>
      <w:rPr>
        <w:rFonts w:hint="default"/>
        <w:lang w:val="en-US" w:eastAsia="zh-CN" w:bidi="ar-SA"/>
      </w:rPr>
    </w:lvl>
    <w:lvl w:ilvl="7">
      <w:start w:val="0"/>
      <w:numFmt w:val="bullet"/>
      <w:lvlText w:val="•"/>
      <w:lvlJc w:val="left"/>
      <w:pPr>
        <w:ind w:left="7234" w:hanging="601"/>
      </w:pPr>
      <w:rPr>
        <w:rFonts w:hint="default"/>
        <w:lang w:val="en-US" w:eastAsia="zh-CN" w:bidi="ar-SA"/>
      </w:rPr>
    </w:lvl>
    <w:lvl w:ilvl="8">
      <w:start w:val="0"/>
      <w:numFmt w:val="bullet"/>
      <w:lvlText w:val="•"/>
      <w:lvlJc w:val="left"/>
      <w:pPr>
        <w:ind w:left="8076" w:hanging="601"/>
      </w:pPr>
      <w:rPr>
        <w:rFonts w:hint="default"/>
        <w:lang w:val="en-US" w:eastAsia="zh-CN" w:bidi="ar-SA"/>
      </w:rPr>
    </w:lvl>
  </w:abstractNum>
  <w:abstractNum w:abstractNumId="16">
    <w:nsid w:val="3E413AEE"/>
    <w:multiLevelType w:val="hybridMultilevel"/>
    <w:tmpl w:val="00000000"/>
    <w:lvl w:ilvl="0">
      <w:start w:val="1"/>
      <w:numFmt w:val="decimal"/>
      <w:lvlText w:val="（%1）"/>
      <w:lvlJc w:val="left"/>
      <w:pPr>
        <w:ind w:left="292" w:hanging="601"/>
        <w:jc w:val="left"/>
      </w:pPr>
      <w:rPr>
        <w:rFonts w:ascii="宋体" w:eastAsia="宋体" w:hAnsi="宋体" w:cs="宋体" w:hint="default"/>
        <w:b w:val="0"/>
        <w:bCs w:val="0"/>
        <w:i w:val="0"/>
        <w:iCs w:val="0"/>
        <w:spacing w:val="-6"/>
        <w:w w:val="100"/>
        <w:sz w:val="22"/>
        <w:szCs w:val="22"/>
        <w:lang w:val="en-US" w:eastAsia="zh-CN" w:bidi="ar-SA"/>
      </w:rPr>
    </w:lvl>
    <w:lvl w:ilvl="1">
      <w:start w:val="0"/>
      <w:numFmt w:val="bullet"/>
      <w:lvlText w:val="•"/>
      <w:lvlJc w:val="left"/>
      <w:pPr>
        <w:ind w:left="1246" w:hanging="601"/>
      </w:pPr>
      <w:rPr>
        <w:rFonts w:hint="default"/>
        <w:lang w:val="en-US" w:eastAsia="zh-CN" w:bidi="ar-SA"/>
      </w:rPr>
    </w:lvl>
    <w:lvl w:ilvl="2">
      <w:start w:val="0"/>
      <w:numFmt w:val="bullet"/>
      <w:lvlText w:val="•"/>
      <w:lvlJc w:val="left"/>
      <w:pPr>
        <w:ind w:left="2192" w:hanging="601"/>
      </w:pPr>
      <w:rPr>
        <w:rFonts w:hint="default"/>
        <w:lang w:val="en-US" w:eastAsia="zh-CN" w:bidi="ar-SA"/>
      </w:rPr>
    </w:lvl>
    <w:lvl w:ilvl="3">
      <w:start w:val="0"/>
      <w:numFmt w:val="bullet"/>
      <w:lvlText w:val="•"/>
      <w:lvlJc w:val="left"/>
      <w:pPr>
        <w:ind w:left="3138" w:hanging="601"/>
      </w:pPr>
      <w:rPr>
        <w:rFonts w:hint="default"/>
        <w:lang w:val="en-US" w:eastAsia="zh-CN" w:bidi="ar-SA"/>
      </w:rPr>
    </w:lvl>
    <w:lvl w:ilvl="4">
      <w:start w:val="0"/>
      <w:numFmt w:val="bullet"/>
      <w:lvlText w:val="•"/>
      <w:lvlJc w:val="left"/>
      <w:pPr>
        <w:ind w:left="4084" w:hanging="601"/>
      </w:pPr>
      <w:rPr>
        <w:rFonts w:hint="default"/>
        <w:lang w:val="en-US" w:eastAsia="zh-CN" w:bidi="ar-SA"/>
      </w:rPr>
    </w:lvl>
    <w:lvl w:ilvl="5">
      <w:start w:val="0"/>
      <w:numFmt w:val="bullet"/>
      <w:lvlText w:val="•"/>
      <w:lvlJc w:val="left"/>
      <w:pPr>
        <w:ind w:left="5030" w:hanging="601"/>
      </w:pPr>
      <w:rPr>
        <w:rFonts w:hint="default"/>
        <w:lang w:val="en-US" w:eastAsia="zh-CN" w:bidi="ar-SA"/>
      </w:rPr>
    </w:lvl>
    <w:lvl w:ilvl="6">
      <w:start w:val="0"/>
      <w:numFmt w:val="bullet"/>
      <w:lvlText w:val="•"/>
      <w:lvlJc w:val="left"/>
      <w:pPr>
        <w:ind w:left="5976" w:hanging="601"/>
      </w:pPr>
      <w:rPr>
        <w:rFonts w:hint="default"/>
        <w:lang w:val="en-US" w:eastAsia="zh-CN" w:bidi="ar-SA"/>
      </w:rPr>
    </w:lvl>
    <w:lvl w:ilvl="7">
      <w:start w:val="0"/>
      <w:numFmt w:val="bullet"/>
      <w:lvlText w:val="•"/>
      <w:lvlJc w:val="left"/>
      <w:pPr>
        <w:ind w:left="6922" w:hanging="601"/>
      </w:pPr>
      <w:rPr>
        <w:rFonts w:hint="default"/>
        <w:lang w:val="en-US" w:eastAsia="zh-CN" w:bidi="ar-SA"/>
      </w:rPr>
    </w:lvl>
    <w:lvl w:ilvl="8">
      <w:start w:val="0"/>
      <w:numFmt w:val="bullet"/>
      <w:lvlText w:val="•"/>
      <w:lvlJc w:val="left"/>
      <w:pPr>
        <w:ind w:left="7868" w:hanging="601"/>
      </w:pPr>
      <w:rPr>
        <w:rFonts w:hint="default"/>
        <w:lang w:val="en-US" w:eastAsia="zh-CN" w:bidi="ar-SA"/>
      </w:rPr>
    </w:lvl>
  </w:abstractNum>
  <w:abstractNum w:abstractNumId="17">
    <w:nsid w:val="3E5E0F95"/>
    <w:multiLevelType w:val="hybridMultilevel"/>
    <w:tmpl w:val="00000000"/>
    <w:lvl w:ilvl="0">
      <w:start w:val="1"/>
      <w:numFmt w:val="decimal"/>
      <w:lvlText w:val="（%1）"/>
      <w:lvlJc w:val="left"/>
      <w:pPr>
        <w:ind w:left="1343" w:hanging="60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2182" w:hanging="601"/>
      </w:pPr>
      <w:rPr>
        <w:rFonts w:hint="default"/>
        <w:lang w:val="en-US" w:eastAsia="zh-CN" w:bidi="ar-SA"/>
      </w:rPr>
    </w:lvl>
    <w:lvl w:ilvl="2">
      <w:start w:val="0"/>
      <w:numFmt w:val="bullet"/>
      <w:lvlText w:val="•"/>
      <w:lvlJc w:val="left"/>
      <w:pPr>
        <w:ind w:left="3024" w:hanging="601"/>
      </w:pPr>
      <w:rPr>
        <w:rFonts w:hint="default"/>
        <w:lang w:val="en-US" w:eastAsia="zh-CN" w:bidi="ar-SA"/>
      </w:rPr>
    </w:lvl>
    <w:lvl w:ilvl="3">
      <w:start w:val="0"/>
      <w:numFmt w:val="bullet"/>
      <w:lvlText w:val="•"/>
      <w:lvlJc w:val="left"/>
      <w:pPr>
        <w:ind w:left="3866" w:hanging="601"/>
      </w:pPr>
      <w:rPr>
        <w:rFonts w:hint="default"/>
        <w:lang w:val="en-US" w:eastAsia="zh-CN" w:bidi="ar-SA"/>
      </w:rPr>
    </w:lvl>
    <w:lvl w:ilvl="4">
      <w:start w:val="0"/>
      <w:numFmt w:val="bullet"/>
      <w:lvlText w:val="•"/>
      <w:lvlJc w:val="left"/>
      <w:pPr>
        <w:ind w:left="4708" w:hanging="601"/>
      </w:pPr>
      <w:rPr>
        <w:rFonts w:hint="default"/>
        <w:lang w:val="en-US" w:eastAsia="zh-CN" w:bidi="ar-SA"/>
      </w:rPr>
    </w:lvl>
    <w:lvl w:ilvl="5">
      <w:start w:val="0"/>
      <w:numFmt w:val="bullet"/>
      <w:lvlText w:val="•"/>
      <w:lvlJc w:val="left"/>
      <w:pPr>
        <w:ind w:left="5550" w:hanging="601"/>
      </w:pPr>
      <w:rPr>
        <w:rFonts w:hint="default"/>
        <w:lang w:val="en-US" w:eastAsia="zh-CN" w:bidi="ar-SA"/>
      </w:rPr>
    </w:lvl>
    <w:lvl w:ilvl="6">
      <w:start w:val="0"/>
      <w:numFmt w:val="bullet"/>
      <w:lvlText w:val="•"/>
      <w:lvlJc w:val="left"/>
      <w:pPr>
        <w:ind w:left="6392" w:hanging="601"/>
      </w:pPr>
      <w:rPr>
        <w:rFonts w:hint="default"/>
        <w:lang w:val="en-US" w:eastAsia="zh-CN" w:bidi="ar-SA"/>
      </w:rPr>
    </w:lvl>
    <w:lvl w:ilvl="7">
      <w:start w:val="0"/>
      <w:numFmt w:val="bullet"/>
      <w:lvlText w:val="•"/>
      <w:lvlJc w:val="left"/>
      <w:pPr>
        <w:ind w:left="7234" w:hanging="601"/>
      </w:pPr>
      <w:rPr>
        <w:rFonts w:hint="default"/>
        <w:lang w:val="en-US" w:eastAsia="zh-CN" w:bidi="ar-SA"/>
      </w:rPr>
    </w:lvl>
    <w:lvl w:ilvl="8">
      <w:start w:val="0"/>
      <w:numFmt w:val="bullet"/>
      <w:lvlText w:val="•"/>
      <w:lvlJc w:val="left"/>
      <w:pPr>
        <w:ind w:left="8076" w:hanging="601"/>
      </w:pPr>
      <w:rPr>
        <w:rFonts w:hint="default"/>
        <w:lang w:val="en-US" w:eastAsia="zh-CN" w:bidi="ar-SA"/>
      </w:rPr>
    </w:lvl>
  </w:abstractNum>
  <w:abstractNum w:abstractNumId="18">
    <w:nsid w:val="400C95BF"/>
    <w:multiLevelType w:val="hybridMultilevel"/>
    <w:tmpl w:val="00000000"/>
    <w:lvl w:ilvl="0">
      <w:start w:val="1"/>
      <w:numFmt w:val="decimal"/>
      <w:lvlText w:val="（%1）"/>
      <w:lvlJc w:val="left"/>
      <w:pPr>
        <w:ind w:left="292" w:hanging="60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1246" w:hanging="601"/>
      </w:pPr>
      <w:rPr>
        <w:rFonts w:hint="default"/>
        <w:lang w:val="en-US" w:eastAsia="zh-CN" w:bidi="ar-SA"/>
      </w:rPr>
    </w:lvl>
    <w:lvl w:ilvl="2">
      <w:start w:val="0"/>
      <w:numFmt w:val="bullet"/>
      <w:lvlText w:val="•"/>
      <w:lvlJc w:val="left"/>
      <w:pPr>
        <w:ind w:left="2192" w:hanging="601"/>
      </w:pPr>
      <w:rPr>
        <w:rFonts w:hint="default"/>
        <w:lang w:val="en-US" w:eastAsia="zh-CN" w:bidi="ar-SA"/>
      </w:rPr>
    </w:lvl>
    <w:lvl w:ilvl="3">
      <w:start w:val="0"/>
      <w:numFmt w:val="bullet"/>
      <w:lvlText w:val="•"/>
      <w:lvlJc w:val="left"/>
      <w:pPr>
        <w:ind w:left="3138" w:hanging="601"/>
      </w:pPr>
      <w:rPr>
        <w:rFonts w:hint="default"/>
        <w:lang w:val="en-US" w:eastAsia="zh-CN" w:bidi="ar-SA"/>
      </w:rPr>
    </w:lvl>
    <w:lvl w:ilvl="4">
      <w:start w:val="0"/>
      <w:numFmt w:val="bullet"/>
      <w:lvlText w:val="•"/>
      <w:lvlJc w:val="left"/>
      <w:pPr>
        <w:ind w:left="4084" w:hanging="601"/>
      </w:pPr>
      <w:rPr>
        <w:rFonts w:hint="default"/>
        <w:lang w:val="en-US" w:eastAsia="zh-CN" w:bidi="ar-SA"/>
      </w:rPr>
    </w:lvl>
    <w:lvl w:ilvl="5">
      <w:start w:val="0"/>
      <w:numFmt w:val="bullet"/>
      <w:lvlText w:val="•"/>
      <w:lvlJc w:val="left"/>
      <w:pPr>
        <w:ind w:left="5030" w:hanging="601"/>
      </w:pPr>
      <w:rPr>
        <w:rFonts w:hint="default"/>
        <w:lang w:val="en-US" w:eastAsia="zh-CN" w:bidi="ar-SA"/>
      </w:rPr>
    </w:lvl>
    <w:lvl w:ilvl="6">
      <w:start w:val="0"/>
      <w:numFmt w:val="bullet"/>
      <w:lvlText w:val="•"/>
      <w:lvlJc w:val="left"/>
      <w:pPr>
        <w:ind w:left="5976" w:hanging="601"/>
      </w:pPr>
      <w:rPr>
        <w:rFonts w:hint="default"/>
        <w:lang w:val="en-US" w:eastAsia="zh-CN" w:bidi="ar-SA"/>
      </w:rPr>
    </w:lvl>
    <w:lvl w:ilvl="7">
      <w:start w:val="0"/>
      <w:numFmt w:val="bullet"/>
      <w:lvlText w:val="•"/>
      <w:lvlJc w:val="left"/>
      <w:pPr>
        <w:ind w:left="6922" w:hanging="601"/>
      </w:pPr>
      <w:rPr>
        <w:rFonts w:hint="default"/>
        <w:lang w:val="en-US" w:eastAsia="zh-CN" w:bidi="ar-SA"/>
      </w:rPr>
    </w:lvl>
    <w:lvl w:ilvl="8">
      <w:start w:val="0"/>
      <w:numFmt w:val="bullet"/>
      <w:lvlText w:val="•"/>
      <w:lvlJc w:val="left"/>
      <w:pPr>
        <w:ind w:left="7868" w:hanging="601"/>
      </w:pPr>
      <w:rPr>
        <w:rFonts w:hint="default"/>
        <w:lang w:val="en-US" w:eastAsia="zh-CN" w:bidi="ar-SA"/>
      </w:rPr>
    </w:lvl>
  </w:abstractNum>
  <w:abstractNum w:abstractNumId="19">
    <w:nsid w:val="4460BDE6"/>
    <w:multiLevelType w:val="hybridMultilevel"/>
    <w:tmpl w:val="00000000"/>
    <w:lvl w:ilvl="0">
      <w:start w:val="1"/>
      <w:numFmt w:val="decimal"/>
      <w:lvlText w:val="（%1）"/>
      <w:lvlJc w:val="left"/>
      <w:pPr>
        <w:ind w:left="1343" w:hanging="60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2182" w:hanging="601"/>
      </w:pPr>
      <w:rPr>
        <w:rFonts w:hint="default"/>
        <w:lang w:val="en-US" w:eastAsia="zh-CN" w:bidi="ar-SA"/>
      </w:rPr>
    </w:lvl>
    <w:lvl w:ilvl="2">
      <w:start w:val="0"/>
      <w:numFmt w:val="bullet"/>
      <w:lvlText w:val="•"/>
      <w:lvlJc w:val="left"/>
      <w:pPr>
        <w:ind w:left="3024" w:hanging="601"/>
      </w:pPr>
      <w:rPr>
        <w:rFonts w:hint="default"/>
        <w:lang w:val="en-US" w:eastAsia="zh-CN" w:bidi="ar-SA"/>
      </w:rPr>
    </w:lvl>
    <w:lvl w:ilvl="3">
      <w:start w:val="0"/>
      <w:numFmt w:val="bullet"/>
      <w:lvlText w:val="•"/>
      <w:lvlJc w:val="left"/>
      <w:pPr>
        <w:ind w:left="3866" w:hanging="601"/>
      </w:pPr>
      <w:rPr>
        <w:rFonts w:hint="default"/>
        <w:lang w:val="en-US" w:eastAsia="zh-CN" w:bidi="ar-SA"/>
      </w:rPr>
    </w:lvl>
    <w:lvl w:ilvl="4">
      <w:start w:val="0"/>
      <w:numFmt w:val="bullet"/>
      <w:lvlText w:val="•"/>
      <w:lvlJc w:val="left"/>
      <w:pPr>
        <w:ind w:left="4708" w:hanging="601"/>
      </w:pPr>
      <w:rPr>
        <w:rFonts w:hint="default"/>
        <w:lang w:val="en-US" w:eastAsia="zh-CN" w:bidi="ar-SA"/>
      </w:rPr>
    </w:lvl>
    <w:lvl w:ilvl="5">
      <w:start w:val="0"/>
      <w:numFmt w:val="bullet"/>
      <w:lvlText w:val="•"/>
      <w:lvlJc w:val="left"/>
      <w:pPr>
        <w:ind w:left="5550" w:hanging="601"/>
      </w:pPr>
      <w:rPr>
        <w:rFonts w:hint="default"/>
        <w:lang w:val="en-US" w:eastAsia="zh-CN" w:bidi="ar-SA"/>
      </w:rPr>
    </w:lvl>
    <w:lvl w:ilvl="6">
      <w:start w:val="0"/>
      <w:numFmt w:val="bullet"/>
      <w:lvlText w:val="•"/>
      <w:lvlJc w:val="left"/>
      <w:pPr>
        <w:ind w:left="6392" w:hanging="601"/>
      </w:pPr>
      <w:rPr>
        <w:rFonts w:hint="default"/>
        <w:lang w:val="en-US" w:eastAsia="zh-CN" w:bidi="ar-SA"/>
      </w:rPr>
    </w:lvl>
    <w:lvl w:ilvl="7">
      <w:start w:val="0"/>
      <w:numFmt w:val="bullet"/>
      <w:lvlText w:val="•"/>
      <w:lvlJc w:val="left"/>
      <w:pPr>
        <w:ind w:left="7234" w:hanging="601"/>
      </w:pPr>
      <w:rPr>
        <w:rFonts w:hint="default"/>
        <w:lang w:val="en-US" w:eastAsia="zh-CN" w:bidi="ar-SA"/>
      </w:rPr>
    </w:lvl>
    <w:lvl w:ilvl="8">
      <w:start w:val="0"/>
      <w:numFmt w:val="bullet"/>
      <w:lvlText w:val="•"/>
      <w:lvlJc w:val="left"/>
      <w:pPr>
        <w:ind w:left="8076" w:hanging="601"/>
      </w:pPr>
      <w:rPr>
        <w:rFonts w:hint="default"/>
        <w:lang w:val="en-US" w:eastAsia="zh-CN" w:bidi="ar-SA"/>
      </w:rPr>
    </w:lvl>
  </w:abstractNum>
  <w:abstractNum w:abstractNumId="20">
    <w:nsid w:val="484E18D0"/>
    <w:multiLevelType w:val="hybridMultilevel"/>
    <w:tmpl w:val="00000000"/>
    <w:lvl w:ilvl="0">
      <w:start w:val="1"/>
      <w:numFmt w:val="decimal"/>
      <w:lvlText w:val="（%1）"/>
      <w:lvlJc w:val="left"/>
      <w:pPr>
        <w:ind w:left="1258" w:hanging="607"/>
        <w:jc w:val="right"/>
      </w:pPr>
      <w:rPr>
        <w:rFonts w:ascii="宋体" w:eastAsia="宋体" w:hAnsi="宋体" w:cs="宋体" w:hint="default"/>
        <w:b w:val="0"/>
        <w:bCs w:val="0"/>
        <w:i w:val="0"/>
        <w:iCs w:val="0"/>
        <w:spacing w:val="0"/>
        <w:w w:val="100"/>
        <w:sz w:val="22"/>
        <w:szCs w:val="22"/>
        <w:lang w:val="en-US" w:eastAsia="zh-CN" w:bidi="ar-SA"/>
      </w:rPr>
    </w:lvl>
    <w:lvl w:ilvl="1">
      <w:start w:val="0"/>
      <w:numFmt w:val="bullet"/>
      <w:lvlText w:val="•"/>
      <w:lvlJc w:val="left"/>
      <w:pPr>
        <w:ind w:left="2110" w:hanging="607"/>
      </w:pPr>
      <w:rPr>
        <w:rFonts w:hint="default"/>
        <w:lang w:val="en-US" w:eastAsia="zh-CN" w:bidi="ar-SA"/>
      </w:rPr>
    </w:lvl>
    <w:lvl w:ilvl="2">
      <w:start w:val="0"/>
      <w:numFmt w:val="bullet"/>
      <w:lvlText w:val="•"/>
      <w:lvlJc w:val="left"/>
      <w:pPr>
        <w:ind w:left="2960" w:hanging="607"/>
      </w:pPr>
      <w:rPr>
        <w:rFonts w:hint="default"/>
        <w:lang w:val="en-US" w:eastAsia="zh-CN" w:bidi="ar-SA"/>
      </w:rPr>
    </w:lvl>
    <w:lvl w:ilvl="3">
      <w:start w:val="0"/>
      <w:numFmt w:val="bullet"/>
      <w:lvlText w:val="•"/>
      <w:lvlJc w:val="left"/>
      <w:pPr>
        <w:ind w:left="3810" w:hanging="607"/>
      </w:pPr>
      <w:rPr>
        <w:rFonts w:hint="default"/>
        <w:lang w:val="en-US" w:eastAsia="zh-CN" w:bidi="ar-SA"/>
      </w:rPr>
    </w:lvl>
    <w:lvl w:ilvl="4">
      <w:start w:val="0"/>
      <w:numFmt w:val="bullet"/>
      <w:lvlText w:val="•"/>
      <w:lvlJc w:val="left"/>
      <w:pPr>
        <w:ind w:left="4660" w:hanging="607"/>
      </w:pPr>
      <w:rPr>
        <w:rFonts w:hint="default"/>
        <w:lang w:val="en-US" w:eastAsia="zh-CN" w:bidi="ar-SA"/>
      </w:rPr>
    </w:lvl>
    <w:lvl w:ilvl="5">
      <w:start w:val="0"/>
      <w:numFmt w:val="bullet"/>
      <w:lvlText w:val="•"/>
      <w:lvlJc w:val="left"/>
      <w:pPr>
        <w:ind w:left="5510" w:hanging="607"/>
      </w:pPr>
      <w:rPr>
        <w:rFonts w:hint="default"/>
        <w:lang w:val="en-US" w:eastAsia="zh-CN" w:bidi="ar-SA"/>
      </w:rPr>
    </w:lvl>
    <w:lvl w:ilvl="6">
      <w:start w:val="0"/>
      <w:numFmt w:val="bullet"/>
      <w:lvlText w:val="•"/>
      <w:lvlJc w:val="left"/>
      <w:pPr>
        <w:ind w:left="6360" w:hanging="607"/>
      </w:pPr>
      <w:rPr>
        <w:rFonts w:hint="default"/>
        <w:lang w:val="en-US" w:eastAsia="zh-CN" w:bidi="ar-SA"/>
      </w:rPr>
    </w:lvl>
    <w:lvl w:ilvl="7">
      <w:start w:val="0"/>
      <w:numFmt w:val="bullet"/>
      <w:lvlText w:val="•"/>
      <w:lvlJc w:val="left"/>
      <w:pPr>
        <w:ind w:left="7210" w:hanging="607"/>
      </w:pPr>
      <w:rPr>
        <w:rFonts w:hint="default"/>
        <w:lang w:val="en-US" w:eastAsia="zh-CN" w:bidi="ar-SA"/>
      </w:rPr>
    </w:lvl>
    <w:lvl w:ilvl="8">
      <w:start w:val="0"/>
      <w:numFmt w:val="bullet"/>
      <w:lvlText w:val="•"/>
      <w:lvlJc w:val="left"/>
      <w:pPr>
        <w:ind w:left="8060" w:hanging="607"/>
      </w:pPr>
      <w:rPr>
        <w:rFonts w:hint="default"/>
        <w:lang w:val="en-US" w:eastAsia="zh-CN" w:bidi="ar-SA"/>
      </w:rPr>
    </w:lvl>
  </w:abstractNum>
  <w:abstractNum w:abstractNumId="21">
    <w:nsid w:val="4C909D56"/>
    <w:multiLevelType w:val="hybridMultilevel"/>
    <w:tmpl w:val="00000000"/>
    <w:lvl w:ilvl="0">
      <w:start w:val="1"/>
      <w:numFmt w:val="decimal"/>
      <w:lvlText w:val="（%1）"/>
      <w:lvlJc w:val="left"/>
      <w:pPr>
        <w:ind w:left="1001" w:hanging="601"/>
        <w:jc w:val="right"/>
      </w:pPr>
      <w:rPr>
        <w:rFonts w:ascii="宋体" w:eastAsia="宋体" w:hAnsi="宋体" w:cs="宋体" w:hint="default"/>
        <w:b w:val="0"/>
        <w:bCs w:val="0"/>
        <w:i w:val="0"/>
        <w:iCs w:val="0"/>
        <w:spacing w:val="-120"/>
        <w:w w:val="100"/>
        <w:sz w:val="22"/>
        <w:szCs w:val="22"/>
        <w:lang w:val="en-US" w:eastAsia="zh-CN" w:bidi="ar-SA"/>
      </w:rPr>
    </w:lvl>
    <w:lvl w:ilvl="1">
      <w:start w:val="1"/>
      <w:numFmt w:val="decimal"/>
      <w:lvlText w:val="（%2）"/>
      <w:lvlJc w:val="left"/>
      <w:pPr>
        <w:ind w:left="292" w:hanging="603"/>
        <w:jc w:val="left"/>
      </w:pPr>
      <w:rPr>
        <w:rFonts w:ascii="宋体" w:eastAsia="宋体" w:hAnsi="宋体" w:cs="宋体" w:hint="default"/>
        <w:b w:val="0"/>
        <w:bCs w:val="0"/>
        <w:i w:val="0"/>
        <w:iCs w:val="0"/>
        <w:spacing w:val="-119"/>
        <w:w w:val="100"/>
        <w:sz w:val="22"/>
        <w:szCs w:val="22"/>
        <w:lang w:val="en-US" w:eastAsia="zh-CN" w:bidi="ar-SA"/>
      </w:rPr>
    </w:lvl>
    <w:lvl w:ilvl="2">
      <w:start w:val="0"/>
      <w:numFmt w:val="bullet"/>
      <w:lvlText w:val="•"/>
      <w:lvlJc w:val="left"/>
      <w:pPr>
        <w:ind w:left="1973" w:hanging="603"/>
      </w:pPr>
      <w:rPr>
        <w:rFonts w:hint="default"/>
        <w:lang w:val="en-US" w:eastAsia="zh-CN" w:bidi="ar-SA"/>
      </w:rPr>
    </w:lvl>
    <w:lvl w:ilvl="3">
      <w:start w:val="0"/>
      <w:numFmt w:val="bullet"/>
      <w:lvlText w:val="•"/>
      <w:lvlJc w:val="left"/>
      <w:pPr>
        <w:ind w:left="2946" w:hanging="603"/>
      </w:pPr>
      <w:rPr>
        <w:rFonts w:hint="default"/>
        <w:lang w:val="en-US" w:eastAsia="zh-CN" w:bidi="ar-SA"/>
      </w:rPr>
    </w:lvl>
    <w:lvl w:ilvl="4">
      <w:start w:val="0"/>
      <w:numFmt w:val="bullet"/>
      <w:lvlText w:val="•"/>
      <w:lvlJc w:val="left"/>
      <w:pPr>
        <w:ind w:left="3920" w:hanging="603"/>
      </w:pPr>
      <w:rPr>
        <w:rFonts w:hint="default"/>
        <w:lang w:val="en-US" w:eastAsia="zh-CN" w:bidi="ar-SA"/>
      </w:rPr>
    </w:lvl>
    <w:lvl w:ilvl="5">
      <w:start w:val="0"/>
      <w:numFmt w:val="bullet"/>
      <w:lvlText w:val="•"/>
      <w:lvlJc w:val="left"/>
      <w:pPr>
        <w:ind w:left="4893" w:hanging="603"/>
      </w:pPr>
      <w:rPr>
        <w:rFonts w:hint="default"/>
        <w:lang w:val="en-US" w:eastAsia="zh-CN" w:bidi="ar-SA"/>
      </w:rPr>
    </w:lvl>
    <w:lvl w:ilvl="6">
      <w:start w:val="0"/>
      <w:numFmt w:val="bullet"/>
      <w:lvlText w:val="•"/>
      <w:lvlJc w:val="left"/>
      <w:pPr>
        <w:ind w:left="5866" w:hanging="603"/>
      </w:pPr>
      <w:rPr>
        <w:rFonts w:hint="default"/>
        <w:lang w:val="en-US" w:eastAsia="zh-CN" w:bidi="ar-SA"/>
      </w:rPr>
    </w:lvl>
    <w:lvl w:ilvl="7">
      <w:start w:val="0"/>
      <w:numFmt w:val="bullet"/>
      <w:lvlText w:val="•"/>
      <w:lvlJc w:val="left"/>
      <w:pPr>
        <w:ind w:left="6840" w:hanging="603"/>
      </w:pPr>
      <w:rPr>
        <w:rFonts w:hint="default"/>
        <w:lang w:val="en-US" w:eastAsia="zh-CN" w:bidi="ar-SA"/>
      </w:rPr>
    </w:lvl>
    <w:lvl w:ilvl="8">
      <w:start w:val="0"/>
      <w:numFmt w:val="bullet"/>
      <w:lvlText w:val="•"/>
      <w:lvlJc w:val="left"/>
      <w:pPr>
        <w:ind w:left="7813" w:hanging="603"/>
      </w:pPr>
      <w:rPr>
        <w:rFonts w:hint="default"/>
        <w:lang w:val="en-US" w:eastAsia="zh-CN" w:bidi="ar-SA"/>
      </w:rPr>
    </w:lvl>
  </w:abstractNum>
  <w:abstractNum w:abstractNumId="22">
    <w:nsid w:val="4FF4C62A"/>
    <w:multiLevelType w:val="hybridMultilevel"/>
    <w:tmpl w:val="00000000"/>
    <w:lvl w:ilvl="0">
      <w:start w:val="1"/>
      <w:numFmt w:val="decimal"/>
      <w:lvlText w:val="（%1）"/>
      <w:lvlJc w:val="left"/>
      <w:pPr>
        <w:ind w:left="1385" w:hanging="60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2218" w:hanging="601"/>
      </w:pPr>
      <w:rPr>
        <w:rFonts w:hint="default"/>
        <w:lang w:val="en-US" w:eastAsia="zh-CN" w:bidi="ar-SA"/>
      </w:rPr>
    </w:lvl>
    <w:lvl w:ilvl="2">
      <w:start w:val="0"/>
      <w:numFmt w:val="bullet"/>
      <w:lvlText w:val="•"/>
      <w:lvlJc w:val="left"/>
      <w:pPr>
        <w:ind w:left="3056" w:hanging="601"/>
      </w:pPr>
      <w:rPr>
        <w:rFonts w:hint="default"/>
        <w:lang w:val="en-US" w:eastAsia="zh-CN" w:bidi="ar-SA"/>
      </w:rPr>
    </w:lvl>
    <w:lvl w:ilvl="3">
      <w:start w:val="0"/>
      <w:numFmt w:val="bullet"/>
      <w:lvlText w:val="•"/>
      <w:lvlJc w:val="left"/>
      <w:pPr>
        <w:ind w:left="3894" w:hanging="601"/>
      </w:pPr>
      <w:rPr>
        <w:rFonts w:hint="default"/>
        <w:lang w:val="en-US" w:eastAsia="zh-CN" w:bidi="ar-SA"/>
      </w:rPr>
    </w:lvl>
    <w:lvl w:ilvl="4">
      <w:start w:val="0"/>
      <w:numFmt w:val="bullet"/>
      <w:lvlText w:val="•"/>
      <w:lvlJc w:val="left"/>
      <w:pPr>
        <w:ind w:left="4732" w:hanging="601"/>
      </w:pPr>
      <w:rPr>
        <w:rFonts w:hint="default"/>
        <w:lang w:val="en-US" w:eastAsia="zh-CN" w:bidi="ar-SA"/>
      </w:rPr>
    </w:lvl>
    <w:lvl w:ilvl="5">
      <w:start w:val="0"/>
      <w:numFmt w:val="bullet"/>
      <w:lvlText w:val="•"/>
      <w:lvlJc w:val="left"/>
      <w:pPr>
        <w:ind w:left="5570" w:hanging="601"/>
      </w:pPr>
      <w:rPr>
        <w:rFonts w:hint="default"/>
        <w:lang w:val="en-US" w:eastAsia="zh-CN" w:bidi="ar-SA"/>
      </w:rPr>
    </w:lvl>
    <w:lvl w:ilvl="6">
      <w:start w:val="0"/>
      <w:numFmt w:val="bullet"/>
      <w:lvlText w:val="•"/>
      <w:lvlJc w:val="left"/>
      <w:pPr>
        <w:ind w:left="6408" w:hanging="601"/>
      </w:pPr>
      <w:rPr>
        <w:rFonts w:hint="default"/>
        <w:lang w:val="en-US" w:eastAsia="zh-CN" w:bidi="ar-SA"/>
      </w:rPr>
    </w:lvl>
    <w:lvl w:ilvl="7">
      <w:start w:val="0"/>
      <w:numFmt w:val="bullet"/>
      <w:lvlText w:val="•"/>
      <w:lvlJc w:val="left"/>
      <w:pPr>
        <w:ind w:left="7246" w:hanging="601"/>
      </w:pPr>
      <w:rPr>
        <w:rFonts w:hint="default"/>
        <w:lang w:val="en-US" w:eastAsia="zh-CN" w:bidi="ar-SA"/>
      </w:rPr>
    </w:lvl>
    <w:lvl w:ilvl="8">
      <w:start w:val="0"/>
      <w:numFmt w:val="bullet"/>
      <w:lvlText w:val="•"/>
      <w:lvlJc w:val="left"/>
      <w:pPr>
        <w:ind w:left="8084" w:hanging="601"/>
      </w:pPr>
      <w:rPr>
        <w:rFonts w:hint="default"/>
        <w:lang w:val="en-US" w:eastAsia="zh-CN" w:bidi="ar-SA"/>
      </w:rPr>
    </w:lvl>
  </w:abstractNum>
  <w:abstractNum w:abstractNumId="23">
    <w:nsid w:val="509AF175"/>
    <w:multiLevelType w:val="hybridMultilevel"/>
    <w:tmpl w:val="00000000"/>
    <w:lvl w:ilvl="0">
      <w:start w:val="1"/>
      <w:numFmt w:val="decimal"/>
      <w:lvlText w:val="（%1）"/>
      <w:lvlJc w:val="left"/>
      <w:pPr>
        <w:ind w:left="1343" w:hanging="60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2182" w:hanging="601"/>
      </w:pPr>
      <w:rPr>
        <w:rFonts w:hint="default"/>
        <w:lang w:val="en-US" w:eastAsia="zh-CN" w:bidi="ar-SA"/>
      </w:rPr>
    </w:lvl>
    <w:lvl w:ilvl="2">
      <w:start w:val="0"/>
      <w:numFmt w:val="bullet"/>
      <w:lvlText w:val="•"/>
      <w:lvlJc w:val="left"/>
      <w:pPr>
        <w:ind w:left="3024" w:hanging="601"/>
      </w:pPr>
      <w:rPr>
        <w:rFonts w:hint="default"/>
        <w:lang w:val="en-US" w:eastAsia="zh-CN" w:bidi="ar-SA"/>
      </w:rPr>
    </w:lvl>
    <w:lvl w:ilvl="3">
      <w:start w:val="0"/>
      <w:numFmt w:val="bullet"/>
      <w:lvlText w:val="•"/>
      <w:lvlJc w:val="left"/>
      <w:pPr>
        <w:ind w:left="3866" w:hanging="601"/>
      </w:pPr>
      <w:rPr>
        <w:rFonts w:hint="default"/>
        <w:lang w:val="en-US" w:eastAsia="zh-CN" w:bidi="ar-SA"/>
      </w:rPr>
    </w:lvl>
    <w:lvl w:ilvl="4">
      <w:start w:val="0"/>
      <w:numFmt w:val="bullet"/>
      <w:lvlText w:val="•"/>
      <w:lvlJc w:val="left"/>
      <w:pPr>
        <w:ind w:left="4708" w:hanging="601"/>
      </w:pPr>
      <w:rPr>
        <w:rFonts w:hint="default"/>
        <w:lang w:val="en-US" w:eastAsia="zh-CN" w:bidi="ar-SA"/>
      </w:rPr>
    </w:lvl>
    <w:lvl w:ilvl="5">
      <w:start w:val="0"/>
      <w:numFmt w:val="bullet"/>
      <w:lvlText w:val="•"/>
      <w:lvlJc w:val="left"/>
      <w:pPr>
        <w:ind w:left="5550" w:hanging="601"/>
      </w:pPr>
      <w:rPr>
        <w:rFonts w:hint="default"/>
        <w:lang w:val="en-US" w:eastAsia="zh-CN" w:bidi="ar-SA"/>
      </w:rPr>
    </w:lvl>
    <w:lvl w:ilvl="6">
      <w:start w:val="0"/>
      <w:numFmt w:val="bullet"/>
      <w:lvlText w:val="•"/>
      <w:lvlJc w:val="left"/>
      <w:pPr>
        <w:ind w:left="6392" w:hanging="601"/>
      </w:pPr>
      <w:rPr>
        <w:rFonts w:hint="default"/>
        <w:lang w:val="en-US" w:eastAsia="zh-CN" w:bidi="ar-SA"/>
      </w:rPr>
    </w:lvl>
    <w:lvl w:ilvl="7">
      <w:start w:val="0"/>
      <w:numFmt w:val="bullet"/>
      <w:lvlText w:val="•"/>
      <w:lvlJc w:val="left"/>
      <w:pPr>
        <w:ind w:left="7234" w:hanging="601"/>
      </w:pPr>
      <w:rPr>
        <w:rFonts w:hint="default"/>
        <w:lang w:val="en-US" w:eastAsia="zh-CN" w:bidi="ar-SA"/>
      </w:rPr>
    </w:lvl>
    <w:lvl w:ilvl="8">
      <w:start w:val="0"/>
      <w:numFmt w:val="bullet"/>
      <w:lvlText w:val="•"/>
      <w:lvlJc w:val="left"/>
      <w:pPr>
        <w:ind w:left="8076" w:hanging="601"/>
      </w:pPr>
      <w:rPr>
        <w:rFonts w:hint="default"/>
        <w:lang w:val="en-US" w:eastAsia="zh-CN" w:bidi="ar-SA"/>
      </w:rPr>
    </w:lvl>
  </w:abstractNum>
  <w:abstractNum w:abstractNumId="24">
    <w:nsid w:val="536F414B"/>
    <w:multiLevelType w:val="hybridMultilevel"/>
    <w:tmpl w:val="00000000"/>
    <w:lvl w:ilvl="0">
      <w:start w:val="1"/>
      <w:numFmt w:val="decimal"/>
      <w:lvlText w:val="%1)"/>
      <w:lvlJc w:val="left"/>
      <w:pPr>
        <w:ind w:left="292" w:hanging="24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246" w:hanging="241"/>
      </w:pPr>
      <w:rPr>
        <w:rFonts w:hint="default"/>
        <w:lang w:val="en-US" w:eastAsia="zh-CN" w:bidi="ar-SA"/>
      </w:rPr>
    </w:lvl>
    <w:lvl w:ilvl="2">
      <w:start w:val="0"/>
      <w:numFmt w:val="bullet"/>
      <w:lvlText w:val="•"/>
      <w:lvlJc w:val="left"/>
      <w:pPr>
        <w:ind w:left="2192" w:hanging="241"/>
      </w:pPr>
      <w:rPr>
        <w:rFonts w:hint="default"/>
        <w:lang w:val="en-US" w:eastAsia="zh-CN" w:bidi="ar-SA"/>
      </w:rPr>
    </w:lvl>
    <w:lvl w:ilvl="3">
      <w:start w:val="0"/>
      <w:numFmt w:val="bullet"/>
      <w:lvlText w:val="•"/>
      <w:lvlJc w:val="left"/>
      <w:pPr>
        <w:ind w:left="3138" w:hanging="241"/>
      </w:pPr>
      <w:rPr>
        <w:rFonts w:hint="default"/>
        <w:lang w:val="en-US" w:eastAsia="zh-CN" w:bidi="ar-SA"/>
      </w:rPr>
    </w:lvl>
    <w:lvl w:ilvl="4">
      <w:start w:val="0"/>
      <w:numFmt w:val="bullet"/>
      <w:lvlText w:val="•"/>
      <w:lvlJc w:val="left"/>
      <w:pPr>
        <w:ind w:left="4084" w:hanging="241"/>
      </w:pPr>
      <w:rPr>
        <w:rFonts w:hint="default"/>
        <w:lang w:val="en-US" w:eastAsia="zh-CN" w:bidi="ar-SA"/>
      </w:rPr>
    </w:lvl>
    <w:lvl w:ilvl="5">
      <w:start w:val="0"/>
      <w:numFmt w:val="bullet"/>
      <w:lvlText w:val="•"/>
      <w:lvlJc w:val="left"/>
      <w:pPr>
        <w:ind w:left="5030" w:hanging="241"/>
      </w:pPr>
      <w:rPr>
        <w:rFonts w:hint="default"/>
        <w:lang w:val="en-US" w:eastAsia="zh-CN" w:bidi="ar-SA"/>
      </w:rPr>
    </w:lvl>
    <w:lvl w:ilvl="6">
      <w:start w:val="0"/>
      <w:numFmt w:val="bullet"/>
      <w:lvlText w:val="•"/>
      <w:lvlJc w:val="left"/>
      <w:pPr>
        <w:ind w:left="5976" w:hanging="241"/>
      </w:pPr>
      <w:rPr>
        <w:rFonts w:hint="default"/>
        <w:lang w:val="en-US" w:eastAsia="zh-CN" w:bidi="ar-SA"/>
      </w:rPr>
    </w:lvl>
    <w:lvl w:ilvl="7">
      <w:start w:val="0"/>
      <w:numFmt w:val="bullet"/>
      <w:lvlText w:val="•"/>
      <w:lvlJc w:val="left"/>
      <w:pPr>
        <w:ind w:left="6922" w:hanging="241"/>
      </w:pPr>
      <w:rPr>
        <w:rFonts w:hint="default"/>
        <w:lang w:val="en-US" w:eastAsia="zh-CN" w:bidi="ar-SA"/>
      </w:rPr>
    </w:lvl>
    <w:lvl w:ilvl="8">
      <w:start w:val="0"/>
      <w:numFmt w:val="bullet"/>
      <w:lvlText w:val="•"/>
      <w:lvlJc w:val="left"/>
      <w:pPr>
        <w:ind w:left="7868" w:hanging="241"/>
      </w:pPr>
      <w:rPr>
        <w:rFonts w:hint="default"/>
        <w:lang w:val="en-US" w:eastAsia="zh-CN" w:bidi="ar-SA"/>
      </w:rPr>
    </w:lvl>
  </w:abstractNum>
  <w:abstractNum w:abstractNumId="25">
    <w:nsid w:val="57222070"/>
    <w:multiLevelType w:val="hybridMultilevel"/>
    <w:tmpl w:val="00000000"/>
    <w:lvl w:ilvl="0">
      <w:start w:val="1"/>
      <w:numFmt w:val="decimal"/>
      <w:lvlText w:val="（%1）"/>
      <w:lvlJc w:val="left"/>
      <w:pPr>
        <w:ind w:left="1343" w:hanging="60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2182" w:hanging="601"/>
      </w:pPr>
      <w:rPr>
        <w:rFonts w:hint="default"/>
        <w:lang w:val="en-US" w:eastAsia="zh-CN" w:bidi="ar-SA"/>
      </w:rPr>
    </w:lvl>
    <w:lvl w:ilvl="2">
      <w:start w:val="0"/>
      <w:numFmt w:val="bullet"/>
      <w:lvlText w:val="•"/>
      <w:lvlJc w:val="left"/>
      <w:pPr>
        <w:ind w:left="3024" w:hanging="601"/>
      </w:pPr>
      <w:rPr>
        <w:rFonts w:hint="default"/>
        <w:lang w:val="en-US" w:eastAsia="zh-CN" w:bidi="ar-SA"/>
      </w:rPr>
    </w:lvl>
    <w:lvl w:ilvl="3">
      <w:start w:val="0"/>
      <w:numFmt w:val="bullet"/>
      <w:lvlText w:val="•"/>
      <w:lvlJc w:val="left"/>
      <w:pPr>
        <w:ind w:left="3866" w:hanging="601"/>
      </w:pPr>
      <w:rPr>
        <w:rFonts w:hint="default"/>
        <w:lang w:val="en-US" w:eastAsia="zh-CN" w:bidi="ar-SA"/>
      </w:rPr>
    </w:lvl>
    <w:lvl w:ilvl="4">
      <w:start w:val="0"/>
      <w:numFmt w:val="bullet"/>
      <w:lvlText w:val="•"/>
      <w:lvlJc w:val="left"/>
      <w:pPr>
        <w:ind w:left="4708" w:hanging="601"/>
      </w:pPr>
      <w:rPr>
        <w:rFonts w:hint="default"/>
        <w:lang w:val="en-US" w:eastAsia="zh-CN" w:bidi="ar-SA"/>
      </w:rPr>
    </w:lvl>
    <w:lvl w:ilvl="5">
      <w:start w:val="0"/>
      <w:numFmt w:val="bullet"/>
      <w:lvlText w:val="•"/>
      <w:lvlJc w:val="left"/>
      <w:pPr>
        <w:ind w:left="5550" w:hanging="601"/>
      </w:pPr>
      <w:rPr>
        <w:rFonts w:hint="default"/>
        <w:lang w:val="en-US" w:eastAsia="zh-CN" w:bidi="ar-SA"/>
      </w:rPr>
    </w:lvl>
    <w:lvl w:ilvl="6">
      <w:start w:val="0"/>
      <w:numFmt w:val="bullet"/>
      <w:lvlText w:val="•"/>
      <w:lvlJc w:val="left"/>
      <w:pPr>
        <w:ind w:left="6392" w:hanging="601"/>
      </w:pPr>
      <w:rPr>
        <w:rFonts w:hint="default"/>
        <w:lang w:val="en-US" w:eastAsia="zh-CN" w:bidi="ar-SA"/>
      </w:rPr>
    </w:lvl>
    <w:lvl w:ilvl="7">
      <w:start w:val="0"/>
      <w:numFmt w:val="bullet"/>
      <w:lvlText w:val="•"/>
      <w:lvlJc w:val="left"/>
      <w:pPr>
        <w:ind w:left="7234" w:hanging="601"/>
      </w:pPr>
      <w:rPr>
        <w:rFonts w:hint="default"/>
        <w:lang w:val="en-US" w:eastAsia="zh-CN" w:bidi="ar-SA"/>
      </w:rPr>
    </w:lvl>
    <w:lvl w:ilvl="8">
      <w:start w:val="0"/>
      <w:numFmt w:val="bullet"/>
      <w:lvlText w:val="•"/>
      <w:lvlJc w:val="left"/>
      <w:pPr>
        <w:ind w:left="8076" w:hanging="601"/>
      </w:pPr>
      <w:rPr>
        <w:rFonts w:hint="default"/>
        <w:lang w:val="en-US" w:eastAsia="zh-CN" w:bidi="ar-SA"/>
      </w:rPr>
    </w:lvl>
  </w:abstractNum>
  <w:abstractNum w:abstractNumId="26">
    <w:nsid w:val="5E61F8FA"/>
    <w:multiLevelType w:val="hybridMultilevel"/>
    <w:tmpl w:val="00000000"/>
    <w:lvl w:ilvl="0">
      <w:start w:val="1"/>
      <w:numFmt w:val="decimal"/>
      <w:lvlText w:val="（%1）"/>
      <w:lvlJc w:val="left"/>
      <w:pPr>
        <w:ind w:left="1343" w:hanging="60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2182" w:hanging="601"/>
      </w:pPr>
      <w:rPr>
        <w:rFonts w:hint="default"/>
        <w:lang w:val="en-US" w:eastAsia="zh-CN" w:bidi="ar-SA"/>
      </w:rPr>
    </w:lvl>
    <w:lvl w:ilvl="2">
      <w:start w:val="0"/>
      <w:numFmt w:val="bullet"/>
      <w:lvlText w:val="•"/>
      <w:lvlJc w:val="left"/>
      <w:pPr>
        <w:ind w:left="3024" w:hanging="601"/>
      </w:pPr>
      <w:rPr>
        <w:rFonts w:hint="default"/>
        <w:lang w:val="en-US" w:eastAsia="zh-CN" w:bidi="ar-SA"/>
      </w:rPr>
    </w:lvl>
    <w:lvl w:ilvl="3">
      <w:start w:val="0"/>
      <w:numFmt w:val="bullet"/>
      <w:lvlText w:val="•"/>
      <w:lvlJc w:val="left"/>
      <w:pPr>
        <w:ind w:left="3866" w:hanging="601"/>
      </w:pPr>
      <w:rPr>
        <w:rFonts w:hint="default"/>
        <w:lang w:val="en-US" w:eastAsia="zh-CN" w:bidi="ar-SA"/>
      </w:rPr>
    </w:lvl>
    <w:lvl w:ilvl="4">
      <w:start w:val="0"/>
      <w:numFmt w:val="bullet"/>
      <w:lvlText w:val="•"/>
      <w:lvlJc w:val="left"/>
      <w:pPr>
        <w:ind w:left="4708" w:hanging="601"/>
      </w:pPr>
      <w:rPr>
        <w:rFonts w:hint="default"/>
        <w:lang w:val="en-US" w:eastAsia="zh-CN" w:bidi="ar-SA"/>
      </w:rPr>
    </w:lvl>
    <w:lvl w:ilvl="5">
      <w:start w:val="0"/>
      <w:numFmt w:val="bullet"/>
      <w:lvlText w:val="•"/>
      <w:lvlJc w:val="left"/>
      <w:pPr>
        <w:ind w:left="5550" w:hanging="601"/>
      </w:pPr>
      <w:rPr>
        <w:rFonts w:hint="default"/>
        <w:lang w:val="en-US" w:eastAsia="zh-CN" w:bidi="ar-SA"/>
      </w:rPr>
    </w:lvl>
    <w:lvl w:ilvl="6">
      <w:start w:val="0"/>
      <w:numFmt w:val="bullet"/>
      <w:lvlText w:val="•"/>
      <w:lvlJc w:val="left"/>
      <w:pPr>
        <w:ind w:left="6392" w:hanging="601"/>
      </w:pPr>
      <w:rPr>
        <w:rFonts w:hint="default"/>
        <w:lang w:val="en-US" w:eastAsia="zh-CN" w:bidi="ar-SA"/>
      </w:rPr>
    </w:lvl>
    <w:lvl w:ilvl="7">
      <w:start w:val="0"/>
      <w:numFmt w:val="bullet"/>
      <w:lvlText w:val="•"/>
      <w:lvlJc w:val="left"/>
      <w:pPr>
        <w:ind w:left="7234" w:hanging="601"/>
      </w:pPr>
      <w:rPr>
        <w:rFonts w:hint="default"/>
        <w:lang w:val="en-US" w:eastAsia="zh-CN" w:bidi="ar-SA"/>
      </w:rPr>
    </w:lvl>
    <w:lvl w:ilvl="8">
      <w:start w:val="0"/>
      <w:numFmt w:val="bullet"/>
      <w:lvlText w:val="•"/>
      <w:lvlJc w:val="left"/>
      <w:pPr>
        <w:ind w:left="8076" w:hanging="601"/>
      </w:pPr>
      <w:rPr>
        <w:rFonts w:hint="default"/>
        <w:lang w:val="en-US" w:eastAsia="zh-CN" w:bidi="ar-SA"/>
      </w:rPr>
    </w:lvl>
  </w:abstractNum>
  <w:abstractNum w:abstractNumId="27">
    <w:nsid w:val="62707A48"/>
    <w:multiLevelType w:val="hybridMultilevel"/>
    <w:tmpl w:val="00000000"/>
    <w:lvl w:ilvl="0">
      <w:start w:val="1"/>
      <w:numFmt w:val="decimal"/>
      <w:lvlText w:val="（%1）"/>
      <w:lvlJc w:val="left"/>
      <w:pPr>
        <w:ind w:left="1001" w:hanging="601"/>
        <w:jc w:val="right"/>
      </w:pPr>
      <w:rPr>
        <w:rFonts w:ascii="宋体" w:eastAsia="宋体" w:hAnsi="宋体" w:cs="宋体" w:hint="default"/>
        <w:b w:val="0"/>
        <w:bCs w:val="0"/>
        <w:i w:val="0"/>
        <w:iCs w:val="0"/>
        <w:spacing w:val="-120"/>
        <w:w w:val="100"/>
        <w:sz w:val="22"/>
        <w:szCs w:val="22"/>
        <w:lang w:val="en-US" w:eastAsia="zh-CN" w:bidi="ar-SA"/>
      </w:rPr>
    </w:lvl>
    <w:lvl w:ilvl="1">
      <w:start w:val="1"/>
      <w:numFmt w:val="decimal"/>
      <w:lvlText w:val="（%2）"/>
      <w:lvlJc w:val="left"/>
      <w:pPr>
        <w:ind w:left="292" w:hanging="603"/>
        <w:jc w:val="left"/>
      </w:pPr>
      <w:rPr>
        <w:rFonts w:ascii="宋体" w:eastAsia="宋体" w:hAnsi="宋体" w:cs="宋体" w:hint="default"/>
        <w:b w:val="0"/>
        <w:bCs w:val="0"/>
        <w:i w:val="0"/>
        <w:iCs w:val="0"/>
        <w:spacing w:val="-119"/>
        <w:w w:val="100"/>
        <w:sz w:val="22"/>
        <w:szCs w:val="22"/>
        <w:lang w:val="en-US" w:eastAsia="zh-CN" w:bidi="ar-SA"/>
      </w:rPr>
    </w:lvl>
    <w:lvl w:ilvl="2">
      <w:start w:val="0"/>
      <w:numFmt w:val="bullet"/>
      <w:lvlText w:val="•"/>
      <w:lvlJc w:val="left"/>
      <w:pPr>
        <w:ind w:left="1973" w:hanging="603"/>
      </w:pPr>
      <w:rPr>
        <w:rFonts w:hint="default"/>
        <w:lang w:val="en-US" w:eastAsia="zh-CN" w:bidi="ar-SA"/>
      </w:rPr>
    </w:lvl>
    <w:lvl w:ilvl="3">
      <w:start w:val="0"/>
      <w:numFmt w:val="bullet"/>
      <w:lvlText w:val="•"/>
      <w:lvlJc w:val="left"/>
      <w:pPr>
        <w:ind w:left="2946" w:hanging="603"/>
      </w:pPr>
      <w:rPr>
        <w:rFonts w:hint="default"/>
        <w:lang w:val="en-US" w:eastAsia="zh-CN" w:bidi="ar-SA"/>
      </w:rPr>
    </w:lvl>
    <w:lvl w:ilvl="4">
      <w:start w:val="0"/>
      <w:numFmt w:val="bullet"/>
      <w:lvlText w:val="•"/>
      <w:lvlJc w:val="left"/>
      <w:pPr>
        <w:ind w:left="3920" w:hanging="603"/>
      </w:pPr>
      <w:rPr>
        <w:rFonts w:hint="default"/>
        <w:lang w:val="en-US" w:eastAsia="zh-CN" w:bidi="ar-SA"/>
      </w:rPr>
    </w:lvl>
    <w:lvl w:ilvl="5">
      <w:start w:val="0"/>
      <w:numFmt w:val="bullet"/>
      <w:lvlText w:val="•"/>
      <w:lvlJc w:val="left"/>
      <w:pPr>
        <w:ind w:left="4893" w:hanging="603"/>
      </w:pPr>
      <w:rPr>
        <w:rFonts w:hint="default"/>
        <w:lang w:val="en-US" w:eastAsia="zh-CN" w:bidi="ar-SA"/>
      </w:rPr>
    </w:lvl>
    <w:lvl w:ilvl="6">
      <w:start w:val="0"/>
      <w:numFmt w:val="bullet"/>
      <w:lvlText w:val="•"/>
      <w:lvlJc w:val="left"/>
      <w:pPr>
        <w:ind w:left="5866" w:hanging="603"/>
      </w:pPr>
      <w:rPr>
        <w:rFonts w:hint="default"/>
        <w:lang w:val="en-US" w:eastAsia="zh-CN" w:bidi="ar-SA"/>
      </w:rPr>
    </w:lvl>
    <w:lvl w:ilvl="7">
      <w:start w:val="0"/>
      <w:numFmt w:val="bullet"/>
      <w:lvlText w:val="•"/>
      <w:lvlJc w:val="left"/>
      <w:pPr>
        <w:ind w:left="6840" w:hanging="603"/>
      </w:pPr>
      <w:rPr>
        <w:rFonts w:hint="default"/>
        <w:lang w:val="en-US" w:eastAsia="zh-CN" w:bidi="ar-SA"/>
      </w:rPr>
    </w:lvl>
    <w:lvl w:ilvl="8">
      <w:start w:val="0"/>
      <w:numFmt w:val="bullet"/>
      <w:lvlText w:val="•"/>
      <w:lvlJc w:val="left"/>
      <w:pPr>
        <w:ind w:left="7813" w:hanging="603"/>
      </w:pPr>
      <w:rPr>
        <w:rFonts w:hint="default"/>
        <w:lang w:val="en-US" w:eastAsia="zh-CN" w:bidi="ar-SA"/>
      </w:rPr>
    </w:lvl>
  </w:abstractNum>
  <w:abstractNum w:abstractNumId="28">
    <w:nsid w:val="65DF240E"/>
    <w:multiLevelType w:val="hybridMultilevel"/>
    <w:tmpl w:val="00000000"/>
    <w:lvl w:ilvl="0">
      <w:start w:val="1"/>
      <w:numFmt w:val="decimal"/>
      <w:lvlText w:val="%1)"/>
      <w:lvlJc w:val="left"/>
      <w:pPr>
        <w:ind w:left="1285" w:hanging="241"/>
        <w:jc w:val="righ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128" w:hanging="241"/>
      </w:pPr>
      <w:rPr>
        <w:rFonts w:hint="default"/>
        <w:lang w:val="en-US" w:eastAsia="zh-CN" w:bidi="ar-SA"/>
      </w:rPr>
    </w:lvl>
    <w:lvl w:ilvl="2">
      <w:start w:val="0"/>
      <w:numFmt w:val="bullet"/>
      <w:lvlText w:val="•"/>
      <w:lvlJc w:val="left"/>
      <w:pPr>
        <w:ind w:left="2976" w:hanging="241"/>
      </w:pPr>
      <w:rPr>
        <w:rFonts w:hint="default"/>
        <w:lang w:val="en-US" w:eastAsia="zh-CN" w:bidi="ar-SA"/>
      </w:rPr>
    </w:lvl>
    <w:lvl w:ilvl="3">
      <w:start w:val="0"/>
      <w:numFmt w:val="bullet"/>
      <w:lvlText w:val="•"/>
      <w:lvlJc w:val="left"/>
      <w:pPr>
        <w:ind w:left="3824" w:hanging="241"/>
      </w:pPr>
      <w:rPr>
        <w:rFonts w:hint="default"/>
        <w:lang w:val="en-US" w:eastAsia="zh-CN" w:bidi="ar-SA"/>
      </w:rPr>
    </w:lvl>
    <w:lvl w:ilvl="4">
      <w:start w:val="0"/>
      <w:numFmt w:val="bullet"/>
      <w:lvlText w:val="•"/>
      <w:lvlJc w:val="left"/>
      <w:pPr>
        <w:ind w:left="4672" w:hanging="241"/>
      </w:pPr>
      <w:rPr>
        <w:rFonts w:hint="default"/>
        <w:lang w:val="en-US" w:eastAsia="zh-CN" w:bidi="ar-SA"/>
      </w:rPr>
    </w:lvl>
    <w:lvl w:ilvl="5">
      <w:start w:val="0"/>
      <w:numFmt w:val="bullet"/>
      <w:lvlText w:val="•"/>
      <w:lvlJc w:val="left"/>
      <w:pPr>
        <w:ind w:left="5520" w:hanging="241"/>
      </w:pPr>
      <w:rPr>
        <w:rFonts w:hint="default"/>
        <w:lang w:val="en-US" w:eastAsia="zh-CN" w:bidi="ar-SA"/>
      </w:rPr>
    </w:lvl>
    <w:lvl w:ilvl="6">
      <w:start w:val="0"/>
      <w:numFmt w:val="bullet"/>
      <w:lvlText w:val="•"/>
      <w:lvlJc w:val="left"/>
      <w:pPr>
        <w:ind w:left="6368" w:hanging="241"/>
      </w:pPr>
      <w:rPr>
        <w:rFonts w:hint="default"/>
        <w:lang w:val="en-US" w:eastAsia="zh-CN" w:bidi="ar-SA"/>
      </w:rPr>
    </w:lvl>
    <w:lvl w:ilvl="7">
      <w:start w:val="0"/>
      <w:numFmt w:val="bullet"/>
      <w:lvlText w:val="•"/>
      <w:lvlJc w:val="left"/>
      <w:pPr>
        <w:ind w:left="7216" w:hanging="241"/>
      </w:pPr>
      <w:rPr>
        <w:rFonts w:hint="default"/>
        <w:lang w:val="en-US" w:eastAsia="zh-CN" w:bidi="ar-SA"/>
      </w:rPr>
    </w:lvl>
    <w:lvl w:ilvl="8">
      <w:start w:val="0"/>
      <w:numFmt w:val="bullet"/>
      <w:lvlText w:val="•"/>
      <w:lvlJc w:val="left"/>
      <w:pPr>
        <w:ind w:left="8064" w:hanging="241"/>
      </w:pPr>
      <w:rPr>
        <w:rFonts w:hint="default"/>
        <w:lang w:val="en-US" w:eastAsia="zh-CN" w:bidi="ar-SA"/>
      </w:rPr>
    </w:lvl>
  </w:abstractNum>
  <w:abstractNum w:abstractNumId="29">
    <w:nsid w:val="67EE84B8"/>
    <w:multiLevelType w:val="hybridMultilevel"/>
    <w:tmpl w:val="00000000"/>
    <w:lvl w:ilvl="0">
      <w:start w:val="1"/>
      <w:numFmt w:val="decimal"/>
      <w:lvlText w:val="（%1）"/>
      <w:lvlJc w:val="left"/>
      <w:pPr>
        <w:ind w:left="292" w:hanging="60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1246" w:hanging="601"/>
      </w:pPr>
      <w:rPr>
        <w:rFonts w:hint="default"/>
        <w:lang w:val="en-US" w:eastAsia="zh-CN" w:bidi="ar-SA"/>
      </w:rPr>
    </w:lvl>
    <w:lvl w:ilvl="2">
      <w:start w:val="0"/>
      <w:numFmt w:val="bullet"/>
      <w:lvlText w:val="•"/>
      <w:lvlJc w:val="left"/>
      <w:pPr>
        <w:ind w:left="2192" w:hanging="601"/>
      </w:pPr>
      <w:rPr>
        <w:rFonts w:hint="default"/>
        <w:lang w:val="en-US" w:eastAsia="zh-CN" w:bidi="ar-SA"/>
      </w:rPr>
    </w:lvl>
    <w:lvl w:ilvl="3">
      <w:start w:val="0"/>
      <w:numFmt w:val="bullet"/>
      <w:lvlText w:val="•"/>
      <w:lvlJc w:val="left"/>
      <w:pPr>
        <w:ind w:left="3138" w:hanging="601"/>
      </w:pPr>
      <w:rPr>
        <w:rFonts w:hint="default"/>
        <w:lang w:val="en-US" w:eastAsia="zh-CN" w:bidi="ar-SA"/>
      </w:rPr>
    </w:lvl>
    <w:lvl w:ilvl="4">
      <w:start w:val="0"/>
      <w:numFmt w:val="bullet"/>
      <w:lvlText w:val="•"/>
      <w:lvlJc w:val="left"/>
      <w:pPr>
        <w:ind w:left="4084" w:hanging="601"/>
      </w:pPr>
      <w:rPr>
        <w:rFonts w:hint="default"/>
        <w:lang w:val="en-US" w:eastAsia="zh-CN" w:bidi="ar-SA"/>
      </w:rPr>
    </w:lvl>
    <w:lvl w:ilvl="5">
      <w:start w:val="0"/>
      <w:numFmt w:val="bullet"/>
      <w:lvlText w:val="•"/>
      <w:lvlJc w:val="left"/>
      <w:pPr>
        <w:ind w:left="5030" w:hanging="601"/>
      </w:pPr>
      <w:rPr>
        <w:rFonts w:hint="default"/>
        <w:lang w:val="en-US" w:eastAsia="zh-CN" w:bidi="ar-SA"/>
      </w:rPr>
    </w:lvl>
    <w:lvl w:ilvl="6">
      <w:start w:val="0"/>
      <w:numFmt w:val="bullet"/>
      <w:lvlText w:val="•"/>
      <w:lvlJc w:val="left"/>
      <w:pPr>
        <w:ind w:left="5976" w:hanging="601"/>
      </w:pPr>
      <w:rPr>
        <w:rFonts w:hint="default"/>
        <w:lang w:val="en-US" w:eastAsia="zh-CN" w:bidi="ar-SA"/>
      </w:rPr>
    </w:lvl>
    <w:lvl w:ilvl="7">
      <w:start w:val="0"/>
      <w:numFmt w:val="bullet"/>
      <w:lvlText w:val="•"/>
      <w:lvlJc w:val="left"/>
      <w:pPr>
        <w:ind w:left="6922" w:hanging="601"/>
      </w:pPr>
      <w:rPr>
        <w:rFonts w:hint="default"/>
        <w:lang w:val="en-US" w:eastAsia="zh-CN" w:bidi="ar-SA"/>
      </w:rPr>
    </w:lvl>
    <w:lvl w:ilvl="8">
      <w:start w:val="0"/>
      <w:numFmt w:val="bullet"/>
      <w:lvlText w:val="•"/>
      <w:lvlJc w:val="left"/>
      <w:pPr>
        <w:ind w:left="7868" w:hanging="601"/>
      </w:pPr>
      <w:rPr>
        <w:rFonts w:hint="default"/>
        <w:lang w:val="en-US" w:eastAsia="zh-CN" w:bidi="ar-SA"/>
      </w:rPr>
    </w:lvl>
  </w:abstractNum>
  <w:abstractNum w:abstractNumId="30">
    <w:nsid w:val="6B63800D"/>
    <w:multiLevelType w:val="hybridMultilevel"/>
    <w:tmpl w:val="00000000"/>
    <w:lvl w:ilvl="0">
      <w:start w:val="1"/>
      <w:numFmt w:val="decimal"/>
      <w:lvlText w:val="%1）"/>
      <w:lvlJc w:val="left"/>
      <w:pPr>
        <w:ind w:left="1135" w:hanging="316"/>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2002" w:hanging="316"/>
      </w:pPr>
      <w:rPr>
        <w:rFonts w:hint="default"/>
        <w:lang w:val="en-US" w:eastAsia="zh-CN" w:bidi="ar-SA"/>
      </w:rPr>
    </w:lvl>
    <w:lvl w:ilvl="2">
      <w:start w:val="0"/>
      <w:numFmt w:val="bullet"/>
      <w:lvlText w:val="•"/>
      <w:lvlJc w:val="left"/>
      <w:pPr>
        <w:ind w:left="2864" w:hanging="316"/>
      </w:pPr>
      <w:rPr>
        <w:rFonts w:hint="default"/>
        <w:lang w:val="en-US" w:eastAsia="zh-CN" w:bidi="ar-SA"/>
      </w:rPr>
    </w:lvl>
    <w:lvl w:ilvl="3">
      <w:start w:val="0"/>
      <w:numFmt w:val="bullet"/>
      <w:lvlText w:val="•"/>
      <w:lvlJc w:val="left"/>
      <w:pPr>
        <w:ind w:left="3726" w:hanging="316"/>
      </w:pPr>
      <w:rPr>
        <w:rFonts w:hint="default"/>
        <w:lang w:val="en-US" w:eastAsia="zh-CN" w:bidi="ar-SA"/>
      </w:rPr>
    </w:lvl>
    <w:lvl w:ilvl="4">
      <w:start w:val="0"/>
      <w:numFmt w:val="bullet"/>
      <w:lvlText w:val="•"/>
      <w:lvlJc w:val="left"/>
      <w:pPr>
        <w:ind w:left="4588" w:hanging="316"/>
      </w:pPr>
      <w:rPr>
        <w:rFonts w:hint="default"/>
        <w:lang w:val="en-US" w:eastAsia="zh-CN" w:bidi="ar-SA"/>
      </w:rPr>
    </w:lvl>
    <w:lvl w:ilvl="5">
      <w:start w:val="0"/>
      <w:numFmt w:val="bullet"/>
      <w:lvlText w:val="•"/>
      <w:lvlJc w:val="left"/>
      <w:pPr>
        <w:ind w:left="5450" w:hanging="316"/>
      </w:pPr>
      <w:rPr>
        <w:rFonts w:hint="default"/>
        <w:lang w:val="en-US" w:eastAsia="zh-CN" w:bidi="ar-SA"/>
      </w:rPr>
    </w:lvl>
    <w:lvl w:ilvl="6">
      <w:start w:val="0"/>
      <w:numFmt w:val="bullet"/>
      <w:lvlText w:val="•"/>
      <w:lvlJc w:val="left"/>
      <w:pPr>
        <w:ind w:left="6312" w:hanging="316"/>
      </w:pPr>
      <w:rPr>
        <w:rFonts w:hint="default"/>
        <w:lang w:val="en-US" w:eastAsia="zh-CN" w:bidi="ar-SA"/>
      </w:rPr>
    </w:lvl>
    <w:lvl w:ilvl="7">
      <w:start w:val="0"/>
      <w:numFmt w:val="bullet"/>
      <w:lvlText w:val="•"/>
      <w:lvlJc w:val="left"/>
      <w:pPr>
        <w:ind w:left="7174" w:hanging="316"/>
      </w:pPr>
      <w:rPr>
        <w:rFonts w:hint="default"/>
        <w:lang w:val="en-US" w:eastAsia="zh-CN" w:bidi="ar-SA"/>
      </w:rPr>
    </w:lvl>
    <w:lvl w:ilvl="8">
      <w:start w:val="0"/>
      <w:numFmt w:val="bullet"/>
      <w:lvlText w:val="•"/>
      <w:lvlJc w:val="left"/>
      <w:pPr>
        <w:ind w:left="8036" w:hanging="316"/>
      </w:pPr>
      <w:rPr>
        <w:rFonts w:hint="default"/>
        <w:lang w:val="en-US" w:eastAsia="zh-CN" w:bidi="ar-SA"/>
      </w:rPr>
    </w:lvl>
  </w:abstractNum>
  <w:abstractNum w:abstractNumId="31">
    <w:nsid w:val="6B7F39C8"/>
    <w:multiLevelType w:val="hybridMultilevel"/>
    <w:tmpl w:val="00000000"/>
    <w:lvl w:ilvl="0">
      <w:start w:val="1"/>
      <w:numFmt w:val="decimal"/>
      <w:lvlText w:val="%1)"/>
      <w:lvlJc w:val="left"/>
      <w:pPr>
        <w:ind w:left="1285" w:hanging="241"/>
        <w:jc w:val="righ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128" w:hanging="241"/>
      </w:pPr>
      <w:rPr>
        <w:rFonts w:hint="default"/>
        <w:lang w:val="en-US" w:eastAsia="zh-CN" w:bidi="ar-SA"/>
      </w:rPr>
    </w:lvl>
    <w:lvl w:ilvl="2">
      <w:start w:val="0"/>
      <w:numFmt w:val="bullet"/>
      <w:lvlText w:val="•"/>
      <w:lvlJc w:val="left"/>
      <w:pPr>
        <w:ind w:left="2976" w:hanging="241"/>
      </w:pPr>
      <w:rPr>
        <w:rFonts w:hint="default"/>
        <w:lang w:val="en-US" w:eastAsia="zh-CN" w:bidi="ar-SA"/>
      </w:rPr>
    </w:lvl>
    <w:lvl w:ilvl="3">
      <w:start w:val="0"/>
      <w:numFmt w:val="bullet"/>
      <w:lvlText w:val="•"/>
      <w:lvlJc w:val="left"/>
      <w:pPr>
        <w:ind w:left="3824" w:hanging="241"/>
      </w:pPr>
      <w:rPr>
        <w:rFonts w:hint="default"/>
        <w:lang w:val="en-US" w:eastAsia="zh-CN" w:bidi="ar-SA"/>
      </w:rPr>
    </w:lvl>
    <w:lvl w:ilvl="4">
      <w:start w:val="0"/>
      <w:numFmt w:val="bullet"/>
      <w:lvlText w:val="•"/>
      <w:lvlJc w:val="left"/>
      <w:pPr>
        <w:ind w:left="4672" w:hanging="241"/>
      </w:pPr>
      <w:rPr>
        <w:rFonts w:hint="default"/>
        <w:lang w:val="en-US" w:eastAsia="zh-CN" w:bidi="ar-SA"/>
      </w:rPr>
    </w:lvl>
    <w:lvl w:ilvl="5">
      <w:start w:val="0"/>
      <w:numFmt w:val="bullet"/>
      <w:lvlText w:val="•"/>
      <w:lvlJc w:val="left"/>
      <w:pPr>
        <w:ind w:left="5520" w:hanging="241"/>
      </w:pPr>
      <w:rPr>
        <w:rFonts w:hint="default"/>
        <w:lang w:val="en-US" w:eastAsia="zh-CN" w:bidi="ar-SA"/>
      </w:rPr>
    </w:lvl>
    <w:lvl w:ilvl="6">
      <w:start w:val="0"/>
      <w:numFmt w:val="bullet"/>
      <w:lvlText w:val="•"/>
      <w:lvlJc w:val="left"/>
      <w:pPr>
        <w:ind w:left="6368" w:hanging="241"/>
      </w:pPr>
      <w:rPr>
        <w:rFonts w:hint="default"/>
        <w:lang w:val="en-US" w:eastAsia="zh-CN" w:bidi="ar-SA"/>
      </w:rPr>
    </w:lvl>
    <w:lvl w:ilvl="7">
      <w:start w:val="0"/>
      <w:numFmt w:val="bullet"/>
      <w:lvlText w:val="•"/>
      <w:lvlJc w:val="left"/>
      <w:pPr>
        <w:ind w:left="7216" w:hanging="241"/>
      </w:pPr>
      <w:rPr>
        <w:rFonts w:hint="default"/>
        <w:lang w:val="en-US" w:eastAsia="zh-CN" w:bidi="ar-SA"/>
      </w:rPr>
    </w:lvl>
    <w:lvl w:ilvl="8">
      <w:start w:val="0"/>
      <w:numFmt w:val="bullet"/>
      <w:lvlText w:val="•"/>
      <w:lvlJc w:val="left"/>
      <w:pPr>
        <w:ind w:left="8064" w:hanging="241"/>
      </w:pPr>
      <w:rPr>
        <w:rFonts w:hint="default"/>
        <w:lang w:val="en-US" w:eastAsia="zh-CN" w:bidi="ar-SA"/>
      </w:rPr>
    </w:lvl>
  </w:abstractNum>
  <w:abstractNum w:abstractNumId="32">
    <w:nsid w:val="6E73B1E1"/>
    <w:multiLevelType w:val="hybridMultilevel"/>
    <w:tmpl w:val="00000000"/>
    <w:lvl w:ilvl="0">
      <w:start w:val="1"/>
      <w:numFmt w:val="decimal"/>
      <w:lvlText w:val="%1）"/>
      <w:lvlJc w:val="left"/>
      <w:pPr>
        <w:ind w:left="1300" w:hanging="420"/>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2146" w:hanging="420"/>
      </w:pPr>
      <w:rPr>
        <w:rFonts w:hint="default"/>
        <w:lang w:val="en-US" w:eastAsia="zh-CN" w:bidi="ar-SA"/>
      </w:rPr>
    </w:lvl>
    <w:lvl w:ilvl="2">
      <w:start w:val="0"/>
      <w:numFmt w:val="bullet"/>
      <w:lvlText w:val="•"/>
      <w:lvlJc w:val="left"/>
      <w:pPr>
        <w:ind w:left="2992" w:hanging="420"/>
      </w:pPr>
      <w:rPr>
        <w:rFonts w:hint="default"/>
        <w:lang w:val="en-US" w:eastAsia="zh-CN" w:bidi="ar-SA"/>
      </w:rPr>
    </w:lvl>
    <w:lvl w:ilvl="3">
      <w:start w:val="0"/>
      <w:numFmt w:val="bullet"/>
      <w:lvlText w:val="•"/>
      <w:lvlJc w:val="left"/>
      <w:pPr>
        <w:ind w:left="3838" w:hanging="420"/>
      </w:pPr>
      <w:rPr>
        <w:rFonts w:hint="default"/>
        <w:lang w:val="en-US" w:eastAsia="zh-CN" w:bidi="ar-SA"/>
      </w:rPr>
    </w:lvl>
    <w:lvl w:ilvl="4">
      <w:start w:val="0"/>
      <w:numFmt w:val="bullet"/>
      <w:lvlText w:val="•"/>
      <w:lvlJc w:val="left"/>
      <w:pPr>
        <w:ind w:left="4684" w:hanging="420"/>
      </w:pPr>
      <w:rPr>
        <w:rFonts w:hint="default"/>
        <w:lang w:val="en-US" w:eastAsia="zh-CN" w:bidi="ar-SA"/>
      </w:rPr>
    </w:lvl>
    <w:lvl w:ilvl="5">
      <w:start w:val="0"/>
      <w:numFmt w:val="bullet"/>
      <w:lvlText w:val="•"/>
      <w:lvlJc w:val="left"/>
      <w:pPr>
        <w:ind w:left="5530" w:hanging="420"/>
      </w:pPr>
      <w:rPr>
        <w:rFonts w:hint="default"/>
        <w:lang w:val="en-US" w:eastAsia="zh-CN" w:bidi="ar-SA"/>
      </w:rPr>
    </w:lvl>
    <w:lvl w:ilvl="6">
      <w:start w:val="0"/>
      <w:numFmt w:val="bullet"/>
      <w:lvlText w:val="•"/>
      <w:lvlJc w:val="left"/>
      <w:pPr>
        <w:ind w:left="6376" w:hanging="420"/>
      </w:pPr>
      <w:rPr>
        <w:rFonts w:hint="default"/>
        <w:lang w:val="en-US" w:eastAsia="zh-CN" w:bidi="ar-SA"/>
      </w:rPr>
    </w:lvl>
    <w:lvl w:ilvl="7">
      <w:start w:val="0"/>
      <w:numFmt w:val="bullet"/>
      <w:lvlText w:val="•"/>
      <w:lvlJc w:val="left"/>
      <w:pPr>
        <w:ind w:left="7222" w:hanging="420"/>
      </w:pPr>
      <w:rPr>
        <w:rFonts w:hint="default"/>
        <w:lang w:val="en-US" w:eastAsia="zh-CN" w:bidi="ar-SA"/>
      </w:rPr>
    </w:lvl>
    <w:lvl w:ilvl="8">
      <w:start w:val="0"/>
      <w:numFmt w:val="bullet"/>
      <w:lvlText w:val="•"/>
      <w:lvlJc w:val="left"/>
      <w:pPr>
        <w:ind w:left="8068" w:hanging="420"/>
      </w:pPr>
      <w:rPr>
        <w:rFonts w:hint="default"/>
        <w:lang w:val="en-US" w:eastAsia="zh-CN" w:bidi="ar-SA"/>
      </w:rPr>
    </w:lvl>
  </w:abstractNum>
  <w:abstractNum w:abstractNumId="33">
    <w:nsid w:val="6FF1E600"/>
    <w:multiLevelType w:val="hybridMultilevel"/>
    <w:tmpl w:val="00000000"/>
    <w:lvl w:ilvl="0">
      <w:start w:val="1"/>
      <w:numFmt w:val="decimal"/>
      <w:lvlText w:val="（%1）"/>
      <w:lvlJc w:val="left"/>
      <w:pPr>
        <w:ind w:left="292" w:hanging="601"/>
        <w:jc w:val="left"/>
      </w:pPr>
      <w:rPr>
        <w:rFonts w:ascii="宋体" w:eastAsia="宋体" w:hAnsi="宋体" w:cs="宋体" w:hint="default"/>
        <w:b w:val="0"/>
        <w:bCs w:val="0"/>
        <w:i w:val="0"/>
        <w:iCs w:val="0"/>
        <w:spacing w:val="-6"/>
        <w:w w:val="100"/>
        <w:sz w:val="22"/>
        <w:szCs w:val="22"/>
        <w:lang w:val="en-US" w:eastAsia="zh-CN" w:bidi="ar-SA"/>
      </w:rPr>
    </w:lvl>
    <w:lvl w:ilvl="1">
      <w:start w:val="0"/>
      <w:numFmt w:val="bullet"/>
      <w:lvlText w:val="•"/>
      <w:lvlJc w:val="left"/>
      <w:pPr>
        <w:ind w:left="1246" w:hanging="601"/>
      </w:pPr>
      <w:rPr>
        <w:rFonts w:hint="default"/>
        <w:lang w:val="en-US" w:eastAsia="zh-CN" w:bidi="ar-SA"/>
      </w:rPr>
    </w:lvl>
    <w:lvl w:ilvl="2">
      <w:start w:val="0"/>
      <w:numFmt w:val="bullet"/>
      <w:lvlText w:val="•"/>
      <w:lvlJc w:val="left"/>
      <w:pPr>
        <w:ind w:left="2192" w:hanging="601"/>
      </w:pPr>
      <w:rPr>
        <w:rFonts w:hint="default"/>
        <w:lang w:val="en-US" w:eastAsia="zh-CN" w:bidi="ar-SA"/>
      </w:rPr>
    </w:lvl>
    <w:lvl w:ilvl="3">
      <w:start w:val="0"/>
      <w:numFmt w:val="bullet"/>
      <w:lvlText w:val="•"/>
      <w:lvlJc w:val="left"/>
      <w:pPr>
        <w:ind w:left="3138" w:hanging="601"/>
      </w:pPr>
      <w:rPr>
        <w:rFonts w:hint="default"/>
        <w:lang w:val="en-US" w:eastAsia="zh-CN" w:bidi="ar-SA"/>
      </w:rPr>
    </w:lvl>
    <w:lvl w:ilvl="4">
      <w:start w:val="0"/>
      <w:numFmt w:val="bullet"/>
      <w:lvlText w:val="•"/>
      <w:lvlJc w:val="left"/>
      <w:pPr>
        <w:ind w:left="4084" w:hanging="601"/>
      </w:pPr>
      <w:rPr>
        <w:rFonts w:hint="default"/>
        <w:lang w:val="en-US" w:eastAsia="zh-CN" w:bidi="ar-SA"/>
      </w:rPr>
    </w:lvl>
    <w:lvl w:ilvl="5">
      <w:start w:val="0"/>
      <w:numFmt w:val="bullet"/>
      <w:lvlText w:val="•"/>
      <w:lvlJc w:val="left"/>
      <w:pPr>
        <w:ind w:left="5030" w:hanging="601"/>
      </w:pPr>
      <w:rPr>
        <w:rFonts w:hint="default"/>
        <w:lang w:val="en-US" w:eastAsia="zh-CN" w:bidi="ar-SA"/>
      </w:rPr>
    </w:lvl>
    <w:lvl w:ilvl="6">
      <w:start w:val="0"/>
      <w:numFmt w:val="bullet"/>
      <w:lvlText w:val="•"/>
      <w:lvlJc w:val="left"/>
      <w:pPr>
        <w:ind w:left="5976" w:hanging="601"/>
      </w:pPr>
      <w:rPr>
        <w:rFonts w:hint="default"/>
        <w:lang w:val="en-US" w:eastAsia="zh-CN" w:bidi="ar-SA"/>
      </w:rPr>
    </w:lvl>
    <w:lvl w:ilvl="7">
      <w:start w:val="0"/>
      <w:numFmt w:val="bullet"/>
      <w:lvlText w:val="•"/>
      <w:lvlJc w:val="left"/>
      <w:pPr>
        <w:ind w:left="6922" w:hanging="601"/>
      </w:pPr>
      <w:rPr>
        <w:rFonts w:hint="default"/>
        <w:lang w:val="en-US" w:eastAsia="zh-CN" w:bidi="ar-SA"/>
      </w:rPr>
    </w:lvl>
    <w:lvl w:ilvl="8">
      <w:start w:val="0"/>
      <w:numFmt w:val="bullet"/>
      <w:lvlText w:val="•"/>
      <w:lvlJc w:val="left"/>
      <w:pPr>
        <w:ind w:left="7868" w:hanging="601"/>
      </w:pPr>
      <w:rPr>
        <w:rFonts w:hint="default"/>
        <w:lang w:val="en-US" w:eastAsia="zh-CN" w:bidi="ar-SA"/>
      </w:rPr>
    </w:lvl>
  </w:abstractNum>
  <w:abstractNum w:abstractNumId="34">
    <w:nsid w:val="72269F62"/>
    <w:multiLevelType w:val="hybridMultilevel"/>
    <w:tmpl w:val="00000000"/>
    <w:lvl w:ilvl="0">
      <w:start w:val="1"/>
      <w:numFmt w:val="decimal"/>
      <w:lvlText w:val="（%1）"/>
      <w:lvlJc w:val="left"/>
      <w:pPr>
        <w:ind w:left="1343" w:hanging="60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2182" w:hanging="601"/>
      </w:pPr>
      <w:rPr>
        <w:rFonts w:hint="default"/>
        <w:lang w:val="en-US" w:eastAsia="zh-CN" w:bidi="ar-SA"/>
      </w:rPr>
    </w:lvl>
    <w:lvl w:ilvl="2">
      <w:start w:val="0"/>
      <w:numFmt w:val="bullet"/>
      <w:lvlText w:val="•"/>
      <w:lvlJc w:val="left"/>
      <w:pPr>
        <w:ind w:left="3024" w:hanging="601"/>
      </w:pPr>
      <w:rPr>
        <w:rFonts w:hint="default"/>
        <w:lang w:val="en-US" w:eastAsia="zh-CN" w:bidi="ar-SA"/>
      </w:rPr>
    </w:lvl>
    <w:lvl w:ilvl="3">
      <w:start w:val="0"/>
      <w:numFmt w:val="bullet"/>
      <w:lvlText w:val="•"/>
      <w:lvlJc w:val="left"/>
      <w:pPr>
        <w:ind w:left="3866" w:hanging="601"/>
      </w:pPr>
      <w:rPr>
        <w:rFonts w:hint="default"/>
        <w:lang w:val="en-US" w:eastAsia="zh-CN" w:bidi="ar-SA"/>
      </w:rPr>
    </w:lvl>
    <w:lvl w:ilvl="4">
      <w:start w:val="0"/>
      <w:numFmt w:val="bullet"/>
      <w:lvlText w:val="•"/>
      <w:lvlJc w:val="left"/>
      <w:pPr>
        <w:ind w:left="4708" w:hanging="601"/>
      </w:pPr>
      <w:rPr>
        <w:rFonts w:hint="default"/>
        <w:lang w:val="en-US" w:eastAsia="zh-CN" w:bidi="ar-SA"/>
      </w:rPr>
    </w:lvl>
    <w:lvl w:ilvl="5">
      <w:start w:val="0"/>
      <w:numFmt w:val="bullet"/>
      <w:lvlText w:val="•"/>
      <w:lvlJc w:val="left"/>
      <w:pPr>
        <w:ind w:left="5550" w:hanging="601"/>
      </w:pPr>
      <w:rPr>
        <w:rFonts w:hint="default"/>
        <w:lang w:val="en-US" w:eastAsia="zh-CN" w:bidi="ar-SA"/>
      </w:rPr>
    </w:lvl>
    <w:lvl w:ilvl="6">
      <w:start w:val="0"/>
      <w:numFmt w:val="bullet"/>
      <w:lvlText w:val="•"/>
      <w:lvlJc w:val="left"/>
      <w:pPr>
        <w:ind w:left="6392" w:hanging="601"/>
      </w:pPr>
      <w:rPr>
        <w:rFonts w:hint="default"/>
        <w:lang w:val="en-US" w:eastAsia="zh-CN" w:bidi="ar-SA"/>
      </w:rPr>
    </w:lvl>
    <w:lvl w:ilvl="7">
      <w:start w:val="0"/>
      <w:numFmt w:val="bullet"/>
      <w:lvlText w:val="•"/>
      <w:lvlJc w:val="left"/>
      <w:pPr>
        <w:ind w:left="7234" w:hanging="601"/>
      </w:pPr>
      <w:rPr>
        <w:rFonts w:hint="default"/>
        <w:lang w:val="en-US" w:eastAsia="zh-CN" w:bidi="ar-SA"/>
      </w:rPr>
    </w:lvl>
    <w:lvl w:ilvl="8">
      <w:start w:val="0"/>
      <w:numFmt w:val="bullet"/>
      <w:lvlText w:val="•"/>
      <w:lvlJc w:val="left"/>
      <w:pPr>
        <w:ind w:left="8076" w:hanging="601"/>
      </w:pPr>
      <w:rPr>
        <w:rFonts w:hint="default"/>
        <w:lang w:val="en-US" w:eastAsia="zh-CN" w:bidi="ar-SA"/>
      </w:rPr>
    </w:lvl>
  </w:abstractNum>
  <w:abstractNum w:abstractNumId="35">
    <w:nsid w:val="74EE9424"/>
    <w:multiLevelType w:val="hybridMultilevel"/>
    <w:tmpl w:val="00000000"/>
    <w:lvl w:ilvl="0">
      <w:start w:val="1"/>
      <w:numFmt w:val="decimal"/>
      <w:lvlText w:val="%1）"/>
      <w:lvlJc w:val="left"/>
      <w:pPr>
        <w:ind w:left="1300" w:hanging="420"/>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2146" w:hanging="420"/>
      </w:pPr>
      <w:rPr>
        <w:rFonts w:hint="default"/>
        <w:lang w:val="en-US" w:eastAsia="zh-CN" w:bidi="ar-SA"/>
      </w:rPr>
    </w:lvl>
    <w:lvl w:ilvl="2">
      <w:start w:val="0"/>
      <w:numFmt w:val="bullet"/>
      <w:lvlText w:val="•"/>
      <w:lvlJc w:val="left"/>
      <w:pPr>
        <w:ind w:left="2992" w:hanging="420"/>
      </w:pPr>
      <w:rPr>
        <w:rFonts w:hint="default"/>
        <w:lang w:val="en-US" w:eastAsia="zh-CN" w:bidi="ar-SA"/>
      </w:rPr>
    </w:lvl>
    <w:lvl w:ilvl="3">
      <w:start w:val="0"/>
      <w:numFmt w:val="bullet"/>
      <w:lvlText w:val="•"/>
      <w:lvlJc w:val="left"/>
      <w:pPr>
        <w:ind w:left="3838" w:hanging="420"/>
      </w:pPr>
      <w:rPr>
        <w:rFonts w:hint="default"/>
        <w:lang w:val="en-US" w:eastAsia="zh-CN" w:bidi="ar-SA"/>
      </w:rPr>
    </w:lvl>
    <w:lvl w:ilvl="4">
      <w:start w:val="0"/>
      <w:numFmt w:val="bullet"/>
      <w:lvlText w:val="•"/>
      <w:lvlJc w:val="left"/>
      <w:pPr>
        <w:ind w:left="4684" w:hanging="420"/>
      </w:pPr>
      <w:rPr>
        <w:rFonts w:hint="default"/>
        <w:lang w:val="en-US" w:eastAsia="zh-CN" w:bidi="ar-SA"/>
      </w:rPr>
    </w:lvl>
    <w:lvl w:ilvl="5">
      <w:start w:val="0"/>
      <w:numFmt w:val="bullet"/>
      <w:lvlText w:val="•"/>
      <w:lvlJc w:val="left"/>
      <w:pPr>
        <w:ind w:left="5530" w:hanging="420"/>
      </w:pPr>
      <w:rPr>
        <w:rFonts w:hint="default"/>
        <w:lang w:val="en-US" w:eastAsia="zh-CN" w:bidi="ar-SA"/>
      </w:rPr>
    </w:lvl>
    <w:lvl w:ilvl="6">
      <w:start w:val="0"/>
      <w:numFmt w:val="bullet"/>
      <w:lvlText w:val="•"/>
      <w:lvlJc w:val="left"/>
      <w:pPr>
        <w:ind w:left="6376" w:hanging="420"/>
      </w:pPr>
      <w:rPr>
        <w:rFonts w:hint="default"/>
        <w:lang w:val="en-US" w:eastAsia="zh-CN" w:bidi="ar-SA"/>
      </w:rPr>
    </w:lvl>
    <w:lvl w:ilvl="7">
      <w:start w:val="0"/>
      <w:numFmt w:val="bullet"/>
      <w:lvlText w:val="•"/>
      <w:lvlJc w:val="left"/>
      <w:pPr>
        <w:ind w:left="7222" w:hanging="420"/>
      </w:pPr>
      <w:rPr>
        <w:rFonts w:hint="default"/>
        <w:lang w:val="en-US" w:eastAsia="zh-CN" w:bidi="ar-SA"/>
      </w:rPr>
    </w:lvl>
    <w:lvl w:ilvl="8">
      <w:start w:val="0"/>
      <w:numFmt w:val="bullet"/>
      <w:lvlText w:val="•"/>
      <w:lvlJc w:val="left"/>
      <w:pPr>
        <w:ind w:left="8068" w:hanging="420"/>
      </w:pPr>
      <w:rPr>
        <w:rFonts w:hint="default"/>
        <w:lang w:val="en-US" w:eastAsia="zh-CN" w:bidi="ar-SA"/>
      </w:rPr>
    </w:lvl>
  </w:abstractNum>
  <w:abstractNum w:abstractNumId="36">
    <w:nsid w:val="76EBDBA5"/>
    <w:multiLevelType w:val="hybridMultilevel"/>
    <w:tmpl w:val="00000000"/>
    <w:lvl w:ilvl="0">
      <w:start w:val="1"/>
      <w:numFmt w:val="decimal"/>
      <w:lvlText w:val="（%1）"/>
      <w:lvlJc w:val="left"/>
      <w:pPr>
        <w:ind w:left="292" w:hanging="603"/>
        <w:jc w:val="left"/>
      </w:pPr>
      <w:rPr>
        <w:rFonts w:ascii="宋体" w:eastAsia="宋体" w:hAnsi="宋体" w:cs="宋体" w:hint="default"/>
        <w:b w:val="0"/>
        <w:bCs w:val="0"/>
        <w:i w:val="0"/>
        <w:iCs w:val="0"/>
        <w:spacing w:val="-119"/>
        <w:w w:val="100"/>
        <w:sz w:val="22"/>
        <w:szCs w:val="22"/>
        <w:lang w:val="en-US" w:eastAsia="zh-CN" w:bidi="ar-SA"/>
      </w:rPr>
    </w:lvl>
    <w:lvl w:ilvl="1">
      <w:start w:val="0"/>
      <w:numFmt w:val="bullet"/>
      <w:lvlText w:val="•"/>
      <w:lvlJc w:val="left"/>
      <w:pPr>
        <w:ind w:left="1246" w:hanging="603"/>
      </w:pPr>
      <w:rPr>
        <w:rFonts w:hint="default"/>
        <w:lang w:val="en-US" w:eastAsia="zh-CN" w:bidi="ar-SA"/>
      </w:rPr>
    </w:lvl>
    <w:lvl w:ilvl="2">
      <w:start w:val="0"/>
      <w:numFmt w:val="bullet"/>
      <w:lvlText w:val="•"/>
      <w:lvlJc w:val="left"/>
      <w:pPr>
        <w:ind w:left="2192" w:hanging="603"/>
      </w:pPr>
      <w:rPr>
        <w:rFonts w:hint="default"/>
        <w:lang w:val="en-US" w:eastAsia="zh-CN" w:bidi="ar-SA"/>
      </w:rPr>
    </w:lvl>
    <w:lvl w:ilvl="3">
      <w:start w:val="0"/>
      <w:numFmt w:val="bullet"/>
      <w:lvlText w:val="•"/>
      <w:lvlJc w:val="left"/>
      <w:pPr>
        <w:ind w:left="3138" w:hanging="603"/>
      </w:pPr>
      <w:rPr>
        <w:rFonts w:hint="default"/>
        <w:lang w:val="en-US" w:eastAsia="zh-CN" w:bidi="ar-SA"/>
      </w:rPr>
    </w:lvl>
    <w:lvl w:ilvl="4">
      <w:start w:val="0"/>
      <w:numFmt w:val="bullet"/>
      <w:lvlText w:val="•"/>
      <w:lvlJc w:val="left"/>
      <w:pPr>
        <w:ind w:left="4084" w:hanging="603"/>
      </w:pPr>
      <w:rPr>
        <w:rFonts w:hint="default"/>
        <w:lang w:val="en-US" w:eastAsia="zh-CN" w:bidi="ar-SA"/>
      </w:rPr>
    </w:lvl>
    <w:lvl w:ilvl="5">
      <w:start w:val="0"/>
      <w:numFmt w:val="bullet"/>
      <w:lvlText w:val="•"/>
      <w:lvlJc w:val="left"/>
      <w:pPr>
        <w:ind w:left="5030" w:hanging="603"/>
      </w:pPr>
      <w:rPr>
        <w:rFonts w:hint="default"/>
        <w:lang w:val="en-US" w:eastAsia="zh-CN" w:bidi="ar-SA"/>
      </w:rPr>
    </w:lvl>
    <w:lvl w:ilvl="6">
      <w:start w:val="0"/>
      <w:numFmt w:val="bullet"/>
      <w:lvlText w:val="•"/>
      <w:lvlJc w:val="left"/>
      <w:pPr>
        <w:ind w:left="5976" w:hanging="603"/>
      </w:pPr>
      <w:rPr>
        <w:rFonts w:hint="default"/>
        <w:lang w:val="en-US" w:eastAsia="zh-CN" w:bidi="ar-SA"/>
      </w:rPr>
    </w:lvl>
    <w:lvl w:ilvl="7">
      <w:start w:val="0"/>
      <w:numFmt w:val="bullet"/>
      <w:lvlText w:val="•"/>
      <w:lvlJc w:val="left"/>
      <w:pPr>
        <w:ind w:left="6922" w:hanging="603"/>
      </w:pPr>
      <w:rPr>
        <w:rFonts w:hint="default"/>
        <w:lang w:val="en-US" w:eastAsia="zh-CN" w:bidi="ar-SA"/>
      </w:rPr>
    </w:lvl>
    <w:lvl w:ilvl="8">
      <w:start w:val="0"/>
      <w:numFmt w:val="bullet"/>
      <w:lvlText w:val="•"/>
      <w:lvlJc w:val="left"/>
      <w:pPr>
        <w:ind w:left="7868" w:hanging="603"/>
      </w:pPr>
      <w:rPr>
        <w:rFonts w:hint="default"/>
        <w:lang w:val="en-US" w:eastAsia="zh-CN" w:bidi="ar-SA"/>
      </w:rPr>
    </w:lvl>
  </w:abstractNum>
  <w:abstractNum w:abstractNumId="37">
    <w:nsid w:val="79312D3B"/>
    <w:multiLevelType w:val="hybridMultilevel"/>
    <w:tmpl w:val="00000000"/>
    <w:lvl w:ilvl="0">
      <w:start w:val="1"/>
      <w:numFmt w:val="decimal"/>
      <w:lvlText w:val="(%1)"/>
      <w:lvlJc w:val="left"/>
      <w:pPr>
        <w:ind w:left="29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246" w:hanging="361"/>
      </w:pPr>
      <w:rPr>
        <w:rFonts w:hint="default"/>
        <w:lang w:val="en-US" w:eastAsia="zh-CN" w:bidi="ar-SA"/>
      </w:rPr>
    </w:lvl>
    <w:lvl w:ilvl="2">
      <w:start w:val="0"/>
      <w:numFmt w:val="bullet"/>
      <w:lvlText w:val="•"/>
      <w:lvlJc w:val="left"/>
      <w:pPr>
        <w:ind w:left="2192" w:hanging="361"/>
      </w:pPr>
      <w:rPr>
        <w:rFonts w:hint="default"/>
        <w:lang w:val="en-US" w:eastAsia="zh-CN" w:bidi="ar-SA"/>
      </w:rPr>
    </w:lvl>
    <w:lvl w:ilvl="3">
      <w:start w:val="0"/>
      <w:numFmt w:val="bullet"/>
      <w:lvlText w:val="•"/>
      <w:lvlJc w:val="left"/>
      <w:pPr>
        <w:ind w:left="3138" w:hanging="361"/>
      </w:pPr>
      <w:rPr>
        <w:rFonts w:hint="default"/>
        <w:lang w:val="en-US" w:eastAsia="zh-CN" w:bidi="ar-SA"/>
      </w:rPr>
    </w:lvl>
    <w:lvl w:ilvl="4">
      <w:start w:val="0"/>
      <w:numFmt w:val="bullet"/>
      <w:lvlText w:val="•"/>
      <w:lvlJc w:val="left"/>
      <w:pPr>
        <w:ind w:left="4084" w:hanging="361"/>
      </w:pPr>
      <w:rPr>
        <w:rFonts w:hint="default"/>
        <w:lang w:val="en-US" w:eastAsia="zh-CN" w:bidi="ar-SA"/>
      </w:rPr>
    </w:lvl>
    <w:lvl w:ilvl="5">
      <w:start w:val="0"/>
      <w:numFmt w:val="bullet"/>
      <w:lvlText w:val="•"/>
      <w:lvlJc w:val="left"/>
      <w:pPr>
        <w:ind w:left="5030" w:hanging="361"/>
      </w:pPr>
      <w:rPr>
        <w:rFonts w:hint="default"/>
        <w:lang w:val="en-US" w:eastAsia="zh-CN" w:bidi="ar-SA"/>
      </w:rPr>
    </w:lvl>
    <w:lvl w:ilvl="6">
      <w:start w:val="0"/>
      <w:numFmt w:val="bullet"/>
      <w:lvlText w:val="•"/>
      <w:lvlJc w:val="left"/>
      <w:pPr>
        <w:ind w:left="5976" w:hanging="361"/>
      </w:pPr>
      <w:rPr>
        <w:rFonts w:hint="default"/>
        <w:lang w:val="en-US" w:eastAsia="zh-CN" w:bidi="ar-SA"/>
      </w:rPr>
    </w:lvl>
    <w:lvl w:ilvl="7">
      <w:start w:val="0"/>
      <w:numFmt w:val="bullet"/>
      <w:lvlText w:val="•"/>
      <w:lvlJc w:val="left"/>
      <w:pPr>
        <w:ind w:left="6922" w:hanging="361"/>
      </w:pPr>
      <w:rPr>
        <w:rFonts w:hint="default"/>
        <w:lang w:val="en-US" w:eastAsia="zh-CN" w:bidi="ar-SA"/>
      </w:rPr>
    </w:lvl>
    <w:lvl w:ilvl="8">
      <w:start w:val="0"/>
      <w:numFmt w:val="bullet"/>
      <w:lvlText w:val="•"/>
      <w:lvlJc w:val="left"/>
      <w:pPr>
        <w:ind w:left="7868" w:hanging="361"/>
      </w:pPr>
      <w:rPr>
        <w:rFonts w:hint="default"/>
        <w:lang w:val="en-US" w:eastAsia="zh-CN" w:bidi="ar-SA"/>
      </w:rPr>
    </w:lvl>
  </w:abstractNum>
  <w:abstractNum w:abstractNumId="38">
    <w:nsid w:val="7F887983"/>
    <w:multiLevelType w:val="hybridMultilevel"/>
    <w:tmpl w:val="00000000"/>
    <w:lvl w:ilvl="0">
      <w:start w:val="1"/>
      <w:numFmt w:val="decimal"/>
      <w:lvlText w:val="（%1）"/>
      <w:lvlJc w:val="left"/>
      <w:pPr>
        <w:ind w:left="292" w:hanging="601"/>
        <w:jc w:val="left"/>
      </w:pPr>
      <w:rPr>
        <w:rFonts w:ascii="宋体" w:eastAsia="宋体" w:hAnsi="宋体" w:cs="宋体" w:hint="default"/>
        <w:b w:val="0"/>
        <w:bCs w:val="0"/>
        <w:i w:val="0"/>
        <w:iCs w:val="0"/>
        <w:spacing w:val="-6"/>
        <w:w w:val="100"/>
        <w:sz w:val="22"/>
        <w:szCs w:val="22"/>
        <w:lang w:val="en-US" w:eastAsia="zh-CN" w:bidi="ar-SA"/>
      </w:rPr>
    </w:lvl>
    <w:lvl w:ilvl="1">
      <w:start w:val="0"/>
      <w:numFmt w:val="bullet"/>
      <w:lvlText w:val="•"/>
      <w:lvlJc w:val="left"/>
      <w:pPr>
        <w:ind w:left="1246" w:hanging="601"/>
      </w:pPr>
      <w:rPr>
        <w:rFonts w:hint="default"/>
        <w:lang w:val="en-US" w:eastAsia="zh-CN" w:bidi="ar-SA"/>
      </w:rPr>
    </w:lvl>
    <w:lvl w:ilvl="2">
      <w:start w:val="0"/>
      <w:numFmt w:val="bullet"/>
      <w:lvlText w:val="•"/>
      <w:lvlJc w:val="left"/>
      <w:pPr>
        <w:ind w:left="2192" w:hanging="601"/>
      </w:pPr>
      <w:rPr>
        <w:rFonts w:hint="default"/>
        <w:lang w:val="en-US" w:eastAsia="zh-CN" w:bidi="ar-SA"/>
      </w:rPr>
    </w:lvl>
    <w:lvl w:ilvl="3">
      <w:start w:val="0"/>
      <w:numFmt w:val="bullet"/>
      <w:lvlText w:val="•"/>
      <w:lvlJc w:val="left"/>
      <w:pPr>
        <w:ind w:left="3138" w:hanging="601"/>
      </w:pPr>
      <w:rPr>
        <w:rFonts w:hint="default"/>
        <w:lang w:val="en-US" w:eastAsia="zh-CN" w:bidi="ar-SA"/>
      </w:rPr>
    </w:lvl>
    <w:lvl w:ilvl="4">
      <w:start w:val="0"/>
      <w:numFmt w:val="bullet"/>
      <w:lvlText w:val="•"/>
      <w:lvlJc w:val="left"/>
      <w:pPr>
        <w:ind w:left="4084" w:hanging="601"/>
      </w:pPr>
      <w:rPr>
        <w:rFonts w:hint="default"/>
        <w:lang w:val="en-US" w:eastAsia="zh-CN" w:bidi="ar-SA"/>
      </w:rPr>
    </w:lvl>
    <w:lvl w:ilvl="5">
      <w:start w:val="0"/>
      <w:numFmt w:val="bullet"/>
      <w:lvlText w:val="•"/>
      <w:lvlJc w:val="left"/>
      <w:pPr>
        <w:ind w:left="5030" w:hanging="601"/>
      </w:pPr>
      <w:rPr>
        <w:rFonts w:hint="default"/>
        <w:lang w:val="en-US" w:eastAsia="zh-CN" w:bidi="ar-SA"/>
      </w:rPr>
    </w:lvl>
    <w:lvl w:ilvl="6">
      <w:start w:val="0"/>
      <w:numFmt w:val="bullet"/>
      <w:lvlText w:val="•"/>
      <w:lvlJc w:val="left"/>
      <w:pPr>
        <w:ind w:left="5976" w:hanging="601"/>
      </w:pPr>
      <w:rPr>
        <w:rFonts w:hint="default"/>
        <w:lang w:val="en-US" w:eastAsia="zh-CN" w:bidi="ar-SA"/>
      </w:rPr>
    </w:lvl>
    <w:lvl w:ilvl="7">
      <w:start w:val="0"/>
      <w:numFmt w:val="bullet"/>
      <w:lvlText w:val="•"/>
      <w:lvlJc w:val="left"/>
      <w:pPr>
        <w:ind w:left="6922" w:hanging="601"/>
      </w:pPr>
      <w:rPr>
        <w:rFonts w:hint="default"/>
        <w:lang w:val="en-US" w:eastAsia="zh-CN" w:bidi="ar-SA"/>
      </w:rPr>
    </w:lvl>
    <w:lvl w:ilvl="8">
      <w:start w:val="0"/>
      <w:numFmt w:val="bullet"/>
      <w:lvlText w:val="•"/>
      <w:lvlJc w:val="left"/>
      <w:pPr>
        <w:ind w:left="7868" w:hanging="601"/>
      </w:pPr>
      <w:rPr>
        <w:rFonts w:hint="default"/>
        <w:lang w:val="en-US" w:eastAsia="zh-CN" w:bidi="ar-SA"/>
      </w:rPr>
    </w:lvl>
  </w:abstractNum>
  <w:num w:numId="1">
    <w:abstractNumId w:val="36"/>
  </w:num>
  <w:num w:numId="2">
    <w:abstractNumId w:val="30"/>
  </w:num>
  <w:num w:numId="3">
    <w:abstractNumId w:val="12"/>
  </w:num>
  <w:num w:numId="4">
    <w:abstractNumId w:val="0"/>
  </w:num>
  <w:num w:numId="5">
    <w:abstractNumId w:val="35"/>
  </w:num>
  <w:num w:numId="6">
    <w:abstractNumId w:val="32"/>
  </w:num>
  <w:num w:numId="7">
    <w:abstractNumId w:val="1"/>
  </w:num>
  <w:num w:numId="8">
    <w:abstractNumId w:val="14"/>
  </w:num>
  <w:num w:numId="9">
    <w:abstractNumId w:val="38"/>
  </w:num>
  <w:num w:numId="10">
    <w:abstractNumId w:val="4"/>
  </w:num>
  <w:num w:numId="11">
    <w:abstractNumId w:val="33"/>
  </w:num>
  <w:num w:numId="12">
    <w:abstractNumId w:val="16"/>
  </w:num>
  <w:num w:numId="13">
    <w:abstractNumId w:val="9"/>
  </w:num>
  <w:num w:numId="14">
    <w:abstractNumId w:val="18"/>
  </w:num>
  <w:num w:numId="15">
    <w:abstractNumId w:val="29"/>
  </w:num>
  <w:num w:numId="16">
    <w:abstractNumId w:val="21"/>
  </w:num>
  <w:num w:numId="17">
    <w:abstractNumId w:val="5"/>
  </w:num>
  <w:num w:numId="18">
    <w:abstractNumId w:val="15"/>
  </w:num>
  <w:num w:numId="19">
    <w:abstractNumId w:val="34"/>
  </w:num>
  <w:num w:numId="20">
    <w:abstractNumId w:val="19"/>
  </w:num>
  <w:num w:numId="21">
    <w:abstractNumId w:val="17"/>
  </w:num>
  <w:num w:numId="22">
    <w:abstractNumId w:val="23"/>
  </w:num>
  <w:num w:numId="23">
    <w:abstractNumId w:val="26"/>
  </w:num>
  <w:num w:numId="24">
    <w:abstractNumId w:val="7"/>
  </w:num>
  <w:num w:numId="25">
    <w:abstractNumId w:val="25"/>
  </w:num>
  <w:num w:numId="26">
    <w:abstractNumId w:val="6"/>
  </w:num>
  <w:num w:numId="27">
    <w:abstractNumId w:val="20"/>
  </w:num>
  <w:num w:numId="28">
    <w:abstractNumId w:val="24"/>
  </w:num>
  <w:num w:numId="29">
    <w:abstractNumId w:val="8"/>
  </w:num>
  <w:num w:numId="30">
    <w:abstractNumId w:val="22"/>
  </w:num>
  <w:num w:numId="31">
    <w:abstractNumId w:val="37"/>
  </w:num>
  <w:num w:numId="32">
    <w:abstractNumId w:val="13"/>
  </w:num>
  <w:num w:numId="33">
    <w:abstractNumId w:val="11"/>
  </w:num>
  <w:num w:numId="34">
    <w:abstractNumId w:val="31"/>
  </w:num>
  <w:num w:numId="35">
    <w:abstractNumId w:val="28"/>
  </w:num>
  <w:num w:numId="36">
    <w:abstractNumId w:val="3"/>
  </w:num>
  <w:num w:numId="37">
    <w:abstractNumId w:val="2"/>
  </w:num>
  <w:num w:numId="38">
    <w:abstractNumId w:val="10"/>
  </w:num>
  <w:num w:numId="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jc w:val="center"/>
      <w:outlineLvl w:val="0"/>
    </w:pPr>
    <w:rPr>
      <w:rFonts w:ascii="微软雅黑" w:eastAsia="微软雅黑" w:hAnsi="微软雅黑" w:cs="微软雅黑"/>
      <w:b/>
      <w:bCs/>
      <w:sz w:val="32"/>
      <w:szCs w:val="32"/>
      <w:lang w:val="en-US" w:eastAsia="zh-CN" w:bidi="ar-SA"/>
    </w:rPr>
  </w:style>
  <w:style w:type="paragraph" w:styleId="Heading2">
    <w:name w:val="heading 2"/>
    <w:basedOn w:val="Normal"/>
    <w:uiPriority w:val="1"/>
    <w:qFormat/>
    <w:pPr>
      <w:ind w:left="535" w:hanging="424"/>
      <w:outlineLvl w:val="1"/>
    </w:pPr>
    <w:rPr>
      <w:rFonts w:ascii="微软雅黑" w:eastAsia="微软雅黑" w:hAnsi="微软雅黑" w:cs="微软雅黑"/>
      <w:b/>
      <w:bCs/>
      <w:sz w:val="28"/>
      <w:szCs w:val="28"/>
      <w:lang w:val="en-US" w:eastAsia="zh-CN" w:bidi="ar-SA"/>
    </w:rPr>
  </w:style>
  <w:style w:type="paragraph" w:styleId="Heading3">
    <w:name w:val="heading 3"/>
    <w:basedOn w:val="Normal"/>
    <w:uiPriority w:val="1"/>
    <w:qFormat/>
    <w:pPr>
      <w:spacing w:line="384" w:lineRule="exact"/>
      <w:ind w:left="802"/>
      <w:outlineLvl w:val="2"/>
    </w:pPr>
    <w:rPr>
      <w:rFonts w:ascii="Microsoft JhengHei" w:eastAsia="Microsoft JhengHei" w:hAnsi="Microsoft JhengHei" w:cs="Microsoft JhengHei"/>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92"/>
    </w:pPr>
    <w:rPr>
      <w:rFonts w:ascii="宋体" w:eastAsia="宋体" w:hAnsi="宋体" w:cs="宋体"/>
      <w:sz w:val="24"/>
      <w:szCs w:val="24"/>
      <w:lang w:val="en-US" w:eastAsia="zh-CN" w:bidi="ar-SA"/>
    </w:rPr>
  </w:style>
  <w:style w:type="paragraph" w:styleId="Title">
    <w:name w:val="Title"/>
    <w:basedOn w:val="Normal"/>
    <w:uiPriority w:val="1"/>
    <w:qFormat/>
    <w:pPr>
      <w:spacing w:line="689" w:lineRule="exact"/>
      <w:ind w:left="400"/>
    </w:pPr>
    <w:rPr>
      <w:rFonts w:ascii="微软雅黑" w:eastAsia="微软雅黑" w:hAnsi="微软雅黑" w:cs="微软雅黑"/>
      <w:b/>
      <w:bCs/>
      <w:sz w:val="44"/>
      <w:szCs w:val="44"/>
      <w:lang w:val="en-US" w:eastAsia="zh-CN" w:bidi="ar-SA"/>
    </w:rPr>
  </w:style>
  <w:style w:type="paragraph" w:styleId="ListParagraph">
    <w:name w:val="List Paragraph"/>
    <w:basedOn w:val="Normal"/>
    <w:uiPriority w:val="1"/>
    <w:qFormat/>
    <w:pPr>
      <w:ind w:left="292" w:hanging="420"/>
    </w:pPr>
    <w:rPr>
      <w:rFonts w:ascii="宋体" w:eastAsia="宋体" w:hAnsi="宋体" w:cs="宋体"/>
      <w:lang w:val="en-US" w:eastAsia="zh-CN" w:bidi="ar-SA"/>
    </w:rPr>
  </w:style>
  <w:style w:type="paragraph" w:customStyle="1" w:styleId="TableParagraph">
    <w:name w:val="Table Paragraph"/>
    <w:basedOn w:val="Normal"/>
    <w:uiPriority w:val="1"/>
    <w:qFormat/>
    <w:pPr>
      <w:spacing w:before="110"/>
      <w:ind w:left="202"/>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hyperlink" Target="https://d.book118.com/565112023320011120" TargetMode="Externa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numbering" Target="numbering.xml" /><Relationship Id="rId32"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2024-03-04T14:26:11Z</dcterms:created>
  <dcterms:modified xsi:type="dcterms:W3CDTF">2024-03-04T14:26:11Z</dcterms:modified>
</cp:coreProperties>
</file>