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203"/>
        <w:ind w:left="0" w:right="81" w:firstLine="0"/>
        <w:jc w:val="center"/>
        <w:rPr>
          <w:sz w:val="72"/>
        </w:rPr>
      </w:pPr>
      <w:bookmarkStart w:id="0" w:name="建设项目环境影响报告表"/>
      <w:bookmarkEnd w:id="0"/>
      <w:r>
        <w:rPr>
          <w:sz w:val="72"/>
        </w:rPr>
        <w:t>建设项目环境影响报告表</w:t>
      </w:r>
    </w:p>
    <w:p>
      <w:pPr>
        <w:spacing w:before="335"/>
        <w:ind w:left="0" w:right="81" w:firstLine="0"/>
        <w:jc w:val="center"/>
        <w:rPr>
          <w:rFonts w:ascii="楷体" w:eastAsia="楷体" w:hint="eastAsia"/>
          <w:sz w:val="48"/>
        </w:rPr>
      </w:pPr>
      <w:r>
        <w:rPr>
          <w:rFonts w:ascii="楷体" w:eastAsia="楷体" w:hint="eastAsia"/>
          <w:sz w:val="48"/>
        </w:rPr>
        <w:t>（生态影响类）</w:t>
      </w: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rPr>
          <w:rFonts w:ascii="楷体"/>
          <w:sz w:val="48"/>
        </w:rPr>
      </w:pPr>
    </w:p>
    <w:p>
      <w:pPr>
        <w:pStyle w:val="BodyText"/>
        <w:spacing w:before="3"/>
        <w:rPr>
          <w:rFonts w:ascii="楷体"/>
          <w:sz w:val="53"/>
        </w:rPr>
      </w:pPr>
    </w:p>
    <w:p>
      <w:pPr>
        <w:tabs>
          <w:tab w:val="left" w:pos="3040"/>
          <w:tab w:val="left" w:pos="8843"/>
        </w:tabs>
        <w:spacing w:before="0"/>
        <w:ind w:left="0" w:right="77" w:firstLine="0"/>
        <w:jc w:val="center"/>
        <w:rPr>
          <w:sz w:val="32"/>
        </w:rPr>
      </w:pPr>
      <w:r>
        <w:rPr>
          <w:sz w:val="32"/>
        </w:rPr>
        <w:t>项目名称：</w:t>
      </w:r>
      <w:r>
        <w:rPr>
          <w:sz w:val="32"/>
          <w:u w:val="single"/>
        </w:rPr>
        <w:t xml:space="preserve"> </w:t>
        <w:tab/>
      </w:r>
      <w:r>
        <w:rPr>
          <w:w w:val="95"/>
          <w:sz w:val="32"/>
          <w:u w:val="single"/>
        </w:rPr>
        <w:t>阜宁东站货运连接线工程（一期）项目</w:t>
      </w:r>
      <w:r>
        <w:rPr>
          <w:sz w:val="32"/>
          <w:u w:val="single"/>
        </w:rPr>
        <w:tab/>
      </w:r>
    </w:p>
    <w:p>
      <w:pPr>
        <w:pStyle w:val="BodyText"/>
        <w:spacing w:before="8"/>
        <w:rPr>
          <w:sz w:val="27"/>
        </w:rPr>
      </w:pPr>
    </w:p>
    <w:p>
      <w:pPr>
        <w:tabs>
          <w:tab w:val="left" w:pos="4030"/>
          <w:tab w:val="left" w:pos="7389"/>
        </w:tabs>
        <w:spacing w:before="64"/>
        <w:ind w:left="351" w:right="0" w:firstLine="0"/>
        <w:jc w:val="left"/>
        <w:rPr>
          <w:sz w:val="32"/>
        </w:rPr>
      </w:pPr>
      <w:r>
        <w:rPr>
          <w:sz w:val="32"/>
        </w:rPr>
        <w:t>建设单位（盖章）：</w:t>
      </w:r>
      <w:r>
        <w:rPr>
          <w:sz w:val="32"/>
          <w:u w:val="single"/>
        </w:rPr>
        <w:t xml:space="preserve"> </w:t>
        <w:tab/>
      </w:r>
      <w:r>
        <w:rPr>
          <w:w w:val="95"/>
          <w:sz w:val="32"/>
          <w:u w:val="single"/>
        </w:rPr>
        <w:t>阜宁县交通运输局</w:t>
      </w:r>
      <w:r>
        <w:rPr>
          <w:sz w:val="32"/>
          <w:u w:val="single"/>
        </w:rPr>
        <w:tab/>
      </w:r>
    </w:p>
    <w:p>
      <w:pPr>
        <w:pStyle w:val="BodyText"/>
        <w:spacing w:before="10"/>
        <w:rPr>
          <w:sz w:val="27"/>
        </w:rPr>
      </w:pPr>
    </w:p>
    <w:p>
      <w:pPr>
        <w:tabs>
          <w:tab w:val="left" w:pos="4351"/>
        </w:tabs>
        <w:spacing w:before="65"/>
        <w:ind w:left="351" w:right="0" w:firstLine="0"/>
        <w:jc w:val="left"/>
        <w:rPr>
          <w:sz w:val="32"/>
        </w:rPr>
      </w:pPr>
      <w:r>
        <w:pict>
          <v:group id="_x0000_s1025" style="width:355.9pt;height:0.85pt;margin-top:20.91pt;margin-left:156.6pt;mso-position-horizontal-relative:page;position:absolute;z-index:-251658240" coordorigin="3132,418" coordsize="7118,17">
            <v:line id="_x0000_s1026" style="position:absolute" from="3132,427" to="5532,427" stroked="t" strokecolor="black" strokeweight="0.84pt">
              <v:stroke dashstyle="solid"/>
            </v:line>
            <v:line id="_x0000_s1027" style="position:absolute" from="5532,427" to="7692,427" stroked="t" strokecolor="red" strokeweight="0.84pt">
              <v:stroke dashstyle="solid"/>
            </v:line>
            <v:line id="_x0000_s1028" style="position:absolute" from="7692,427" to="10250,427" stroked="t" strokecolor="black" strokeweight="0.84pt">
              <v:stroke dashstyle="solid"/>
            </v:line>
          </v:group>
        </w:pict>
      </w:r>
      <w:r>
        <w:rPr>
          <w:sz w:val="32"/>
        </w:rPr>
        <w:t>编制日期：</w:t>
        <w:tab/>
      </w:r>
      <w:r>
        <w:rPr>
          <w:rFonts w:ascii="Times New Roman" w:eastAsia="Times New Roman"/>
          <w:color w:val="FF0000"/>
          <w:sz w:val="32"/>
        </w:rPr>
        <w:t xml:space="preserve">2023 </w:t>
      </w:r>
      <w:r>
        <w:rPr>
          <w:color w:val="FF0000"/>
          <w:sz w:val="32"/>
        </w:rPr>
        <w:t>年</w:t>
      </w:r>
      <w:r>
        <w:rPr>
          <w:color w:val="FF0000"/>
          <w:spacing w:val="-82"/>
          <w:sz w:val="32"/>
        </w:rPr>
        <w:t xml:space="preserve"> </w:t>
      </w:r>
      <w:r>
        <w:rPr>
          <w:rFonts w:ascii="Times New Roman" w:eastAsia="Times New Roman"/>
          <w:color w:val="FF0000"/>
          <w:sz w:val="32"/>
        </w:rPr>
        <w:t xml:space="preserve">10 </w:t>
      </w:r>
      <w:r>
        <w:rPr>
          <w:color w:val="FF0000"/>
          <w:sz w:val="32"/>
        </w:rPr>
        <w:t>月</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2"/>
        </w:rPr>
      </w:pPr>
    </w:p>
    <w:p>
      <w:pPr>
        <w:spacing w:before="49"/>
        <w:ind w:left="0" w:right="81" w:firstLine="0"/>
        <w:jc w:val="center"/>
        <w:rPr>
          <w:rFonts w:ascii="楷体" w:eastAsia="楷体" w:hint="eastAsia"/>
          <w:sz w:val="36"/>
        </w:rPr>
      </w:pPr>
      <w:r>
        <w:rPr>
          <w:rFonts w:ascii="楷体" w:eastAsia="楷体" w:hint="eastAsia"/>
          <w:sz w:val="36"/>
        </w:rPr>
        <w:t>中华人民共和国生态环境部制</w:t>
      </w:r>
    </w:p>
    <w:p>
      <w:pPr>
        <w:spacing w:after="0"/>
        <w:jc w:val="center"/>
        <w:rPr>
          <w:rFonts w:ascii="楷体" w:eastAsia="楷体" w:hint="eastAsia"/>
          <w:sz w:val="36"/>
        </w:rPr>
        <w:sectPr>
          <w:type w:val="continuous"/>
          <w:pgSz w:w="11910" w:h="16840"/>
          <w:pgMar w:top="1580" w:right="1100" w:bottom="280" w:left="1180" w:header="708" w:footer="708"/>
          <w:cols w:space="708"/>
        </w:sectPr>
      </w:pPr>
    </w:p>
    <w:p>
      <w:pPr>
        <w:pStyle w:val="BodyText"/>
        <w:spacing w:before="4"/>
        <w:rPr>
          <w:rFonts w:ascii="Times New Roman"/>
          <w:sz w:val="17"/>
        </w:rPr>
      </w:pPr>
    </w:p>
    <w:p>
      <w:pPr>
        <w:spacing w:after="0"/>
        <w:rPr>
          <w:rFonts w:ascii="Times New Roman"/>
          <w:sz w:val="17"/>
        </w:rPr>
        <w:sectPr>
          <w:pgSz w:w="11910" w:h="16840"/>
          <w:pgMar w:top="1580" w:right="1100" w:bottom="280" w:left="1180" w:header="708" w:footer="708"/>
          <w:pgNumType w:start="2"/>
          <w:cols w:space="708"/>
        </w:sectPr>
      </w:pPr>
    </w:p>
    <w:p>
      <w:pPr>
        <w:pStyle w:val="BodyText"/>
        <w:spacing w:before="5"/>
        <w:rPr>
          <w:rFonts w:ascii="Times New Roman"/>
          <w:sz w:val="28"/>
        </w:rPr>
      </w:pPr>
      <w:r>
        <w:pict>
          <v:shapetype id="_x0000_t202" coordsize="21600,21600" o:spt="202" path="m,l,21600r21600,l21600,xe">
            <v:stroke joinstyle="miter"/>
            <v:path gradientshapeok="t" o:connecttype="rect"/>
          </v:shapetype>
          <v:shape id="_x0000_s1029" type="#_x0000_t202" style="width:453.4pt;height:617.7pt;margin-top:132.5pt;margin-left:76.07pt;mso-position-horizontal-relative:page;mso-position-vertical-relative:page;position:absolute;z-index:251659264" filled="f" stroked="f">
            <v:textbox inset="0,0,0,0">
              <w:txbxContent>
                <w:tbl>
                  <w:tblPr>
                    <w:tblStyle w:val="TableNormal0"/>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2689"/>
                    <w:gridCol w:w="2223"/>
                    <w:gridCol w:w="2547"/>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78"/>
                      <w:jc w:val="left"/>
                    </w:trPr>
                    <w:tc>
                      <w:tcPr>
                        <w:tcW w:w="1580" w:type="dxa"/>
                        <w:tcBorders>
                          <w:bottom w:val="single" w:sz="4" w:space="0" w:color="000000"/>
                          <w:right w:val="single" w:sz="4" w:space="0" w:color="000000"/>
                        </w:tcBorders>
                      </w:tcPr>
                      <w:p>
                        <w:pPr>
                          <w:pStyle w:val="TableParagraph"/>
                          <w:spacing w:before="43"/>
                          <w:ind w:right="53"/>
                          <w:jc w:val="right"/>
                          <w:rPr>
                            <w:sz w:val="24"/>
                          </w:rPr>
                        </w:pPr>
                        <w:r>
                          <w:rPr>
                            <w:sz w:val="24"/>
                          </w:rPr>
                          <w:t>建设项目名称</w:t>
                        </w:r>
                      </w:p>
                    </w:tc>
                    <w:tc>
                      <w:tcPr>
                        <w:tcW w:w="7459" w:type="dxa"/>
                        <w:gridSpan w:val="3"/>
                        <w:tcBorders>
                          <w:left w:val="single" w:sz="4" w:space="0" w:color="000000"/>
                          <w:bottom w:val="single" w:sz="4" w:space="0" w:color="000000"/>
                        </w:tcBorders>
                      </w:tcPr>
                      <w:p>
                        <w:pPr>
                          <w:pStyle w:val="TableParagraph"/>
                          <w:spacing w:before="43"/>
                          <w:ind w:left="1671" w:right="1653"/>
                          <w:jc w:val="center"/>
                          <w:rPr>
                            <w:sz w:val="24"/>
                          </w:rPr>
                        </w:pPr>
                        <w:r>
                          <w:rPr>
                            <w:sz w:val="24"/>
                          </w:rPr>
                          <w:t>阜宁东站货运连接线工程（一期）项目</w:t>
                        </w:r>
                      </w:p>
                    </w:tc>
                  </w:tr>
                  <w:tr>
                    <w:tblPrEx>
                      <w:tblW w:w="0" w:type="auto"/>
                      <w:jc w:val="left"/>
                      <w:tblInd w:w="10" w:type="dxa"/>
                      <w:tblLayout w:type="fixed"/>
                      <w:tblCellMar>
                        <w:top w:w="0" w:type="dxa"/>
                        <w:left w:w="0" w:type="dxa"/>
                        <w:bottom w:w="0" w:type="dxa"/>
                        <w:right w:w="0" w:type="dxa"/>
                      </w:tblCellMar>
                      <w:tblLook w:val="01E0"/>
                    </w:tblPrEx>
                    <w:trPr>
                      <w:trHeight w:val="370"/>
                      <w:jc w:val="left"/>
                    </w:trPr>
                    <w:tc>
                      <w:tcPr>
                        <w:tcW w:w="1580" w:type="dxa"/>
                        <w:tcBorders>
                          <w:top w:val="single" w:sz="4" w:space="0" w:color="000000"/>
                          <w:bottom w:val="single" w:sz="4" w:space="0" w:color="000000"/>
                          <w:right w:val="single" w:sz="4" w:space="0" w:color="000000"/>
                        </w:tcBorders>
                      </w:tcPr>
                      <w:p>
                        <w:pPr>
                          <w:pStyle w:val="TableParagraph"/>
                          <w:spacing w:before="39"/>
                          <w:ind w:left="309"/>
                          <w:rPr>
                            <w:sz w:val="24"/>
                          </w:rPr>
                        </w:pPr>
                        <w:r>
                          <w:rPr>
                            <w:sz w:val="24"/>
                          </w:rPr>
                          <w:t>项目代码</w:t>
                        </w:r>
                      </w:p>
                    </w:tc>
                    <w:tc>
                      <w:tcPr>
                        <w:tcW w:w="7459" w:type="dxa"/>
                        <w:gridSpan w:val="3"/>
                        <w:tcBorders>
                          <w:top w:val="single" w:sz="4" w:space="0" w:color="000000"/>
                          <w:left w:val="single" w:sz="4" w:space="0" w:color="000000"/>
                          <w:bottom w:val="single" w:sz="4" w:space="0" w:color="000000"/>
                        </w:tcBorders>
                      </w:tcPr>
                      <w:p>
                        <w:pPr>
                          <w:pStyle w:val="TableParagraph"/>
                          <w:spacing w:before="55"/>
                          <w:ind w:left="1668" w:right="1653"/>
                          <w:jc w:val="center"/>
                          <w:rPr>
                            <w:rFonts w:ascii="Times New Roman"/>
                            <w:sz w:val="24"/>
                          </w:rPr>
                        </w:pPr>
                        <w:r>
                          <w:rPr>
                            <w:rFonts w:ascii="Times New Roman"/>
                            <w:sz w:val="24"/>
                          </w:rPr>
                          <w:t>2303-320923-89-01-396477</w:t>
                        </w:r>
                      </w:p>
                    </w:tc>
                  </w:tr>
                  <w:tr>
                    <w:tblPrEx>
                      <w:tblW w:w="0" w:type="auto"/>
                      <w:jc w:val="left"/>
                      <w:tblInd w:w="10" w:type="dxa"/>
                      <w:tblLayout w:type="fixed"/>
                      <w:tblCellMar>
                        <w:top w:w="0" w:type="dxa"/>
                        <w:left w:w="0" w:type="dxa"/>
                        <w:bottom w:w="0" w:type="dxa"/>
                        <w:right w:w="0" w:type="dxa"/>
                      </w:tblCellMar>
                      <w:tblLook w:val="01E0"/>
                    </w:tblPrEx>
                    <w:trPr>
                      <w:trHeight w:val="639"/>
                      <w:jc w:val="left"/>
                    </w:trPr>
                    <w:tc>
                      <w:tcPr>
                        <w:tcW w:w="1580" w:type="dxa"/>
                        <w:tcBorders>
                          <w:top w:val="single" w:sz="4" w:space="0" w:color="000000"/>
                          <w:bottom w:val="single" w:sz="4" w:space="0" w:color="000000"/>
                          <w:right w:val="single" w:sz="4" w:space="0" w:color="000000"/>
                        </w:tcBorders>
                      </w:tcPr>
                      <w:p>
                        <w:pPr>
                          <w:pStyle w:val="TableParagraph"/>
                          <w:spacing w:before="15" w:line="310" w:lineRule="atLeast"/>
                          <w:ind w:left="669" w:right="53" w:hanging="600"/>
                          <w:rPr>
                            <w:sz w:val="24"/>
                          </w:rPr>
                        </w:pPr>
                        <w:r>
                          <w:rPr>
                            <w:sz w:val="24"/>
                          </w:rPr>
                          <w:t>建设单位联系人</w:t>
                        </w:r>
                      </w:p>
                    </w:tc>
                    <w:tc>
                      <w:tcPr>
                        <w:tcW w:w="2689" w:type="dxa"/>
                        <w:tcBorders>
                          <w:top w:val="single" w:sz="4" w:space="0" w:color="000000"/>
                          <w:left w:val="single" w:sz="4" w:space="0" w:color="000000"/>
                          <w:bottom w:val="single" w:sz="4" w:space="0" w:color="000000"/>
                          <w:right w:val="single" w:sz="4" w:space="0" w:color="000000"/>
                        </w:tcBorders>
                      </w:tcPr>
                      <w:p>
                        <w:pPr>
                          <w:pStyle w:val="TableParagraph"/>
                          <w:spacing w:before="190"/>
                          <w:ind w:left="27" w:right="10"/>
                          <w:jc w:val="center"/>
                          <w:rPr>
                            <w:rFonts w:ascii="Times New Roman"/>
                            <w:sz w:val="24"/>
                          </w:rPr>
                        </w:pPr>
                        <w:r>
                          <w:rPr>
                            <w:rFonts w:ascii="Times New Roman"/>
                            <w:sz w:val="24"/>
                          </w:rPr>
                          <w:t>***</w:t>
                        </w:r>
                      </w:p>
                    </w:tc>
                    <w:tc>
                      <w:tcPr>
                        <w:tcW w:w="2223" w:type="dxa"/>
                        <w:tcBorders>
                          <w:top w:val="single" w:sz="4" w:space="0" w:color="000000"/>
                          <w:left w:val="single" w:sz="4" w:space="0" w:color="000000"/>
                          <w:bottom w:val="single" w:sz="4" w:space="0" w:color="000000"/>
                          <w:right w:val="single" w:sz="4" w:space="0" w:color="000000"/>
                        </w:tcBorders>
                      </w:tcPr>
                      <w:p>
                        <w:pPr>
                          <w:pStyle w:val="TableParagraph"/>
                          <w:spacing w:before="174"/>
                          <w:ind w:left="134" w:right="109"/>
                          <w:jc w:val="center"/>
                          <w:rPr>
                            <w:sz w:val="24"/>
                          </w:rPr>
                        </w:pPr>
                        <w:r>
                          <w:rPr>
                            <w:sz w:val="24"/>
                          </w:rPr>
                          <w:t>联系方式</w:t>
                        </w:r>
                      </w:p>
                    </w:tc>
                    <w:tc>
                      <w:tcPr>
                        <w:tcW w:w="2547" w:type="dxa"/>
                        <w:tcBorders>
                          <w:top w:val="single" w:sz="4" w:space="0" w:color="000000"/>
                          <w:left w:val="single" w:sz="4" w:space="0" w:color="000000"/>
                          <w:bottom w:val="single" w:sz="4" w:space="0" w:color="000000"/>
                        </w:tcBorders>
                      </w:tcPr>
                      <w:p>
                        <w:pPr>
                          <w:pStyle w:val="TableParagraph"/>
                          <w:spacing w:before="190"/>
                          <w:ind w:left="-128" w:right="893"/>
                          <w:jc w:val="right"/>
                          <w:rPr>
                            <w:rFonts w:ascii="Times New Roman"/>
                            <w:sz w:val="24"/>
                          </w:rPr>
                        </w:pPr>
                        <w:r>
                          <w:rPr>
                            <w:rFonts w:ascii="Times New Roman"/>
                            <w:sz w:val="24"/>
                          </w:rPr>
                          <w:t>******</w:t>
                        </w:r>
                      </w:p>
                    </w:tc>
                  </w:tr>
                  <w:tr>
                    <w:tblPrEx>
                      <w:tblW w:w="0" w:type="auto"/>
                      <w:jc w:val="left"/>
                      <w:tblInd w:w="10" w:type="dxa"/>
                      <w:tblLayout w:type="fixed"/>
                      <w:tblCellMar>
                        <w:top w:w="0" w:type="dxa"/>
                        <w:left w:w="0" w:type="dxa"/>
                        <w:bottom w:w="0" w:type="dxa"/>
                        <w:right w:w="0" w:type="dxa"/>
                      </w:tblCellMar>
                      <w:tblLook w:val="01E0"/>
                    </w:tblPrEx>
                    <w:trPr>
                      <w:trHeight w:val="377"/>
                      <w:jc w:val="left"/>
                    </w:trPr>
                    <w:tc>
                      <w:tcPr>
                        <w:tcW w:w="1580" w:type="dxa"/>
                        <w:tcBorders>
                          <w:top w:val="single" w:sz="4" w:space="0" w:color="000000"/>
                          <w:bottom w:val="single" w:sz="4" w:space="0" w:color="000000"/>
                          <w:right w:val="single" w:sz="4" w:space="0" w:color="000000"/>
                        </w:tcBorders>
                      </w:tcPr>
                      <w:p>
                        <w:pPr>
                          <w:pStyle w:val="TableParagraph"/>
                          <w:spacing w:before="41"/>
                          <w:ind w:left="309"/>
                          <w:rPr>
                            <w:sz w:val="24"/>
                          </w:rPr>
                        </w:pPr>
                        <w:r>
                          <w:rPr>
                            <w:sz w:val="24"/>
                          </w:rPr>
                          <w:t>建设地点</w:t>
                        </w:r>
                      </w:p>
                    </w:tc>
                    <w:tc>
                      <w:tcPr>
                        <w:tcW w:w="7459" w:type="dxa"/>
                        <w:gridSpan w:val="3"/>
                        <w:tcBorders>
                          <w:top w:val="single" w:sz="4" w:space="0" w:color="000000"/>
                          <w:left w:val="single" w:sz="4" w:space="0" w:color="000000"/>
                          <w:bottom w:val="single" w:sz="4" w:space="0" w:color="000000"/>
                        </w:tcBorders>
                      </w:tcPr>
                      <w:p>
                        <w:pPr>
                          <w:pStyle w:val="TableParagraph"/>
                          <w:spacing w:before="41"/>
                          <w:ind w:left="851"/>
                          <w:rPr>
                            <w:sz w:val="24"/>
                          </w:rPr>
                        </w:pPr>
                        <w:r>
                          <w:rPr>
                            <w:sz w:val="24"/>
                            <w:u w:val="single"/>
                          </w:rPr>
                          <w:t>江苏省盐城市阜宁县（阜宁县东站货运场站至射阜线）</w:t>
                        </w:r>
                      </w:p>
                    </w:tc>
                  </w:tr>
                  <w:tr>
                    <w:tblPrEx>
                      <w:tblW w:w="0" w:type="auto"/>
                      <w:jc w:val="left"/>
                      <w:tblInd w:w="10" w:type="dxa"/>
                      <w:tblLayout w:type="fixed"/>
                      <w:tblCellMar>
                        <w:top w:w="0" w:type="dxa"/>
                        <w:left w:w="0" w:type="dxa"/>
                        <w:bottom w:w="0" w:type="dxa"/>
                        <w:right w:w="0" w:type="dxa"/>
                      </w:tblCellMar>
                      <w:tblLook w:val="01E0"/>
                    </w:tblPrEx>
                    <w:trPr>
                      <w:trHeight w:val="637"/>
                      <w:jc w:val="left"/>
                    </w:trPr>
                    <w:tc>
                      <w:tcPr>
                        <w:tcW w:w="1580" w:type="dxa"/>
                        <w:tcBorders>
                          <w:top w:val="single" w:sz="4" w:space="0" w:color="000000"/>
                          <w:bottom w:val="single" w:sz="4" w:space="0" w:color="000000"/>
                          <w:right w:val="single" w:sz="4" w:space="0" w:color="000000"/>
                        </w:tcBorders>
                      </w:tcPr>
                      <w:p>
                        <w:pPr>
                          <w:pStyle w:val="TableParagraph"/>
                          <w:spacing w:before="171"/>
                          <w:ind w:left="309"/>
                          <w:rPr>
                            <w:sz w:val="24"/>
                          </w:rPr>
                        </w:pPr>
                        <w:r>
                          <w:rPr>
                            <w:sz w:val="24"/>
                          </w:rPr>
                          <w:t>地理坐标</w:t>
                        </w:r>
                      </w:p>
                    </w:tc>
                    <w:tc>
                      <w:tcPr>
                        <w:tcW w:w="7459" w:type="dxa"/>
                        <w:gridSpan w:val="3"/>
                        <w:tcBorders>
                          <w:top w:val="single" w:sz="4" w:space="0" w:color="000000"/>
                          <w:left w:val="single" w:sz="4" w:space="0" w:color="000000"/>
                          <w:bottom w:val="single" w:sz="4" w:space="0" w:color="000000"/>
                        </w:tcBorders>
                      </w:tcPr>
                      <w:p>
                        <w:pPr>
                          <w:pStyle w:val="TableParagraph"/>
                          <w:spacing w:before="15" w:line="310" w:lineRule="atLeast"/>
                          <w:ind w:left="616" w:right="535" w:hanging="60"/>
                          <w:rPr>
                            <w:sz w:val="24"/>
                          </w:rPr>
                        </w:pPr>
                        <w:r>
                          <w:rPr>
                            <w:color w:val="0000FF"/>
                            <w:sz w:val="24"/>
                          </w:rPr>
                          <w:t>起点：（</w:t>
                        </w:r>
                        <w:r>
                          <w:rPr>
                            <w:color w:val="0000FF"/>
                            <w:spacing w:val="-20"/>
                            <w:sz w:val="24"/>
                          </w:rPr>
                          <w:t xml:space="preserve">东经 </w:t>
                        </w:r>
                        <w:r>
                          <w:rPr>
                            <w:rFonts w:ascii="Times New Roman" w:eastAsia="Times New Roman" w:hAnsi="Times New Roman"/>
                            <w:color w:val="0000FF"/>
                            <w:sz w:val="24"/>
                          </w:rPr>
                          <w:t>119</w:t>
                        </w:r>
                        <w:r>
                          <w:rPr>
                            <w:color w:val="0000FF"/>
                            <w:sz w:val="24"/>
                          </w:rPr>
                          <w:t>°</w:t>
                        </w:r>
                        <w:r>
                          <w:rPr>
                            <w:rFonts w:ascii="Times New Roman" w:eastAsia="Times New Roman" w:hAnsi="Times New Roman"/>
                            <w:color w:val="0000FF"/>
                            <w:sz w:val="24"/>
                          </w:rPr>
                          <w:t>56</w:t>
                        </w:r>
                        <w:r>
                          <w:rPr>
                            <w:color w:val="0000FF"/>
                            <w:sz w:val="24"/>
                          </w:rPr>
                          <w:t>′</w:t>
                        </w:r>
                        <w:r>
                          <w:rPr>
                            <w:rFonts w:ascii="Times New Roman" w:eastAsia="Times New Roman" w:hAnsi="Times New Roman"/>
                            <w:color w:val="0000FF"/>
                            <w:sz w:val="24"/>
                          </w:rPr>
                          <w:t>22.743</w:t>
                        </w:r>
                        <w:r>
                          <w:rPr>
                            <w:color w:val="0000FF"/>
                            <w:spacing w:val="-12"/>
                            <w:sz w:val="24"/>
                          </w:rPr>
                          <w:t xml:space="preserve">″，北纬 </w:t>
                        </w:r>
                        <w:r>
                          <w:rPr>
                            <w:rFonts w:ascii="Times New Roman" w:eastAsia="Times New Roman" w:hAnsi="Times New Roman"/>
                            <w:color w:val="0000FF"/>
                            <w:spacing w:val="-2"/>
                            <w:sz w:val="24"/>
                          </w:rPr>
                          <w:t>33</w:t>
                        </w:r>
                        <w:r>
                          <w:rPr>
                            <w:color w:val="0000FF"/>
                            <w:spacing w:val="-2"/>
                            <w:sz w:val="24"/>
                          </w:rPr>
                          <w:t>°</w:t>
                        </w:r>
                        <w:r>
                          <w:rPr>
                            <w:rFonts w:ascii="Times New Roman" w:eastAsia="Times New Roman" w:hAnsi="Times New Roman"/>
                            <w:color w:val="0000FF"/>
                            <w:spacing w:val="-2"/>
                            <w:sz w:val="24"/>
                          </w:rPr>
                          <w:t>47</w:t>
                        </w:r>
                        <w:r>
                          <w:rPr>
                            <w:color w:val="0000FF"/>
                            <w:spacing w:val="-2"/>
                            <w:sz w:val="24"/>
                          </w:rPr>
                          <w:t>′</w:t>
                        </w:r>
                        <w:r>
                          <w:rPr>
                            <w:rFonts w:ascii="Times New Roman" w:eastAsia="Times New Roman" w:hAnsi="Times New Roman"/>
                            <w:color w:val="0000FF"/>
                            <w:spacing w:val="-2"/>
                            <w:sz w:val="24"/>
                          </w:rPr>
                          <w:t>55.918</w:t>
                        </w:r>
                        <w:r>
                          <w:rPr>
                            <w:color w:val="0000FF"/>
                            <w:spacing w:val="-2"/>
                            <w:sz w:val="24"/>
                          </w:rPr>
                          <w:t xml:space="preserve">″） </w:t>
                        </w:r>
                        <w:r>
                          <w:rPr>
                            <w:color w:val="0000FF"/>
                            <w:sz w:val="24"/>
                          </w:rPr>
                          <w:t>终点：（</w:t>
                        </w:r>
                        <w:r>
                          <w:rPr>
                            <w:color w:val="0000FF"/>
                            <w:spacing w:val="-22"/>
                            <w:sz w:val="24"/>
                          </w:rPr>
                          <w:t xml:space="preserve">东经 </w:t>
                        </w:r>
                        <w:r>
                          <w:rPr>
                            <w:rFonts w:ascii="Times New Roman" w:eastAsia="Times New Roman" w:hAnsi="Times New Roman"/>
                            <w:color w:val="0000FF"/>
                            <w:sz w:val="24"/>
                          </w:rPr>
                          <w:t>119</w:t>
                        </w:r>
                        <w:r>
                          <w:rPr>
                            <w:color w:val="0000FF"/>
                            <w:sz w:val="24"/>
                          </w:rPr>
                          <w:t>°</w:t>
                        </w:r>
                        <w:r>
                          <w:rPr>
                            <w:rFonts w:ascii="Times New Roman" w:eastAsia="Times New Roman" w:hAnsi="Times New Roman"/>
                            <w:color w:val="0000FF"/>
                            <w:sz w:val="24"/>
                          </w:rPr>
                          <w:t>56</w:t>
                        </w:r>
                        <w:r>
                          <w:rPr>
                            <w:color w:val="0000FF"/>
                            <w:sz w:val="24"/>
                          </w:rPr>
                          <w:t>′</w:t>
                        </w:r>
                        <w:r>
                          <w:rPr>
                            <w:rFonts w:ascii="Times New Roman" w:eastAsia="Times New Roman" w:hAnsi="Times New Roman"/>
                            <w:color w:val="0000FF"/>
                            <w:sz w:val="24"/>
                          </w:rPr>
                          <w:t>39.815</w:t>
                        </w:r>
                        <w:r>
                          <w:rPr>
                            <w:color w:val="0000FF"/>
                            <w:spacing w:val="-13"/>
                            <w:sz w:val="24"/>
                          </w:rPr>
                          <w:t xml:space="preserve">″，北纬 </w:t>
                        </w:r>
                        <w:r>
                          <w:rPr>
                            <w:rFonts w:ascii="Times New Roman" w:eastAsia="Times New Roman" w:hAnsi="Times New Roman"/>
                            <w:color w:val="0000FF"/>
                            <w:sz w:val="24"/>
                          </w:rPr>
                          <w:t>3</w:t>
                        </w:r>
                        <w:r>
                          <w:rPr>
                            <w:color w:val="0000FF"/>
                            <w:sz w:val="24"/>
                          </w:rPr>
                          <w:t>°</w:t>
                        </w:r>
                        <w:r>
                          <w:rPr>
                            <w:rFonts w:ascii="Times New Roman" w:eastAsia="Times New Roman" w:hAnsi="Times New Roman"/>
                            <w:color w:val="0000FF"/>
                            <w:sz w:val="24"/>
                          </w:rPr>
                          <w:t>46</w:t>
                        </w:r>
                        <w:r>
                          <w:rPr>
                            <w:color w:val="0000FF"/>
                            <w:sz w:val="24"/>
                          </w:rPr>
                          <w:t>′</w:t>
                        </w:r>
                        <w:r>
                          <w:rPr>
                            <w:rFonts w:ascii="Times New Roman" w:eastAsia="Times New Roman" w:hAnsi="Times New Roman"/>
                            <w:color w:val="0000FF"/>
                            <w:sz w:val="24"/>
                          </w:rPr>
                          <w:t>47.322</w:t>
                        </w:r>
                        <w:r>
                          <w:rPr>
                            <w:color w:val="0000FF"/>
                            <w:sz w:val="24"/>
                          </w:rPr>
                          <w:t>″）</w:t>
                        </w:r>
                      </w:p>
                    </w:tc>
                  </w:tr>
                  <w:tr>
                    <w:tblPrEx>
                      <w:tblW w:w="0" w:type="auto"/>
                      <w:jc w:val="left"/>
                      <w:tblInd w:w="10" w:type="dxa"/>
                      <w:tblLayout w:type="fixed"/>
                      <w:tblCellMar>
                        <w:top w:w="0" w:type="dxa"/>
                        <w:left w:w="0" w:type="dxa"/>
                        <w:bottom w:w="0" w:type="dxa"/>
                        <w:right w:w="0" w:type="dxa"/>
                      </w:tblCellMar>
                      <w:tblLook w:val="01E0"/>
                    </w:tblPrEx>
                    <w:trPr>
                      <w:trHeight w:val="2817"/>
                      <w:jc w:val="left"/>
                    </w:trPr>
                    <w:tc>
                      <w:tcPr>
                        <w:tcW w:w="1580" w:type="dxa"/>
                        <w:tcBorders>
                          <w:top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185" w:line="242" w:lineRule="auto"/>
                          <w:ind w:left="309" w:right="293"/>
                          <w:rPr>
                            <w:sz w:val="24"/>
                          </w:rPr>
                        </w:pPr>
                        <w:r>
                          <w:rPr>
                            <w:sz w:val="24"/>
                          </w:rPr>
                          <w:t>建设项目行业类别</w:t>
                        </w:r>
                      </w:p>
                    </w:tc>
                    <w:tc>
                      <w:tcPr>
                        <w:tcW w:w="2689" w:type="dxa"/>
                        <w:tcBorders>
                          <w:top w:val="single" w:sz="4" w:space="0" w:color="000000"/>
                          <w:left w:val="single" w:sz="4" w:space="0" w:color="000000"/>
                          <w:bottom w:val="single" w:sz="4" w:space="0" w:color="000000"/>
                          <w:right w:val="single" w:sz="4" w:space="0" w:color="000000"/>
                        </w:tcBorders>
                      </w:tcPr>
                      <w:p>
                        <w:pPr>
                          <w:pStyle w:val="TableParagraph"/>
                          <w:spacing w:before="18" w:line="242" w:lineRule="auto"/>
                          <w:ind w:left="8" w:right="-15" w:hanging="3"/>
                          <w:jc w:val="center"/>
                          <w:rPr>
                            <w:sz w:val="24"/>
                          </w:rPr>
                        </w:pPr>
                        <w:r>
                          <w:rPr>
                            <w:sz w:val="24"/>
                          </w:rPr>
                          <w:t>五十二、交通运输业、管</w:t>
                        </w:r>
                        <w:r>
                          <w:rPr>
                            <w:spacing w:val="-3"/>
                            <w:sz w:val="24"/>
                          </w:rPr>
                          <w:t>道运输业：</w:t>
                        </w:r>
                        <w:r>
                          <w:rPr>
                            <w:rFonts w:ascii="Times New Roman" w:eastAsia="Times New Roman"/>
                            <w:spacing w:val="-11"/>
                            <w:sz w:val="24"/>
                          </w:rPr>
                          <w:t>130</w:t>
                        </w:r>
                        <w:r>
                          <w:rPr>
                            <w:spacing w:val="-12"/>
                            <w:sz w:val="24"/>
                          </w:rPr>
                          <w:t>、等级公路</w:t>
                        </w:r>
                      </w:p>
                      <w:p>
                        <w:pPr>
                          <w:pStyle w:val="TableParagraph"/>
                          <w:spacing w:line="242" w:lineRule="auto"/>
                          <w:ind w:left="8" w:right="-15" w:firstLine="19"/>
                          <w:jc w:val="both"/>
                          <w:rPr>
                            <w:sz w:val="24"/>
                          </w:rPr>
                        </w:pPr>
                        <w:r>
                          <w:rPr>
                            <w:sz w:val="24"/>
                          </w:rPr>
                          <w:t>（不含维护；不含生命救援、应急保通工程以及国防交通保障项目；不含改扩建四级公路</w:t>
                        </w:r>
                        <w:r>
                          <w:rPr>
                            <w:spacing w:val="-101"/>
                            <w:sz w:val="24"/>
                          </w:rPr>
                          <w:t>）</w:t>
                        </w:r>
                        <w:r>
                          <w:rPr>
                            <w:spacing w:val="-34"/>
                            <w:sz w:val="24"/>
                          </w:rPr>
                          <w:t>中其他</w:t>
                        </w:r>
                        <w:r>
                          <w:rPr>
                            <w:sz w:val="24"/>
                          </w:rPr>
                          <w:t>（</w:t>
                        </w:r>
                        <w:r>
                          <w:rPr>
                            <w:spacing w:val="-14"/>
                            <w:sz w:val="24"/>
                          </w:rPr>
                          <w:t>配</w:t>
                        </w:r>
                        <w:r>
                          <w:rPr>
                            <w:sz w:val="24"/>
                          </w:rPr>
                          <w:t>套设施除外；不涉及环境</w:t>
                        </w:r>
                      </w:p>
                      <w:p>
                        <w:pPr>
                          <w:pStyle w:val="TableParagraph"/>
                          <w:spacing w:before="2" w:line="310" w:lineRule="atLeast"/>
                          <w:ind w:left="28" w:right="10"/>
                          <w:jc w:val="center"/>
                          <w:rPr>
                            <w:sz w:val="24"/>
                          </w:rPr>
                        </w:pPr>
                        <w:r>
                          <w:rPr>
                            <w:sz w:val="24"/>
                          </w:rPr>
                          <w:t>敏感区的三级、四级公路除外）</w:t>
                        </w:r>
                      </w:p>
                    </w:tc>
                    <w:tc>
                      <w:tcPr>
                        <w:tcW w:w="2223" w:type="dxa"/>
                        <w:tcBorders>
                          <w:top w:val="single" w:sz="4" w:space="0" w:color="000000"/>
                          <w:left w:val="single" w:sz="4" w:space="0" w:color="000000"/>
                          <w:bottom w:val="single" w:sz="4" w:space="0" w:color="000000"/>
                          <w:right w:val="single" w:sz="4" w:space="0" w:color="000000"/>
                        </w:tcBorders>
                      </w:tcPr>
                      <w:p>
                        <w:pPr>
                          <w:pStyle w:val="TableParagraph"/>
                          <w:rPr>
                            <w:sz w:val="26"/>
                          </w:rPr>
                        </w:pPr>
                      </w:p>
                      <w:p>
                        <w:pPr>
                          <w:pStyle w:val="TableParagraph"/>
                          <w:rPr>
                            <w:sz w:val="26"/>
                          </w:rPr>
                        </w:pPr>
                      </w:p>
                      <w:p>
                        <w:pPr>
                          <w:pStyle w:val="TableParagraph"/>
                          <w:spacing w:before="5"/>
                          <w:rPr>
                            <w:sz w:val="34"/>
                          </w:rPr>
                        </w:pPr>
                      </w:p>
                      <w:p>
                        <w:pPr>
                          <w:pStyle w:val="TableParagraph"/>
                          <w:ind w:left="10"/>
                          <w:rPr>
                            <w:rFonts w:ascii="Times New Roman" w:eastAsia="Times New Roman"/>
                            <w:sz w:val="15"/>
                          </w:rPr>
                        </w:pPr>
                        <w:r>
                          <w:rPr>
                            <w:spacing w:val="-56"/>
                            <w:sz w:val="24"/>
                          </w:rPr>
                          <w:t>用地</w:t>
                        </w:r>
                        <w:r>
                          <w:rPr>
                            <w:spacing w:val="-3"/>
                            <w:sz w:val="24"/>
                          </w:rPr>
                          <w:t>（</w:t>
                        </w:r>
                        <w:r>
                          <w:rPr>
                            <w:sz w:val="24"/>
                          </w:rPr>
                          <w:t>用海</w:t>
                        </w:r>
                        <w:r>
                          <w:rPr>
                            <w:spacing w:val="-113"/>
                            <w:sz w:val="24"/>
                          </w:rPr>
                          <w:t>）</w:t>
                        </w:r>
                        <w:r>
                          <w:rPr>
                            <w:spacing w:val="-56"/>
                            <w:sz w:val="24"/>
                          </w:rPr>
                          <w:t>面积</w:t>
                        </w:r>
                        <w:r>
                          <w:rPr>
                            <w:sz w:val="24"/>
                          </w:rPr>
                          <w:t>（</w:t>
                        </w:r>
                        <w:r>
                          <w:rPr>
                            <w:rFonts w:ascii="Times New Roman" w:eastAsia="Times New Roman"/>
                            <w:sz w:val="24"/>
                          </w:rPr>
                          <w:t>m</w:t>
                        </w:r>
                        <w:r>
                          <w:rPr>
                            <w:rFonts w:ascii="Times New Roman" w:eastAsia="Times New Roman"/>
                            <w:position w:val="8"/>
                            <w:sz w:val="15"/>
                          </w:rPr>
                          <w:t>2</w:t>
                        </w:r>
                      </w:p>
                      <w:p>
                        <w:pPr>
                          <w:pStyle w:val="TableParagraph"/>
                          <w:spacing w:before="3"/>
                          <w:ind w:left="447"/>
                          <w:rPr>
                            <w:sz w:val="24"/>
                          </w:rPr>
                        </w:pPr>
                        <w:r>
                          <w:rPr>
                            <w:rFonts w:ascii="Times New Roman" w:eastAsia="Times New Roman"/>
                            <w:sz w:val="24"/>
                          </w:rPr>
                          <w:t>/</w:t>
                        </w:r>
                        <w:r>
                          <w:rPr>
                            <w:sz w:val="24"/>
                          </w:rPr>
                          <w:t>长度（</w:t>
                        </w:r>
                        <w:r>
                          <w:rPr>
                            <w:rFonts w:ascii="Times New Roman" w:eastAsia="Times New Roman"/>
                            <w:sz w:val="24"/>
                          </w:rPr>
                          <w:t>km</w:t>
                        </w:r>
                        <w:r>
                          <w:rPr>
                            <w:sz w:val="24"/>
                          </w:rPr>
                          <w:t>）</w:t>
                        </w:r>
                      </w:p>
                    </w:tc>
                    <w:tc>
                      <w:tcPr>
                        <w:tcW w:w="2547" w:type="dxa"/>
                        <w:tcBorders>
                          <w:top w:val="single" w:sz="4" w:space="0" w:color="000000"/>
                          <w:left w:val="single" w:sz="4" w:space="0" w:color="000000"/>
                          <w:bottom w:val="single" w:sz="4" w:space="0" w:color="000000"/>
                        </w:tcBorders>
                      </w:tcPr>
                      <w:p>
                        <w:pPr>
                          <w:pStyle w:val="TableParagraph"/>
                          <w:rPr>
                            <w:sz w:val="40"/>
                          </w:rPr>
                        </w:pPr>
                      </w:p>
                      <w:p>
                        <w:pPr>
                          <w:pStyle w:val="TableParagraph"/>
                          <w:spacing w:before="9"/>
                          <w:rPr>
                            <w:sz w:val="46"/>
                          </w:rPr>
                        </w:pPr>
                      </w:p>
                      <w:p>
                        <w:pPr>
                          <w:pStyle w:val="TableParagraph"/>
                          <w:tabs>
                            <w:tab w:val="left" w:pos="849"/>
                          </w:tabs>
                          <w:ind w:left="-128" w:right="833"/>
                          <w:jc w:val="right"/>
                          <w:rPr>
                            <w:rFonts w:ascii="Times New Roman" w:eastAsia="Times New Roman"/>
                            <w:sz w:val="24"/>
                          </w:rPr>
                        </w:pPr>
                        <w:r>
                          <w:rPr>
                            <w:position w:val="15"/>
                            <w:sz w:val="24"/>
                          </w:rPr>
                          <w:t>）</w:t>
                          <w:tab/>
                        </w:r>
                        <w:r>
                          <w:rPr>
                            <w:rFonts w:ascii="Times New Roman" w:eastAsia="Times New Roman"/>
                            <w:spacing w:val="-3"/>
                            <w:sz w:val="24"/>
                          </w:rPr>
                          <w:t>2.453km</w:t>
                        </w:r>
                      </w:p>
                    </w:tc>
                  </w:tr>
                  <w:tr>
                    <w:tblPrEx>
                      <w:tblW w:w="0" w:type="auto"/>
                      <w:jc w:val="left"/>
                      <w:tblInd w:w="10" w:type="dxa"/>
                      <w:tblLayout w:type="fixed"/>
                      <w:tblCellMar>
                        <w:top w:w="0" w:type="dxa"/>
                        <w:left w:w="0" w:type="dxa"/>
                        <w:bottom w:w="0" w:type="dxa"/>
                        <w:right w:w="0" w:type="dxa"/>
                      </w:tblCellMar>
                      <w:tblLook w:val="01E0"/>
                    </w:tblPrEx>
                    <w:trPr>
                      <w:trHeight w:val="1900"/>
                      <w:jc w:val="left"/>
                    </w:trPr>
                    <w:tc>
                      <w:tcPr>
                        <w:tcW w:w="1580" w:type="dxa"/>
                        <w:tcBorders>
                          <w:top w:val="single" w:sz="4" w:space="0" w:color="000000"/>
                          <w:bottom w:val="single" w:sz="4" w:space="0" w:color="000000"/>
                          <w:right w:val="single" w:sz="4" w:space="0" w:color="000000"/>
                        </w:tcBorders>
                      </w:tcPr>
                      <w:p>
                        <w:pPr>
                          <w:pStyle w:val="TableParagraph"/>
                          <w:rPr>
                            <w:sz w:val="24"/>
                          </w:rPr>
                        </w:pPr>
                      </w:p>
                      <w:p>
                        <w:pPr>
                          <w:pStyle w:val="TableParagraph"/>
                          <w:rPr>
                            <w:sz w:val="24"/>
                          </w:rPr>
                        </w:pPr>
                      </w:p>
                      <w:p>
                        <w:pPr>
                          <w:pStyle w:val="TableParagraph"/>
                          <w:spacing w:before="188"/>
                          <w:ind w:left="309"/>
                          <w:rPr>
                            <w:sz w:val="24"/>
                          </w:rPr>
                        </w:pPr>
                        <w:r>
                          <w:rPr>
                            <w:sz w:val="24"/>
                          </w:rPr>
                          <w:t>建设性质</w:t>
                        </w:r>
                      </w:p>
                    </w:tc>
                    <w:tc>
                      <w:tcPr>
                        <w:tcW w:w="2689" w:type="dxa"/>
                        <w:tcBorders>
                          <w:top w:val="single" w:sz="4" w:space="0" w:color="000000"/>
                          <w:left w:val="single" w:sz="4" w:space="0" w:color="000000"/>
                          <w:bottom w:val="single" w:sz="4" w:space="0" w:color="000000"/>
                          <w:right w:val="single" w:sz="4" w:space="0" w:color="000000"/>
                        </w:tcBorders>
                      </w:tcPr>
                      <w:p>
                        <w:pPr>
                          <w:pStyle w:val="TableParagraph"/>
                          <w:spacing w:before="5"/>
                          <w:rPr>
                            <w:sz w:val="25"/>
                          </w:rPr>
                        </w:pPr>
                      </w:p>
                      <w:p>
                        <w:pPr>
                          <w:pStyle w:val="TableParagraph"/>
                          <w:ind w:left="8"/>
                          <w:rPr>
                            <w:sz w:val="24"/>
                          </w:rPr>
                        </w:pPr>
                        <w:r>
                          <w:rPr>
                            <w:rFonts w:ascii="Segoe UI Symbol" w:eastAsia="Segoe UI Symbol" w:hAnsi="Segoe UI Symbol"/>
                            <w:sz w:val="24"/>
                          </w:rPr>
                          <w:t>☑</w:t>
                        </w:r>
                        <w:r>
                          <w:rPr>
                            <w:sz w:val="24"/>
                          </w:rPr>
                          <w:t>新建（迁建）</w:t>
                        </w:r>
                      </w:p>
                      <w:p>
                        <w:pPr>
                          <w:pStyle w:val="TableParagraph"/>
                          <w:spacing w:before="5"/>
                          <w:ind w:left="8"/>
                          <w:rPr>
                            <w:sz w:val="24"/>
                          </w:rPr>
                        </w:pPr>
                        <w:r>
                          <w:rPr>
                            <w:rFonts w:ascii="Times New Roman" w:eastAsia="Times New Roman" w:hAnsi="Times New Roman"/>
                            <w:spacing w:val="-1"/>
                            <w:sz w:val="24"/>
                          </w:rPr>
                          <w:t>□</w:t>
                        </w:r>
                        <w:r>
                          <w:rPr>
                            <w:sz w:val="24"/>
                          </w:rPr>
                          <w:t>改建</w:t>
                        </w:r>
                      </w:p>
                      <w:p>
                        <w:pPr>
                          <w:pStyle w:val="TableParagraph"/>
                          <w:spacing w:before="2"/>
                          <w:ind w:left="8"/>
                          <w:rPr>
                            <w:sz w:val="24"/>
                          </w:rPr>
                        </w:pPr>
                        <w:r>
                          <w:rPr>
                            <w:rFonts w:ascii="Times New Roman" w:eastAsia="Times New Roman" w:hAnsi="Times New Roman"/>
                            <w:spacing w:val="-1"/>
                            <w:sz w:val="24"/>
                          </w:rPr>
                          <w:t>□</w:t>
                        </w:r>
                        <w:r>
                          <w:rPr>
                            <w:sz w:val="24"/>
                          </w:rPr>
                          <w:t>扩建</w:t>
                        </w:r>
                      </w:p>
                      <w:p>
                        <w:pPr>
                          <w:pStyle w:val="TableParagraph"/>
                          <w:spacing w:before="4"/>
                          <w:ind w:left="8"/>
                          <w:rPr>
                            <w:sz w:val="24"/>
                          </w:rPr>
                        </w:pPr>
                        <w:r>
                          <w:rPr>
                            <w:rFonts w:ascii="Times New Roman" w:eastAsia="Times New Roman" w:hAnsi="Times New Roman"/>
                            <w:sz w:val="24"/>
                          </w:rPr>
                          <w:t>□</w:t>
                        </w:r>
                        <w:r>
                          <w:rPr>
                            <w:sz w:val="24"/>
                          </w:rPr>
                          <w:t>技术改造</w:t>
                        </w:r>
                      </w:p>
                    </w:tc>
                    <w:tc>
                      <w:tcPr>
                        <w:tcW w:w="2223" w:type="dxa"/>
                        <w:tcBorders>
                          <w:top w:val="single" w:sz="4" w:space="0" w:color="000000"/>
                          <w:left w:val="single" w:sz="4" w:space="0" w:color="000000"/>
                          <w:bottom w:val="single" w:sz="4" w:space="0" w:color="000000"/>
                          <w:right w:val="single" w:sz="4" w:space="0" w:color="000000"/>
                        </w:tcBorders>
                      </w:tcPr>
                      <w:p>
                        <w:pPr>
                          <w:pStyle w:val="TableParagraph"/>
                          <w:rPr>
                            <w:sz w:val="24"/>
                          </w:rPr>
                        </w:pPr>
                      </w:p>
                      <w:p>
                        <w:pPr>
                          <w:pStyle w:val="TableParagraph"/>
                          <w:spacing w:before="6"/>
                          <w:rPr>
                            <w:sz w:val="26"/>
                          </w:rPr>
                        </w:pPr>
                      </w:p>
                      <w:p>
                        <w:pPr>
                          <w:pStyle w:val="TableParagraph"/>
                          <w:spacing w:line="242" w:lineRule="auto"/>
                          <w:ind w:left="634" w:right="616"/>
                          <w:rPr>
                            <w:sz w:val="24"/>
                          </w:rPr>
                        </w:pPr>
                        <w:r>
                          <w:rPr>
                            <w:sz w:val="24"/>
                          </w:rPr>
                          <w:t>建设项目申报情形</w:t>
                        </w:r>
                      </w:p>
                    </w:tc>
                    <w:tc>
                      <w:tcPr>
                        <w:tcW w:w="2547" w:type="dxa"/>
                        <w:tcBorders>
                          <w:top w:val="single" w:sz="4" w:space="0" w:color="000000"/>
                          <w:left w:val="single" w:sz="4" w:space="0" w:color="000000"/>
                          <w:bottom w:val="single" w:sz="4" w:space="0" w:color="000000"/>
                        </w:tcBorders>
                      </w:tcPr>
                      <w:p>
                        <w:pPr>
                          <w:pStyle w:val="TableParagraph"/>
                          <w:spacing w:before="16"/>
                          <w:ind w:left="4"/>
                          <w:rPr>
                            <w:sz w:val="24"/>
                          </w:rPr>
                        </w:pPr>
                        <w:r>
                          <w:rPr>
                            <w:rFonts w:ascii="Segoe UI Symbol" w:eastAsia="Segoe UI Symbol" w:hAnsi="Segoe UI Symbol"/>
                            <w:sz w:val="24"/>
                          </w:rPr>
                          <w:t>☑</w:t>
                        </w:r>
                        <w:r>
                          <w:rPr>
                            <w:sz w:val="24"/>
                          </w:rPr>
                          <w:t>首次申报项目</w:t>
                        </w:r>
                      </w:p>
                      <w:p>
                        <w:pPr>
                          <w:pStyle w:val="TableParagraph"/>
                          <w:spacing w:before="4" w:line="242" w:lineRule="auto"/>
                          <w:ind w:left="4" w:right="221"/>
                          <w:rPr>
                            <w:sz w:val="24"/>
                          </w:rPr>
                        </w:pPr>
                        <w:r>
                          <w:rPr>
                            <w:rFonts w:ascii="Times New Roman" w:eastAsia="Times New Roman" w:hAnsi="Times New Roman"/>
                            <w:sz w:val="24"/>
                          </w:rPr>
                          <w:t>□</w:t>
                        </w:r>
                        <w:r>
                          <w:rPr>
                            <w:sz w:val="24"/>
                          </w:rPr>
                          <w:t>不予批准后再次申报项目</w:t>
                        </w:r>
                      </w:p>
                      <w:p>
                        <w:pPr>
                          <w:pStyle w:val="TableParagraph"/>
                          <w:spacing w:before="1"/>
                          <w:ind w:left="4"/>
                          <w:rPr>
                            <w:sz w:val="24"/>
                          </w:rPr>
                        </w:pPr>
                        <w:r>
                          <w:rPr>
                            <w:rFonts w:ascii="Times New Roman" w:eastAsia="Times New Roman" w:hAnsi="Times New Roman"/>
                            <w:sz w:val="24"/>
                          </w:rPr>
                          <w:t>□</w:t>
                        </w:r>
                        <w:r>
                          <w:rPr>
                            <w:sz w:val="24"/>
                          </w:rPr>
                          <w:t>超五年重新审核项目</w:t>
                        </w:r>
                      </w:p>
                      <w:p>
                        <w:pPr>
                          <w:pStyle w:val="TableParagraph"/>
                          <w:spacing w:before="2" w:line="310" w:lineRule="atLeast"/>
                          <w:ind w:left="4" w:right="-15"/>
                          <w:rPr>
                            <w:sz w:val="24"/>
                          </w:rPr>
                        </w:pPr>
                        <w:r>
                          <w:rPr>
                            <w:rFonts w:ascii="Times New Roman" w:eastAsia="Times New Roman" w:hAnsi="Times New Roman"/>
                            <w:spacing w:val="25"/>
                            <w:sz w:val="24"/>
                          </w:rPr>
                          <w:t>□</w:t>
                        </w:r>
                        <w:r>
                          <w:rPr>
                            <w:spacing w:val="20"/>
                            <w:sz w:val="24"/>
                          </w:rPr>
                          <w:t>重大变动重新报批项</w:t>
                        </w:r>
                        <w:r>
                          <w:rPr>
                            <w:sz w:val="24"/>
                          </w:rPr>
                          <w:t>目</w:t>
                        </w:r>
                      </w:p>
                    </w:tc>
                  </w:tr>
                  <w:tr>
                    <w:tblPrEx>
                      <w:tblW w:w="0" w:type="auto"/>
                      <w:jc w:val="left"/>
                      <w:tblInd w:w="10" w:type="dxa"/>
                      <w:tblLayout w:type="fixed"/>
                      <w:tblCellMar>
                        <w:top w:w="0" w:type="dxa"/>
                        <w:left w:w="0" w:type="dxa"/>
                        <w:bottom w:w="0" w:type="dxa"/>
                        <w:right w:w="0" w:type="dxa"/>
                      </w:tblCellMar>
                      <w:tblLook w:val="01E0"/>
                    </w:tblPrEx>
                    <w:trPr>
                      <w:trHeight w:val="950"/>
                      <w:jc w:val="left"/>
                    </w:trPr>
                    <w:tc>
                      <w:tcPr>
                        <w:tcW w:w="1580" w:type="dxa"/>
                        <w:tcBorders>
                          <w:top w:val="single" w:sz="4" w:space="0" w:color="000000"/>
                          <w:bottom w:val="single" w:sz="4" w:space="0" w:color="000000"/>
                          <w:right w:val="single" w:sz="4" w:space="0" w:color="000000"/>
                        </w:tcBorders>
                      </w:tcPr>
                      <w:p>
                        <w:pPr>
                          <w:pStyle w:val="TableParagraph"/>
                          <w:spacing w:before="17" w:line="242" w:lineRule="auto"/>
                          <w:ind w:left="35" w:right="22" w:firstLine="2"/>
                          <w:jc w:val="center"/>
                          <w:rPr>
                            <w:sz w:val="24"/>
                          </w:rPr>
                        </w:pPr>
                        <w:r>
                          <w:rPr>
                            <w:sz w:val="24"/>
                          </w:rPr>
                          <w:t>项目审批（核准</w:t>
                        </w:r>
                        <w:r>
                          <w:rPr>
                            <w:rFonts w:ascii="Times New Roman" w:eastAsia="Times New Roman"/>
                            <w:sz w:val="24"/>
                          </w:rPr>
                          <w:t>/</w:t>
                        </w:r>
                        <w:r>
                          <w:rPr>
                            <w:sz w:val="24"/>
                          </w:rPr>
                          <w:t>备案）部门</w:t>
                        </w:r>
                      </w:p>
                      <w:p>
                        <w:pPr>
                          <w:pStyle w:val="TableParagraph"/>
                          <w:spacing w:before="1" w:line="291" w:lineRule="exact"/>
                          <w:ind w:left="49" w:right="36"/>
                          <w:jc w:val="center"/>
                          <w:rPr>
                            <w:sz w:val="24"/>
                          </w:rPr>
                        </w:pPr>
                        <w:r>
                          <w:rPr>
                            <w:sz w:val="24"/>
                          </w:rPr>
                          <w:t>（选填）</w:t>
                        </w:r>
                      </w:p>
                    </w:tc>
                    <w:tc>
                      <w:tcPr>
                        <w:tcW w:w="2689" w:type="dxa"/>
                        <w:tcBorders>
                          <w:top w:val="single" w:sz="4" w:space="0" w:color="000000"/>
                          <w:left w:val="single" w:sz="4" w:space="0" w:color="000000"/>
                          <w:bottom w:val="single" w:sz="4" w:space="0" w:color="000000"/>
                          <w:right w:val="single" w:sz="4" w:space="0" w:color="000000"/>
                        </w:tcBorders>
                      </w:tcPr>
                      <w:p>
                        <w:pPr>
                          <w:pStyle w:val="TableParagraph"/>
                          <w:spacing w:before="6"/>
                          <w:rPr>
                            <w:sz w:val="25"/>
                          </w:rPr>
                        </w:pPr>
                      </w:p>
                      <w:p>
                        <w:pPr>
                          <w:pStyle w:val="TableParagraph"/>
                          <w:spacing w:before="1"/>
                          <w:ind w:left="388"/>
                          <w:rPr>
                            <w:sz w:val="24"/>
                          </w:rPr>
                        </w:pPr>
                        <w:r>
                          <w:rPr>
                            <w:sz w:val="24"/>
                          </w:rPr>
                          <w:t>阜宁县行政审批局</w:t>
                        </w:r>
                      </w:p>
                    </w:tc>
                    <w:tc>
                      <w:tcPr>
                        <w:tcW w:w="2223" w:type="dxa"/>
                        <w:tcBorders>
                          <w:top w:val="single" w:sz="4" w:space="0" w:color="000000"/>
                          <w:left w:val="single" w:sz="4" w:space="0" w:color="000000"/>
                          <w:bottom w:val="single" w:sz="4" w:space="0" w:color="000000"/>
                          <w:right w:val="single" w:sz="4" w:space="0" w:color="000000"/>
                        </w:tcBorders>
                      </w:tcPr>
                      <w:p>
                        <w:pPr>
                          <w:pStyle w:val="TableParagraph"/>
                          <w:spacing w:before="171" w:line="242" w:lineRule="auto"/>
                          <w:ind w:left="34" w:right="16" w:firstLine="206"/>
                          <w:rPr>
                            <w:sz w:val="24"/>
                          </w:rPr>
                        </w:pPr>
                        <w:r>
                          <w:rPr>
                            <w:sz w:val="24"/>
                          </w:rPr>
                          <w:t>项目审批（核准</w:t>
                        </w:r>
                        <w:r>
                          <w:rPr>
                            <w:rFonts w:ascii="Times New Roman" w:eastAsia="Times New Roman"/>
                            <w:sz w:val="24"/>
                          </w:rPr>
                          <w:t xml:space="preserve">/ </w:t>
                        </w:r>
                        <w:r>
                          <w:rPr>
                            <w:sz w:val="24"/>
                          </w:rPr>
                          <w:t>备案）文号（选填）</w:t>
                        </w:r>
                      </w:p>
                    </w:tc>
                    <w:tc>
                      <w:tcPr>
                        <w:tcW w:w="2547" w:type="dxa"/>
                        <w:tcBorders>
                          <w:top w:val="single" w:sz="4" w:space="0" w:color="000000"/>
                          <w:left w:val="single" w:sz="4" w:space="0" w:color="000000"/>
                          <w:bottom w:val="single" w:sz="4" w:space="0" w:color="000000"/>
                        </w:tcBorders>
                      </w:tcPr>
                      <w:p>
                        <w:pPr>
                          <w:pStyle w:val="TableParagraph"/>
                          <w:spacing w:before="171" w:line="242" w:lineRule="auto"/>
                          <w:ind w:left="1152" w:right="86" w:hanging="1049"/>
                          <w:rPr>
                            <w:sz w:val="24"/>
                          </w:rPr>
                        </w:pPr>
                        <w:r>
                          <w:rPr>
                            <w:sz w:val="24"/>
                          </w:rPr>
                          <w:t>阜行审投资</w:t>
                        </w:r>
                        <w:r>
                          <w:rPr>
                            <w:sz w:val="21"/>
                          </w:rPr>
                          <w:t>〔</w:t>
                        </w:r>
                        <w:r>
                          <w:rPr>
                            <w:rFonts w:ascii="Times New Roman" w:eastAsia="Times New Roman"/>
                            <w:sz w:val="24"/>
                          </w:rPr>
                          <w:t>2023</w:t>
                        </w:r>
                        <w:r>
                          <w:rPr>
                            <w:sz w:val="21"/>
                          </w:rPr>
                          <w:t>〕</w:t>
                        </w:r>
                        <w:r>
                          <w:rPr>
                            <w:rFonts w:ascii="Times New Roman" w:eastAsia="Times New Roman"/>
                            <w:sz w:val="24"/>
                          </w:rPr>
                          <w:t xml:space="preserve">46 </w:t>
                        </w:r>
                        <w:r>
                          <w:rPr>
                            <w:sz w:val="24"/>
                          </w:rPr>
                          <w:t>号</w:t>
                        </w:r>
                      </w:p>
                    </w:tc>
                  </w:tr>
                  <w:tr>
                    <w:tblPrEx>
                      <w:tblW w:w="0" w:type="auto"/>
                      <w:jc w:val="left"/>
                      <w:tblInd w:w="10" w:type="dxa"/>
                      <w:tblLayout w:type="fixed"/>
                      <w:tblCellMar>
                        <w:top w:w="0" w:type="dxa"/>
                        <w:left w:w="0" w:type="dxa"/>
                        <w:bottom w:w="0" w:type="dxa"/>
                        <w:right w:w="0" w:type="dxa"/>
                      </w:tblCellMar>
                      <w:tblLook w:val="01E0"/>
                    </w:tblPrEx>
                    <w:trPr>
                      <w:trHeight w:val="370"/>
                      <w:jc w:val="left"/>
                    </w:trPr>
                    <w:tc>
                      <w:tcPr>
                        <w:tcW w:w="1580" w:type="dxa"/>
                        <w:tcBorders>
                          <w:top w:val="single" w:sz="4" w:space="0" w:color="000000"/>
                          <w:bottom w:val="single" w:sz="4" w:space="0" w:color="000000"/>
                          <w:right w:val="single" w:sz="4" w:space="0" w:color="000000"/>
                        </w:tcBorders>
                      </w:tcPr>
                      <w:p>
                        <w:pPr>
                          <w:pStyle w:val="TableParagraph"/>
                          <w:spacing w:before="39"/>
                          <w:ind w:left="16"/>
                          <w:rPr>
                            <w:sz w:val="24"/>
                          </w:rPr>
                        </w:pPr>
                        <w:r>
                          <w:rPr>
                            <w:sz w:val="24"/>
                          </w:rPr>
                          <w:t>总投资（万元</w:t>
                        </w:r>
                      </w:p>
                    </w:tc>
                    <w:tc>
                      <w:tcPr>
                        <w:tcW w:w="2689" w:type="dxa"/>
                        <w:tcBorders>
                          <w:top w:val="single" w:sz="4" w:space="0" w:color="000000"/>
                          <w:left w:val="single" w:sz="4" w:space="0" w:color="000000"/>
                          <w:bottom w:val="single" w:sz="4" w:space="0" w:color="000000"/>
                          <w:right w:val="single" w:sz="4" w:space="0" w:color="000000"/>
                        </w:tcBorders>
                      </w:tcPr>
                      <w:p>
                        <w:pPr>
                          <w:pStyle w:val="TableParagraph"/>
                          <w:tabs>
                            <w:tab w:val="left" w:pos="1107"/>
                          </w:tabs>
                          <w:spacing w:before="39"/>
                          <w:ind w:left="-131"/>
                          <w:rPr>
                            <w:rFonts w:ascii="Times New Roman" w:eastAsia="Times New Roman"/>
                            <w:sz w:val="24"/>
                          </w:rPr>
                        </w:pPr>
                        <w:r>
                          <w:rPr>
                            <w:sz w:val="24"/>
                          </w:rPr>
                          <w:t>）</w:t>
                          <w:tab/>
                        </w:r>
                        <w:r>
                          <w:rPr>
                            <w:rFonts w:ascii="Times New Roman" w:eastAsia="Times New Roman"/>
                            <w:sz w:val="24"/>
                          </w:rPr>
                          <w:t>6000</w:t>
                        </w:r>
                      </w:p>
                    </w:tc>
                    <w:tc>
                      <w:tcPr>
                        <w:tcW w:w="2223" w:type="dxa"/>
                        <w:tcBorders>
                          <w:top w:val="single" w:sz="4" w:space="0" w:color="000000"/>
                          <w:left w:val="single" w:sz="4" w:space="0" w:color="000000"/>
                          <w:bottom w:val="single" w:sz="4" w:space="0" w:color="000000"/>
                          <w:right w:val="single" w:sz="4" w:space="0" w:color="000000"/>
                        </w:tcBorders>
                      </w:tcPr>
                      <w:p>
                        <w:pPr>
                          <w:pStyle w:val="TableParagraph"/>
                          <w:spacing w:before="39"/>
                          <w:ind w:left="134" w:right="119"/>
                          <w:jc w:val="center"/>
                          <w:rPr>
                            <w:sz w:val="24"/>
                          </w:rPr>
                        </w:pPr>
                        <w:r>
                          <w:rPr>
                            <w:sz w:val="24"/>
                          </w:rPr>
                          <w:t>环保投资（万元）</w:t>
                        </w:r>
                      </w:p>
                    </w:tc>
                    <w:tc>
                      <w:tcPr>
                        <w:tcW w:w="2547" w:type="dxa"/>
                        <w:tcBorders>
                          <w:top w:val="single" w:sz="4" w:space="0" w:color="000000"/>
                          <w:left w:val="single" w:sz="4" w:space="0" w:color="000000"/>
                          <w:bottom w:val="single" w:sz="4" w:space="0" w:color="000000"/>
                        </w:tcBorders>
                      </w:tcPr>
                      <w:p>
                        <w:pPr>
                          <w:pStyle w:val="TableParagraph"/>
                          <w:spacing w:before="55"/>
                          <w:ind w:left="923" w:right="909"/>
                          <w:jc w:val="center"/>
                          <w:rPr>
                            <w:rFonts w:ascii="Times New Roman"/>
                            <w:sz w:val="24"/>
                          </w:rPr>
                        </w:pPr>
                        <w:r>
                          <w:rPr>
                            <w:rFonts w:ascii="Times New Roman"/>
                            <w:sz w:val="24"/>
                          </w:rPr>
                          <w:t>118</w:t>
                        </w:r>
                      </w:p>
                    </w:tc>
                  </w:tr>
                  <w:tr>
                    <w:tblPrEx>
                      <w:tblW w:w="0" w:type="auto"/>
                      <w:jc w:val="left"/>
                      <w:tblInd w:w="10" w:type="dxa"/>
                      <w:tblLayout w:type="fixed"/>
                      <w:tblCellMar>
                        <w:top w:w="0" w:type="dxa"/>
                        <w:left w:w="0" w:type="dxa"/>
                        <w:bottom w:w="0" w:type="dxa"/>
                        <w:right w:w="0" w:type="dxa"/>
                      </w:tblCellMar>
                      <w:tblLook w:val="01E0"/>
                    </w:tblPrEx>
                    <w:trPr>
                      <w:trHeight w:val="637"/>
                      <w:jc w:val="left"/>
                    </w:trPr>
                    <w:tc>
                      <w:tcPr>
                        <w:tcW w:w="1580" w:type="dxa"/>
                        <w:tcBorders>
                          <w:top w:val="single" w:sz="4" w:space="0" w:color="000000"/>
                          <w:bottom w:val="single" w:sz="4" w:space="0" w:color="000000"/>
                          <w:right w:val="single" w:sz="4" w:space="0" w:color="000000"/>
                        </w:tcBorders>
                      </w:tcPr>
                      <w:p>
                        <w:pPr>
                          <w:pStyle w:val="TableParagraph"/>
                          <w:spacing w:before="18"/>
                          <w:ind w:left="49" w:right="36"/>
                          <w:jc w:val="center"/>
                          <w:rPr>
                            <w:sz w:val="24"/>
                          </w:rPr>
                        </w:pPr>
                        <w:r>
                          <w:rPr>
                            <w:sz w:val="24"/>
                          </w:rPr>
                          <w:t>环保投资占比</w:t>
                        </w:r>
                      </w:p>
                      <w:p>
                        <w:pPr>
                          <w:pStyle w:val="TableParagraph"/>
                          <w:spacing w:before="2" w:line="290" w:lineRule="exact"/>
                          <w:ind w:left="47" w:right="36"/>
                          <w:jc w:val="center"/>
                          <w:rPr>
                            <w:sz w:val="24"/>
                          </w:rPr>
                        </w:pPr>
                        <w:r>
                          <w:rPr>
                            <w:sz w:val="24"/>
                          </w:rPr>
                          <w:t>（</w:t>
                        </w:r>
                        <w:r>
                          <w:rPr>
                            <w:rFonts w:ascii="Times New Roman" w:eastAsia="Times New Roman"/>
                            <w:sz w:val="24"/>
                          </w:rPr>
                          <w:t>%</w:t>
                        </w:r>
                        <w:r>
                          <w:rPr>
                            <w:sz w:val="24"/>
                          </w:rPr>
                          <w:t>）</w:t>
                        </w:r>
                      </w:p>
                    </w:tc>
                    <w:tc>
                      <w:tcPr>
                        <w:tcW w:w="2689" w:type="dxa"/>
                        <w:tcBorders>
                          <w:top w:val="single" w:sz="4" w:space="0" w:color="000000"/>
                          <w:left w:val="single" w:sz="4" w:space="0" w:color="000000"/>
                          <w:bottom w:val="single" w:sz="4" w:space="0" w:color="000000"/>
                          <w:right w:val="single" w:sz="4" w:space="0" w:color="000000"/>
                        </w:tcBorders>
                      </w:tcPr>
                      <w:p>
                        <w:pPr>
                          <w:pStyle w:val="TableParagraph"/>
                          <w:spacing w:before="187"/>
                          <w:ind w:left="28" w:right="9"/>
                          <w:jc w:val="center"/>
                          <w:rPr>
                            <w:rFonts w:ascii="Times New Roman"/>
                            <w:sz w:val="24"/>
                          </w:rPr>
                        </w:pPr>
                        <w:r>
                          <w:rPr>
                            <w:rFonts w:ascii="Times New Roman"/>
                            <w:color w:val="FF0000"/>
                            <w:sz w:val="24"/>
                          </w:rPr>
                          <w:t>1.97</w:t>
                        </w:r>
                      </w:p>
                    </w:tc>
                    <w:tc>
                      <w:tcPr>
                        <w:tcW w:w="2223" w:type="dxa"/>
                        <w:tcBorders>
                          <w:top w:val="single" w:sz="4" w:space="0" w:color="000000"/>
                          <w:left w:val="single" w:sz="4" w:space="0" w:color="000000"/>
                          <w:bottom w:val="single" w:sz="4" w:space="0" w:color="000000"/>
                          <w:right w:val="single" w:sz="4" w:space="0" w:color="000000"/>
                        </w:tcBorders>
                      </w:tcPr>
                      <w:p>
                        <w:pPr>
                          <w:pStyle w:val="TableParagraph"/>
                          <w:spacing w:before="171"/>
                          <w:ind w:left="134" w:right="119"/>
                          <w:jc w:val="center"/>
                          <w:rPr>
                            <w:sz w:val="24"/>
                          </w:rPr>
                        </w:pPr>
                        <w:r>
                          <w:rPr>
                            <w:sz w:val="24"/>
                          </w:rPr>
                          <w:t>施工工期</w:t>
                        </w:r>
                      </w:p>
                    </w:tc>
                    <w:tc>
                      <w:tcPr>
                        <w:tcW w:w="2547" w:type="dxa"/>
                        <w:tcBorders>
                          <w:top w:val="single" w:sz="4" w:space="0" w:color="000000"/>
                          <w:left w:val="single" w:sz="4" w:space="0" w:color="000000"/>
                          <w:bottom w:val="single" w:sz="4" w:space="0" w:color="000000"/>
                        </w:tcBorders>
                      </w:tcPr>
                      <w:p>
                        <w:pPr>
                          <w:pStyle w:val="TableParagraph"/>
                          <w:spacing w:before="171"/>
                          <w:ind w:left="923" w:right="909"/>
                          <w:jc w:val="center"/>
                          <w:rPr>
                            <w:sz w:val="24"/>
                          </w:rPr>
                        </w:pPr>
                        <w:r>
                          <w:rPr>
                            <w:rFonts w:ascii="Times New Roman" w:eastAsia="Times New Roman"/>
                            <w:sz w:val="24"/>
                          </w:rPr>
                          <w:t xml:space="preserve">6 </w:t>
                        </w:r>
                        <w:r>
                          <w:rPr>
                            <w:sz w:val="24"/>
                          </w:rPr>
                          <w:t>个月</w:t>
                        </w:r>
                      </w:p>
                    </w:tc>
                  </w:tr>
                  <w:tr>
                    <w:tblPrEx>
                      <w:tblW w:w="0" w:type="auto"/>
                      <w:jc w:val="left"/>
                      <w:tblInd w:w="10" w:type="dxa"/>
                      <w:tblLayout w:type="fixed"/>
                      <w:tblCellMar>
                        <w:top w:w="0" w:type="dxa"/>
                        <w:left w:w="0" w:type="dxa"/>
                        <w:bottom w:w="0" w:type="dxa"/>
                        <w:right w:w="0" w:type="dxa"/>
                      </w:tblCellMar>
                      <w:tblLook w:val="01E0"/>
                    </w:tblPrEx>
                    <w:trPr>
                      <w:trHeight w:val="927"/>
                      <w:jc w:val="left"/>
                    </w:trPr>
                    <w:tc>
                      <w:tcPr>
                        <w:tcW w:w="1580" w:type="dxa"/>
                        <w:tcBorders>
                          <w:top w:val="single" w:sz="4" w:space="0" w:color="000000"/>
                          <w:bottom w:val="single" w:sz="4" w:space="0" w:color="000000"/>
                          <w:right w:val="single" w:sz="4" w:space="0" w:color="000000"/>
                        </w:tcBorders>
                      </w:tcPr>
                      <w:p>
                        <w:pPr>
                          <w:pStyle w:val="TableParagraph"/>
                          <w:spacing w:before="10"/>
                          <w:rPr>
                            <w:sz w:val="24"/>
                          </w:rPr>
                        </w:pPr>
                      </w:p>
                      <w:p>
                        <w:pPr>
                          <w:pStyle w:val="TableParagraph"/>
                          <w:ind w:right="53"/>
                          <w:jc w:val="right"/>
                          <w:rPr>
                            <w:sz w:val="24"/>
                          </w:rPr>
                        </w:pPr>
                        <w:r>
                          <w:rPr>
                            <w:sz w:val="24"/>
                          </w:rPr>
                          <w:t>是否开工建设</w:t>
                        </w:r>
                      </w:p>
                    </w:tc>
                    <w:tc>
                      <w:tcPr>
                        <w:tcW w:w="7459" w:type="dxa"/>
                        <w:gridSpan w:val="3"/>
                        <w:tcBorders>
                          <w:top w:val="single" w:sz="4" w:space="0" w:color="000000"/>
                          <w:left w:val="single" w:sz="4" w:space="0" w:color="000000"/>
                          <w:bottom w:val="single" w:sz="4" w:space="0" w:color="000000"/>
                        </w:tcBorders>
                      </w:tcPr>
                      <w:p>
                        <w:pPr>
                          <w:pStyle w:val="TableParagraph"/>
                          <w:spacing w:before="150"/>
                          <w:ind w:left="114"/>
                          <w:rPr>
                            <w:sz w:val="24"/>
                          </w:rPr>
                        </w:pPr>
                        <w:r>
                          <w:rPr>
                            <w:rFonts w:ascii="Segoe UI Symbol" w:eastAsia="Segoe UI Symbol" w:hAnsi="Segoe UI Symbol"/>
                            <w:sz w:val="24"/>
                          </w:rPr>
                          <w:t>☑</w:t>
                        </w:r>
                        <w:r>
                          <w:rPr>
                            <w:sz w:val="24"/>
                          </w:rPr>
                          <w:t>否</w:t>
                        </w:r>
                      </w:p>
                      <w:p>
                        <w:pPr>
                          <w:pStyle w:val="TableParagraph"/>
                          <w:tabs>
                            <w:tab w:val="left" w:pos="4265"/>
                          </w:tabs>
                          <w:spacing w:before="5"/>
                          <w:ind w:left="102"/>
                          <w:rPr>
                            <w:rFonts w:ascii="Times New Roman" w:eastAsia="Times New Roman" w:hAnsi="Times New Roman"/>
                            <w:sz w:val="24"/>
                          </w:rPr>
                        </w:pPr>
                        <w:r>
                          <w:rPr>
                            <w:rFonts w:ascii="Times New Roman" w:eastAsia="Times New Roman" w:hAnsi="Times New Roman"/>
                            <w:spacing w:val="-1"/>
                            <w:sz w:val="24"/>
                          </w:rPr>
                          <w:t>□</w:t>
                        </w:r>
                        <w:r>
                          <w:rPr>
                            <w:spacing w:val="-1"/>
                            <w:sz w:val="24"/>
                          </w:rPr>
                          <w:t>是</w:t>
                        </w:r>
                        <w:r>
                          <w:rPr>
                            <w:sz w:val="24"/>
                          </w:rPr>
                          <w:t>：</w:t>
                        </w:r>
                        <w:r>
                          <w:rPr>
                            <w:rFonts w:ascii="Times New Roman" w:eastAsia="Times New Roman" w:hAnsi="Times New Roman"/>
                            <w:sz w:val="24"/>
                            <w:u w:val="single"/>
                          </w:rPr>
                          <w:t xml:space="preserve"> </w:t>
                          <w:tab/>
                        </w:r>
                      </w:p>
                    </w:tc>
                  </w:tr>
                  <w:tr>
                    <w:tblPrEx>
                      <w:tblW w:w="0" w:type="auto"/>
                      <w:jc w:val="left"/>
                      <w:tblInd w:w="10" w:type="dxa"/>
                      <w:tblLayout w:type="fixed"/>
                      <w:tblCellMar>
                        <w:top w:w="0" w:type="dxa"/>
                        <w:left w:w="0" w:type="dxa"/>
                        <w:bottom w:w="0" w:type="dxa"/>
                        <w:right w:w="0" w:type="dxa"/>
                      </w:tblCellMar>
                      <w:tblLook w:val="01E0"/>
                    </w:tblPrEx>
                    <w:trPr>
                      <w:trHeight w:val="1261"/>
                      <w:jc w:val="left"/>
                    </w:trPr>
                    <w:tc>
                      <w:tcPr>
                        <w:tcW w:w="1580" w:type="dxa"/>
                        <w:tcBorders>
                          <w:top w:val="single" w:sz="4" w:space="0" w:color="000000"/>
                          <w:bottom w:val="single" w:sz="4" w:space="0" w:color="000000"/>
                          <w:right w:val="single" w:sz="4" w:space="0" w:color="000000"/>
                        </w:tcBorders>
                      </w:tcPr>
                      <w:p>
                        <w:pPr>
                          <w:pStyle w:val="TableParagraph"/>
                          <w:spacing w:before="8"/>
                          <w:rPr>
                            <w:sz w:val="25"/>
                          </w:rPr>
                        </w:pPr>
                      </w:p>
                      <w:p>
                        <w:pPr>
                          <w:pStyle w:val="TableParagraph"/>
                          <w:spacing w:before="1" w:line="242" w:lineRule="auto"/>
                          <w:ind w:left="549" w:right="53" w:hanging="480"/>
                          <w:rPr>
                            <w:sz w:val="24"/>
                          </w:rPr>
                        </w:pPr>
                        <w:r>
                          <w:rPr>
                            <w:sz w:val="24"/>
                          </w:rPr>
                          <w:t>专项评价设置情况</w:t>
                        </w:r>
                      </w:p>
                    </w:tc>
                    <w:tc>
                      <w:tcPr>
                        <w:tcW w:w="7459" w:type="dxa"/>
                        <w:gridSpan w:val="3"/>
                        <w:tcBorders>
                          <w:top w:val="single" w:sz="4" w:space="0" w:color="000000"/>
                          <w:left w:val="single" w:sz="4" w:space="0" w:color="000000"/>
                          <w:bottom w:val="single" w:sz="4" w:space="0" w:color="000000"/>
                        </w:tcBorders>
                      </w:tcPr>
                      <w:p>
                        <w:pPr>
                          <w:pStyle w:val="TableParagraph"/>
                          <w:spacing w:before="17" w:line="242" w:lineRule="auto"/>
                          <w:ind w:left="20" w:right="-29"/>
                          <w:rPr>
                            <w:sz w:val="24"/>
                          </w:rPr>
                        </w:pPr>
                        <w:r>
                          <w:rPr>
                            <w:color w:val="0000FF"/>
                            <w:spacing w:val="-8"/>
                            <w:w w:val="95"/>
                            <w:sz w:val="24"/>
                          </w:rPr>
                          <w:t>根据《建设项目环境影响报告表编制技术指南</w:t>
                        </w:r>
                        <w:r>
                          <w:rPr>
                            <w:color w:val="0000FF"/>
                            <w:spacing w:val="-3"/>
                            <w:w w:val="95"/>
                            <w:sz w:val="24"/>
                          </w:rPr>
                          <w:t>（</w:t>
                        </w:r>
                        <w:r>
                          <w:rPr>
                            <w:color w:val="0000FF"/>
                            <w:w w:val="95"/>
                            <w:sz w:val="24"/>
                          </w:rPr>
                          <w:t>生态影响类</w:t>
                        </w:r>
                        <w:r>
                          <w:rPr>
                            <w:color w:val="0000FF"/>
                            <w:spacing w:val="-26"/>
                            <w:w w:val="95"/>
                            <w:sz w:val="24"/>
                          </w:rPr>
                          <w:t>）</w:t>
                        </w:r>
                        <w:r>
                          <w:rPr>
                            <w:spacing w:val="-26"/>
                            <w:w w:val="95"/>
                            <w:sz w:val="24"/>
                          </w:rPr>
                          <w:t>（</w:t>
                        </w:r>
                        <w:r>
                          <w:rPr>
                            <w:spacing w:val="4"/>
                            <w:w w:val="95"/>
                            <w:sz w:val="24"/>
                          </w:rPr>
                          <w:t>试行</w:t>
                        </w:r>
                        <w:r>
                          <w:rPr>
                            <w:spacing w:val="-24"/>
                            <w:w w:val="95"/>
                            <w:sz w:val="24"/>
                          </w:rPr>
                          <w:t>）</w:t>
                        </w:r>
                        <w:r>
                          <w:rPr>
                            <w:spacing w:val="-104"/>
                            <w:w w:val="95"/>
                            <w:sz w:val="24"/>
                          </w:rPr>
                          <w:t xml:space="preserve">》                </w:t>
                        </w:r>
                        <w:r>
                          <w:rPr>
                            <w:color w:val="0000FF"/>
                            <w:sz w:val="24"/>
                          </w:rPr>
                          <w:t>公路、铁路、机场等交通运输业涉及环境敏感区（以居住、医疗卫生、</w:t>
                        </w:r>
                      </w:p>
                      <w:p>
                        <w:pPr>
                          <w:pStyle w:val="TableParagraph"/>
                          <w:spacing w:line="310" w:lineRule="atLeast"/>
                          <w:ind w:left="20" w:right="-15"/>
                          <w:rPr>
                            <w:sz w:val="24"/>
                          </w:rPr>
                        </w:pPr>
                        <w:r>
                          <w:rPr>
                            <w:color w:val="0000FF"/>
                            <w:spacing w:val="-2"/>
                            <w:sz w:val="24"/>
                          </w:rPr>
                          <w:t>文化教育、科研、行政办公为主要功能的区域</w:t>
                        </w:r>
                        <w:r>
                          <w:rPr>
                            <w:color w:val="0000FF"/>
                            <w:spacing w:val="-3"/>
                            <w:sz w:val="24"/>
                          </w:rPr>
                          <w:t>）</w:t>
                        </w:r>
                        <w:r>
                          <w:rPr>
                            <w:color w:val="0000FF"/>
                            <w:spacing w:val="-2"/>
                            <w:sz w:val="24"/>
                          </w:rPr>
                          <w:t>的项目；本项目建设公路涉及环境敏感区，需设置噪声专项评价。</w:t>
                        </w:r>
                      </w:p>
                    </w:tc>
                  </w:tr>
                  <w:tr>
                    <w:tblPrEx>
                      <w:tblW w:w="0" w:type="auto"/>
                      <w:jc w:val="left"/>
                      <w:tblInd w:w="10" w:type="dxa"/>
                      <w:tblLayout w:type="fixed"/>
                      <w:tblCellMar>
                        <w:top w:w="0" w:type="dxa"/>
                        <w:left w:w="0" w:type="dxa"/>
                        <w:bottom w:w="0" w:type="dxa"/>
                        <w:right w:w="0" w:type="dxa"/>
                      </w:tblCellMar>
                      <w:tblLook w:val="01E0"/>
                    </w:tblPrEx>
                    <w:trPr>
                      <w:trHeight w:val="924"/>
                      <w:jc w:val="left"/>
                    </w:trPr>
                    <w:tc>
                      <w:tcPr>
                        <w:tcW w:w="1580" w:type="dxa"/>
                        <w:tcBorders>
                          <w:top w:val="single" w:sz="4" w:space="0" w:color="000000"/>
                          <w:right w:val="single" w:sz="4" w:space="0" w:color="000000"/>
                        </w:tcBorders>
                      </w:tcPr>
                      <w:p>
                        <w:pPr>
                          <w:pStyle w:val="TableParagraph"/>
                          <w:spacing w:before="10"/>
                          <w:rPr>
                            <w:sz w:val="24"/>
                          </w:rPr>
                        </w:pPr>
                      </w:p>
                      <w:p>
                        <w:pPr>
                          <w:pStyle w:val="TableParagraph"/>
                          <w:ind w:left="309"/>
                          <w:rPr>
                            <w:sz w:val="24"/>
                          </w:rPr>
                        </w:pPr>
                        <w:r>
                          <w:rPr>
                            <w:sz w:val="24"/>
                          </w:rPr>
                          <w:t>规划情况</w:t>
                        </w:r>
                      </w:p>
                    </w:tc>
                    <w:tc>
                      <w:tcPr>
                        <w:tcW w:w="7459" w:type="dxa"/>
                        <w:gridSpan w:val="3"/>
                        <w:tcBorders>
                          <w:top w:val="single" w:sz="4" w:space="0" w:color="000000"/>
                          <w:left w:val="single" w:sz="4" w:space="0" w:color="000000"/>
                        </w:tcBorders>
                      </w:tcPr>
                      <w:p>
                        <w:pPr>
                          <w:pStyle w:val="TableParagraph"/>
                          <w:spacing w:before="10"/>
                          <w:rPr>
                            <w:sz w:val="24"/>
                          </w:rPr>
                        </w:pPr>
                      </w:p>
                      <w:p>
                        <w:pPr>
                          <w:pStyle w:val="TableParagraph"/>
                          <w:ind w:left="23"/>
                          <w:jc w:val="center"/>
                          <w:rPr>
                            <w:sz w:val="24"/>
                          </w:rPr>
                        </w:pPr>
                        <w:r>
                          <w:rPr>
                            <w:sz w:val="24"/>
                          </w:rPr>
                          <w:t>无</w:t>
                        </w:r>
                      </w:p>
                    </w:tc>
                  </w:tr>
                </w:tbl>
                <w:p>
                  <w:pPr>
                    <w:pStyle w:val="BodyText"/>
                  </w:pPr>
                </w:p>
              </w:txbxContent>
            </v:textbox>
          </v:shape>
        </w:pict>
      </w:r>
    </w:p>
    <w:p>
      <w:pPr>
        <w:pStyle w:val="Heading1"/>
        <w:spacing w:before="58"/>
      </w:pPr>
      <w:bookmarkStart w:id="1" w:name="一、建设项目基本情况"/>
      <w:bookmarkEnd w:id="1"/>
      <w:r>
        <w:t>一、建设项目基本情况</w:t>
      </w: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rPr>
          <w:rFonts w:ascii="黑体"/>
          <w:sz w:val="30"/>
        </w:rPr>
      </w:pPr>
    </w:p>
    <w:p>
      <w:pPr>
        <w:pStyle w:val="BodyText"/>
        <w:spacing w:before="8"/>
        <w:rPr>
          <w:rFonts w:ascii="黑体"/>
          <w:sz w:val="34"/>
        </w:rPr>
      </w:pPr>
    </w:p>
    <w:p>
      <w:pPr>
        <w:pStyle w:val="BodyText"/>
        <w:ind w:right="131"/>
        <w:jc w:val="right"/>
      </w:pPr>
      <w:r>
        <w:rPr>
          <w:color w:val="0000FF"/>
        </w:rPr>
        <w:t>，</w:t>
      </w:r>
    </w:p>
    <w:p>
      <w:pPr>
        <w:spacing w:after="0"/>
        <w:jc w:val="right"/>
        <w:sectPr>
          <w:footerReference w:type="default" r:id="rId4"/>
          <w:pgSz w:w="11910" w:h="16840"/>
          <w:pgMar w:top="1580" w:right="1100" w:bottom="1420" w:left="1180" w:header="0" w:footer="1225"/>
          <w:pgNumType w:start="1"/>
          <w:cols w:space="708"/>
        </w:sectPr>
      </w:pPr>
    </w:p>
    <w:p>
      <w:pPr>
        <w:pStyle w:val="BodyText"/>
        <w:rPr>
          <w:sz w:val="20"/>
        </w:rPr>
      </w:pPr>
      <w:r>
        <w:pict>
          <v:shape id="_x0000_s1030" type="#_x0000_t202" style="width:453.4pt;height:655pt;margin-top:85.05pt;margin-left:76.07pt;mso-position-horizontal-relative:page;mso-position-vertical-relative:page;position:absolute;z-index:251660288" filled="f" stroked="f">
            <v:textbox inset="0,0,0,0">
              <w:txbxContent>
                <w:tbl>
                  <w:tblPr>
                    <w:tblStyle w:val="TableNormal1"/>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283"/>
                    <w:gridCol w:w="578"/>
                    <w:gridCol w:w="689"/>
                    <w:gridCol w:w="267"/>
                    <w:gridCol w:w="1274"/>
                    <w:gridCol w:w="1963"/>
                    <w:gridCol w:w="573"/>
                    <w:gridCol w:w="573"/>
                    <w:gridCol w:w="544"/>
                    <w:gridCol w:w="715"/>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927"/>
                      <w:jc w:val="left"/>
                    </w:trPr>
                    <w:tc>
                      <w:tcPr>
                        <w:tcW w:w="1580" w:type="dxa"/>
                        <w:tcBorders>
                          <w:bottom w:val="single" w:sz="4" w:space="0" w:color="000000"/>
                          <w:right w:val="single" w:sz="4" w:space="0" w:color="000000"/>
                        </w:tcBorders>
                      </w:tcPr>
                      <w:p>
                        <w:pPr>
                          <w:pStyle w:val="TableParagraph"/>
                          <w:spacing w:before="162" w:line="242" w:lineRule="auto"/>
                          <w:ind w:left="309" w:right="53" w:hanging="240"/>
                          <w:rPr>
                            <w:sz w:val="24"/>
                          </w:rPr>
                        </w:pPr>
                        <w:r>
                          <w:rPr>
                            <w:sz w:val="24"/>
                          </w:rPr>
                          <w:t>规划环境影响评价情况</w:t>
                        </w:r>
                      </w:p>
                    </w:tc>
                    <w:tc>
                      <w:tcPr>
                        <w:tcW w:w="7459" w:type="dxa"/>
                        <w:gridSpan w:val="10"/>
                        <w:tcBorders>
                          <w:left w:val="single" w:sz="4" w:space="0" w:color="000000"/>
                          <w:bottom w:val="single" w:sz="4" w:space="0" w:color="000000"/>
                        </w:tcBorders>
                      </w:tcPr>
                      <w:p>
                        <w:pPr>
                          <w:pStyle w:val="TableParagraph"/>
                          <w:spacing w:before="10"/>
                          <w:rPr>
                            <w:sz w:val="24"/>
                          </w:rPr>
                        </w:pPr>
                      </w:p>
                      <w:p>
                        <w:pPr>
                          <w:pStyle w:val="TableParagraph"/>
                          <w:ind w:left="23"/>
                          <w:jc w:val="center"/>
                          <w:rPr>
                            <w:sz w:val="24"/>
                          </w:rPr>
                        </w:pPr>
                        <w:r>
                          <w:rPr>
                            <w:sz w:val="24"/>
                          </w:rPr>
                          <w:t>无</w:t>
                        </w:r>
                      </w:p>
                    </w:tc>
                  </w:tr>
                  <w:tr>
                    <w:tblPrEx>
                      <w:tblW w:w="0" w:type="auto"/>
                      <w:jc w:val="left"/>
                      <w:tblInd w:w="10" w:type="dxa"/>
                      <w:tblLayout w:type="fixed"/>
                      <w:tblCellMar>
                        <w:top w:w="0" w:type="dxa"/>
                        <w:left w:w="0" w:type="dxa"/>
                        <w:bottom w:w="0" w:type="dxa"/>
                        <w:right w:w="0" w:type="dxa"/>
                      </w:tblCellMar>
                      <w:tblLook w:val="01E0"/>
                    </w:tblPrEx>
                    <w:trPr>
                      <w:trHeight w:val="1572"/>
                      <w:jc w:val="left"/>
                    </w:trPr>
                    <w:tc>
                      <w:tcPr>
                        <w:tcW w:w="1580" w:type="dxa"/>
                        <w:tcBorders>
                          <w:top w:val="single" w:sz="4" w:space="0" w:color="000000"/>
                          <w:bottom w:val="single" w:sz="4" w:space="0" w:color="000000"/>
                          <w:right w:val="single" w:sz="4" w:space="0" w:color="000000"/>
                        </w:tcBorders>
                      </w:tcPr>
                      <w:p>
                        <w:pPr>
                          <w:pStyle w:val="TableParagraph"/>
                          <w:spacing w:before="96" w:line="364" w:lineRule="auto"/>
                          <w:ind w:left="69" w:right="53"/>
                          <w:jc w:val="center"/>
                          <w:rPr>
                            <w:sz w:val="24"/>
                          </w:rPr>
                        </w:pPr>
                        <w:r>
                          <w:rPr>
                            <w:sz w:val="24"/>
                          </w:rPr>
                          <w:t>规划及规划环境影响评价符合性分析</w:t>
                        </w:r>
                      </w:p>
                    </w:tc>
                    <w:tc>
                      <w:tcPr>
                        <w:tcW w:w="7459" w:type="dxa"/>
                        <w:gridSpan w:val="10"/>
                        <w:tcBorders>
                          <w:top w:val="single" w:sz="4" w:space="0" w:color="000000"/>
                          <w:left w:val="single" w:sz="4" w:space="0" w:color="000000"/>
                          <w:bottom w:val="single" w:sz="4" w:space="0" w:color="000000"/>
                        </w:tcBorders>
                      </w:tcPr>
                      <w:p>
                        <w:pPr>
                          <w:pStyle w:val="TableParagraph"/>
                          <w:rPr>
                            <w:sz w:val="24"/>
                          </w:rPr>
                        </w:pPr>
                      </w:p>
                      <w:p>
                        <w:pPr>
                          <w:pStyle w:val="TableParagraph"/>
                          <w:rPr>
                            <w:sz w:val="26"/>
                          </w:rPr>
                        </w:pPr>
                      </w:p>
                      <w:p>
                        <w:pPr>
                          <w:pStyle w:val="TableParagraph"/>
                          <w:ind w:left="18"/>
                          <w:jc w:val="center"/>
                          <w:rPr>
                            <w:sz w:val="24"/>
                          </w:rPr>
                        </w:pPr>
                        <w:r>
                          <w:rPr>
                            <w:w w:val="88"/>
                            <w:sz w:val="24"/>
                          </w:rPr>
                          <w:t>无</w:t>
                        </w:r>
                      </w:p>
                    </w:tc>
                  </w:tr>
                  <w:tr>
                    <w:tblPrEx>
                      <w:tblW w:w="0" w:type="auto"/>
                      <w:jc w:val="left"/>
                      <w:tblInd w:w="10" w:type="dxa"/>
                      <w:tblLayout w:type="fixed"/>
                      <w:tblCellMar>
                        <w:top w:w="0" w:type="dxa"/>
                        <w:left w:w="0" w:type="dxa"/>
                        <w:bottom w:w="0" w:type="dxa"/>
                        <w:right w:w="0" w:type="dxa"/>
                      </w:tblCellMar>
                      <w:tblLook w:val="01E0"/>
                    </w:tblPrEx>
                    <w:trPr>
                      <w:trHeight w:val="533"/>
                      <w:jc w:val="left"/>
                    </w:trPr>
                    <w:tc>
                      <w:tcPr>
                        <w:tcW w:w="1580" w:type="dxa"/>
                        <w:tcBorders>
                          <w:top w:val="single" w:sz="4" w:space="0" w:color="000000"/>
                          <w:bottom w:val="nil"/>
                          <w:right w:val="single" w:sz="4" w:space="0" w:color="000000"/>
                        </w:tcBorders>
                      </w:tcPr>
                      <w:p>
                        <w:pPr>
                          <w:pStyle w:val="TableParagraph"/>
                          <w:rPr>
                            <w:rFonts w:ascii="Times New Roman"/>
                            <w:sz w:val="22"/>
                          </w:rPr>
                        </w:pPr>
                      </w:p>
                    </w:tc>
                    <w:tc>
                      <w:tcPr>
                        <w:tcW w:w="7459" w:type="dxa"/>
                        <w:gridSpan w:val="10"/>
                        <w:tcBorders>
                          <w:top w:val="single" w:sz="4" w:space="0" w:color="000000"/>
                          <w:left w:val="single" w:sz="4" w:space="0" w:color="000000"/>
                          <w:bottom w:val="nil"/>
                        </w:tcBorders>
                      </w:tcPr>
                      <w:p>
                        <w:pPr>
                          <w:pStyle w:val="TableParagraph"/>
                          <w:spacing w:before="138"/>
                          <w:ind w:left="500"/>
                          <w:rPr>
                            <w:b/>
                            <w:sz w:val="24"/>
                          </w:rPr>
                        </w:pPr>
                        <w:r>
                          <w:rPr>
                            <w:rFonts w:ascii="Times New Roman" w:eastAsia="Times New Roman"/>
                            <w:b/>
                            <w:sz w:val="24"/>
                          </w:rPr>
                          <w:t>1</w:t>
                        </w:r>
                        <w:r>
                          <w:rPr>
                            <w:b/>
                            <w:sz w:val="24"/>
                          </w:rPr>
                          <w:t>、与产业政策相符性</w:t>
                        </w:r>
                      </w:p>
                    </w:tc>
                  </w:tr>
                  <w:tr>
                    <w:tblPrEx>
                      <w:tblW w:w="0" w:type="auto"/>
                      <w:jc w:val="left"/>
                      <w:tblInd w:w="10" w:type="dxa"/>
                      <w:tblLayout w:type="fixed"/>
                      <w:tblCellMar>
                        <w:top w:w="0" w:type="dxa"/>
                        <w:left w:w="0" w:type="dxa"/>
                        <w:bottom w:w="0" w:type="dxa"/>
                        <w:right w:w="0" w:type="dxa"/>
                      </w:tblCellMar>
                      <w:tblLook w:val="01E0"/>
                    </w:tblPrEx>
                    <w:trPr>
                      <w:trHeight w:val="452"/>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0"/>
                          <w:ind w:left="500" w:right="-15"/>
                          <w:rPr>
                            <w:sz w:val="24"/>
                          </w:rPr>
                        </w:pPr>
                        <w:r>
                          <w:rPr>
                            <w:spacing w:val="-1"/>
                            <w:sz w:val="24"/>
                          </w:rPr>
                          <w:t>本项目为阜宁东站货运连接线工程</w:t>
                        </w:r>
                        <w:r>
                          <w:rPr>
                            <w:spacing w:val="-3"/>
                            <w:sz w:val="24"/>
                          </w:rPr>
                          <w:t>（</w:t>
                        </w:r>
                        <w:r>
                          <w:rPr>
                            <w:sz w:val="24"/>
                          </w:rPr>
                          <w:t>一期</w:t>
                        </w:r>
                        <w:r>
                          <w:rPr>
                            <w:spacing w:val="-3"/>
                            <w:sz w:val="24"/>
                          </w:rPr>
                          <w:t>）</w:t>
                        </w:r>
                        <w:r>
                          <w:rPr>
                            <w:spacing w:val="-2"/>
                            <w:sz w:val="24"/>
                          </w:rPr>
                          <w:t>项目，对照《产业结构</w:t>
                        </w:r>
                      </w:p>
                    </w:tc>
                  </w:tr>
                  <w:tr>
                    <w:tblPrEx>
                      <w:tblW w:w="0" w:type="auto"/>
                      <w:jc w:val="left"/>
                      <w:tblInd w:w="10" w:type="dxa"/>
                      <w:tblLayout w:type="fixed"/>
                      <w:tblCellMar>
                        <w:top w:w="0" w:type="dxa"/>
                        <w:left w:w="0" w:type="dxa"/>
                        <w:bottom w:w="0" w:type="dxa"/>
                        <w:right w:w="0" w:type="dxa"/>
                      </w:tblCellMar>
                      <w:tblLook w:val="01E0"/>
                    </w:tblPrEx>
                    <w:trPr>
                      <w:trHeight w:val="475"/>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85"/>
                          <w:ind w:left="20"/>
                          <w:rPr>
                            <w:sz w:val="24"/>
                          </w:rPr>
                        </w:pPr>
                        <w:r>
                          <w:rPr>
                            <w:sz w:val="24"/>
                          </w:rPr>
                          <w:t>调整指导目录》（</w:t>
                        </w:r>
                        <w:r>
                          <w:rPr>
                            <w:rFonts w:ascii="Times New Roman" w:eastAsia="Times New Roman"/>
                            <w:sz w:val="24"/>
                          </w:rPr>
                          <w:t xml:space="preserve">2019 </w:t>
                        </w:r>
                        <w:r>
                          <w:rPr>
                            <w:sz w:val="24"/>
                          </w:rPr>
                          <w:t>年本、</w:t>
                        </w:r>
                        <w:r>
                          <w:rPr>
                            <w:rFonts w:ascii="Times New Roman" w:eastAsia="Times New Roman"/>
                            <w:sz w:val="24"/>
                          </w:rPr>
                          <w:t xml:space="preserve">2021 </w:t>
                        </w:r>
                        <w:r>
                          <w:rPr>
                            <w:sz w:val="24"/>
                          </w:rPr>
                          <w:t>年修订）及《国家发展改革委关于</w:t>
                        </w:r>
                      </w:p>
                    </w:tc>
                  </w:tr>
                  <w:tr>
                    <w:tblPrEx>
                      <w:tblW w:w="0" w:type="auto"/>
                      <w:jc w:val="left"/>
                      <w:tblInd w:w="10" w:type="dxa"/>
                      <w:tblLayout w:type="fixed"/>
                      <w:tblCellMar>
                        <w:top w:w="0" w:type="dxa"/>
                        <w:left w:w="0" w:type="dxa"/>
                        <w:bottom w:w="0" w:type="dxa"/>
                        <w:right w:w="0" w:type="dxa"/>
                      </w:tblCellMar>
                      <w:tblLook w:val="01E0"/>
                    </w:tblPrEx>
                    <w:trPr>
                      <w:trHeight w:val="468"/>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5"/>
                          <w:ind w:left="20" w:right="-15"/>
                          <w:rPr>
                            <w:sz w:val="24"/>
                          </w:rPr>
                        </w:pPr>
                        <w:r>
                          <w:rPr>
                            <w:sz w:val="24"/>
                          </w:rPr>
                          <w:t>修改</w:t>
                        </w:r>
                        <w:r>
                          <w:rPr>
                            <w:rFonts w:ascii="Times New Roman" w:eastAsia="Times New Roman"/>
                            <w:sz w:val="24"/>
                          </w:rPr>
                          <w:t>&lt;</w:t>
                        </w:r>
                        <w:r>
                          <w:rPr>
                            <w:spacing w:val="-3"/>
                            <w:sz w:val="24"/>
                          </w:rPr>
                          <w:t>产业结构调整指导目录</w:t>
                        </w:r>
                        <w:r>
                          <w:rPr>
                            <w:sz w:val="24"/>
                          </w:rPr>
                          <w:t>（</w:t>
                        </w:r>
                        <w:r>
                          <w:rPr>
                            <w:rFonts w:ascii="Times New Roman" w:eastAsia="Times New Roman"/>
                            <w:sz w:val="24"/>
                          </w:rPr>
                          <w:t>2019</w:t>
                        </w:r>
                        <w:r>
                          <w:rPr>
                            <w:rFonts w:ascii="Times New Roman" w:eastAsia="Times New Roman"/>
                            <w:spacing w:val="-4"/>
                            <w:sz w:val="24"/>
                          </w:rPr>
                          <w:t xml:space="preserve"> </w:t>
                        </w:r>
                        <w:r>
                          <w:rPr>
                            <w:sz w:val="24"/>
                          </w:rPr>
                          <w:t>年本</w:t>
                        </w:r>
                        <w:r>
                          <w:rPr>
                            <w:spacing w:val="-13"/>
                            <w:sz w:val="24"/>
                          </w:rPr>
                          <w:t>）</w:t>
                        </w:r>
                        <w:r>
                          <w:rPr>
                            <w:rFonts w:ascii="Times New Roman" w:eastAsia="Times New Roman"/>
                            <w:spacing w:val="-13"/>
                            <w:sz w:val="24"/>
                          </w:rPr>
                          <w:t>&gt;</w:t>
                        </w:r>
                        <w:r>
                          <w:rPr>
                            <w:spacing w:val="-14"/>
                            <w:sz w:val="24"/>
                          </w:rPr>
                          <w:t>的决定》</w:t>
                        </w:r>
                        <w:r>
                          <w:rPr>
                            <w:sz w:val="24"/>
                          </w:rPr>
                          <w:t>（国家发展改革委</w:t>
                        </w:r>
                      </w:p>
                    </w:tc>
                  </w:tr>
                  <w:tr>
                    <w:tblPrEx>
                      <w:tblW w:w="0" w:type="auto"/>
                      <w:jc w:val="left"/>
                      <w:tblInd w:w="10" w:type="dxa"/>
                      <w:tblLayout w:type="fixed"/>
                      <w:tblCellMar>
                        <w:top w:w="0" w:type="dxa"/>
                        <w:left w:w="0" w:type="dxa"/>
                        <w:bottom w:w="0" w:type="dxa"/>
                        <w:right w:w="0" w:type="dxa"/>
                      </w:tblCellMar>
                      <w:tblLook w:val="01E0"/>
                    </w:tblPrEx>
                    <w:trPr>
                      <w:trHeight w:val="466"/>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5"/>
                          <w:ind w:left="20" w:right="-15"/>
                          <w:rPr>
                            <w:sz w:val="24"/>
                          </w:rPr>
                        </w:pPr>
                        <w:r>
                          <w:rPr>
                            <w:spacing w:val="-20"/>
                            <w:sz w:val="24"/>
                          </w:rPr>
                          <w:t xml:space="preserve">令第 </w:t>
                        </w:r>
                        <w:r>
                          <w:rPr>
                            <w:rFonts w:ascii="Times New Roman" w:eastAsia="Times New Roman" w:hAnsi="Times New Roman"/>
                            <w:sz w:val="24"/>
                          </w:rPr>
                          <w:t>49</w:t>
                        </w:r>
                        <w:r>
                          <w:rPr>
                            <w:rFonts w:ascii="Times New Roman" w:eastAsia="Times New Roman" w:hAnsi="Times New Roman"/>
                            <w:spacing w:val="1"/>
                            <w:sz w:val="24"/>
                          </w:rPr>
                          <w:t xml:space="preserve"> </w:t>
                        </w:r>
                        <w:r>
                          <w:rPr>
                            <w:sz w:val="24"/>
                          </w:rPr>
                          <w:t>号</w:t>
                        </w:r>
                        <w:r>
                          <w:rPr>
                            <w:spacing w:val="-19"/>
                            <w:sz w:val="24"/>
                          </w:rPr>
                          <w:t>）</w:t>
                        </w:r>
                        <w:r>
                          <w:rPr>
                            <w:spacing w:val="-5"/>
                            <w:sz w:val="24"/>
                          </w:rPr>
                          <w:t>，本项目属于</w:t>
                        </w:r>
                        <w:r>
                          <w:rPr>
                            <w:rFonts w:ascii="Times New Roman" w:eastAsia="Times New Roman" w:hAnsi="Times New Roman"/>
                            <w:sz w:val="24"/>
                          </w:rPr>
                          <w:t>“</w:t>
                        </w:r>
                        <w:r>
                          <w:rPr>
                            <w:spacing w:val="-9"/>
                            <w:sz w:val="24"/>
                          </w:rPr>
                          <w:t>一、鼓励类，二十二、城镇基础设施，</w:t>
                        </w:r>
                        <w:r>
                          <w:rPr>
                            <w:rFonts w:ascii="Times New Roman" w:eastAsia="Times New Roman" w:hAnsi="Times New Roman"/>
                            <w:spacing w:val="-9"/>
                            <w:sz w:val="24"/>
                          </w:rPr>
                          <w:t>4</w:t>
                        </w:r>
                        <w:r>
                          <w:rPr>
                            <w:spacing w:val="-10"/>
                            <w:sz w:val="24"/>
                          </w:rPr>
                          <w:t>、二</w:t>
                        </w:r>
                      </w:p>
                    </w:tc>
                  </w:tr>
                  <w:tr>
                    <w:tblPrEx>
                      <w:tblW w:w="0" w:type="auto"/>
                      <w:jc w:val="left"/>
                      <w:tblInd w:w="10" w:type="dxa"/>
                      <w:tblLayout w:type="fixed"/>
                      <w:tblCellMar>
                        <w:top w:w="0" w:type="dxa"/>
                        <w:left w:w="0" w:type="dxa"/>
                        <w:bottom w:w="0" w:type="dxa"/>
                        <w:right w:w="0" w:type="dxa"/>
                      </w:tblCellMar>
                      <w:tblLook w:val="01E0"/>
                    </w:tblPrEx>
                    <w:trPr>
                      <w:trHeight w:val="466"/>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6"/>
                          <w:ind w:left="20" w:right="-15"/>
                          <w:rPr>
                            <w:sz w:val="24"/>
                          </w:rPr>
                        </w:pPr>
                        <w:r>
                          <w:rPr>
                            <w:sz w:val="24"/>
                          </w:rPr>
                          <w:t>级公路及智能交通体系建设</w:t>
                        </w:r>
                        <w:r>
                          <w:rPr>
                            <w:rFonts w:ascii="Times New Roman" w:eastAsia="Times New Roman" w:hAnsi="Times New Roman"/>
                            <w:spacing w:val="-21"/>
                            <w:sz w:val="24"/>
                          </w:rPr>
                          <w:t>”</w:t>
                        </w:r>
                        <w:r>
                          <w:rPr>
                            <w:spacing w:val="-11"/>
                            <w:sz w:val="24"/>
                          </w:rPr>
                          <w:t>，项目属鼓励类；不属于《关于加快全省化</w:t>
                        </w:r>
                      </w:p>
                    </w:tc>
                  </w:tr>
                  <w:tr>
                    <w:tblPrEx>
                      <w:tblW w:w="0" w:type="auto"/>
                      <w:jc w:val="left"/>
                      <w:tblInd w:w="10" w:type="dxa"/>
                      <w:tblLayout w:type="fixed"/>
                      <w:tblCellMar>
                        <w:top w:w="0" w:type="dxa"/>
                        <w:left w:w="0" w:type="dxa"/>
                        <w:bottom w:w="0" w:type="dxa"/>
                        <w:right w:w="0" w:type="dxa"/>
                      </w:tblCellMar>
                      <w:tblLook w:val="01E0"/>
                    </w:tblPrEx>
                    <w:trPr>
                      <w:trHeight w:val="466"/>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5"/>
                          <w:ind w:left="20" w:right="-29"/>
                          <w:rPr>
                            <w:sz w:val="24"/>
                          </w:rPr>
                        </w:pPr>
                        <w:r>
                          <w:rPr>
                            <w:sz w:val="24"/>
                          </w:rPr>
                          <w:t>工钢铁煤电行业转型升级高质量发展的实施意见》（苏政办发〔</w:t>
                        </w:r>
                        <w:r>
                          <w:rPr>
                            <w:rFonts w:ascii="Times New Roman" w:eastAsia="Times New Roman"/>
                            <w:sz w:val="24"/>
                          </w:rPr>
                          <w:t>2018</w:t>
                        </w:r>
                        <w:r>
                          <w:rPr>
                            <w:sz w:val="24"/>
                          </w:rPr>
                          <w:t>〕</w:t>
                        </w:r>
                      </w:p>
                    </w:tc>
                  </w:tr>
                  <w:tr>
                    <w:tblPrEx>
                      <w:tblW w:w="0" w:type="auto"/>
                      <w:jc w:val="left"/>
                      <w:tblInd w:w="10" w:type="dxa"/>
                      <w:tblLayout w:type="fixed"/>
                      <w:tblCellMar>
                        <w:top w:w="0" w:type="dxa"/>
                        <w:left w:w="0" w:type="dxa"/>
                        <w:bottom w:w="0" w:type="dxa"/>
                        <w:right w:w="0" w:type="dxa"/>
                      </w:tblCellMar>
                      <w:tblLook w:val="01E0"/>
                    </w:tblPrEx>
                    <w:trPr>
                      <w:trHeight w:val="470"/>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6"/>
                          <w:ind w:left="20"/>
                          <w:rPr>
                            <w:sz w:val="24"/>
                          </w:rPr>
                        </w:pPr>
                        <w:r>
                          <w:rPr>
                            <w:rFonts w:ascii="Times New Roman" w:eastAsia="Times New Roman"/>
                            <w:sz w:val="24"/>
                          </w:rPr>
                          <w:t xml:space="preserve">32 </w:t>
                        </w:r>
                        <w:r>
                          <w:rPr>
                            <w:sz w:val="24"/>
                          </w:rPr>
                          <w:t>号</w:t>
                        </w:r>
                        <w:r>
                          <w:rPr>
                            <w:spacing w:val="-34"/>
                            <w:sz w:val="24"/>
                          </w:rPr>
                          <w:t>）</w:t>
                        </w:r>
                        <w:r>
                          <w:rPr>
                            <w:spacing w:val="-20"/>
                            <w:sz w:val="24"/>
                          </w:rPr>
                          <w:t xml:space="preserve">附件 </w:t>
                        </w:r>
                        <w:r>
                          <w:rPr>
                            <w:rFonts w:ascii="Times New Roman" w:eastAsia="Times New Roman"/>
                            <w:spacing w:val="-34"/>
                            <w:sz w:val="24"/>
                          </w:rPr>
                          <w:t>3</w:t>
                        </w:r>
                        <w:r>
                          <w:rPr>
                            <w:spacing w:val="-5"/>
                            <w:sz w:val="24"/>
                          </w:rPr>
                          <w:t>《江苏省产业结构调整限制、淘汰和禁止目录》中的限制</w:t>
                        </w:r>
                      </w:p>
                    </w:tc>
                  </w:tr>
                  <w:tr>
                    <w:tblPrEx>
                      <w:tblW w:w="0" w:type="auto"/>
                      <w:jc w:val="left"/>
                      <w:tblInd w:w="10" w:type="dxa"/>
                      <w:tblLayout w:type="fixed"/>
                      <w:tblCellMar>
                        <w:top w:w="0" w:type="dxa"/>
                        <w:left w:w="0" w:type="dxa"/>
                        <w:bottom w:w="0" w:type="dxa"/>
                        <w:right w:w="0" w:type="dxa"/>
                      </w:tblCellMar>
                      <w:tblLook w:val="01E0"/>
                    </w:tblPrEx>
                    <w:trPr>
                      <w:trHeight w:val="458"/>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1"/>
                          <w:ind w:left="20"/>
                          <w:rPr>
                            <w:sz w:val="24"/>
                          </w:rPr>
                        </w:pPr>
                        <w:r>
                          <w:rPr>
                            <w:sz w:val="24"/>
                          </w:rPr>
                          <w:t>淘汰和禁止类。</w:t>
                        </w:r>
                      </w:p>
                    </w:tc>
                  </w:tr>
                  <w:tr>
                    <w:tblPrEx>
                      <w:tblW w:w="0" w:type="auto"/>
                      <w:jc w:val="left"/>
                      <w:tblInd w:w="10" w:type="dxa"/>
                      <w:tblLayout w:type="fixed"/>
                      <w:tblCellMar>
                        <w:top w:w="0" w:type="dxa"/>
                        <w:left w:w="0" w:type="dxa"/>
                        <w:bottom w:w="0" w:type="dxa"/>
                        <w:right w:w="0" w:type="dxa"/>
                      </w:tblCellMar>
                      <w:tblLook w:val="01E0"/>
                    </w:tblPrEx>
                    <w:trPr>
                      <w:trHeight w:val="462"/>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80"/>
                          <w:ind w:left="500"/>
                          <w:rPr>
                            <w:sz w:val="24"/>
                          </w:rPr>
                        </w:pPr>
                        <w:r>
                          <w:rPr>
                            <w:sz w:val="24"/>
                          </w:rPr>
                          <w:t>项目已取得阜宁县行政审批局可行性研究报告的批复，批复文号</w:t>
                        </w:r>
                      </w:p>
                    </w:tc>
                  </w:tr>
                  <w:tr>
                    <w:tblPrEx>
                      <w:tblW w:w="0" w:type="auto"/>
                      <w:jc w:val="left"/>
                      <w:tblInd w:w="10" w:type="dxa"/>
                      <w:tblLayout w:type="fixed"/>
                      <w:tblCellMar>
                        <w:top w:w="0" w:type="dxa"/>
                        <w:left w:w="0" w:type="dxa"/>
                        <w:bottom w:w="0" w:type="dxa"/>
                        <w:right w:w="0" w:type="dxa"/>
                      </w:tblCellMar>
                      <w:tblLook w:val="01E0"/>
                    </w:tblPrEx>
                    <w:trPr>
                      <w:trHeight w:val="994"/>
                      <w:jc w:val="left"/>
                    </w:trPr>
                    <w:tc>
                      <w:tcPr>
                        <w:tcW w:w="1580" w:type="dxa"/>
                        <w:tcBorders>
                          <w:top w:val="nil"/>
                          <w:bottom w:val="nil"/>
                          <w:right w:val="single" w:sz="4" w:space="0" w:color="000000"/>
                        </w:tcBorders>
                      </w:tcPr>
                      <w:p>
                        <w:pPr>
                          <w:pStyle w:val="TableParagraph"/>
                          <w:spacing w:before="10"/>
                          <w:rPr>
                            <w:sz w:val="18"/>
                          </w:rPr>
                        </w:pPr>
                      </w:p>
                      <w:p>
                        <w:pPr>
                          <w:pStyle w:val="TableParagraph"/>
                          <w:spacing w:line="242" w:lineRule="auto"/>
                          <w:ind w:left="669" w:right="53" w:hanging="600"/>
                          <w:rPr>
                            <w:sz w:val="24"/>
                          </w:rPr>
                        </w:pPr>
                        <w:r>
                          <w:rPr>
                            <w:sz w:val="24"/>
                          </w:rPr>
                          <w:t>其他符合性分析</w:t>
                        </w:r>
                      </w:p>
                    </w:tc>
                    <w:tc>
                      <w:tcPr>
                        <w:tcW w:w="7459" w:type="dxa"/>
                        <w:gridSpan w:val="10"/>
                        <w:tcBorders>
                          <w:top w:val="nil"/>
                          <w:left w:val="single" w:sz="4" w:space="0" w:color="000000"/>
                          <w:bottom w:val="nil"/>
                        </w:tcBorders>
                      </w:tcPr>
                      <w:p>
                        <w:pPr>
                          <w:pStyle w:val="TableParagraph"/>
                          <w:spacing w:before="83"/>
                          <w:ind w:left="20"/>
                          <w:rPr>
                            <w:rFonts w:ascii="Times New Roman" w:eastAsia="Times New Roman"/>
                            <w:sz w:val="24"/>
                          </w:rPr>
                        </w:pPr>
                        <w:r>
                          <w:rPr>
                            <w:sz w:val="24"/>
                          </w:rPr>
                          <w:t>为：阜行审投资</w:t>
                        </w:r>
                        <w:r>
                          <w:rPr>
                            <w:color w:val="3188FF"/>
                            <w:sz w:val="21"/>
                          </w:rPr>
                          <w:t>〔</w:t>
                        </w:r>
                        <w:r>
                          <w:rPr>
                            <w:rFonts w:ascii="Times New Roman" w:eastAsia="Times New Roman"/>
                            <w:sz w:val="24"/>
                          </w:rPr>
                          <w:t>2023</w:t>
                        </w:r>
                        <w:r>
                          <w:rPr>
                            <w:color w:val="3188FF"/>
                            <w:sz w:val="21"/>
                          </w:rPr>
                          <w:t>〕</w:t>
                        </w:r>
                        <w:r>
                          <w:rPr>
                            <w:rFonts w:ascii="Times New Roman" w:eastAsia="Times New Roman"/>
                            <w:sz w:val="24"/>
                          </w:rPr>
                          <w:t xml:space="preserve">46 </w:t>
                        </w:r>
                        <w:r>
                          <w:rPr>
                            <w:sz w:val="24"/>
                          </w:rPr>
                          <w:t>号；项目代码：</w:t>
                        </w:r>
                        <w:r>
                          <w:rPr>
                            <w:rFonts w:ascii="Times New Roman" w:eastAsia="Times New Roman"/>
                            <w:sz w:val="24"/>
                          </w:rPr>
                          <w:t>2303-320923-89-01-396477</w:t>
                        </w:r>
                      </w:p>
                      <w:p>
                        <w:pPr>
                          <w:pStyle w:val="TableParagraph"/>
                          <w:spacing w:before="160"/>
                          <w:ind w:left="20"/>
                          <w:rPr>
                            <w:sz w:val="24"/>
                          </w:rPr>
                        </w:pPr>
                        <w:r>
                          <w:rPr>
                            <w:sz w:val="24"/>
                          </w:rPr>
                          <w:t>因此建设项目符合国家和地方产业政策。</w:t>
                        </w:r>
                      </w:p>
                    </w:tc>
                  </w:tr>
                  <w:tr>
                    <w:tblPrEx>
                      <w:tblW w:w="0" w:type="auto"/>
                      <w:jc w:val="left"/>
                      <w:tblInd w:w="10" w:type="dxa"/>
                      <w:tblLayout w:type="fixed"/>
                      <w:tblCellMar>
                        <w:top w:w="0" w:type="dxa"/>
                        <w:left w:w="0" w:type="dxa"/>
                        <w:bottom w:w="0" w:type="dxa"/>
                        <w:right w:w="0" w:type="dxa"/>
                      </w:tblCellMar>
                      <w:tblLook w:val="01E0"/>
                    </w:tblPrEx>
                    <w:trPr>
                      <w:trHeight w:val="533"/>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141"/>
                          <w:ind w:left="500"/>
                          <w:rPr>
                            <w:b/>
                            <w:sz w:val="24"/>
                          </w:rPr>
                        </w:pPr>
                        <w:r>
                          <w:rPr>
                            <w:rFonts w:ascii="Times New Roman" w:eastAsia="Times New Roman" w:hAnsi="Times New Roman"/>
                            <w:b/>
                            <w:sz w:val="24"/>
                          </w:rPr>
                          <w:t>2</w:t>
                        </w:r>
                        <w:r>
                          <w:rPr>
                            <w:b/>
                            <w:sz w:val="24"/>
                          </w:rPr>
                          <w:t>、</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相符性分析</w:t>
                        </w:r>
                      </w:p>
                    </w:tc>
                  </w:tr>
                  <w:tr>
                    <w:tblPrEx>
                      <w:tblW w:w="0" w:type="auto"/>
                      <w:jc w:val="left"/>
                      <w:tblInd w:w="10" w:type="dxa"/>
                      <w:tblLayout w:type="fixed"/>
                      <w:tblCellMar>
                        <w:top w:w="0" w:type="dxa"/>
                        <w:left w:w="0" w:type="dxa"/>
                        <w:bottom w:w="0" w:type="dxa"/>
                        <w:right w:w="0" w:type="dxa"/>
                      </w:tblCellMar>
                      <w:tblLook w:val="01E0"/>
                    </w:tblPrEx>
                    <w:trPr>
                      <w:trHeight w:val="466"/>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6"/>
                          <w:ind w:left="500"/>
                          <w:rPr>
                            <w:sz w:val="24"/>
                          </w:rPr>
                        </w:pPr>
                        <w:r>
                          <w:rPr>
                            <w:sz w:val="24"/>
                          </w:rPr>
                          <w:t>（</w:t>
                        </w:r>
                        <w:r>
                          <w:rPr>
                            <w:rFonts w:ascii="Times New Roman" w:eastAsia="Times New Roman"/>
                            <w:sz w:val="24"/>
                          </w:rPr>
                          <w:t>1</w:t>
                        </w:r>
                        <w:r>
                          <w:rPr>
                            <w:sz w:val="24"/>
                          </w:rPr>
                          <w:t>）生态红线相符性</w:t>
                        </w:r>
                      </w:p>
                    </w:tc>
                  </w:tr>
                  <w:tr>
                    <w:tblPrEx>
                      <w:tblW w:w="0" w:type="auto"/>
                      <w:jc w:val="left"/>
                      <w:tblInd w:w="10" w:type="dxa"/>
                      <w:tblLayout w:type="fixed"/>
                      <w:tblCellMar>
                        <w:top w:w="0" w:type="dxa"/>
                        <w:left w:w="0" w:type="dxa"/>
                        <w:bottom w:w="0" w:type="dxa"/>
                        <w:right w:w="0" w:type="dxa"/>
                      </w:tblCellMar>
                      <w:tblLook w:val="01E0"/>
                    </w:tblPrEx>
                    <w:trPr>
                      <w:trHeight w:val="468"/>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5"/>
                          <w:ind w:left="500"/>
                          <w:rPr>
                            <w:sz w:val="24"/>
                          </w:rPr>
                        </w:pPr>
                        <w:r>
                          <w:rPr>
                            <w:spacing w:val="-10"/>
                            <w:sz w:val="24"/>
                          </w:rPr>
                          <w:t>①根据《江苏省国家级生态保护红线规划》</w:t>
                        </w:r>
                        <w:r>
                          <w:rPr>
                            <w:sz w:val="24"/>
                          </w:rPr>
                          <w:t>（</w:t>
                        </w:r>
                        <w:r>
                          <w:rPr>
                            <w:spacing w:val="-11"/>
                            <w:sz w:val="24"/>
                          </w:rPr>
                          <w:t>苏政发〔</w:t>
                        </w:r>
                        <w:r>
                          <w:rPr>
                            <w:rFonts w:ascii="Times New Roman" w:eastAsia="Times New Roman" w:hAnsi="Times New Roman"/>
                            <w:sz w:val="24"/>
                          </w:rPr>
                          <w:t>2018</w:t>
                        </w:r>
                        <w:r>
                          <w:rPr>
                            <w:spacing w:val="-39"/>
                            <w:sz w:val="24"/>
                          </w:rPr>
                          <w:t>〕</w:t>
                        </w:r>
                        <w:r>
                          <w:rPr>
                            <w:rFonts w:ascii="Times New Roman" w:eastAsia="Times New Roman" w:hAnsi="Times New Roman"/>
                            <w:sz w:val="24"/>
                          </w:rPr>
                          <w:t xml:space="preserve">74 </w:t>
                        </w:r>
                        <w:r>
                          <w:rPr>
                            <w:sz w:val="24"/>
                          </w:rPr>
                          <w:t>号</w:t>
                        </w:r>
                      </w:p>
                    </w:tc>
                  </w:tr>
                  <w:tr>
                    <w:tblPrEx>
                      <w:tblW w:w="0" w:type="auto"/>
                      <w:jc w:val="left"/>
                      <w:tblInd w:w="10" w:type="dxa"/>
                      <w:tblLayout w:type="fixed"/>
                      <w:tblCellMar>
                        <w:top w:w="0" w:type="dxa"/>
                        <w:left w:w="0" w:type="dxa"/>
                        <w:bottom w:w="0" w:type="dxa"/>
                        <w:right w:w="0" w:type="dxa"/>
                      </w:tblCellMar>
                      <w:tblLook w:val="01E0"/>
                    </w:tblPrEx>
                    <w:trPr>
                      <w:trHeight w:val="471"/>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5"/>
                          <w:ind w:left="20" w:right="-15"/>
                          <w:rPr>
                            <w:sz w:val="24"/>
                          </w:rPr>
                        </w:pPr>
                        <w:r>
                          <w:rPr>
                            <w:sz w:val="24"/>
                          </w:rPr>
                          <w:t>和《江苏省生态空间管控区域规划》（苏政发〔</w:t>
                        </w:r>
                        <w:r>
                          <w:rPr>
                            <w:rFonts w:ascii="Times New Roman" w:eastAsia="Times New Roman"/>
                            <w:sz w:val="24"/>
                          </w:rPr>
                          <w:t>2020</w:t>
                        </w:r>
                        <w:r>
                          <w:rPr>
                            <w:sz w:val="24"/>
                          </w:rPr>
                          <w:t>〕</w:t>
                        </w:r>
                        <w:r>
                          <w:rPr>
                            <w:rFonts w:ascii="Times New Roman" w:eastAsia="Times New Roman"/>
                            <w:sz w:val="24"/>
                          </w:rPr>
                          <w:t>1</w:t>
                        </w:r>
                        <w:r>
                          <w:rPr>
                            <w:rFonts w:ascii="Times New Roman" w:eastAsia="Times New Roman"/>
                            <w:spacing w:val="28"/>
                            <w:sz w:val="24"/>
                          </w:rPr>
                          <w:t xml:space="preserve"> </w:t>
                        </w:r>
                        <w:r>
                          <w:rPr>
                            <w:sz w:val="24"/>
                          </w:rPr>
                          <w:t>号）和《阜宁</w:t>
                        </w:r>
                      </w:p>
                    </w:tc>
                  </w:tr>
                  <w:tr>
                    <w:tblPrEx>
                      <w:tblW w:w="0" w:type="auto"/>
                      <w:jc w:val="left"/>
                      <w:tblInd w:w="10" w:type="dxa"/>
                      <w:tblLayout w:type="fixed"/>
                      <w:tblCellMar>
                        <w:top w:w="0" w:type="dxa"/>
                        <w:left w:w="0" w:type="dxa"/>
                        <w:bottom w:w="0" w:type="dxa"/>
                        <w:right w:w="0" w:type="dxa"/>
                      </w:tblCellMar>
                      <w:tblLook w:val="01E0"/>
                    </w:tblPrEx>
                    <w:trPr>
                      <w:trHeight w:val="452"/>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nil"/>
                        </w:tcBorders>
                      </w:tcPr>
                      <w:p>
                        <w:pPr>
                          <w:pStyle w:val="TableParagraph"/>
                          <w:spacing w:before="71"/>
                          <w:ind w:left="20"/>
                          <w:rPr>
                            <w:sz w:val="24"/>
                          </w:rPr>
                        </w:pPr>
                        <w:r>
                          <w:rPr>
                            <w:sz w:val="24"/>
                          </w:rPr>
                          <w:t>县生态空间管控区域调整方案》，项目周边生态红线区范围如下：</w:t>
                        </w:r>
                      </w:p>
                    </w:tc>
                  </w:tr>
                  <w:tr>
                    <w:tblPrEx>
                      <w:tblW w:w="0" w:type="auto"/>
                      <w:jc w:val="left"/>
                      <w:tblInd w:w="10" w:type="dxa"/>
                      <w:tblLayout w:type="fixed"/>
                      <w:tblCellMar>
                        <w:top w:w="0" w:type="dxa"/>
                        <w:left w:w="0" w:type="dxa"/>
                        <w:bottom w:w="0" w:type="dxa"/>
                        <w:right w:w="0" w:type="dxa"/>
                      </w:tblCellMar>
                      <w:tblLook w:val="01E0"/>
                    </w:tblPrEx>
                    <w:trPr>
                      <w:trHeight w:val="393"/>
                      <w:jc w:val="left"/>
                    </w:trPr>
                    <w:tc>
                      <w:tcPr>
                        <w:tcW w:w="1580" w:type="dxa"/>
                        <w:tcBorders>
                          <w:top w:val="nil"/>
                          <w:bottom w:val="nil"/>
                          <w:right w:val="single" w:sz="4" w:space="0" w:color="000000"/>
                        </w:tcBorders>
                      </w:tcPr>
                      <w:p>
                        <w:pPr>
                          <w:pStyle w:val="TableParagraph"/>
                          <w:rPr>
                            <w:rFonts w:ascii="Times New Roman"/>
                            <w:sz w:val="22"/>
                          </w:rPr>
                        </w:pPr>
                      </w:p>
                    </w:tc>
                    <w:tc>
                      <w:tcPr>
                        <w:tcW w:w="7459" w:type="dxa"/>
                        <w:gridSpan w:val="10"/>
                        <w:tcBorders>
                          <w:top w:val="nil"/>
                          <w:left w:val="single" w:sz="4" w:space="0" w:color="000000"/>
                          <w:bottom w:val="single" w:sz="12" w:space="0" w:color="000000"/>
                        </w:tcBorders>
                      </w:tcPr>
                      <w:p>
                        <w:pPr>
                          <w:pStyle w:val="TableParagraph"/>
                          <w:tabs>
                            <w:tab w:val="left" w:pos="1393"/>
                          </w:tabs>
                          <w:spacing w:before="84" w:line="289" w:lineRule="exact"/>
                          <w:ind w:left="531"/>
                          <w:rPr>
                            <w:b/>
                            <w:sz w:val="24"/>
                          </w:rPr>
                        </w:pPr>
                        <w:r>
                          <w:rPr>
                            <w:b/>
                            <w:sz w:val="24"/>
                          </w:rPr>
                          <w:t>表</w:t>
                        </w:r>
                        <w:r>
                          <w:rPr>
                            <w:b/>
                            <w:spacing w:val="-62"/>
                            <w:sz w:val="24"/>
                          </w:rPr>
                          <w:t xml:space="preserve"> </w:t>
                        </w:r>
                        <w:r>
                          <w:rPr>
                            <w:rFonts w:ascii="Times New Roman" w:eastAsia="Times New Roman"/>
                            <w:b/>
                            <w:sz w:val="24"/>
                          </w:rPr>
                          <w:t>1-1</w:t>
                          <w:tab/>
                        </w:r>
                        <w:r>
                          <w:rPr>
                            <w:b/>
                            <w:sz w:val="24"/>
                          </w:rPr>
                          <w:t>项目与《江苏省生态空间管控区域规划》相符性分析</w:t>
                        </w:r>
                      </w:p>
                    </w:tc>
                  </w:tr>
                  <w:tr>
                    <w:tblPrEx>
                      <w:tblW w:w="0" w:type="auto"/>
                      <w:jc w:val="left"/>
                      <w:tblInd w:w="10" w:type="dxa"/>
                      <w:tblLayout w:type="fixed"/>
                      <w:tblCellMar>
                        <w:top w:w="0" w:type="dxa"/>
                        <w:left w:w="0" w:type="dxa"/>
                        <w:bottom w:w="0" w:type="dxa"/>
                        <w:right w:w="0" w:type="dxa"/>
                      </w:tblCellMar>
                      <w:tblLook w:val="01E0"/>
                    </w:tblPrEx>
                    <w:trPr>
                      <w:trHeight w:val="324"/>
                      <w:jc w:val="left"/>
                    </w:trPr>
                    <w:tc>
                      <w:tcPr>
                        <w:tcW w:w="1580" w:type="dxa"/>
                        <w:tcBorders>
                          <w:top w:val="nil"/>
                          <w:bottom w:val="nil"/>
                          <w:right w:val="single" w:sz="4" w:space="0" w:color="000000"/>
                        </w:tcBorders>
                      </w:tcPr>
                      <w:p>
                        <w:pPr>
                          <w:pStyle w:val="TableParagraph"/>
                          <w:rPr>
                            <w:rFonts w:ascii="Times New Roman"/>
                            <w:sz w:val="22"/>
                          </w:rPr>
                        </w:pPr>
                      </w:p>
                    </w:tc>
                    <w:tc>
                      <w:tcPr>
                        <w:tcW w:w="283" w:type="dxa"/>
                        <w:vMerge w:val="restart"/>
                        <w:tcBorders>
                          <w:top w:val="single" w:sz="12"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rPr>
                            <w:sz w:val="20"/>
                          </w:rPr>
                        </w:pPr>
                      </w:p>
                      <w:p>
                        <w:pPr>
                          <w:pStyle w:val="TableParagraph"/>
                          <w:spacing w:before="10"/>
                          <w:rPr>
                            <w:sz w:val="16"/>
                          </w:rPr>
                        </w:pPr>
                      </w:p>
                      <w:p>
                        <w:pPr>
                          <w:pStyle w:val="TableParagraph"/>
                          <w:spacing w:line="242" w:lineRule="auto"/>
                          <w:ind w:left="49" w:right="12"/>
                          <w:rPr>
                            <w:b/>
                            <w:sz w:val="21"/>
                          </w:rPr>
                        </w:pPr>
                        <w:r>
                          <w:rPr>
                            <w:b/>
                            <w:sz w:val="21"/>
                          </w:rPr>
                          <w:t>序号</w:t>
                        </w:r>
                      </w:p>
                    </w:tc>
                    <w:tc>
                      <w:tcPr>
                        <w:tcW w:w="578" w:type="dxa"/>
                        <w:tcBorders>
                          <w:top w:val="single" w:sz="12" w:space="0" w:color="000000"/>
                          <w:left w:val="single" w:sz="4" w:space="0" w:color="000000"/>
                          <w:bottom w:val="nil"/>
                          <w:right w:val="single" w:sz="4" w:space="0" w:color="000000"/>
                        </w:tcBorders>
                      </w:tcPr>
                      <w:p>
                        <w:pPr>
                          <w:pStyle w:val="TableParagraph"/>
                          <w:rPr>
                            <w:rFonts w:ascii="Times New Roman"/>
                            <w:sz w:val="22"/>
                          </w:rPr>
                        </w:pPr>
                      </w:p>
                    </w:tc>
                    <w:tc>
                      <w:tcPr>
                        <w:tcW w:w="689" w:type="dxa"/>
                        <w:tcBorders>
                          <w:top w:val="single" w:sz="12" w:space="0" w:color="000000"/>
                          <w:left w:val="single" w:sz="4" w:space="0" w:color="000000"/>
                          <w:bottom w:val="nil"/>
                          <w:right w:val="single" w:sz="4" w:space="0" w:color="000000"/>
                        </w:tcBorders>
                      </w:tcPr>
                      <w:p>
                        <w:pPr>
                          <w:pStyle w:val="TableParagraph"/>
                          <w:rPr>
                            <w:rFonts w:ascii="Times New Roman"/>
                            <w:sz w:val="22"/>
                          </w:rPr>
                        </w:pPr>
                      </w:p>
                    </w:tc>
                    <w:tc>
                      <w:tcPr>
                        <w:tcW w:w="267" w:type="dxa"/>
                        <w:vMerge w:val="restart"/>
                        <w:tcBorders>
                          <w:top w:val="single" w:sz="12" w:space="0" w:color="000000"/>
                          <w:left w:val="single" w:sz="4" w:space="0" w:color="000000"/>
                          <w:bottom w:val="thickThinMediumGap" w:sz="4" w:space="0" w:color="000000"/>
                          <w:right w:val="single" w:sz="4" w:space="0" w:color="000000"/>
                        </w:tcBorders>
                      </w:tcPr>
                      <w:p>
                        <w:pPr>
                          <w:pStyle w:val="TableParagraph"/>
                          <w:spacing w:before="3"/>
                          <w:rPr>
                            <w:sz w:val="14"/>
                          </w:rPr>
                        </w:pPr>
                      </w:p>
                      <w:p>
                        <w:pPr>
                          <w:pStyle w:val="TableParagraph"/>
                          <w:spacing w:line="242" w:lineRule="auto"/>
                          <w:ind w:left="33" w:right="12"/>
                          <w:jc w:val="both"/>
                          <w:rPr>
                            <w:b/>
                            <w:sz w:val="21"/>
                          </w:rPr>
                        </w:pPr>
                        <w:r>
                          <w:rPr>
                            <w:b/>
                            <w:sz w:val="21"/>
                          </w:rPr>
                          <w:t>主导生态功能</w:t>
                        </w:r>
                      </w:p>
                    </w:tc>
                    <w:tc>
                      <w:tcPr>
                        <w:tcW w:w="3237"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31"/>
                          <w:ind w:left="1391" w:right="1373"/>
                          <w:jc w:val="center"/>
                          <w:rPr>
                            <w:b/>
                            <w:sz w:val="21"/>
                          </w:rPr>
                        </w:pPr>
                        <w:r>
                          <w:rPr>
                            <w:b/>
                            <w:sz w:val="21"/>
                          </w:rPr>
                          <w:t>范围</w:t>
                        </w:r>
                      </w:p>
                    </w:tc>
                    <w:tc>
                      <w:tcPr>
                        <w:tcW w:w="1690"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31"/>
                          <w:ind w:left="33" w:right="-44"/>
                          <w:rPr>
                            <w:b/>
                            <w:sz w:val="21"/>
                          </w:rPr>
                        </w:pPr>
                        <w:r>
                          <w:rPr>
                            <w:b/>
                            <w:sz w:val="21"/>
                          </w:rPr>
                          <w:t>面积（平方公里）</w:t>
                        </w:r>
                      </w:p>
                    </w:tc>
                    <w:tc>
                      <w:tcPr>
                        <w:tcW w:w="715" w:type="dxa"/>
                        <w:tcBorders>
                          <w:top w:val="single" w:sz="12" w:space="0" w:color="000000"/>
                          <w:left w:val="single" w:sz="4" w:space="0" w:color="000000"/>
                          <w:bottom w:val="nil"/>
                        </w:tcBorders>
                      </w:tcPr>
                      <w:p>
                        <w:pPr>
                          <w:pStyle w:val="TableParagraph"/>
                          <w:rPr>
                            <w:rFonts w:ascii="Times New Roman"/>
                            <w:sz w:val="22"/>
                          </w:rPr>
                        </w:pPr>
                      </w:p>
                    </w:tc>
                  </w:tr>
                  <w:tr>
                    <w:tblPrEx>
                      <w:tblW w:w="0" w:type="auto"/>
                      <w:jc w:val="left"/>
                      <w:tblInd w:w="10" w:type="dxa"/>
                      <w:tblLayout w:type="fixed"/>
                      <w:tblCellMar>
                        <w:top w:w="0" w:type="dxa"/>
                        <w:left w:w="0" w:type="dxa"/>
                        <w:bottom w:w="0" w:type="dxa"/>
                        <w:right w:w="0" w:type="dxa"/>
                      </w:tblCellMar>
                      <w:tblLook w:val="01E0"/>
                    </w:tblPrEx>
                    <w:trPr>
                      <w:trHeight w:val="1646"/>
                      <w:jc w:val="left"/>
                    </w:trPr>
                    <w:tc>
                      <w:tcPr>
                        <w:tcW w:w="1580" w:type="dxa"/>
                        <w:tcBorders>
                          <w:top w:val="nil"/>
                          <w:right w:val="single" w:sz="4" w:space="0" w:color="000000"/>
                        </w:tcBorders>
                      </w:tcPr>
                      <w:p>
                        <w:pPr>
                          <w:pStyle w:val="TableParagraph"/>
                          <w:rPr>
                            <w:rFonts w:ascii="Times New Roman"/>
                            <w:sz w:val="22"/>
                          </w:rPr>
                        </w:pPr>
                      </w:p>
                    </w:tc>
                    <w:tc>
                      <w:tcPr>
                        <w:tcW w:w="283" w:type="dxa"/>
                        <w:vMerge/>
                        <w:tcBorders>
                          <w:top w:val="nil"/>
                          <w:left w:val="single" w:sz="4" w:space="0" w:color="000000"/>
                          <w:bottom w:val="thickThinMediumGap" w:sz="4" w:space="0" w:color="000000"/>
                          <w:right w:val="single" w:sz="4" w:space="0" w:color="000000"/>
                        </w:tcBorders>
                      </w:tcPr>
                      <w:p>
                        <w:pPr>
                          <w:rPr>
                            <w:sz w:val="2"/>
                            <w:szCs w:val="2"/>
                          </w:rPr>
                        </w:pPr>
                      </w:p>
                    </w:tc>
                    <w:tc>
                      <w:tcPr>
                        <w:tcW w:w="578" w:type="dxa"/>
                        <w:tcBorders>
                          <w:top w:val="nil"/>
                          <w:left w:val="single" w:sz="4" w:space="0" w:color="000000"/>
                          <w:bottom w:val="thickThinMediumGap" w:sz="4" w:space="0" w:color="000000"/>
                          <w:right w:val="single" w:sz="4" w:space="0" w:color="000000"/>
                        </w:tcBorders>
                      </w:tcPr>
                      <w:p>
                        <w:pPr>
                          <w:pStyle w:val="TableParagraph"/>
                          <w:spacing w:line="234" w:lineRule="exact"/>
                          <w:ind w:left="83"/>
                          <w:rPr>
                            <w:b/>
                            <w:sz w:val="21"/>
                          </w:rPr>
                        </w:pPr>
                        <w:r>
                          <w:rPr>
                            <w:b/>
                            <w:w w:val="95"/>
                            <w:sz w:val="21"/>
                          </w:rPr>
                          <w:t>生态</w:t>
                        </w:r>
                      </w:p>
                      <w:p>
                        <w:pPr>
                          <w:pStyle w:val="TableParagraph"/>
                          <w:spacing w:before="2" w:line="242" w:lineRule="auto"/>
                          <w:ind w:left="83" w:right="62"/>
                          <w:jc w:val="both"/>
                          <w:rPr>
                            <w:b/>
                            <w:sz w:val="21"/>
                          </w:rPr>
                        </w:pPr>
                        <w:r>
                          <w:rPr>
                            <w:b/>
                            <w:spacing w:val="-9"/>
                            <w:sz w:val="21"/>
                          </w:rPr>
                          <w:t>空间保护区域</w:t>
                        </w:r>
                        <w:r>
                          <w:rPr>
                            <w:b/>
                            <w:spacing w:val="-9"/>
                            <w:w w:val="95"/>
                            <w:sz w:val="21"/>
                          </w:rPr>
                          <w:t>名称</w:t>
                        </w:r>
                      </w:p>
                    </w:tc>
                    <w:tc>
                      <w:tcPr>
                        <w:tcW w:w="689" w:type="dxa"/>
                        <w:tcBorders>
                          <w:top w:val="nil"/>
                          <w:left w:val="single" w:sz="4" w:space="0" w:color="000000"/>
                          <w:bottom w:val="thickThinMediumGap" w:sz="4" w:space="0" w:color="000000"/>
                          <w:right w:val="single" w:sz="4" w:space="0" w:color="000000"/>
                        </w:tcBorders>
                      </w:tcPr>
                      <w:p>
                        <w:pPr>
                          <w:pStyle w:val="TableParagraph"/>
                          <w:spacing w:before="1"/>
                          <w:rPr>
                            <w:sz w:val="29"/>
                          </w:rPr>
                        </w:pPr>
                      </w:p>
                      <w:p>
                        <w:pPr>
                          <w:pStyle w:val="TableParagraph"/>
                          <w:spacing w:before="1" w:line="242" w:lineRule="auto"/>
                          <w:ind w:left="136" w:right="-44" w:hanging="104"/>
                          <w:rPr>
                            <w:b/>
                            <w:sz w:val="21"/>
                          </w:rPr>
                        </w:pPr>
                        <w:r>
                          <w:rPr>
                            <w:b/>
                            <w:spacing w:val="-104"/>
                            <w:sz w:val="21"/>
                          </w:rPr>
                          <w:t>县</w:t>
                        </w:r>
                        <w:r>
                          <w:rPr>
                            <w:b/>
                            <w:sz w:val="21"/>
                          </w:rPr>
                          <w:t>（</w:t>
                        </w:r>
                        <w:r>
                          <w:rPr>
                            <w:b/>
                            <w:spacing w:val="-31"/>
                            <w:sz w:val="21"/>
                          </w:rPr>
                          <w:t>市、</w:t>
                        </w:r>
                        <w:r>
                          <w:rPr>
                            <w:b/>
                            <w:sz w:val="21"/>
                          </w:rPr>
                          <w:t>区）</w:t>
                        </w:r>
                      </w:p>
                    </w:tc>
                    <w:tc>
                      <w:tcPr>
                        <w:tcW w:w="267" w:type="dxa"/>
                        <w:vMerge/>
                        <w:tcBorders>
                          <w:top w:val="nil"/>
                          <w:left w:val="single" w:sz="4" w:space="0" w:color="000000"/>
                          <w:bottom w:val="thickThinMediumGap" w:sz="4" w:space="0" w:color="000000"/>
                          <w:right w:val="single" w:sz="4" w:space="0" w:color="000000"/>
                        </w:tcBorders>
                      </w:tcPr>
                      <w:p>
                        <w:pPr>
                          <w:rPr>
                            <w:sz w:val="2"/>
                            <w:szCs w:val="2"/>
                          </w:rPr>
                        </w:pPr>
                      </w:p>
                    </w:tc>
                    <w:tc>
                      <w:tcPr>
                        <w:tcW w:w="1274" w:type="dxa"/>
                        <w:tcBorders>
                          <w:top w:val="single" w:sz="4"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spacing w:before="162" w:line="242" w:lineRule="auto"/>
                          <w:ind w:left="93" w:right="75"/>
                          <w:jc w:val="center"/>
                          <w:rPr>
                            <w:b/>
                            <w:sz w:val="21"/>
                          </w:rPr>
                        </w:pPr>
                        <w:r>
                          <w:rPr>
                            <w:b/>
                            <w:sz w:val="21"/>
                          </w:rPr>
                          <w:t>国家级生态保护红线范围</w:t>
                        </w:r>
                      </w:p>
                    </w:tc>
                    <w:tc>
                      <w:tcPr>
                        <w:tcW w:w="1963" w:type="dxa"/>
                        <w:tcBorders>
                          <w:top w:val="single" w:sz="4"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spacing w:before="4"/>
                          <w:rPr>
                            <w:sz w:val="23"/>
                          </w:rPr>
                        </w:pPr>
                      </w:p>
                      <w:p>
                        <w:pPr>
                          <w:pStyle w:val="TableParagraph"/>
                          <w:spacing w:before="1" w:line="242" w:lineRule="auto"/>
                          <w:ind w:left="880" w:right="17" w:hanging="843"/>
                          <w:rPr>
                            <w:b/>
                            <w:sz w:val="21"/>
                          </w:rPr>
                        </w:pPr>
                        <w:r>
                          <w:rPr>
                            <w:b/>
                            <w:sz w:val="21"/>
                          </w:rPr>
                          <w:t>生态空间管控区域范围</w:t>
                        </w:r>
                      </w:p>
                    </w:tc>
                    <w:tc>
                      <w:tcPr>
                        <w:tcW w:w="573" w:type="dxa"/>
                        <w:tcBorders>
                          <w:top w:val="single" w:sz="4" w:space="0" w:color="000000"/>
                          <w:left w:val="single" w:sz="4" w:space="0" w:color="000000"/>
                          <w:bottom w:val="thickThinMediumGap" w:sz="4" w:space="0" w:color="000000"/>
                          <w:right w:val="single" w:sz="4" w:space="0" w:color="000000"/>
                        </w:tcBorders>
                      </w:tcPr>
                      <w:p>
                        <w:pPr>
                          <w:pStyle w:val="TableParagraph"/>
                          <w:spacing w:before="11" w:line="242" w:lineRule="auto"/>
                          <w:ind w:left="78" w:right="62"/>
                          <w:jc w:val="center"/>
                          <w:rPr>
                            <w:b/>
                            <w:sz w:val="21"/>
                          </w:rPr>
                        </w:pPr>
                        <w:r>
                          <w:rPr>
                            <w:b/>
                            <w:spacing w:val="-9"/>
                            <w:sz w:val="21"/>
                          </w:rPr>
                          <w:t>国家</w:t>
                        </w:r>
                        <w:r>
                          <w:rPr>
                            <w:b/>
                            <w:sz w:val="21"/>
                          </w:rPr>
                          <w:t xml:space="preserve">级 </w:t>
                        </w:r>
                        <w:r>
                          <w:rPr>
                            <w:b/>
                            <w:spacing w:val="-9"/>
                            <w:sz w:val="21"/>
                          </w:rPr>
                          <w:t>生态保护</w:t>
                        </w:r>
                        <w:r>
                          <w:rPr>
                            <w:b/>
                            <w:spacing w:val="-9"/>
                            <w:w w:val="95"/>
                            <w:sz w:val="21"/>
                          </w:rPr>
                          <w:t>红线</w:t>
                        </w:r>
                      </w:p>
                      <w:p>
                        <w:pPr>
                          <w:pStyle w:val="TableParagraph"/>
                          <w:spacing w:before="2" w:line="255" w:lineRule="exact"/>
                          <w:ind w:left="68" w:right="54"/>
                          <w:jc w:val="center"/>
                          <w:rPr>
                            <w:b/>
                            <w:sz w:val="21"/>
                          </w:rPr>
                        </w:pPr>
                        <w:r>
                          <w:rPr>
                            <w:b/>
                            <w:w w:val="95"/>
                            <w:sz w:val="21"/>
                          </w:rPr>
                          <w:t>面积</w:t>
                        </w:r>
                      </w:p>
                    </w:tc>
                    <w:tc>
                      <w:tcPr>
                        <w:tcW w:w="573" w:type="dxa"/>
                        <w:tcBorders>
                          <w:top w:val="single" w:sz="4" w:space="0" w:color="000000"/>
                          <w:left w:val="single" w:sz="4" w:space="0" w:color="000000"/>
                          <w:bottom w:val="thickThinMediumGap" w:sz="4" w:space="0" w:color="000000"/>
                          <w:right w:val="single" w:sz="4" w:space="0" w:color="000000"/>
                        </w:tcBorders>
                      </w:tcPr>
                      <w:p>
                        <w:pPr>
                          <w:pStyle w:val="TableParagraph"/>
                          <w:spacing w:before="147" w:line="242" w:lineRule="auto"/>
                          <w:ind w:left="79" w:right="61"/>
                          <w:jc w:val="both"/>
                          <w:rPr>
                            <w:b/>
                            <w:sz w:val="21"/>
                          </w:rPr>
                        </w:pPr>
                        <w:r>
                          <w:rPr>
                            <w:b/>
                            <w:sz w:val="21"/>
                          </w:rPr>
                          <w:t>生态空间管控区域面积</w:t>
                        </w:r>
                      </w:p>
                    </w:tc>
                    <w:tc>
                      <w:tcPr>
                        <w:tcW w:w="544" w:type="dxa"/>
                        <w:tcBorders>
                          <w:top w:val="single" w:sz="4"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spacing w:before="4"/>
                          <w:rPr>
                            <w:sz w:val="23"/>
                          </w:rPr>
                        </w:pPr>
                      </w:p>
                      <w:p>
                        <w:pPr>
                          <w:pStyle w:val="TableParagraph"/>
                          <w:spacing w:before="1" w:line="242" w:lineRule="auto"/>
                          <w:ind w:left="65" w:right="46" w:firstLine="105"/>
                          <w:rPr>
                            <w:b/>
                            <w:sz w:val="21"/>
                          </w:rPr>
                        </w:pPr>
                        <w:r>
                          <w:rPr>
                            <w:b/>
                            <w:sz w:val="21"/>
                          </w:rPr>
                          <w:t>总面积</w:t>
                        </w:r>
                      </w:p>
                    </w:tc>
                    <w:tc>
                      <w:tcPr>
                        <w:tcW w:w="715" w:type="dxa"/>
                        <w:tcBorders>
                          <w:top w:val="nil"/>
                          <w:left w:val="single" w:sz="4" w:space="0" w:color="000000"/>
                          <w:bottom w:val="thickThinMediumGap" w:sz="4" w:space="0" w:color="000000"/>
                        </w:tcBorders>
                      </w:tcPr>
                      <w:p>
                        <w:pPr>
                          <w:pStyle w:val="TableParagraph"/>
                          <w:spacing w:before="5"/>
                          <w:rPr>
                            <w:sz w:val="18"/>
                          </w:rPr>
                        </w:pPr>
                      </w:p>
                      <w:p>
                        <w:pPr>
                          <w:pStyle w:val="TableParagraph"/>
                          <w:spacing w:before="1" w:line="242" w:lineRule="auto"/>
                          <w:ind w:left="35" w:right="31"/>
                          <w:jc w:val="both"/>
                          <w:rPr>
                            <w:b/>
                            <w:sz w:val="21"/>
                          </w:rPr>
                        </w:pPr>
                        <w:r>
                          <w:rPr>
                            <w:b/>
                            <w:sz w:val="21"/>
                          </w:rPr>
                          <w:t>本项目相符性分析</w:t>
                        </w:r>
                      </w:p>
                    </w:tc>
                  </w:tr>
                </w:tbl>
                <w:p>
                  <w:pPr>
                    <w:pStyle w:val="BodyText"/>
                  </w:pP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6"/>
        </w:rPr>
      </w:pPr>
    </w:p>
    <w:p>
      <w:pPr>
        <w:pStyle w:val="BodyText"/>
        <w:spacing w:before="66"/>
        <w:ind w:right="131"/>
        <w:jc w:val="right"/>
      </w:pPr>
      <w:r>
        <w:t>、</w:t>
      </w:r>
    </w:p>
    <w:p>
      <w:pPr>
        <w:pStyle w:val="BodyText"/>
      </w:pPr>
    </w:p>
    <w:p>
      <w:pPr>
        <w:pStyle w:val="BodyText"/>
      </w:pPr>
    </w:p>
    <w:p>
      <w:pPr>
        <w:pStyle w:val="BodyText"/>
      </w:pPr>
    </w:p>
    <w:p>
      <w:pPr>
        <w:pStyle w:val="BodyText"/>
        <w:spacing w:before="170"/>
        <w:ind w:right="157"/>
        <w:jc w:val="right"/>
      </w:pPr>
      <w:r>
        <w:t>。</w:t>
      </w:r>
    </w:p>
    <w:p>
      <w:pPr>
        <w:pStyle w:val="BodyText"/>
      </w:pPr>
    </w:p>
    <w:p>
      <w:pPr>
        <w:pStyle w:val="BodyText"/>
      </w:pPr>
    </w:p>
    <w:p>
      <w:pPr>
        <w:pStyle w:val="BodyText"/>
      </w:pPr>
    </w:p>
    <w:p>
      <w:pPr>
        <w:pStyle w:val="BodyText"/>
      </w:pPr>
    </w:p>
    <w:p>
      <w:pPr>
        <w:pStyle w:val="BodyText"/>
        <w:spacing w:before="1"/>
        <w:rPr>
          <w:sz w:val="35"/>
        </w:rPr>
      </w:pPr>
    </w:p>
    <w:p>
      <w:pPr>
        <w:pStyle w:val="BodyText"/>
        <w:ind w:right="131"/>
        <w:jc w:val="right"/>
      </w:pPr>
      <w:r>
        <w:t>）</w:t>
      </w:r>
    </w:p>
    <w:p>
      <w:pPr>
        <w:spacing w:after="0"/>
        <w:jc w:val="right"/>
        <w:sectPr>
          <w:footerReference w:type="default" r:id="rId5"/>
          <w:pgSz w:w="11910" w:h="16840"/>
          <w:pgMar w:top="1580" w:right="1100" w:bottom="1500" w:left="1180" w:header="0" w:footer="1225"/>
          <w:pgNumType w:start="2"/>
          <w:cols w:space="708"/>
        </w:sectPr>
      </w:pPr>
    </w:p>
    <w:p>
      <w:pPr>
        <w:pStyle w:val="BodyText"/>
        <w:rPr>
          <w:sz w:val="20"/>
        </w:rPr>
      </w:pPr>
      <w:r>
        <w:pict>
          <v:shape id="_x0000_s1031" type="#_x0000_t202" style="width:453.4pt;height:669.45pt;margin-top:85.46pt;margin-left:76.07pt;mso-position-horizontal-relative:page;mso-position-vertical-relative:page;position:absolute;z-index:251661312" filled="f" stroked="f">
            <v:textbox inset="0,0,0,0">
              <w:txbxContent>
                <w:tbl>
                  <w:tblPr>
                    <w:tblStyle w:val="TableNormal2"/>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283"/>
                    <w:gridCol w:w="565"/>
                    <w:gridCol w:w="701"/>
                    <w:gridCol w:w="266"/>
                    <w:gridCol w:w="1273"/>
                    <w:gridCol w:w="1288"/>
                    <w:gridCol w:w="673"/>
                    <w:gridCol w:w="572"/>
                    <w:gridCol w:w="572"/>
                    <w:gridCol w:w="543"/>
                    <w:gridCol w:w="714"/>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48"/>
                      <w:jc w:val="left"/>
                    </w:trPr>
                    <w:tc>
                      <w:tcPr>
                        <w:tcW w:w="1580" w:type="dxa"/>
                        <w:vMerge w:val="restart"/>
                        <w:tcBorders>
                          <w:right w:val="single" w:sz="4" w:space="0" w:color="000000"/>
                        </w:tcBorders>
                      </w:tcPr>
                      <w:p>
                        <w:pPr>
                          <w:pStyle w:val="TableParagraph"/>
                          <w:rPr>
                            <w:rFonts w:ascii="Times New Roman"/>
                            <w:sz w:val="22"/>
                          </w:rPr>
                        </w:pPr>
                      </w:p>
                    </w:tc>
                    <w:tc>
                      <w:tcPr>
                        <w:tcW w:w="283"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565"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701"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266" w:type="dxa"/>
                        <w:vMerge w:val="restart"/>
                        <w:tcBorders>
                          <w:top w:val="thickThinMediumGap" w:sz="4" w:space="0" w:color="000000"/>
                          <w:left w:val="single" w:sz="4" w:space="0" w:color="000000"/>
                          <w:bottom w:val="single" w:sz="12"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56" w:line="232" w:lineRule="auto"/>
                          <w:ind w:left="34" w:right="10"/>
                          <w:jc w:val="both"/>
                          <w:rPr>
                            <w:sz w:val="21"/>
                          </w:rPr>
                        </w:pPr>
                        <w:r>
                          <w:rPr>
                            <w:sz w:val="21"/>
                          </w:rPr>
                          <w:t>水源水质保护</w:t>
                        </w:r>
                      </w:p>
                    </w:tc>
                    <w:tc>
                      <w:tcPr>
                        <w:tcW w:w="1273"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1961" w:type="dxa"/>
                        <w:gridSpan w:val="2"/>
                        <w:tcBorders>
                          <w:top w:val="thickThinMediumGap" w:sz="4" w:space="0" w:color="000000"/>
                          <w:left w:val="single" w:sz="4" w:space="0" w:color="000000"/>
                          <w:bottom w:val="nil"/>
                          <w:right w:val="single" w:sz="4" w:space="0" w:color="000000"/>
                        </w:tcBorders>
                      </w:tcPr>
                      <w:p>
                        <w:pPr>
                          <w:pStyle w:val="TableParagraph"/>
                          <w:spacing w:line="228" w:lineRule="exact"/>
                          <w:ind w:left="43"/>
                          <w:rPr>
                            <w:sz w:val="21"/>
                          </w:rPr>
                        </w:pPr>
                        <w:r>
                          <w:rPr>
                            <w:sz w:val="21"/>
                          </w:rPr>
                          <w:t>除潮河饮用水水源保</w:t>
                        </w:r>
                      </w:p>
                    </w:tc>
                    <w:tc>
                      <w:tcPr>
                        <w:tcW w:w="572"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572"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543" w:type="dxa"/>
                        <w:tcBorders>
                          <w:top w:val="thickThinMediumGap" w:sz="4" w:space="0" w:color="000000"/>
                          <w:left w:val="single" w:sz="4" w:space="0" w:color="000000"/>
                          <w:bottom w:val="nil"/>
                          <w:right w:val="single" w:sz="4" w:space="0" w:color="000000"/>
                        </w:tcBorders>
                      </w:tcPr>
                      <w:p>
                        <w:pPr>
                          <w:pStyle w:val="TableParagraph"/>
                          <w:rPr>
                            <w:rFonts w:ascii="Times New Roman"/>
                            <w:sz w:val="18"/>
                          </w:rPr>
                        </w:pPr>
                      </w:p>
                    </w:tc>
                    <w:tc>
                      <w:tcPr>
                        <w:tcW w:w="714" w:type="dxa"/>
                        <w:vMerge w:val="restart"/>
                        <w:tcBorders>
                          <w:top w:val="thickThinMediumGap" w:sz="4" w:space="0" w:color="000000"/>
                          <w:left w:val="single" w:sz="4" w:space="0" w:color="000000"/>
                          <w:bottom w:val="single" w:sz="12"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9"/>
                          </w:rPr>
                        </w:pPr>
                      </w:p>
                      <w:p>
                        <w:pPr>
                          <w:pStyle w:val="TableParagraph"/>
                          <w:spacing w:before="1" w:line="242" w:lineRule="auto"/>
                          <w:ind w:left="40" w:right="20" w:firstLine="2"/>
                          <w:jc w:val="both"/>
                          <w:rPr>
                            <w:sz w:val="21"/>
                          </w:rPr>
                        </w:pPr>
                        <w:r>
                          <w:rPr>
                            <w:sz w:val="21"/>
                          </w:rPr>
                          <w:t>项目位于保护区南侧</w:t>
                        </w:r>
                        <w:r>
                          <w:rPr>
                            <w:rFonts w:ascii="Times New Roman" w:eastAsia="Times New Roman"/>
                            <w:sz w:val="21"/>
                          </w:rPr>
                          <w:t xml:space="preserve">2.10km </w:t>
                        </w:r>
                        <w:r>
                          <w:rPr>
                            <w:sz w:val="21"/>
                          </w:rPr>
                          <w:t>左右， 不在管控范围之内</w:t>
                        </w:r>
                      </w:p>
                    </w:tc>
                  </w:tr>
                  <w:tr>
                    <w:tblPrEx>
                      <w:tblW w:w="0" w:type="auto"/>
                      <w:jc w:val="left"/>
                      <w:tblInd w:w="10" w:type="dxa"/>
                      <w:tblLayout w:type="fixed"/>
                      <w:tblCellMar>
                        <w:top w:w="0" w:type="dxa"/>
                        <w:left w:w="0" w:type="dxa"/>
                        <w:bottom w:w="0" w:type="dxa"/>
                        <w:right w:w="0" w:type="dxa"/>
                      </w:tblCellMar>
                      <w:tblLook w:val="01E0"/>
                    </w:tblPrEx>
                    <w:trPr>
                      <w:trHeight w:val="229"/>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rPr>
                            <w:rFonts w:ascii="Times New Roman"/>
                            <w:sz w:val="16"/>
                          </w:rPr>
                        </w:pP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09" w:lineRule="exact"/>
                          <w:ind w:left="43"/>
                          <w:rPr>
                            <w:sz w:val="21"/>
                          </w:rPr>
                        </w:pPr>
                        <w:r>
                          <w:rPr>
                            <w:sz w:val="21"/>
                          </w:rPr>
                          <w:t>护区外，射阳河全线</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0"/>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rPr>
                            <w:rFonts w:ascii="Times New Roman"/>
                            <w:sz w:val="16"/>
                          </w:rPr>
                        </w:pP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0" w:lineRule="exact"/>
                          <w:ind w:left="148"/>
                          <w:rPr>
                            <w:sz w:val="21"/>
                          </w:rPr>
                        </w:pPr>
                        <w:r>
                          <w:rPr>
                            <w:sz w:val="21"/>
                          </w:rPr>
                          <w:t>划为清水通道维护</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0"/>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rPr>
                            <w:rFonts w:ascii="Times New Roman"/>
                            <w:sz w:val="16"/>
                          </w:rPr>
                        </w:pP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0" w:lineRule="exact"/>
                          <w:ind w:left="43"/>
                          <w:rPr>
                            <w:sz w:val="21"/>
                          </w:rPr>
                        </w:pPr>
                        <w:r>
                          <w:rPr>
                            <w:sz w:val="21"/>
                          </w:rPr>
                          <w:t>区。具体范围为射阳</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27"/>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spacing w:line="207" w:lineRule="exact"/>
                          <w:ind w:left="62" w:right="33"/>
                          <w:jc w:val="center"/>
                          <w:rPr>
                            <w:sz w:val="21"/>
                          </w:rPr>
                        </w:pPr>
                        <w:r>
                          <w:rPr>
                            <w:sz w:val="21"/>
                          </w:rPr>
                          <w:t>射阳</w:t>
                        </w: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07" w:lineRule="exact"/>
                          <w:ind w:left="43"/>
                          <w:rPr>
                            <w:sz w:val="21"/>
                          </w:rPr>
                        </w:pPr>
                        <w:r>
                          <w:rPr>
                            <w:sz w:val="21"/>
                          </w:rPr>
                          <w:t>河与通榆河交界处上</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41"/>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spacing w:line="222" w:lineRule="exact"/>
                          <w:ind w:left="32"/>
                          <w:jc w:val="center"/>
                          <w:rPr>
                            <w:sz w:val="21"/>
                          </w:rPr>
                        </w:pPr>
                        <w:r>
                          <w:rPr>
                            <w:w w:val="99"/>
                            <w:sz w:val="21"/>
                          </w:rPr>
                          <w:t>河</w:t>
                        </w: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22" w:lineRule="exact"/>
                          <w:ind w:left="96"/>
                          <w:rPr>
                            <w:sz w:val="21"/>
                          </w:rPr>
                        </w:pPr>
                        <w:r>
                          <w:rPr>
                            <w:sz w:val="21"/>
                          </w:rPr>
                          <w:t xml:space="preserve">溯 </w:t>
                        </w:r>
                        <w:r>
                          <w:rPr>
                            <w:rFonts w:ascii="Times New Roman" w:eastAsia="Times New Roman"/>
                            <w:sz w:val="21"/>
                          </w:rPr>
                          <w:t xml:space="preserve">5000 </w:t>
                        </w:r>
                        <w:r>
                          <w:rPr>
                            <w:sz w:val="21"/>
                          </w:rPr>
                          <w:t>米的射阳河</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17"/>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4"/>
                          </w:rPr>
                        </w:pPr>
                      </w:p>
                    </w:tc>
                    <w:tc>
                      <w:tcPr>
                        <w:tcW w:w="565" w:type="dxa"/>
                        <w:tcBorders>
                          <w:top w:val="nil"/>
                          <w:left w:val="single" w:sz="4" w:space="0" w:color="000000"/>
                          <w:bottom w:val="nil"/>
                          <w:right w:val="single" w:sz="4" w:space="0" w:color="000000"/>
                        </w:tcBorders>
                      </w:tcPr>
                      <w:p>
                        <w:pPr>
                          <w:pStyle w:val="TableParagraph"/>
                          <w:spacing w:line="198" w:lineRule="exact"/>
                          <w:ind w:left="62" w:right="33"/>
                          <w:jc w:val="center"/>
                          <w:rPr>
                            <w:sz w:val="21"/>
                          </w:rPr>
                        </w:pPr>
                        <w:r>
                          <w:rPr>
                            <w:sz w:val="21"/>
                          </w:rPr>
                          <w:t>（阜</w:t>
                        </w:r>
                      </w:p>
                    </w:tc>
                    <w:tc>
                      <w:tcPr>
                        <w:tcW w:w="701" w:type="dxa"/>
                        <w:tcBorders>
                          <w:top w:val="nil"/>
                          <w:left w:val="single" w:sz="4" w:space="0" w:color="000000"/>
                          <w:bottom w:val="nil"/>
                          <w:right w:val="single" w:sz="4" w:space="0" w:color="000000"/>
                        </w:tcBorders>
                      </w:tcPr>
                      <w:p>
                        <w:pPr>
                          <w:pStyle w:val="TableParagraph"/>
                          <w:rPr>
                            <w:rFonts w:ascii="Times New Roman"/>
                            <w:sz w:val="14"/>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4"/>
                          </w:rPr>
                        </w:pPr>
                      </w:p>
                    </w:tc>
                    <w:tc>
                      <w:tcPr>
                        <w:tcW w:w="1961" w:type="dxa"/>
                        <w:gridSpan w:val="2"/>
                        <w:tcBorders>
                          <w:top w:val="nil"/>
                          <w:left w:val="single" w:sz="4" w:space="0" w:color="000000"/>
                          <w:bottom w:val="nil"/>
                          <w:right w:val="single" w:sz="4" w:space="0" w:color="000000"/>
                        </w:tcBorders>
                      </w:tcPr>
                      <w:p>
                        <w:pPr>
                          <w:pStyle w:val="TableParagraph"/>
                          <w:spacing w:line="198" w:lineRule="exact"/>
                          <w:ind w:left="148"/>
                          <w:rPr>
                            <w:sz w:val="21"/>
                          </w:rPr>
                        </w:pPr>
                        <w:r>
                          <w:rPr>
                            <w:sz w:val="21"/>
                          </w:rPr>
                          <w:t>水域及两岸纵深各</w:t>
                        </w:r>
                      </w:p>
                    </w:tc>
                    <w:tc>
                      <w:tcPr>
                        <w:tcW w:w="572" w:type="dxa"/>
                        <w:tcBorders>
                          <w:top w:val="nil"/>
                          <w:left w:val="single" w:sz="4" w:space="0" w:color="000000"/>
                          <w:bottom w:val="nil"/>
                          <w:right w:val="single" w:sz="4" w:space="0" w:color="000000"/>
                        </w:tcBorders>
                      </w:tcPr>
                      <w:p>
                        <w:pPr>
                          <w:pStyle w:val="TableParagraph"/>
                          <w:rPr>
                            <w:rFonts w:ascii="Times New Roman"/>
                            <w:sz w:val="14"/>
                          </w:rPr>
                        </w:pPr>
                      </w:p>
                    </w:tc>
                    <w:tc>
                      <w:tcPr>
                        <w:tcW w:w="572" w:type="dxa"/>
                        <w:tcBorders>
                          <w:top w:val="nil"/>
                          <w:left w:val="single" w:sz="4" w:space="0" w:color="000000"/>
                          <w:bottom w:val="nil"/>
                          <w:right w:val="single" w:sz="4" w:space="0" w:color="000000"/>
                        </w:tcBorders>
                      </w:tcPr>
                      <w:p>
                        <w:pPr>
                          <w:pStyle w:val="TableParagraph"/>
                          <w:rPr>
                            <w:rFonts w:ascii="Times New Roman"/>
                            <w:sz w:val="14"/>
                          </w:rPr>
                        </w:pPr>
                      </w:p>
                    </w:tc>
                    <w:tc>
                      <w:tcPr>
                        <w:tcW w:w="543" w:type="dxa"/>
                        <w:tcBorders>
                          <w:top w:val="nil"/>
                          <w:left w:val="single" w:sz="4" w:space="0" w:color="000000"/>
                          <w:bottom w:val="nil"/>
                          <w:right w:val="single" w:sz="4" w:space="0" w:color="000000"/>
                        </w:tcBorders>
                      </w:tcPr>
                      <w:p>
                        <w:pPr>
                          <w:pStyle w:val="TableParagraph"/>
                          <w:rPr>
                            <w:rFonts w:ascii="Times New Roman"/>
                            <w:sz w:val="14"/>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8"/>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spacing w:line="218" w:lineRule="exact"/>
                          <w:ind w:left="32"/>
                          <w:jc w:val="center"/>
                          <w:rPr>
                            <w:sz w:val="21"/>
                          </w:rPr>
                        </w:pPr>
                        <w:r>
                          <w:rPr>
                            <w:w w:val="99"/>
                            <w:sz w:val="21"/>
                          </w:rPr>
                          <w:t>宁</w:t>
                        </w: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8" w:lineRule="exact"/>
                          <w:ind w:left="36" w:right="-29"/>
                          <w:rPr>
                            <w:sz w:val="21"/>
                          </w:rPr>
                        </w:pPr>
                        <w:r>
                          <w:rPr>
                            <w:rFonts w:ascii="Times New Roman" w:eastAsia="Times New Roman"/>
                            <w:sz w:val="21"/>
                          </w:rPr>
                          <w:t>1000</w:t>
                        </w:r>
                        <w:r>
                          <w:rPr>
                            <w:rFonts w:ascii="Times New Roman" w:eastAsia="Times New Roman"/>
                            <w:spacing w:val="-6"/>
                            <w:sz w:val="21"/>
                          </w:rPr>
                          <w:t xml:space="preserve"> </w:t>
                        </w:r>
                        <w:r>
                          <w:rPr>
                            <w:spacing w:val="-2"/>
                            <w:sz w:val="21"/>
                          </w:rPr>
                          <w:t>米的陆域范围，</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4"/>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spacing w:line="215" w:lineRule="exact"/>
                          <w:ind w:left="102"/>
                          <w:rPr>
                            <w:rFonts w:ascii="Times New Roman"/>
                            <w:sz w:val="21"/>
                          </w:rPr>
                        </w:pPr>
                        <w:r>
                          <w:rPr>
                            <w:rFonts w:ascii="Times New Roman"/>
                            <w:w w:val="99"/>
                            <w:sz w:val="21"/>
                          </w:rPr>
                          <w:t>1</w:t>
                        </w:r>
                      </w:p>
                    </w:tc>
                    <w:tc>
                      <w:tcPr>
                        <w:tcW w:w="565" w:type="dxa"/>
                        <w:tcBorders>
                          <w:top w:val="nil"/>
                          <w:left w:val="single" w:sz="4" w:space="0" w:color="000000"/>
                          <w:bottom w:val="nil"/>
                          <w:right w:val="single" w:sz="4" w:space="0" w:color="000000"/>
                        </w:tcBorders>
                      </w:tcPr>
                      <w:p>
                        <w:pPr>
                          <w:pStyle w:val="TableParagraph"/>
                          <w:spacing w:line="215" w:lineRule="exact"/>
                          <w:ind w:left="62" w:right="33"/>
                          <w:jc w:val="center"/>
                          <w:rPr>
                            <w:sz w:val="21"/>
                          </w:rPr>
                        </w:pPr>
                        <w:r>
                          <w:rPr>
                            <w:sz w:val="21"/>
                          </w:rPr>
                          <w:t>县）</w:t>
                        </w:r>
                      </w:p>
                    </w:tc>
                    <w:tc>
                      <w:tcPr>
                        <w:tcW w:w="701" w:type="dxa"/>
                        <w:tcBorders>
                          <w:top w:val="nil"/>
                          <w:left w:val="single" w:sz="4" w:space="0" w:color="000000"/>
                          <w:bottom w:val="nil"/>
                          <w:right w:val="single" w:sz="4" w:space="0" w:color="000000"/>
                        </w:tcBorders>
                      </w:tcPr>
                      <w:p>
                        <w:pPr>
                          <w:pStyle w:val="TableParagraph"/>
                          <w:spacing w:line="215" w:lineRule="exact"/>
                          <w:ind w:left="46"/>
                          <w:rPr>
                            <w:sz w:val="21"/>
                          </w:rPr>
                        </w:pPr>
                        <w:r>
                          <w:rPr>
                            <w:sz w:val="21"/>
                          </w:rPr>
                          <w:t>阜宁县</w:t>
                        </w: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spacing w:line="215" w:lineRule="exact"/>
                          <w:ind w:left="25"/>
                          <w:jc w:val="center"/>
                          <w:rPr>
                            <w:rFonts w:ascii="Times New Roman"/>
                            <w:sz w:val="21"/>
                          </w:rPr>
                        </w:pPr>
                        <w:r>
                          <w:rPr>
                            <w:rFonts w:ascii="Times New Roman"/>
                            <w:w w:val="99"/>
                            <w:sz w:val="21"/>
                          </w:rPr>
                          <w:t>/</w:t>
                        </w:r>
                      </w:p>
                    </w:tc>
                    <w:tc>
                      <w:tcPr>
                        <w:tcW w:w="1961" w:type="dxa"/>
                        <w:gridSpan w:val="2"/>
                        <w:tcBorders>
                          <w:top w:val="nil"/>
                          <w:left w:val="single" w:sz="4" w:space="0" w:color="000000"/>
                          <w:bottom w:val="nil"/>
                          <w:right w:val="single" w:sz="4" w:space="0" w:color="000000"/>
                        </w:tcBorders>
                      </w:tcPr>
                      <w:p>
                        <w:pPr>
                          <w:pStyle w:val="TableParagraph"/>
                          <w:spacing w:line="215" w:lineRule="exact"/>
                          <w:ind w:left="43"/>
                          <w:rPr>
                            <w:sz w:val="21"/>
                          </w:rPr>
                        </w:pPr>
                        <w:r>
                          <w:rPr>
                            <w:sz w:val="21"/>
                          </w:rPr>
                          <w:t>以及其余河段射阳河</w:t>
                        </w:r>
                      </w:p>
                    </w:tc>
                    <w:tc>
                      <w:tcPr>
                        <w:tcW w:w="572" w:type="dxa"/>
                        <w:tcBorders>
                          <w:top w:val="nil"/>
                          <w:left w:val="single" w:sz="4" w:space="0" w:color="000000"/>
                          <w:bottom w:val="nil"/>
                          <w:right w:val="single" w:sz="4" w:space="0" w:color="000000"/>
                        </w:tcBorders>
                      </w:tcPr>
                      <w:p>
                        <w:pPr>
                          <w:pStyle w:val="TableParagraph"/>
                          <w:spacing w:line="215" w:lineRule="exact"/>
                          <w:ind w:left="28"/>
                          <w:jc w:val="center"/>
                          <w:rPr>
                            <w:rFonts w:ascii="Times New Roman"/>
                            <w:sz w:val="21"/>
                          </w:rPr>
                        </w:pPr>
                        <w:r>
                          <w:rPr>
                            <w:rFonts w:ascii="Times New Roman"/>
                            <w:w w:val="99"/>
                            <w:sz w:val="21"/>
                          </w:rPr>
                          <w:t>/</w:t>
                        </w:r>
                      </w:p>
                    </w:tc>
                    <w:tc>
                      <w:tcPr>
                        <w:tcW w:w="572" w:type="dxa"/>
                        <w:tcBorders>
                          <w:top w:val="nil"/>
                          <w:left w:val="single" w:sz="4" w:space="0" w:color="000000"/>
                          <w:bottom w:val="nil"/>
                          <w:right w:val="single" w:sz="4" w:space="0" w:color="000000"/>
                        </w:tcBorders>
                      </w:tcPr>
                      <w:p>
                        <w:pPr>
                          <w:pStyle w:val="TableParagraph"/>
                          <w:spacing w:line="215" w:lineRule="exact"/>
                          <w:ind w:left="61"/>
                          <w:rPr>
                            <w:rFonts w:ascii="Times New Roman"/>
                            <w:sz w:val="21"/>
                          </w:rPr>
                        </w:pPr>
                        <w:r>
                          <w:rPr>
                            <w:rFonts w:ascii="Times New Roman"/>
                            <w:sz w:val="21"/>
                          </w:rPr>
                          <w:t>77.42</w:t>
                        </w:r>
                      </w:p>
                    </w:tc>
                    <w:tc>
                      <w:tcPr>
                        <w:tcW w:w="543" w:type="dxa"/>
                        <w:tcBorders>
                          <w:top w:val="nil"/>
                          <w:left w:val="single" w:sz="4" w:space="0" w:color="000000"/>
                          <w:bottom w:val="nil"/>
                          <w:right w:val="single" w:sz="4" w:space="0" w:color="000000"/>
                        </w:tcBorders>
                      </w:tcPr>
                      <w:p>
                        <w:pPr>
                          <w:pStyle w:val="TableParagraph"/>
                          <w:spacing w:line="215" w:lineRule="exact"/>
                          <w:ind w:left="46"/>
                          <w:rPr>
                            <w:rFonts w:ascii="Times New Roman"/>
                            <w:sz w:val="21"/>
                          </w:rPr>
                        </w:pPr>
                        <w:r>
                          <w:rPr>
                            <w:rFonts w:ascii="Times New Roman"/>
                            <w:sz w:val="21"/>
                          </w:rPr>
                          <w:t>77.42</w:t>
                        </w: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16"/>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4"/>
                          </w:rPr>
                        </w:pPr>
                      </w:p>
                    </w:tc>
                    <w:tc>
                      <w:tcPr>
                        <w:tcW w:w="565" w:type="dxa"/>
                        <w:tcBorders>
                          <w:top w:val="nil"/>
                          <w:left w:val="single" w:sz="4" w:space="0" w:color="000000"/>
                          <w:bottom w:val="nil"/>
                          <w:right w:val="single" w:sz="4" w:space="0" w:color="000000"/>
                        </w:tcBorders>
                      </w:tcPr>
                      <w:p>
                        <w:pPr>
                          <w:pStyle w:val="TableParagraph"/>
                          <w:spacing w:line="197" w:lineRule="exact"/>
                          <w:ind w:left="62" w:right="33"/>
                          <w:jc w:val="center"/>
                          <w:rPr>
                            <w:sz w:val="21"/>
                          </w:rPr>
                        </w:pPr>
                        <w:r>
                          <w:rPr>
                            <w:sz w:val="21"/>
                          </w:rPr>
                          <w:t>清水</w:t>
                        </w:r>
                      </w:p>
                    </w:tc>
                    <w:tc>
                      <w:tcPr>
                        <w:tcW w:w="701" w:type="dxa"/>
                        <w:tcBorders>
                          <w:top w:val="nil"/>
                          <w:left w:val="single" w:sz="4" w:space="0" w:color="000000"/>
                          <w:bottom w:val="nil"/>
                          <w:right w:val="single" w:sz="4" w:space="0" w:color="000000"/>
                        </w:tcBorders>
                      </w:tcPr>
                      <w:p>
                        <w:pPr>
                          <w:pStyle w:val="TableParagraph"/>
                          <w:rPr>
                            <w:rFonts w:ascii="Times New Roman"/>
                            <w:sz w:val="14"/>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4"/>
                          </w:rPr>
                        </w:pPr>
                      </w:p>
                    </w:tc>
                    <w:tc>
                      <w:tcPr>
                        <w:tcW w:w="1961" w:type="dxa"/>
                        <w:gridSpan w:val="2"/>
                        <w:tcBorders>
                          <w:top w:val="nil"/>
                          <w:left w:val="single" w:sz="4" w:space="0" w:color="000000"/>
                          <w:bottom w:val="nil"/>
                          <w:right w:val="single" w:sz="4" w:space="0" w:color="000000"/>
                        </w:tcBorders>
                      </w:tcPr>
                      <w:p>
                        <w:pPr>
                          <w:pStyle w:val="TableParagraph"/>
                          <w:spacing w:line="197" w:lineRule="exact"/>
                          <w:ind w:left="148"/>
                          <w:rPr>
                            <w:sz w:val="21"/>
                          </w:rPr>
                        </w:pPr>
                        <w:r>
                          <w:rPr>
                            <w:sz w:val="21"/>
                          </w:rPr>
                          <w:t>水域及两岸纵深各</w:t>
                        </w:r>
                      </w:p>
                    </w:tc>
                    <w:tc>
                      <w:tcPr>
                        <w:tcW w:w="572" w:type="dxa"/>
                        <w:tcBorders>
                          <w:top w:val="nil"/>
                          <w:left w:val="single" w:sz="4" w:space="0" w:color="000000"/>
                          <w:bottom w:val="nil"/>
                          <w:right w:val="single" w:sz="4" w:space="0" w:color="000000"/>
                        </w:tcBorders>
                      </w:tcPr>
                      <w:p>
                        <w:pPr>
                          <w:pStyle w:val="TableParagraph"/>
                          <w:rPr>
                            <w:rFonts w:ascii="Times New Roman"/>
                            <w:sz w:val="14"/>
                          </w:rPr>
                        </w:pPr>
                      </w:p>
                    </w:tc>
                    <w:tc>
                      <w:tcPr>
                        <w:tcW w:w="572" w:type="dxa"/>
                        <w:tcBorders>
                          <w:top w:val="nil"/>
                          <w:left w:val="single" w:sz="4" w:space="0" w:color="000000"/>
                          <w:bottom w:val="nil"/>
                          <w:right w:val="single" w:sz="4" w:space="0" w:color="000000"/>
                        </w:tcBorders>
                      </w:tcPr>
                      <w:p>
                        <w:pPr>
                          <w:pStyle w:val="TableParagraph"/>
                          <w:rPr>
                            <w:rFonts w:ascii="Times New Roman"/>
                            <w:sz w:val="14"/>
                          </w:rPr>
                        </w:pPr>
                      </w:p>
                    </w:tc>
                    <w:tc>
                      <w:tcPr>
                        <w:tcW w:w="543" w:type="dxa"/>
                        <w:tcBorders>
                          <w:top w:val="nil"/>
                          <w:left w:val="single" w:sz="4" w:space="0" w:color="000000"/>
                          <w:bottom w:val="nil"/>
                          <w:right w:val="single" w:sz="4" w:space="0" w:color="000000"/>
                        </w:tcBorders>
                      </w:tcPr>
                      <w:p>
                        <w:pPr>
                          <w:pStyle w:val="TableParagraph"/>
                          <w:rPr>
                            <w:rFonts w:ascii="Times New Roman"/>
                            <w:sz w:val="14"/>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40"/>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spacing w:line="220" w:lineRule="exact"/>
                          <w:ind w:left="62" w:right="33"/>
                          <w:jc w:val="center"/>
                          <w:rPr>
                            <w:sz w:val="21"/>
                          </w:rPr>
                        </w:pPr>
                        <w:r>
                          <w:rPr>
                            <w:sz w:val="21"/>
                          </w:rPr>
                          <w:t>通道</w:t>
                        </w: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20" w:lineRule="exact"/>
                          <w:ind w:left="69"/>
                          <w:rPr>
                            <w:sz w:val="21"/>
                          </w:rPr>
                        </w:pPr>
                        <w:r>
                          <w:rPr>
                            <w:rFonts w:ascii="Times New Roman" w:eastAsia="Times New Roman"/>
                            <w:sz w:val="21"/>
                          </w:rPr>
                          <w:t xml:space="preserve">500 </w:t>
                        </w:r>
                        <w:r>
                          <w:rPr>
                            <w:sz w:val="21"/>
                          </w:rPr>
                          <w:t>米的陆域范围，</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19"/>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4"/>
                          </w:rPr>
                        </w:pPr>
                      </w:p>
                    </w:tc>
                    <w:tc>
                      <w:tcPr>
                        <w:tcW w:w="565" w:type="dxa"/>
                        <w:tcBorders>
                          <w:top w:val="nil"/>
                          <w:left w:val="single" w:sz="4" w:space="0" w:color="000000"/>
                          <w:bottom w:val="nil"/>
                          <w:right w:val="single" w:sz="4" w:space="0" w:color="000000"/>
                        </w:tcBorders>
                      </w:tcPr>
                      <w:p>
                        <w:pPr>
                          <w:pStyle w:val="TableParagraph"/>
                          <w:spacing w:line="199" w:lineRule="exact"/>
                          <w:ind w:left="62" w:right="33"/>
                          <w:jc w:val="center"/>
                          <w:rPr>
                            <w:sz w:val="21"/>
                          </w:rPr>
                        </w:pPr>
                        <w:r>
                          <w:rPr>
                            <w:sz w:val="21"/>
                          </w:rPr>
                          <w:t>维护</w:t>
                        </w:r>
                      </w:p>
                    </w:tc>
                    <w:tc>
                      <w:tcPr>
                        <w:tcW w:w="701" w:type="dxa"/>
                        <w:tcBorders>
                          <w:top w:val="nil"/>
                          <w:left w:val="single" w:sz="4" w:space="0" w:color="000000"/>
                          <w:bottom w:val="nil"/>
                          <w:right w:val="single" w:sz="4" w:space="0" w:color="000000"/>
                        </w:tcBorders>
                      </w:tcPr>
                      <w:p>
                        <w:pPr>
                          <w:pStyle w:val="TableParagraph"/>
                          <w:rPr>
                            <w:rFonts w:ascii="Times New Roman"/>
                            <w:sz w:val="14"/>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4"/>
                          </w:rPr>
                        </w:pPr>
                      </w:p>
                    </w:tc>
                    <w:tc>
                      <w:tcPr>
                        <w:tcW w:w="1961" w:type="dxa"/>
                        <w:gridSpan w:val="2"/>
                        <w:tcBorders>
                          <w:top w:val="nil"/>
                          <w:left w:val="single" w:sz="4" w:space="0" w:color="000000"/>
                          <w:bottom w:val="nil"/>
                          <w:right w:val="single" w:sz="4" w:space="0" w:color="000000"/>
                        </w:tcBorders>
                      </w:tcPr>
                      <w:p>
                        <w:pPr>
                          <w:pStyle w:val="TableParagraph"/>
                          <w:spacing w:line="199" w:lineRule="exact"/>
                          <w:ind w:left="43"/>
                          <w:rPr>
                            <w:sz w:val="21"/>
                          </w:rPr>
                        </w:pPr>
                        <w:r>
                          <w:rPr>
                            <w:sz w:val="21"/>
                          </w:rPr>
                          <w:t>其中原杨洼子取水口</w:t>
                        </w:r>
                      </w:p>
                    </w:tc>
                    <w:tc>
                      <w:tcPr>
                        <w:tcW w:w="572" w:type="dxa"/>
                        <w:tcBorders>
                          <w:top w:val="nil"/>
                          <w:left w:val="single" w:sz="4" w:space="0" w:color="000000"/>
                          <w:bottom w:val="nil"/>
                          <w:right w:val="single" w:sz="4" w:space="0" w:color="000000"/>
                        </w:tcBorders>
                      </w:tcPr>
                      <w:p>
                        <w:pPr>
                          <w:pStyle w:val="TableParagraph"/>
                          <w:rPr>
                            <w:rFonts w:ascii="Times New Roman"/>
                            <w:sz w:val="14"/>
                          </w:rPr>
                        </w:pPr>
                      </w:p>
                    </w:tc>
                    <w:tc>
                      <w:tcPr>
                        <w:tcW w:w="572" w:type="dxa"/>
                        <w:tcBorders>
                          <w:top w:val="nil"/>
                          <w:left w:val="single" w:sz="4" w:space="0" w:color="000000"/>
                          <w:bottom w:val="nil"/>
                          <w:right w:val="single" w:sz="4" w:space="0" w:color="000000"/>
                        </w:tcBorders>
                      </w:tcPr>
                      <w:p>
                        <w:pPr>
                          <w:pStyle w:val="TableParagraph"/>
                          <w:rPr>
                            <w:rFonts w:ascii="Times New Roman"/>
                            <w:sz w:val="14"/>
                          </w:rPr>
                        </w:pPr>
                      </w:p>
                    </w:tc>
                    <w:tc>
                      <w:tcPr>
                        <w:tcW w:w="543" w:type="dxa"/>
                        <w:tcBorders>
                          <w:top w:val="nil"/>
                          <w:left w:val="single" w:sz="4" w:space="0" w:color="000000"/>
                          <w:bottom w:val="nil"/>
                          <w:right w:val="single" w:sz="4" w:space="0" w:color="000000"/>
                        </w:tcBorders>
                      </w:tcPr>
                      <w:p>
                        <w:pPr>
                          <w:pStyle w:val="TableParagraph"/>
                          <w:rPr>
                            <w:rFonts w:ascii="Times New Roman"/>
                            <w:sz w:val="14"/>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8"/>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spacing w:line="218" w:lineRule="exact"/>
                          <w:ind w:left="32"/>
                          <w:jc w:val="center"/>
                          <w:rPr>
                            <w:sz w:val="21"/>
                          </w:rPr>
                        </w:pPr>
                        <w:r>
                          <w:rPr>
                            <w:w w:val="99"/>
                            <w:sz w:val="21"/>
                          </w:rPr>
                          <w:t>区</w:t>
                        </w: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8" w:lineRule="exact"/>
                          <w:ind w:left="242"/>
                          <w:rPr>
                            <w:sz w:val="21"/>
                          </w:rPr>
                        </w:pPr>
                        <w:r>
                          <w:rPr>
                            <w:sz w:val="21"/>
                          </w:rPr>
                          <w:t>（</w:t>
                        </w:r>
                        <w:r>
                          <w:rPr>
                            <w:rFonts w:ascii="Times New Roman" w:eastAsia="Times New Roman" w:hAnsi="Times New Roman"/>
                            <w:sz w:val="21"/>
                          </w:rPr>
                          <w:t>119°45′47″E</w:t>
                        </w:r>
                        <w:r>
                          <w:rPr>
                            <w:sz w:val="21"/>
                          </w:rPr>
                          <w:t>，</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0"/>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rPr>
                            <w:rFonts w:ascii="Times New Roman"/>
                            <w:sz w:val="16"/>
                          </w:rPr>
                        </w:pP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0" w:lineRule="exact"/>
                          <w:ind w:left="175"/>
                          <w:rPr>
                            <w:sz w:val="21"/>
                          </w:rPr>
                        </w:pPr>
                        <w:r>
                          <w:rPr>
                            <w:rFonts w:ascii="Times New Roman" w:eastAsia="Times New Roman" w:hAnsi="Times New Roman"/>
                            <w:sz w:val="21"/>
                          </w:rPr>
                          <w:t>33°45′40″N</w:t>
                        </w:r>
                        <w:r>
                          <w:rPr>
                            <w:sz w:val="21"/>
                          </w:rPr>
                          <w:t>）上游</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0"/>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rPr>
                            <w:rFonts w:ascii="Times New Roman"/>
                            <w:sz w:val="16"/>
                          </w:rPr>
                        </w:pP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0" w:lineRule="exact"/>
                          <w:ind w:left="96"/>
                          <w:rPr>
                            <w:rFonts w:ascii="Times New Roman" w:eastAsia="Times New Roman"/>
                            <w:sz w:val="21"/>
                          </w:rPr>
                        </w:pPr>
                        <w:r>
                          <w:rPr>
                            <w:rFonts w:ascii="Times New Roman" w:eastAsia="Times New Roman"/>
                            <w:sz w:val="21"/>
                          </w:rPr>
                          <w:t xml:space="preserve">3000 </w:t>
                        </w:r>
                        <w:r>
                          <w:rPr>
                            <w:sz w:val="21"/>
                          </w:rPr>
                          <w:t xml:space="preserve">米，下游 </w:t>
                        </w:r>
                        <w:r>
                          <w:rPr>
                            <w:rFonts w:ascii="Times New Roman" w:eastAsia="Times New Roman"/>
                            <w:sz w:val="21"/>
                          </w:rPr>
                          <w:t>1000</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2"/>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nil"/>
                          <w:right w:val="single" w:sz="4" w:space="0" w:color="000000"/>
                        </w:tcBorders>
                      </w:tcPr>
                      <w:p>
                        <w:pPr>
                          <w:pStyle w:val="TableParagraph"/>
                          <w:rPr>
                            <w:rFonts w:ascii="Times New Roman"/>
                            <w:sz w:val="16"/>
                          </w:rPr>
                        </w:pPr>
                      </w:p>
                    </w:tc>
                    <w:tc>
                      <w:tcPr>
                        <w:tcW w:w="565" w:type="dxa"/>
                        <w:tcBorders>
                          <w:top w:val="nil"/>
                          <w:left w:val="single" w:sz="4" w:space="0" w:color="000000"/>
                          <w:bottom w:val="nil"/>
                          <w:right w:val="single" w:sz="4" w:space="0" w:color="000000"/>
                        </w:tcBorders>
                      </w:tcPr>
                      <w:p>
                        <w:pPr>
                          <w:pStyle w:val="TableParagraph"/>
                          <w:rPr>
                            <w:rFonts w:ascii="Times New Roman"/>
                            <w:sz w:val="16"/>
                          </w:rPr>
                        </w:pPr>
                      </w:p>
                    </w:tc>
                    <w:tc>
                      <w:tcPr>
                        <w:tcW w:w="701" w:type="dxa"/>
                        <w:tcBorders>
                          <w:top w:val="nil"/>
                          <w:left w:val="single" w:sz="4" w:space="0" w:color="000000"/>
                          <w:bottom w:val="nil"/>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nil"/>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nil"/>
                          <w:right w:val="single" w:sz="4" w:space="0" w:color="000000"/>
                        </w:tcBorders>
                      </w:tcPr>
                      <w:p>
                        <w:pPr>
                          <w:pStyle w:val="TableParagraph"/>
                          <w:spacing w:line="213" w:lineRule="exact"/>
                          <w:ind w:left="122"/>
                          <w:rPr>
                            <w:rFonts w:ascii="Times New Roman" w:eastAsia="Times New Roman"/>
                            <w:sz w:val="21"/>
                          </w:rPr>
                        </w:pPr>
                        <w:r>
                          <w:rPr>
                            <w:sz w:val="21"/>
                          </w:rPr>
                          <w:t xml:space="preserve">米为两岸纵深 </w:t>
                        </w:r>
                        <w:r>
                          <w:rPr>
                            <w:rFonts w:ascii="Times New Roman" w:eastAsia="Times New Roman"/>
                            <w:sz w:val="21"/>
                          </w:rPr>
                          <w:t>2000</w:t>
                        </w: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72" w:type="dxa"/>
                        <w:tcBorders>
                          <w:top w:val="nil"/>
                          <w:left w:val="single" w:sz="4" w:space="0" w:color="000000"/>
                          <w:bottom w:val="nil"/>
                          <w:right w:val="single" w:sz="4" w:space="0" w:color="000000"/>
                        </w:tcBorders>
                      </w:tcPr>
                      <w:p>
                        <w:pPr>
                          <w:pStyle w:val="TableParagraph"/>
                          <w:rPr>
                            <w:rFonts w:ascii="Times New Roman"/>
                            <w:sz w:val="16"/>
                          </w:rPr>
                        </w:pPr>
                      </w:p>
                    </w:tc>
                    <w:tc>
                      <w:tcPr>
                        <w:tcW w:w="543" w:type="dxa"/>
                        <w:tcBorders>
                          <w:top w:val="nil"/>
                          <w:left w:val="single" w:sz="4" w:space="0" w:color="000000"/>
                          <w:bottom w:val="nil"/>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36"/>
                      <w:jc w:val="left"/>
                    </w:trPr>
                    <w:tc>
                      <w:tcPr>
                        <w:tcW w:w="1580" w:type="dxa"/>
                        <w:vMerge/>
                        <w:tcBorders>
                          <w:top w:val="nil"/>
                          <w:right w:val="single" w:sz="4" w:space="0" w:color="000000"/>
                        </w:tcBorders>
                      </w:tcPr>
                      <w:p>
                        <w:pPr>
                          <w:rPr>
                            <w:sz w:val="2"/>
                            <w:szCs w:val="2"/>
                          </w:rPr>
                        </w:pPr>
                      </w:p>
                    </w:tc>
                    <w:tc>
                      <w:tcPr>
                        <w:tcW w:w="283"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565"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701"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266" w:type="dxa"/>
                        <w:vMerge/>
                        <w:tcBorders>
                          <w:top w:val="nil"/>
                          <w:left w:val="single" w:sz="4" w:space="0" w:color="000000"/>
                          <w:bottom w:val="single" w:sz="12" w:space="0" w:color="000000"/>
                          <w:right w:val="single" w:sz="4" w:space="0" w:color="000000"/>
                        </w:tcBorders>
                      </w:tcPr>
                      <w:p>
                        <w:pPr>
                          <w:rPr>
                            <w:sz w:val="2"/>
                            <w:szCs w:val="2"/>
                          </w:rPr>
                        </w:pPr>
                      </w:p>
                    </w:tc>
                    <w:tc>
                      <w:tcPr>
                        <w:tcW w:w="1273"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1961" w:type="dxa"/>
                        <w:gridSpan w:val="2"/>
                        <w:tcBorders>
                          <w:top w:val="nil"/>
                          <w:left w:val="single" w:sz="4" w:space="0" w:color="000000"/>
                          <w:bottom w:val="single" w:sz="12" w:space="0" w:color="000000"/>
                          <w:right w:val="single" w:sz="4" w:space="0" w:color="000000"/>
                        </w:tcBorders>
                      </w:tcPr>
                      <w:p>
                        <w:pPr>
                          <w:pStyle w:val="TableParagraph"/>
                          <w:spacing w:line="216" w:lineRule="exact"/>
                          <w:ind w:left="24"/>
                          <w:jc w:val="center"/>
                          <w:rPr>
                            <w:sz w:val="21"/>
                          </w:rPr>
                        </w:pPr>
                        <w:r>
                          <w:rPr>
                            <w:w w:val="99"/>
                            <w:sz w:val="21"/>
                          </w:rPr>
                          <w:t>米</w:t>
                        </w:r>
                      </w:p>
                    </w:tc>
                    <w:tc>
                      <w:tcPr>
                        <w:tcW w:w="572"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572"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543" w:type="dxa"/>
                        <w:tcBorders>
                          <w:top w:val="nil"/>
                          <w:left w:val="single" w:sz="4" w:space="0" w:color="000000"/>
                          <w:bottom w:val="single" w:sz="12" w:space="0" w:color="000000"/>
                          <w:right w:val="single" w:sz="4" w:space="0" w:color="000000"/>
                        </w:tcBorders>
                      </w:tcPr>
                      <w:p>
                        <w:pPr>
                          <w:pStyle w:val="TableParagraph"/>
                          <w:rPr>
                            <w:rFonts w:ascii="Times New Roman"/>
                            <w:sz w:val="16"/>
                          </w:rPr>
                        </w:pPr>
                      </w:p>
                    </w:tc>
                    <w:tc>
                      <w:tcPr>
                        <w:tcW w:w="714" w:type="dxa"/>
                        <w:vMerge/>
                        <w:tcBorders>
                          <w:top w:val="nil"/>
                          <w:left w:val="single" w:sz="4" w:space="0" w:color="000000"/>
                          <w:bottom w:val="single" w:sz="12"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387"/>
                      <w:jc w:val="left"/>
                    </w:trPr>
                    <w:tc>
                      <w:tcPr>
                        <w:tcW w:w="1580" w:type="dxa"/>
                        <w:vMerge/>
                        <w:tcBorders>
                          <w:top w:val="nil"/>
                          <w:right w:val="single" w:sz="4" w:space="0" w:color="000000"/>
                        </w:tcBorders>
                      </w:tcPr>
                      <w:p>
                        <w:pPr>
                          <w:rPr>
                            <w:sz w:val="2"/>
                            <w:szCs w:val="2"/>
                          </w:rPr>
                        </w:pPr>
                      </w:p>
                    </w:tc>
                    <w:tc>
                      <w:tcPr>
                        <w:tcW w:w="7450" w:type="dxa"/>
                        <w:gridSpan w:val="11"/>
                        <w:tcBorders>
                          <w:top w:val="single" w:sz="12" w:space="0" w:color="000000"/>
                          <w:left w:val="single" w:sz="4" w:space="0" w:color="000000"/>
                          <w:bottom w:val="nil"/>
                        </w:tcBorders>
                      </w:tcPr>
                      <w:p>
                        <w:pPr>
                          <w:pStyle w:val="TableParagraph"/>
                          <w:spacing w:before="1"/>
                          <w:ind w:left="500"/>
                          <w:rPr>
                            <w:sz w:val="24"/>
                          </w:rPr>
                        </w:pPr>
                        <w:r>
                          <w:rPr>
                            <w:spacing w:val="-10"/>
                            <w:sz w:val="24"/>
                          </w:rPr>
                          <w:t>项目距离射阳河</w:t>
                        </w:r>
                        <w:r>
                          <w:rPr>
                            <w:sz w:val="24"/>
                          </w:rPr>
                          <w:t>（阜宁县</w:t>
                        </w:r>
                        <w:r>
                          <w:rPr>
                            <w:spacing w:val="-68"/>
                            <w:sz w:val="24"/>
                          </w:rPr>
                          <w:t>）</w:t>
                        </w:r>
                        <w:r>
                          <w:rPr>
                            <w:spacing w:val="-5"/>
                            <w:sz w:val="24"/>
                          </w:rPr>
                          <w:t xml:space="preserve">清水通道维护区最近距离 </w:t>
                        </w:r>
                        <w:r>
                          <w:rPr>
                            <w:rFonts w:ascii="Times New Roman" w:eastAsia="Times New Roman"/>
                            <w:sz w:val="24"/>
                          </w:rPr>
                          <w:t>2.10km</w:t>
                        </w:r>
                        <w:r>
                          <w:rPr>
                            <w:spacing w:val="-23"/>
                            <w:sz w:val="24"/>
                          </w:rPr>
                          <w:t>。可见</w:t>
                        </w:r>
                      </w:p>
                    </w:tc>
                  </w:tr>
                  <w:tr>
                    <w:tblPrEx>
                      <w:tblW w:w="0" w:type="auto"/>
                      <w:jc w:val="left"/>
                      <w:tblInd w:w="10" w:type="dxa"/>
                      <w:tblLayout w:type="fixed"/>
                      <w:tblCellMar>
                        <w:top w:w="0" w:type="dxa"/>
                        <w:left w:w="0" w:type="dxa"/>
                        <w:bottom w:w="0" w:type="dxa"/>
                        <w:right w:w="0" w:type="dxa"/>
                      </w:tblCellMar>
                      <w:tblLook w:val="01E0"/>
                    </w:tblPrEx>
                    <w:trPr>
                      <w:trHeight w:val="437"/>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60"/>
                          <w:ind w:left="20" w:right="-15"/>
                          <w:rPr>
                            <w:sz w:val="24"/>
                          </w:rPr>
                        </w:pPr>
                        <w:r>
                          <w:rPr>
                            <w:spacing w:val="-2"/>
                            <w:sz w:val="24"/>
                          </w:rPr>
                          <w:t>本项目不涉及阜宁县境内国家级生态红线区域和生态空间管控区，符合</w:t>
                        </w:r>
                      </w:p>
                    </w:tc>
                  </w:tr>
                  <w:tr>
                    <w:tblPrEx>
                      <w:tblW w:w="0" w:type="auto"/>
                      <w:jc w:val="left"/>
                      <w:tblInd w:w="10" w:type="dxa"/>
                      <w:tblLayout w:type="fixed"/>
                      <w:tblCellMar>
                        <w:top w:w="0" w:type="dxa"/>
                        <w:left w:w="0" w:type="dxa"/>
                        <w:bottom w:w="0" w:type="dxa"/>
                        <w:right w:w="0" w:type="dxa"/>
                      </w:tblCellMar>
                      <w:tblLook w:val="01E0"/>
                    </w:tblPrEx>
                    <w:trPr>
                      <w:trHeight w:val="447"/>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70"/>
                          <w:ind w:left="20"/>
                          <w:rPr>
                            <w:sz w:val="24"/>
                          </w:rPr>
                        </w:pPr>
                        <w:r>
                          <w:rPr>
                            <w:spacing w:val="-9"/>
                            <w:sz w:val="24"/>
                          </w:rPr>
                          <w:t>《江苏省国家级生态保护红线规划》、《江苏省生态空间管控区域规划</w:t>
                        </w:r>
                      </w:p>
                    </w:tc>
                  </w:tr>
                  <w:tr>
                    <w:tblPrEx>
                      <w:tblW w:w="0" w:type="auto"/>
                      <w:jc w:val="left"/>
                      <w:tblInd w:w="10" w:type="dxa"/>
                      <w:tblLayout w:type="fixed"/>
                      <w:tblCellMar>
                        <w:top w:w="0" w:type="dxa"/>
                        <w:left w:w="0" w:type="dxa"/>
                        <w:bottom w:w="0" w:type="dxa"/>
                        <w:right w:w="0" w:type="dxa"/>
                      </w:tblCellMar>
                      <w:tblLook w:val="01E0"/>
                    </w:tblPrEx>
                    <w:trPr>
                      <w:trHeight w:val="442"/>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70"/>
                          <w:ind w:left="20" w:right="-15"/>
                          <w:rPr>
                            <w:sz w:val="24"/>
                          </w:rPr>
                        </w:pPr>
                        <w:r>
                          <w:rPr>
                            <w:spacing w:val="-5"/>
                            <w:sz w:val="24"/>
                          </w:rPr>
                          <w:t>和《阜宁县生态空间管控区调整方案》中管控要求。项目与生态管控区</w:t>
                        </w:r>
                      </w:p>
                    </w:tc>
                  </w:tr>
                  <w:tr>
                    <w:tblPrEx>
                      <w:tblW w:w="0" w:type="auto"/>
                      <w:jc w:val="left"/>
                      <w:tblInd w:w="10" w:type="dxa"/>
                      <w:tblLayout w:type="fixed"/>
                      <w:tblCellMar>
                        <w:top w:w="0" w:type="dxa"/>
                        <w:left w:w="0" w:type="dxa"/>
                        <w:bottom w:w="0" w:type="dxa"/>
                        <w:right w:w="0" w:type="dxa"/>
                      </w:tblCellMar>
                      <w:tblLook w:val="01E0"/>
                    </w:tblPrEx>
                    <w:trPr>
                      <w:trHeight w:val="454"/>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73"/>
                          <w:ind w:left="20"/>
                          <w:rPr>
                            <w:sz w:val="24"/>
                          </w:rPr>
                        </w:pPr>
                        <w:r>
                          <w:rPr>
                            <w:sz w:val="24"/>
                          </w:rPr>
                          <w:t xml:space="preserve">位置图见附图 </w:t>
                        </w:r>
                        <w:r>
                          <w:rPr>
                            <w:rFonts w:ascii="Times New Roman" w:eastAsia="Times New Roman"/>
                            <w:sz w:val="24"/>
                          </w:rPr>
                          <w:t>7</w:t>
                        </w:r>
                        <w:r>
                          <w:rPr>
                            <w:sz w:val="24"/>
                          </w:rPr>
                          <w:t>。</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66"/>
                          <w:ind w:left="500" w:right="-15"/>
                          <w:rPr>
                            <w:sz w:val="24"/>
                          </w:rPr>
                        </w:pPr>
                        <w:r>
                          <w:rPr>
                            <w:sz w:val="24"/>
                          </w:rPr>
                          <w:t>②《江苏省政府关于印发</w:t>
                        </w:r>
                        <w:r>
                          <w:rPr>
                            <w:rFonts w:ascii="Times New Roman" w:eastAsia="Times New Roman" w:hAnsi="Times New Roman"/>
                            <w:spacing w:val="3"/>
                            <w:sz w:val="24"/>
                          </w:rPr>
                          <w:t>&lt;</w:t>
                        </w:r>
                        <w:r>
                          <w:rPr>
                            <w:spacing w:val="2"/>
                            <w:sz w:val="24"/>
                          </w:rPr>
                          <w:t>江苏省</w:t>
                        </w:r>
                        <w:r>
                          <w:rPr>
                            <w:rFonts w:ascii="Times New Roman" w:eastAsia="Times New Roman" w:hAnsi="Times New Roman"/>
                            <w:spacing w:val="3"/>
                            <w:sz w:val="24"/>
                          </w:rPr>
                          <w:t>“</w:t>
                        </w:r>
                        <w:r>
                          <w:rPr>
                            <w:spacing w:val="1"/>
                            <w:sz w:val="24"/>
                          </w:rPr>
                          <w:t>三线一单</w:t>
                        </w:r>
                        <w:r>
                          <w:rPr>
                            <w:rFonts w:ascii="Times New Roman" w:eastAsia="Times New Roman" w:hAnsi="Times New Roman"/>
                            <w:spacing w:val="6"/>
                            <w:sz w:val="24"/>
                          </w:rPr>
                          <w:t>”</w:t>
                        </w:r>
                        <w:r>
                          <w:rPr>
                            <w:sz w:val="24"/>
                          </w:rPr>
                          <w:t>生态环境分区管控方</w:t>
                        </w:r>
                      </w:p>
                    </w:tc>
                  </w:tr>
                  <w:tr>
                    <w:tblPrEx>
                      <w:tblW w:w="0" w:type="auto"/>
                      <w:jc w:val="left"/>
                      <w:tblInd w:w="10" w:type="dxa"/>
                      <w:tblLayout w:type="fixed"/>
                      <w:tblCellMar>
                        <w:top w:w="0" w:type="dxa"/>
                        <w:left w:w="0" w:type="dxa"/>
                        <w:bottom w:w="0" w:type="dxa"/>
                        <w:right w:w="0" w:type="dxa"/>
                      </w:tblCellMar>
                      <w:tblLook w:val="01E0"/>
                    </w:tblPrEx>
                    <w:trPr>
                      <w:trHeight w:val="447"/>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65"/>
                          <w:ind w:left="20"/>
                          <w:rPr>
                            <w:sz w:val="24"/>
                          </w:rPr>
                        </w:pPr>
                        <w:r>
                          <w:rPr>
                            <w:sz w:val="24"/>
                          </w:rPr>
                          <w:t>案</w:t>
                        </w:r>
                        <w:r>
                          <w:rPr>
                            <w:rFonts w:ascii="Times New Roman" w:eastAsia="Times New Roman"/>
                            <w:sz w:val="24"/>
                          </w:rPr>
                          <w:t>&gt;</w:t>
                        </w:r>
                        <w:r>
                          <w:rPr>
                            <w:sz w:val="24"/>
                          </w:rPr>
                          <w:t>的通知》（苏政发〔</w:t>
                        </w:r>
                        <w:r>
                          <w:rPr>
                            <w:rFonts w:ascii="Times New Roman" w:eastAsia="Times New Roman"/>
                            <w:sz w:val="24"/>
                          </w:rPr>
                          <w:t>2020</w:t>
                        </w:r>
                        <w:r>
                          <w:rPr>
                            <w:sz w:val="24"/>
                          </w:rPr>
                          <w:t>〕</w:t>
                        </w:r>
                        <w:r>
                          <w:rPr>
                            <w:rFonts w:ascii="Times New Roman" w:eastAsia="Times New Roman"/>
                            <w:sz w:val="24"/>
                          </w:rPr>
                          <w:t xml:space="preserve">49 </w:t>
                        </w:r>
                        <w:r>
                          <w:rPr>
                            <w:sz w:val="24"/>
                          </w:rPr>
                          <w:t>号）相符性分析</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65"/>
                          <w:ind w:left="500" w:right="-15"/>
                          <w:rPr>
                            <w:sz w:val="24"/>
                          </w:rPr>
                        </w:pPr>
                        <w:r>
                          <w:rPr>
                            <w:sz w:val="24"/>
                          </w:rPr>
                          <w:t>对照《江苏省政府关于印发</w:t>
                        </w:r>
                        <w:r>
                          <w:rPr>
                            <w:rFonts w:ascii="Times New Roman" w:eastAsia="Times New Roman" w:hAnsi="Times New Roman"/>
                            <w:spacing w:val="3"/>
                            <w:sz w:val="24"/>
                          </w:rPr>
                          <w:t>&lt;</w:t>
                        </w:r>
                        <w:r>
                          <w:rPr>
                            <w:spacing w:val="3"/>
                            <w:sz w:val="24"/>
                          </w:rPr>
                          <w:t>江苏省</w:t>
                        </w:r>
                        <w:r>
                          <w:rPr>
                            <w:rFonts w:ascii="Times New Roman" w:eastAsia="Times New Roman" w:hAnsi="Times New Roman"/>
                            <w:sz w:val="24"/>
                          </w:rPr>
                          <w:t>“</w:t>
                        </w:r>
                        <w:r>
                          <w:rPr>
                            <w:spacing w:val="3"/>
                            <w:sz w:val="24"/>
                          </w:rPr>
                          <w:t>三线一单</w:t>
                        </w:r>
                        <w:r>
                          <w:rPr>
                            <w:rFonts w:ascii="Times New Roman" w:eastAsia="Times New Roman" w:hAnsi="Times New Roman"/>
                            <w:sz w:val="24"/>
                          </w:rPr>
                          <w:t>”</w:t>
                        </w:r>
                        <w:r>
                          <w:rPr>
                            <w:sz w:val="24"/>
                          </w:rPr>
                          <w:t>生态环境分区管控</w:t>
                        </w:r>
                      </w:p>
                    </w:tc>
                  </w:tr>
                  <w:tr>
                    <w:tblPrEx>
                      <w:tblW w:w="0" w:type="auto"/>
                      <w:jc w:val="left"/>
                      <w:tblInd w:w="10" w:type="dxa"/>
                      <w:tblLayout w:type="fixed"/>
                      <w:tblCellMar>
                        <w:top w:w="0" w:type="dxa"/>
                        <w:left w:w="0" w:type="dxa"/>
                        <w:bottom w:w="0" w:type="dxa"/>
                        <w:right w:w="0" w:type="dxa"/>
                      </w:tblCellMar>
                      <w:tblLook w:val="01E0"/>
                    </w:tblPrEx>
                    <w:trPr>
                      <w:trHeight w:val="445"/>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66"/>
                          <w:ind w:left="20" w:right="-15"/>
                          <w:rPr>
                            <w:sz w:val="24"/>
                          </w:rPr>
                        </w:pPr>
                        <w:r>
                          <w:rPr>
                            <w:sz w:val="24"/>
                          </w:rPr>
                          <w:t>方案</w:t>
                        </w:r>
                        <w:r>
                          <w:rPr>
                            <w:rFonts w:ascii="Times New Roman" w:eastAsia="Times New Roman"/>
                            <w:sz w:val="24"/>
                          </w:rPr>
                          <w:t>&gt;</w:t>
                        </w:r>
                        <w:r>
                          <w:rPr>
                            <w:sz w:val="24"/>
                          </w:rPr>
                          <w:t>的通知》（苏政发〔</w:t>
                        </w:r>
                        <w:r>
                          <w:rPr>
                            <w:rFonts w:ascii="Times New Roman" w:eastAsia="Times New Roman"/>
                            <w:sz w:val="24"/>
                          </w:rPr>
                          <w:t>2020</w:t>
                        </w:r>
                        <w:r>
                          <w:rPr>
                            <w:sz w:val="24"/>
                          </w:rPr>
                          <w:t>〕</w:t>
                        </w:r>
                        <w:r>
                          <w:rPr>
                            <w:rFonts w:ascii="Times New Roman" w:eastAsia="Times New Roman"/>
                            <w:sz w:val="24"/>
                          </w:rPr>
                          <w:t>49</w:t>
                        </w:r>
                        <w:r>
                          <w:rPr>
                            <w:rFonts w:ascii="Times New Roman" w:eastAsia="Times New Roman"/>
                            <w:spacing w:val="19"/>
                            <w:sz w:val="24"/>
                          </w:rPr>
                          <w:t xml:space="preserve"> </w:t>
                        </w:r>
                        <w:r>
                          <w:rPr>
                            <w:sz w:val="24"/>
                          </w:rPr>
                          <w:t>号），</w:t>
                        </w:r>
                        <w:r>
                          <w:rPr>
                            <w:spacing w:val="-1"/>
                            <w:sz w:val="24"/>
                          </w:rPr>
                          <w:t>项目所在地属于一般管控单</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nil"/>
                        </w:tcBorders>
                      </w:tcPr>
                      <w:p>
                        <w:pPr>
                          <w:pStyle w:val="TableParagraph"/>
                          <w:spacing w:before="66"/>
                          <w:ind w:left="20"/>
                          <w:rPr>
                            <w:sz w:val="24"/>
                          </w:rPr>
                        </w:pPr>
                        <w:r>
                          <w:rPr>
                            <w:sz w:val="24"/>
                          </w:rPr>
                          <w:t>元，</w:t>
                        </w:r>
                        <w:r>
                          <w:rPr>
                            <w:color w:val="0000FF"/>
                            <w:sz w:val="24"/>
                          </w:rPr>
                          <w:t>属于淮河流域、沿海地区，</w:t>
                        </w:r>
                        <w:r>
                          <w:rPr>
                            <w:sz w:val="24"/>
                          </w:rPr>
                          <w:t xml:space="preserve">相符性分析见表 </w:t>
                        </w:r>
                        <w:r>
                          <w:rPr>
                            <w:rFonts w:ascii="Times New Roman" w:eastAsia="Times New Roman"/>
                            <w:sz w:val="24"/>
                          </w:rPr>
                          <w:t>1-2</w:t>
                        </w:r>
                        <w:r>
                          <w:rPr>
                            <w:sz w:val="24"/>
                          </w:rPr>
                          <w:t>。</w:t>
                        </w:r>
                      </w:p>
                    </w:tc>
                  </w:tr>
                  <w:tr>
                    <w:tblPrEx>
                      <w:tblW w:w="0" w:type="auto"/>
                      <w:jc w:val="left"/>
                      <w:tblInd w:w="10" w:type="dxa"/>
                      <w:tblLayout w:type="fixed"/>
                      <w:tblCellMar>
                        <w:top w:w="0" w:type="dxa"/>
                        <w:left w:w="0" w:type="dxa"/>
                        <w:bottom w:w="0" w:type="dxa"/>
                        <w:right w:w="0" w:type="dxa"/>
                      </w:tblCellMar>
                      <w:tblLook w:val="01E0"/>
                    </w:tblPrEx>
                    <w:trPr>
                      <w:trHeight w:val="375"/>
                      <w:jc w:val="left"/>
                    </w:trPr>
                    <w:tc>
                      <w:tcPr>
                        <w:tcW w:w="1580" w:type="dxa"/>
                        <w:vMerge/>
                        <w:tcBorders>
                          <w:top w:val="nil"/>
                          <w:right w:val="single" w:sz="4" w:space="0" w:color="000000"/>
                        </w:tcBorders>
                      </w:tcPr>
                      <w:p>
                        <w:pPr>
                          <w:rPr>
                            <w:sz w:val="2"/>
                            <w:szCs w:val="2"/>
                          </w:rPr>
                        </w:pPr>
                      </w:p>
                    </w:tc>
                    <w:tc>
                      <w:tcPr>
                        <w:tcW w:w="7450" w:type="dxa"/>
                        <w:gridSpan w:val="11"/>
                        <w:tcBorders>
                          <w:top w:val="nil"/>
                          <w:left w:val="single" w:sz="4" w:space="0" w:color="000000"/>
                          <w:bottom w:val="single" w:sz="12" w:space="0" w:color="000000"/>
                        </w:tcBorders>
                      </w:tcPr>
                      <w:p>
                        <w:pPr>
                          <w:pStyle w:val="TableParagraph"/>
                          <w:tabs>
                            <w:tab w:val="left" w:pos="1031"/>
                          </w:tabs>
                          <w:spacing w:before="65" w:line="290" w:lineRule="exact"/>
                          <w:ind w:left="171"/>
                          <w:rPr>
                            <w:b/>
                            <w:sz w:val="24"/>
                          </w:rPr>
                        </w:pPr>
                        <w:r>
                          <w:rPr>
                            <w:b/>
                            <w:sz w:val="24"/>
                          </w:rPr>
                          <w:t>表</w:t>
                        </w:r>
                        <w:r>
                          <w:rPr>
                            <w:b/>
                            <w:spacing w:val="-62"/>
                            <w:sz w:val="24"/>
                          </w:rPr>
                          <w:t xml:space="preserve"> </w:t>
                        </w:r>
                        <w:r>
                          <w:rPr>
                            <w:rFonts w:ascii="Times New Roman" w:eastAsia="Times New Roman" w:hAnsi="Times New Roman"/>
                            <w:b/>
                            <w:sz w:val="24"/>
                          </w:rPr>
                          <w:t>1-2</w:t>
                          <w:tab/>
                        </w:r>
                        <w:r>
                          <w:rPr>
                            <w:b/>
                            <w:sz w:val="24"/>
                          </w:rPr>
                          <w:t>与《江苏省</w:t>
                        </w:r>
                        <w:r>
                          <w:rPr>
                            <w:rFonts w:ascii="Times New Roman" w:eastAsia="Times New Roman" w:hAnsi="Times New Roman"/>
                            <w:b/>
                            <w:sz w:val="24"/>
                          </w:rPr>
                          <w:t>“</w:t>
                        </w:r>
                        <w:r>
                          <w:rPr>
                            <w:b/>
                            <w:sz w:val="24"/>
                          </w:rPr>
                          <w:t>三线一单</w:t>
                        </w:r>
                        <w:r>
                          <w:rPr>
                            <w:rFonts w:ascii="Times New Roman" w:eastAsia="Times New Roman" w:hAnsi="Times New Roman"/>
                            <w:b/>
                            <w:sz w:val="24"/>
                          </w:rPr>
                          <w:t>”</w:t>
                        </w:r>
                        <w:r>
                          <w:rPr>
                            <w:b/>
                            <w:sz w:val="24"/>
                          </w:rPr>
                          <w:t>生态环境分区管控方案》相符性分析</w:t>
                        </w:r>
                      </w:p>
                    </w:tc>
                  </w:tr>
                  <w:tr>
                    <w:tblPrEx>
                      <w:tblW w:w="0" w:type="auto"/>
                      <w:jc w:val="left"/>
                      <w:tblInd w:w="10" w:type="dxa"/>
                      <w:tblLayout w:type="fixed"/>
                      <w:tblCellMar>
                        <w:top w:w="0" w:type="dxa"/>
                        <w:left w:w="0" w:type="dxa"/>
                        <w:bottom w:w="0" w:type="dxa"/>
                        <w:right w:w="0" w:type="dxa"/>
                      </w:tblCellMar>
                      <w:tblLook w:val="01E0"/>
                    </w:tblPrEx>
                    <w:trPr>
                      <w:trHeight w:val="262"/>
                      <w:jc w:val="left"/>
                    </w:trPr>
                    <w:tc>
                      <w:tcPr>
                        <w:tcW w:w="1580" w:type="dxa"/>
                        <w:vMerge/>
                        <w:tcBorders>
                          <w:top w:val="nil"/>
                          <w:right w:val="single" w:sz="4" w:space="0" w:color="000000"/>
                        </w:tcBorders>
                      </w:tcPr>
                      <w:p>
                        <w:pPr>
                          <w:rPr>
                            <w:sz w:val="2"/>
                            <w:szCs w:val="2"/>
                          </w:rPr>
                        </w:pPr>
                      </w:p>
                    </w:tc>
                    <w:tc>
                      <w:tcPr>
                        <w:tcW w:w="848" w:type="dxa"/>
                        <w:gridSpan w:val="2"/>
                        <w:tcBorders>
                          <w:top w:val="single" w:sz="12" w:space="0" w:color="000000"/>
                          <w:left w:val="single" w:sz="4" w:space="0" w:color="000000"/>
                          <w:bottom w:val="nil"/>
                          <w:right w:val="single" w:sz="4" w:space="0" w:color="000000"/>
                        </w:tcBorders>
                      </w:tcPr>
                      <w:p>
                        <w:pPr>
                          <w:pStyle w:val="TableParagraph"/>
                          <w:spacing w:before="1" w:line="240" w:lineRule="exact"/>
                          <w:ind w:left="116"/>
                          <w:rPr>
                            <w:b/>
                            <w:sz w:val="21"/>
                          </w:rPr>
                        </w:pPr>
                        <w:r>
                          <w:rPr>
                            <w:b/>
                            <w:sz w:val="21"/>
                          </w:rPr>
                          <w:t>管控类</w:t>
                        </w:r>
                      </w:p>
                    </w:tc>
                    <w:tc>
                      <w:tcPr>
                        <w:tcW w:w="3528" w:type="dxa"/>
                        <w:gridSpan w:val="4"/>
                        <w:vMerge w:val="restart"/>
                        <w:tcBorders>
                          <w:top w:val="single" w:sz="12" w:space="0" w:color="000000"/>
                          <w:left w:val="single" w:sz="4" w:space="0" w:color="000000"/>
                          <w:bottom w:val="single" w:sz="4" w:space="0" w:color="000000"/>
                          <w:right w:val="single" w:sz="4" w:space="0" w:color="000000"/>
                        </w:tcBorders>
                      </w:tcPr>
                      <w:p>
                        <w:pPr>
                          <w:pStyle w:val="TableParagraph"/>
                          <w:spacing w:before="136"/>
                          <w:ind w:left="1133"/>
                          <w:rPr>
                            <w:b/>
                            <w:sz w:val="21"/>
                          </w:rPr>
                        </w:pPr>
                        <w:r>
                          <w:rPr>
                            <w:b/>
                            <w:sz w:val="21"/>
                          </w:rPr>
                          <w:t>重点管控要求</w:t>
                        </w:r>
                      </w:p>
                    </w:tc>
                    <w:tc>
                      <w:tcPr>
                        <w:tcW w:w="3074" w:type="dxa"/>
                        <w:gridSpan w:val="5"/>
                        <w:vMerge w:val="restart"/>
                        <w:tcBorders>
                          <w:top w:val="single" w:sz="12" w:space="0" w:color="000000"/>
                          <w:left w:val="single" w:sz="4" w:space="0" w:color="000000"/>
                          <w:bottom w:val="single" w:sz="4" w:space="0" w:color="000000"/>
                        </w:tcBorders>
                      </w:tcPr>
                      <w:p>
                        <w:pPr>
                          <w:pStyle w:val="TableParagraph"/>
                          <w:spacing w:before="136"/>
                          <w:ind w:left="1011"/>
                          <w:rPr>
                            <w:b/>
                            <w:sz w:val="21"/>
                          </w:rPr>
                        </w:pPr>
                        <w:r>
                          <w:rPr>
                            <w:b/>
                            <w:sz w:val="21"/>
                          </w:rPr>
                          <w:t>相符性分析</w:t>
                        </w:r>
                      </w:p>
                    </w:tc>
                  </w:tr>
                  <w:tr>
                    <w:tblPrEx>
                      <w:tblW w:w="0" w:type="auto"/>
                      <w:jc w:val="left"/>
                      <w:tblInd w:w="10" w:type="dxa"/>
                      <w:tblLayout w:type="fixed"/>
                      <w:tblCellMar>
                        <w:top w:w="0" w:type="dxa"/>
                        <w:left w:w="0" w:type="dxa"/>
                        <w:bottom w:w="0" w:type="dxa"/>
                        <w:right w:w="0" w:type="dxa"/>
                      </w:tblCellMar>
                      <w:tblLook w:val="01E0"/>
                    </w:tblPrEx>
                    <w:trPr>
                      <w:trHeight w:val="258"/>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single" w:sz="4" w:space="0" w:color="000000"/>
                          <w:right w:val="single" w:sz="4" w:space="0" w:color="000000"/>
                        </w:tcBorders>
                      </w:tcPr>
                      <w:p>
                        <w:pPr>
                          <w:pStyle w:val="TableParagraph"/>
                          <w:spacing w:line="238" w:lineRule="exact"/>
                          <w:ind w:left="27"/>
                          <w:jc w:val="center"/>
                          <w:rPr>
                            <w:b/>
                            <w:sz w:val="21"/>
                          </w:rPr>
                        </w:pPr>
                        <w:r>
                          <w:rPr>
                            <w:b/>
                            <w:w w:val="99"/>
                            <w:sz w:val="21"/>
                          </w:rPr>
                          <w:t>别</w:t>
                        </w:r>
                      </w:p>
                    </w:tc>
                    <w:tc>
                      <w:tcPr>
                        <w:tcW w:w="3528" w:type="dxa"/>
                        <w:gridSpan w:val="4"/>
                        <w:vMerge/>
                        <w:tcBorders>
                          <w:top w:val="nil"/>
                          <w:left w:val="single" w:sz="4" w:space="0" w:color="000000"/>
                          <w:bottom w:val="single" w:sz="4" w:space="0" w:color="000000"/>
                          <w:right w:val="single" w:sz="4" w:space="0" w:color="000000"/>
                        </w:tcBorders>
                      </w:tcPr>
                      <w:p>
                        <w:pPr>
                          <w:rPr>
                            <w:sz w:val="2"/>
                            <w:szCs w:val="2"/>
                          </w:rPr>
                        </w:pPr>
                      </w:p>
                    </w:tc>
                    <w:tc>
                      <w:tcPr>
                        <w:tcW w:w="3074" w:type="dxa"/>
                        <w:gridSpan w:val="5"/>
                        <w:vMerge/>
                        <w:tcBorders>
                          <w:top w:val="nil"/>
                          <w:left w:val="single" w:sz="4" w:space="0" w:color="000000"/>
                          <w:bottom w:val="single" w:sz="4"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73"/>
                      <w:jc w:val="left"/>
                    </w:trPr>
                    <w:tc>
                      <w:tcPr>
                        <w:tcW w:w="1580" w:type="dxa"/>
                        <w:vMerge/>
                        <w:tcBorders>
                          <w:top w:val="nil"/>
                          <w:right w:val="single" w:sz="4" w:space="0" w:color="000000"/>
                        </w:tcBorders>
                      </w:tcPr>
                      <w:p>
                        <w:pPr>
                          <w:rPr>
                            <w:sz w:val="2"/>
                            <w:szCs w:val="2"/>
                          </w:rPr>
                        </w:pPr>
                      </w:p>
                    </w:tc>
                    <w:tc>
                      <w:tcPr>
                        <w:tcW w:w="7450" w:type="dxa"/>
                        <w:gridSpan w:val="11"/>
                        <w:tcBorders>
                          <w:top w:val="single" w:sz="4" w:space="0" w:color="000000"/>
                          <w:left w:val="single" w:sz="4" w:space="0" w:color="000000"/>
                          <w:bottom w:val="single" w:sz="4" w:space="0" w:color="000000"/>
                        </w:tcBorders>
                      </w:tcPr>
                      <w:p>
                        <w:pPr>
                          <w:pStyle w:val="TableParagraph"/>
                          <w:spacing w:line="253" w:lineRule="exact"/>
                          <w:ind w:left="2347" w:right="2318"/>
                          <w:jc w:val="center"/>
                          <w:rPr>
                            <w:sz w:val="21"/>
                          </w:rPr>
                        </w:pPr>
                        <w:r>
                          <w:rPr>
                            <w:sz w:val="21"/>
                          </w:rPr>
                          <w:t>江苏省省域生态环境管控要求</w:t>
                        </w:r>
                      </w:p>
                    </w:tc>
                  </w:tr>
                  <w:tr>
                    <w:tblPrEx>
                      <w:tblW w:w="0" w:type="auto"/>
                      <w:jc w:val="left"/>
                      <w:tblInd w:w="10" w:type="dxa"/>
                      <w:tblLayout w:type="fixed"/>
                      <w:tblCellMar>
                        <w:top w:w="0" w:type="dxa"/>
                        <w:left w:w="0" w:type="dxa"/>
                        <w:bottom w:w="0" w:type="dxa"/>
                        <w:right w:w="0" w:type="dxa"/>
                      </w:tblCellMar>
                      <w:tblLook w:val="01E0"/>
                    </w:tblPrEx>
                    <w:trPr>
                      <w:trHeight w:val="264"/>
                      <w:jc w:val="left"/>
                    </w:trPr>
                    <w:tc>
                      <w:tcPr>
                        <w:tcW w:w="1580" w:type="dxa"/>
                        <w:vMerge/>
                        <w:tcBorders>
                          <w:top w:val="nil"/>
                          <w:right w:val="single" w:sz="4" w:space="0" w:color="000000"/>
                        </w:tcBorders>
                      </w:tcPr>
                      <w:p>
                        <w:pPr>
                          <w:rPr>
                            <w:sz w:val="2"/>
                            <w:szCs w:val="2"/>
                          </w:rPr>
                        </w:pPr>
                      </w:p>
                    </w:tc>
                    <w:tc>
                      <w:tcPr>
                        <w:tcW w:w="848" w:type="dxa"/>
                        <w:gridSpan w:val="2"/>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3528" w:type="dxa"/>
                        <w:gridSpan w:val="4"/>
                        <w:tcBorders>
                          <w:top w:val="single" w:sz="4" w:space="0" w:color="000000"/>
                          <w:left w:val="single" w:sz="4" w:space="0" w:color="000000"/>
                          <w:bottom w:val="nil"/>
                          <w:right w:val="single" w:sz="4" w:space="0" w:color="000000"/>
                        </w:tcBorders>
                      </w:tcPr>
                      <w:p>
                        <w:pPr>
                          <w:pStyle w:val="TableParagraph"/>
                          <w:spacing w:line="244" w:lineRule="exact"/>
                          <w:ind w:left="27"/>
                          <w:rPr>
                            <w:sz w:val="21"/>
                          </w:rPr>
                        </w:pPr>
                        <w:r>
                          <w:rPr>
                            <w:sz w:val="21"/>
                          </w:rPr>
                          <w:t>（</w:t>
                        </w:r>
                        <w:r>
                          <w:rPr>
                            <w:rFonts w:ascii="Times New Roman" w:eastAsia="Times New Roman"/>
                            <w:sz w:val="21"/>
                          </w:rPr>
                          <w:t>1</w:t>
                        </w:r>
                        <w:r>
                          <w:rPr>
                            <w:sz w:val="21"/>
                          </w:rPr>
                          <w:t>）引入项目符合盐城市总体准入要</w:t>
                        </w:r>
                      </w:p>
                    </w:tc>
                    <w:tc>
                      <w:tcPr>
                        <w:tcW w:w="3074" w:type="dxa"/>
                        <w:gridSpan w:val="5"/>
                        <w:tcBorders>
                          <w:top w:val="single" w:sz="4" w:space="0" w:color="000000"/>
                          <w:left w:val="single" w:sz="4" w:space="0" w:color="000000"/>
                          <w:bottom w:val="nil"/>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41"/>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nil"/>
                          <w:right w:val="single" w:sz="4" w:space="0" w:color="000000"/>
                        </w:tcBorders>
                      </w:tcPr>
                      <w:p>
                        <w:pPr>
                          <w:pStyle w:val="TableParagraph"/>
                          <w:spacing w:line="221" w:lineRule="exact"/>
                          <w:ind w:left="119"/>
                          <w:rPr>
                            <w:sz w:val="21"/>
                          </w:rPr>
                        </w:pPr>
                        <w:r>
                          <w:rPr>
                            <w:sz w:val="21"/>
                          </w:rPr>
                          <w:t>空间布</w:t>
                        </w:r>
                      </w:p>
                    </w:tc>
                    <w:tc>
                      <w:tcPr>
                        <w:tcW w:w="3528" w:type="dxa"/>
                        <w:gridSpan w:val="4"/>
                        <w:tcBorders>
                          <w:top w:val="nil"/>
                          <w:left w:val="single" w:sz="4" w:space="0" w:color="000000"/>
                          <w:bottom w:val="nil"/>
                          <w:right w:val="single" w:sz="4" w:space="0" w:color="000000"/>
                        </w:tcBorders>
                      </w:tcPr>
                      <w:p>
                        <w:pPr>
                          <w:pStyle w:val="TableParagraph"/>
                          <w:spacing w:line="221" w:lineRule="exact"/>
                          <w:ind w:left="27"/>
                          <w:rPr>
                            <w:sz w:val="21"/>
                          </w:rPr>
                        </w:pPr>
                        <w:r>
                          <w:rPr>
                            <w:sz w:val="21"/>
                          </w:rPr>
                          <w:t>求。</w:t>
                        </w:r>
                      </w:p>
                    </w:tc>
                    <w:tc>
                      <w:tcPr>
                        <w:tcW w:w="3074" w:type="dxa"/>
                        <w:gridSpan w:val="5"/>
                        <w:tcBorders>
                          <w:top w:val="nil"/>
                          <w:left w:val="single" w:sz="4" w:space="0" w:color="000000"/>
                          <w:bottom w:val="nil"/>
                        </w:tcBorders>
                      </w:tcPr>
                      <w:p>
                        <w:pPr>
                          <w:pStyle w:val="TableParagraph"/>
                          <w:spacing w:line="221" w:lineRule="exact"/>
                          <w:ind w:left="67"/>
                          <w:rPr>
                            <w:sz w:val="21"/>
                          </w:rPr>
                        </w:pPr>
                        <w:r>
                          <w:rPr>
                            <w:sz w:val="21"/>
                          </w:rPr>
                          <w:t>本项目为二级公路建设项目，符</w:t>
                        </w:r>
                      </w:p>
                    </w:tc>
                  </w:tr>
                  <w:tr>
                    <w:tblPrEx>
                      <w:tblW w:w="0" w:type="auto"/>
                      <w:jc w:val="left"/>
                      <w:tblInd w:w="10" w:type="dxa"/>
                      <w:tblLayout w:type="fixed"/>
                      <w:tblCellMar>
                        <w:top w:w="0" w:type="dxa"/>
                        <w:left w:w="0" w:type="dxa"/>
                        <w:bottom w:w="0" w:type="dxa"/>
                        <w:right w:w="0" w:type="dxa"/>
                      </w:tblCellMar>
                      <w:tblLook w:val="01E0"/>
                    </w:tblPrEx>
                    <w:trPr>
                      <w:trHeight w:val="263"/>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nil"/>
                          <w:right w:val="single" w:sz="4" w:space="0" w:color="000000"/>
                        </w:tcBorders>
                      </w:tcPr>
                      <w:p>
                        <w:pPr>
                          <w:pStyle w:val="TableParagraph"/>
                          <w:spacing w:line="244" w:lineRule="exact"/>
                          <w:ind w:left="119"/>
                          <w:rPr>
                            <w:sz w:val="21"/>
                          </w:rPr>
                        </w:pPr>
                        <w:r>
                          <w:rPr>
                            <w:sz w:val="21"/>
                          </w:rPr>
                          <w:t>局约束</w:t>
                        </w:r>
                      </w:p>
                    </w:tc>
                    <w:tc>
                      <w:tcPr>
                        <w:tcW w:w="3528" w:type="dxa"/>
                        <w:gridSpan w:val="4"/>
                        <w:tcBorders>
                          <w:top w:val="nil"/>
                          <w:left w:val="single" w:sz="4" w:space="0" w:color="000000"/>
                          <w:bottom w:val="nil"/>
                          <w:right w:val="single" w:sz="4" w:space="0" w:color="000000"/>
                        </w:tcBorders>
                      </w:tcPr>
                      <w:p>
                        <w:pPr>
                          <w:pStyle w:val="TableParagraph"/>
                          <w:spacing w:line="244" w:lineRule="exact"/>
                          <w:ind w:left="27"/>
                          <w:rPr>
                            <w:sz w:val="21"/>
                          </w:rPr>
                        </w:pPr>
                        <w:r>
                          <w:rPr>
                            <w:sz w:val="21"/>
                          </w:rPr>
                          <w:t>（</w:t>
                        </w:r>
                        <w:r>
                          <w:rPr>
                            <w:rFonts w:ascii="Times New Roman" w:eastAsia="Times New Roman"/>
                            <w:sz w:val="21"/>
                          </w:rPr>
                          <w:t>2</w:t>
                        </w:r>
                        <w:r>
                          <w:rPr>
                            <w:sz w:val="21"/>
                          </w:rPr>
                          <w:t>）持续推进工业企业向产业园区和</w:t>
                        </w:r>
                      </w:p>
                    </w:tc>
                    <w:tc>
                      <w:tcPr>
                        <w:tcW w:w="3074" w:type="dxa"/>
                        <w:gridSpan w:val="5"/>
                        <w:tcBorders>
                          <w:top w:val="nil"/>
                          <w:left w:val="single" w:sz="4" w:space="0" w:color="000000"/>
                          <w:bottom w:val="nil"/>
                        </w:tcBorders>
                      </w:tcPr>
                      <w:p>
                        <w:pPr>
                          <w:pStyle w:val="TableParagraph"/>
                          <w:spacing w:line="244" w:lineRule="exact"/>
                          <w:ind w:left="382"/>
                          <w:rPr>
                            <w:sz w:val="21"/>
                          </w:rPr>
                        </w:pPr>
                        <w:r>
                          <w:rPr>
                            <w:sz w:val="21"/>
                          </w:rPr>
                          <w:t>合盐城市总体准入要求。</w:t>
                        </w:r>
                      </w:p>
                    </w:tc>
                  </w:tr>
                  <w:tr>
                    <w:tblPrEx>
                      <w:tblW w:w="0" w:type="auto"/>
                      <w:jc w:val="left"/>
                      <w:tblInd w:w="10" w:type="dxa"/>
                      <w:tblLayout w:type="fixed"/>
                      <w:tblCellMar>
                        <w:top w:w="0" w:type="dxa"/>
                        <w:left w:w="0" w:type="dxa"/>
                        <w:bottom w:w="0" w:type="dxa"/>
                        <w:right w:w="0" w:type="dxa"/>
                      </w:tblCellMar>
                      <w:tblLook w:val="01E0"/>
                    </w:tblPrEx>
                    <w:trPr>
                      <w:trHeight w:val="250"/>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3528" w:type="dxa"/>
                        <w:gridSpan w:val="4"/>
                        <w:tcBorders>
                          <w:top w:val="nil"/>
                          <w:left w:val="single" w:sz="4" w:space="0" w:color="000000"/>
                          <w:bottom w:val="single" w:sz="4" w:space="0" w:color="000000"/>
                          <w:right w:val="single" w:sz="4" w:space="0" w:color="000000"/>
                        </w:tcBorders>
                      </w:tcPr>
                      <w:p>
                        <w:pPr>
                          <w:pStyle w:val="TableParagraph"/>
                          <w:spacing w:line="230" w:lineRule="exact"/>
                          <w:ind w:left="27"/>
                          <w:rPr>
                            <w:sz w:val="21"/>
                          </w:rPr>
                        </w:pPr>
                        <w:r>
                          <w:rPr>
                            <w:sz w:val="21"/>
                          </w:rPr>
                          <w:t>规划工业区块集中。</w:t>
                        </w:r>
                      </w:p>
                    </w:tc>
                    <w:tc>
                      <w:tcPr>
                        <w:tcW w:w="3074" w:type="dxa"/>
                        <w:gridSpan w:val="5"/>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64"/>
                      <w:jc w:val="left"/>
                    </w:trPr>
                    <w:tc>
                      <w:tcPr>
                        <w:tcW w:w="1580" w:type="dxa"/>
                        <w:vMerge/>
                        <w:tcBorders>
                          <w:top w:val="nil"/>
                          <w:right w:val="single" w:sz="4" w:space="0" w:color="000000"/>
                        </w:tcBorders>
                      </w:tcPr>
                      <w:p>
                        <w:pPr>
                          <w:rPr>
                            <w:sz w:val="2"/>
                            <w:szCs w:val="2"/>
                          </w:rPr>
                        </w:pPr>
                      </w:p>
                    </w:tc>
                    <w:tc>
                      <w:tcPr>
                        <w:tcW w:w="848" w:type="dxa"/>
                        <w:gridSpan w:val="2"/>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3528" w:type="dxa"/>
                        <w:gridSpan w:val="4"/>
                        <w:tcBorders>
                          <w:top w:val="single" w:sz="4" w:space="0" w:color="000000"/>
                          <w:left w:val="single" w:sz="4" w:space="0" w:color="000000"/>
                          <w:bottom w:val="nil"/>
                          <w:right w:val="single" w:sz="4" w:space="0" w:color="000000"/>
                        </w:tcBorders>
                      </w:tcPr>
                      <w:p>
                        <w:pPr>
                          <w:pStyle w:val="TableParagraph"/>
                          <w:spacing w:line="244" w:lineRule="exact"/>
                          <w:ind w:left="27"/>
                          <w:rPr>
                            <w:sz w:val="21"/>
                          </w:rPr>
                        </w:pPr>
                        <w:r>
                          <w:rPr>
                            <w:sz w:val="21"/>
                          </w:rPr>
                          <w:t>（</w:t>
                        </w:r>
                        <w:r>
                          <w:rPr>
                            <w:rFonts w:ascii="Times New Roman" w:eastAsia="Times New Roman"/>
                            <w:sz w:val="21"/>
                          </w:rPr>
                          <w:t>1</w:t>
                        </w:r>
                        <w:r>
                          <w:rPr>
                            <w:sz w:val="21"/>
                          </w:rPr>
                          <w:t>）加强生活、交通领域污染治理。</w:t>
                        </w:r>
                      </w:p>
                    </w:tc>
                    <w:tc>
                      <w:tcPr>
                        <w:tcW w:w="3074" w:type="dxa"/>
                        <w:gridSpan w:val="5"/>
                        <w:vMerge w:val="restart"/>
                        <w:tcBorders>
                          <w:top w:val="single" w:sz="4" w:space="0" w:color="000000"/>
                          <w:left w:val="single" w:sz="4" w:space="0" w:color="000000"/>
                          <w:bottom w:val="single" w:sz="4" w:space="0" w:color="000000"/>
                        </w:tcBorders>
                      </w:tcPr>
                      <w:p>
                        <w:pPr>
                          <w:pStyle w:val="TableParagraph"/>
                          <w:spacing w:before="131" w:line="242" w:lineRule="auto"/>
                          <w:ind w:left="67" w:right="51"/>
                          <w:jc w:val="center"/>
                          <w:rPr>
                            <w:sz w:val="21"/>
                          </w:rPr>
                        </w:pPr>
                        <w:r>
                          <w:rPr>
                            <w:w w:val="95"/>
                            <w:sz w:val="21"/>
                          </w:rPr>
                          <w:t>建设项目建成后在路边种植如椿树、香樟、榉树等高大乔木，设置绿化隔声带，周边交通噪声对</w:t>
                        </w:r>
                        <w:r>
                          <w:rPr>
                            <w:sz w:val="21"/>
                          </w:rPr>
                          <w:t>住户的居住环境影响较小。</w:t>
                        </w:r>
                      </w:p>
                    </w:tc>
                  </w:tr>
                  <w:tr>
                    <w:tblPrEx>
                      <w:tblW w:w="0" w:type="auto"/>
                      <w:jc w:val="left"/>
                      <w:tblInd w:w="10" w:type="dxa"/>
                      <w:tblLayout w:type="fixed"/>
                      <w:tblCellMar>
                        <w:top w:w="0" w:type="dxa"/>
                        <w:left w:w="0" w:type="dxa"/>
                        <w:bottom w:w="0" w:type="dxa"/>
                        <w:right w:w="0" w:type="dxa"/>
                      </w:tblCellMar>
                      <w:tblLook w:val="01E0"/>
                    </w:tblPrEx>
                    <w:trPr>
                      <w:trHeight w:val="244"/>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nil"/>
                          <w:right w:val="single" w:sz="4" w:space="0" w:color="000000"/>
                        </w:tcBorders>
                      </w:tcPr>
                      <w:p>
                        <w:pPr>
                          <w:pStyle w:val="TableParagraph"/>
                          <w:spacing w:line="224" w:lineRule="exact"/>
                          <w:ind w:left="119"/>
                          <w:rPr>
                            <w:sz w:val="21"/>
                          </w:rPr>
                        </w:pPr>
                        <w:r>
                          <w:rPr>
                            <w:sz w:val="21"/>
                          </w:rPr>
                          <w:t>污染物</w:t>
                        </w:r>
                      </w:p>
                    </w:tc>
                    <w:tc>
                      <w:tcPr>
                        <w:tcW w:w="3528" w:type="dxa"/>
                        <w:gridSpan w:val="4"/>
                        <w:tcBorders>
                          <w:top w:val="nil"/>
                          <w:left w:val="single" w:sz="4" w:space="0" w:color="000000"/>
                          <w:bottom w:val="nil"/>
                          <w:right w:val="single" w:sz="4" w:space="0" w:color="000000"/>
                        </w:tcBorders>
                      </w:tcPr>
                      <w:p>
                        <w:pPr>
                          <w:pStyle w:val="TableParagraph"/>
                          <w:spacing w:line="224" w:lineRule="exact"/>
                          <w:ind w:left="27"/>
                          <w:rPr>
                            <w:sz w:val="21"/>
                          </w:rPr>
                        </w:pPr>
                        <w:r>
                          <w:rPr>
                            <w:spacing w:val="-8"/>
                            <w:sz w:val="21"/>
                          </w:rPr>
                          <w:t>深化餐饮油烟污染防治，提高绿色出行</w:t>
                        </w:r>
                      </w:p>
                    </w:tc>
                    <w:tc>
                      <w:tcPr>
                        <w:tcW w:w="3074" w:type="dxa"/>
                        <w:gridSpan w:val="5"/>
                        <w:vMerge/>
                        <w:tcBorders>
                          <w:top w:val="nil"/>
                          <w:left w:val="single" w:sz="4" w:space="0" w:color="000000"/>
                          <w:bottom w:val="single" w:sz="4"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49"/>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nil"/>
                          <w:right w:val="single" w:sz="4" w:space="0" w:color="000000"/>
                        </w:tcBorders>
                      </w:tcPr>
                      <w:p>
                        <w:pPr>
                          <w:pStyle w:val="TableParagraph"/>
                          <w:spacing w:line="229" w:lineRule="exact"/>
                          <w:ind w:left="119"/>
                          <w:rPr>
                            <w:sz w:val="21"/>
                          </w:rPr>
                        </w:pPr>
                        <w:r>
                          <w:rPr>
                            <w:sz w:val="21"/>
                          </w:rPr>
                          <w:t>排放管</w:t>
                        </w:r>
                      </w:p>
                    </w:tc>
                    <w:tc>
                      <w:tcPr>
                        <w:tcW w:w="3528" w:type="dxa"/>
                        <w:gridSpan w:val="4"/>
                        <w:tcBorders>
                          <w:top w:val="nil"/>
                          <w:left w:val="single" w:sz="4" w:space="0" w:color="000000"/>
                          <w:bottom w:val="nil"/>
                          <w:right w:val="single" w:sz="4" w:space="0" w:color="000000"/>
                        </w:tcBorders>
                      </w:tcPr>
                      <w:p>
                        <w:pPr>
                          <w:pStyle w:val="TableParagraph"/>
                          <w:spacing w:line="229" w:lineRule="exact"/>
                          <w:ind w:left="27"/>
                          <w:rPr>
                            <w:sz w:val="21"/>
                          </w:rPr>
                        </w:pPr>
                        <w:r>
                          <w:rPr>
                            <w:sz w:val="21"/>
                          </w:rPr>
                          <w:t>比重。</w:t>
                        </w:r>
                      </w:p>
                    </w:tc>
                    <w:tc>
                      <w:tcPr>
                        <w:tcW w:w="3074" w:type="dxa"/>
                        <w:gridSpan w:val="5"/>
                        <w:vMerge/>
                        <w:tcBorders>
                          <w:top w:val="nil"/>
                          <w:left w:val="single" w:sz="4" w:space="0" w:color="000000"/>
                          <w:bottom w:val="single" w:sz="4"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63"/>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nil"/>
                          <w:right w:val="single" w:sz="4" w:space="0" w:color="000000"/>
                        </w:tcBorders>
                      </w:tcPr>
                      <w:p>
                        <w:pPr>
                          <w:pStyle w:val="TableParagraph"/>
                          <w:spacing w:line="244" w:lineRule="exact"/>
                          <w:ind w:left="27"/>
                          <w:jc w:val="center"/>
                          <w:rPr>
                            <w:sz w:val="21"/>
                          </w:rPr>
                        </w:pPr>
                        <w:r>
                          <w:rPr>
                            <w:w w:val="99"/>
                            <w:sz w:val="21"/>
                          </w:rPr>
                          <w:t>控</w:t>
                        </w:r>
                      </w:p>
                    </w:tc>
                    <w:tc>
                      <w:tcPr>
                        <w:tcW w:w="3528" w:type="dxa"/>
                        <w:gridSpan w:val="4"/>
                        <w:tcBorders>
                          <w:top w:val="nil"/>
                          <w:left w:val="single" w:sz="4" w:space="0" w:color="000000"/>
                          <w:bottom w:val="nil"/>
                          <w:right w:val="single" w:sz="4" w:space="0" w:color="000000"/>
                        </w:tcBorders>
                      </w:tcPr>
                      <w:p>
                        <w:pPr>
                          <w:pStyle w:val="TableParagraph"/>
                          <w:spacing w:line="244" w:lineRule="exact"/>
                          <w:ind w:left="27"/>
                          <w:rPr>
                            <w:sz w:val="21"/>
                          </w:rPr>
                        </w:pPr>
                        <w:r>
                          <w:rPr>
                            <w:sz w:val="21"/>
                          </w:rPr>
                          <w:t>（</w:t>
                        </w:r>
                        <w:r>
                          <w:rPr>
                            <w:rFonts w:ascii="Times New Roman" w:eastAsia="Times New Roman"/>
                            <w:sz w:val="21"/>
                          </w:rPr>
                          <w:t>2</w:t>
                        </w:r>
                        <w:r>
                          <w:rPr>
                            <w:sz w:val="21"/>
                          </w:rPr>
                          <w:t>）加快推进城镇雨污分流管网建设</w:t>
                        </w:r>
                      </w:p>
                    </w:tc>
                    <w:tc>
                      <w:tcPr>
                        <w:tcW w:w="3074" w:type="dxa"/>
                        <w:gridSpan w:val="5"/>
                        <w:vMerge/>
                        <w:tcBorders>
                          <w:top w:val="nil"/>
                          <w:left w:val="single" w:sz="4" w:space="0" w:color="000000"/>
                          <w:bottom w:val="single" w:sz="4"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50"/>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3528" w:type="dxa"/>
                        <w:gridSpan w:val="4"/>
                        <w:tcBorders>
                          <w:top w:val="nil"/>
                          <w:left w:val="single" w:sz="4" w:space="0" w:color="000000"/>
                          <w:bottom w:val="single" w:sz="4" w:space="0" w:color="000000"/>
                          <w:right w:val="single" w:sz="4" w:space="0" w:color="000000"/>
                        </w:tcBorders>
                      </w:tcPr>
                      <w:p>
                        <w:pPr>
                          <w:pStyle w:val="TableParagraph"/>
                          <w:spacing w:line="230" w:lineRule="exact"/>
                          <w:ind w:left="27"/>
                          <w:rPr>
                            <w:sz w:val="21"/>
                          </w:rPr>
                        </w:pPr>
                        <w:r>
                          <w:rPr>
                            <w:sz w:val="21"/>
                          </w:rPr>
                          <w:t>和污水处理设施建设。</w:t>
                        </w:r>
                      </w:p>
                    </w:tc>
                    <w:tc>
                      <w:tcPr>
                        <w:tcW w:w="3074" w:type="dxa"/>
                        <w:gridSpan w:val="5"/>
                        <w:vMerge/>
                        <w:tcBorders>
                          <w:top w:val="nil"/>
                          <w:left w:val="single" w:sz="4" w:space="0" w:color="000000"/>
                          <w:bottom w:val="single" w:sz="4" w:space="0" w:color="000000"/>
                        </w:tcBorders>
                      </w:tcPr>
                      <w:p>
                        <w:pPr>
                          <w:rPr>
                            <w:sz w:val="2"/>
                            <w:szCs w:val="2"/>
                          </w:rPr>
                        </w:pPr>
                      </w:p>
                    </w:tc>
                  </w:tr>
                  <w:tr>
                    <w:tblPrEx>
                      <w:tblW w:w="0" w:type="auto"/>
                      <w:jc w:val="left"/>
                      <w:tblInd w:w="10" w:type="dxa"/>
                      <w:tblLayout w:type="fixed"/>
                      <w:tblCellMar>
                        <w:top w:w="0" w:type="dxa"/>
                        <w:left w:w="0" w:type="dxa"/>
                        <w:bottom w:w="0" w:type="dxa"/>
                        <w:right w:w="0" w:type="dxa"/>
                      </w:tblCellMar>
                      <w:tblLook w:val="01E0"/>
                    </w:tblPrEx>
                    <w:trPr>
                      <w:trHeight w:val="243"/>
                      <w:jc w:val="left"/>
                    </w:trPr>
                    <w:tc>
                      <w:tcPr>
                        <w:tcW w:w="1580" w:type="dxa"/>
                        <w:vMerge/>
                        <w:tcBorders>
                          <w:top w:val="nil"/>
                          <w:right w:val="single" w:sz="4" w:space="0" w:color="000000"/>
                        </w:tcBorders>
                      </w:tcPr>
                      <w:p>
                        <w:pPr>
                          <w:rPr>
                            <w:sz w:val="2"/>
                            <w:szCs w:val="2"/>
                          </w:rPr>
                        </w:pPr>
                      </w:p>
                    </w:tc>
                    <w:tc>
                      <w:tcPr>
                        <w:tcW w:w="848" w:type="dxa"/>
                        <w:gridSpan w:val="2"/>
                        <w:tcBorders>
                          <w:top w:val="single" w:sz="4" w:space="0" w:color="000000"/>
                          <w:left w:val="single" w:sz="4" w:space="0" w:color="000000"/>
                          <w:bottom w:val="nil"/>
                          <w:right w:val="single" w:sz="4" w:space="0" w:color="000000"/>
                        </w:tcBorders>
                      </w:tcPr>
                      <w:p>
                        <w:pPr>
                          <w:pStyle w:val="TableParagraph"/>
                          <w:spacing w:line="224" w:lineRule="exact"/>
                          <w:ind w:left="119"/>
                          <w:rPr>
                            <w:sz w:val="21"/>
                          </w:rPr>
                        </w:pPr>
                        <w:r>
                          <w:rPr>
                            <w:sz w:val="21"/>
                          </w:rPr>
                          <w:t>环境风</w:t>
                        </w:r>
                      </w:p>
                    </w:tc>
                    <w:tc>
                      <w:tcPr>
                        <w:tcW w:w="3528" w:type="dxa"/>
                        <w:gridSpan w:val="4"/>
                        <w:tcBorders>
                          <w:top w:val="single" w:sz="4" w:space="0" w:color="000000"/>
                          <w:left w:val="single" w:sz="4" w:space="0" w:color="000000"/>
                          <w:bottom w:val="nil"/>
                          <w:right w:val="single" w:sz="4" w:space="0" w:color="000000"/>
                        </w:tcBorders>
                      </w:tcPr>
                      <w:p>
                        <w:pPr>
                          <w:pStyle w:val="TableParagraph"/>
                          <w:spacing w:line="224" w:lineRule="exact"/>
                          <w:ind w:left="27"/>
                          <w:rPr>
                            <w:sz w:val="21"/>
                          </w:rPr>
                        </w:pPr>
                        <w:r>
                          <w:rPr>
                            <w:w w:val="95"/>
                            <w:sz w:val="21"/>
                          </w:rPr>
                          <w:t>落实《污染地块土壤环境管理办法（试</w:t>
                        </w:r>
                      </w:p>
                    </w:tc>
                    <w:tc>
                      <w:tcPr>
                        <w:tcW w:w="3074" w:type="dxa"/>
                        <w:gridSpan w:val="5"/>
                        <w:vMerge w:val="restart"/>
                        <w:tcBorders>
                          <w:top w:val="single" w:sz="4" w:space="0" w:color="000000"/>
                          <w:left w:val="single" w:sz="4" w:space="0" w:color="000000"/>
                          <w:bottom w:val="single" w:sz="18" w:space="0" w:color="000000"/>
                        </w:tcBorders>
                      </w:tcPr>
                      <w:p>
                        <w:pPr>
                          <w:pStyle w:val="TableParagraph"/>
                          <w:spacing w:before="130" w:line="203" w:lineRule="exact"/>
                          <w:ind w:left="36"/>
                          <w:rPr>
                            <w:sz w:val="21"/>
                          </w:rPr>
                        </w:pPr>
                        <w:r>
                          <w:rPr>
                            <w:sz w:val="21"/>
                          </w:rPr>
                          <w:t>本项目不涉及</w:t>
                        </w:r>
                      </w:p>
                      <w:p>
                        <w:pPr>
                          <w:pStyle w:val="TableParagraph"/>
                          <w:spacing w:line="181" w:lineRule="exact"/>
                          <w:ind w:left="-141"/>
                          <w:rPr>
                            <w:sz w:val="21"/>
                          </w:rPr>
                        </w:pPr>
                        <w:r>
                          <w:rPr>
                            <w:w w:val="99"/>
                            <w:sz w:val="21"/>
                          </w:rPr>
                          <w:t>、</w:t>
                        </w:r>
                      </w:p>
                    </w:tc>
                  </w:tr>
                  <w:tr>
                    <w:tblPrEx>
                      <w:tblW w:w="0" w:type="auto"/>
                      <w:jc w:val="left"/>
                      <w:tblInd w:w="10" w:type="dxa"/>
                      <w:tblLayout w:type="fixed"/>
                      <w:tblCellMar>
                        <w:top w:w="0" w:type="dxa"/>
                        <w:left w:w="0" w:type="dxa"/>
                        <w:bottom w:w="0" w:type="dxa"/>
                        <w:right w:w="0" w:type="dxa"/>
                      </w:tblCellMar>
                      <w:tblLook w:val="01E0"/>
                    </w:tblPrEx>
                    <w:trPr>
                      <w:trHeight w:val="245"/>
                      <w:jc w:val="left"/>
                    </w:trPr>
                    <w:tc>
                      <w:tcPr>
                        <w:tcW w:w="1580" w:type="dxa"/>
                        <w:vMerge/>
                        <w:tcBorders>
                          <w:top w:val="nil"/>
                          <w:right w:val="single" w:sz="4" w:space="0" w:color="000000"/>
                        </w:tcBorders>
                      </w:tcPr>
                      <w:p>
                        <w:pPr>
                          <w:rPr>
                            <w:sz w:val="2"/>
                            <w:szCs w:val="2"/>
                          </w:rPr>
                        </w:pPr>
                      </w:p>
                    </w:tc>
                    <w:tc>
                      <w:tcPr>
                        <w:tcW w:w="848" w:type="dxa"/>
                        <w:gridSpan w:val="2"/>
                        <w:tcBorders>
                          <w:top w:val="nil"/>
                          <w:left w:val="single" w:sz="4" w:space="0" w:color="000000"/>
                          <w:bottom w:val="single" w:sz="18" w:space="0" w:color="000000"/>
                          <w:right w:val="single" w:sz="4" w:space="0" w:color="000000"/>
                        </w:tcBorders>
                      </w:tcPr>
                      <w:p>
                        <w:pPr>
                          <w:pStyle w:val="TableParagraph"/>
                          <w:spacing w:line="226" w:lineRule="exact"/>
                          <w:ind w:left="119"/>
                          <w:rPr>
                            <w:sz w:val="21"/>
                          </w:rPr>
                        </w:pPr>
                        <w:r>
                          <w:rPr>
                            <w:sz w:val="21"/>
                          </w:rPr>
                          <w:t>险防控</w:t>
                        </w:r>
                      </w:p>
                    </w:tc>
                    <w:tc>
                      <w:tcPr>
                        <w:tcW w:w="3528" w:type="dxa"/>
                        <w:gridSpan w:val="4"/>
                        <w:tcBorders>
                          <w:top w:val="nil"/>
                          <w:left w:val="single" w:sz="4" w:space="0" w:color="000000"/>
                          <w:bottom w:val="single" w:sz="18" w:space="0" w:color="000000"/>
                          <w:right w:val="single" w:sz="4" w:space="0" w:color="000000"/>
                        </w:tcBorders>
                      </w:tcPr>
                      <w:p>
                        <w:pPr>
                          <w:pStyle w:val="TableParagraph"/>
                          <w:spacing w:line="226" w:lineRule="exact"/>
                          <w:ind w:left="27"/>
                          <w:rPr>
                            <w:sz w:val="21"/>
                          </w:rPr>
                        </w:pPr>
                        <w:r>
                          <w:rPr>
                            <w:sz w:val="21"/>
                          </w:rPr>
                          <w:t>行）》要求，在环境调查、风险评估</w:t>
                        </w:r>
                      </w:p>
                    </w:tc>
                    <w:tc>
                      <w:tcPr>
                        <w:tcW w:w="3074" w:type="dxa"/>
                        <w:gridSpan w:val="5"/>
                        <w:vMerge/>
                        <w:tcBorders>
                          <w:top w:val="nil"/>
                          <w:left w:val="single" w:sz="4" w:space="0" w:color="000000"/>
                          <w:bottom w:val="single" w:sz="18" w:space="0" w:color="000000"/>
                        </w:tcBorders>
                      </w:tcPr>
                      <w:p>
                        <w:pPr>
                          <w:rPr>
                            <w:sz w:val="2"/>
                            <w:szCs w:val="2"/>
                          </w:rPr>
                        </w:pPr>
                      </w:p>
                    </w:tc>
                  </w:tr>
                </w:tbl>
                <w:p>
                  <w:pPr>
                    <w:pStyle w:val="BodyText"/>
                  </w:pP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pStyle w:val="BodyText"/>
        <w:ind w:right="131"/>
        <w:jc w:val="right"/>
      </w:pPr>
      <w:r>
        <w:t>，</w:t>
      </w:r>
    </w:p>
    <w:p>
      <w:pPr>
        <w:pStyle w:val="BodyText"/>
      </w:pPr>
    </w:p>
    <w:p>
      <w:pPr>
        <w:pStyle w:val="BodyText"/>
        <w:spacing w:before="11"/>
      </w:pPr>
    </w:p>
    <w:p>
      <w:pPr>
        <w:pStyle w:val="BodyText"/>
        <w:ind w:right="131"/>
        <w:jc w:val="right"/>
      </w:pPr>
      <w:r>
        <w:t>》</w:t>
      </w:r>
    </w:p>
    <w:p>
      <w:pPr>
        <w:spacing w:after="0"/>
        <w:jc w:val="right"/>
        <w:sectPr>
          <w:footerReference w:type="default" r:id="rId6"/>
          <w:pgSz w:w="11910" w:h="16840"/>
          <w:pgMar w:top="1580" w:right="1100" w:bottom="1500" w:left="1180" w:header="0" w:footer="1225"/>
          <w:pgNumType w:start="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spacing w:before="0" w:line="242" w:lineRule="auto"/>
        <w:ind w:left="2045" w:right="0" w:firstLine="0"/>
        <w:jc w:val="both"/>
        <w:rPr>
          <w:sz w:val="21"/>
        </w:rPr>
      </w:pPr>
      <w:r>
        <w:rPr>
          <w:sz w:val="21"/>
        </w:rPr>
        <w:t>资源利用效率要求</w:t>
      </w:r>
    </w:p>
    <w:p>
      <w:pPr>
        <w:spacing w:before="139" w:line="244" w:lineRule="auto"/>
        <w:ind w:left="87" w:right="3253" w:firstLine="0"/>
        <w:jc w:val="left"/>
        <w:rPr>
          <w:rFonts w:ascii="Times New Roman" w:eastAsia="Times New Roman" w:hAnsi="Times New Roman"/>
          <w:sz w:val="21"/>
        </w:rPr>
      </w:pPr>
      <w:r>
        <w:br w:type="column"/>
      </w:r>
      <w:r>
        <w:rPr>
          <w:sz w:val="21"/>
        </w:rPr>
        <w:t>治理与修复阶段实施土壤与地下水风险管控，暂不开发利用的地块实施以防治污染扩散为目的的土壤和地下水污染防治，对再开发利用地块实施以安全利用为目的的土壤和地下水污染防治。禁止销售使用燃料为</w:t>
      </w:r>
      <w:r>
        <w:rPr>
          <w:rFonts w:ascii="Times New Roman" w:eastAsia="Times New Roman" w:hAnsi="Times New Roman"/>
          <w:sz w:val="21"/>
        </w:rPr>
        <w:t>“</w:t>
      </w:r>
      <w:r>
        <w:rPr>
          <w:sz w:val="21"/>
        </w:rPr>
        <w:t>Ⅱ类</w:t>
      </w:r>
      <w:r>
        <w:rPr>
          <w:rFonts w:ascii="Times New Roman" w:eastAsia="Times New Roman" w:hAnsi="Times New Roman"/>
          <w:sz w:val="21"/>
        </w:rPr>
        <w:t>”</w:t>
      </w:r>
      <w:r>
        <w:rPr>
          <w:sz w:val="21"/>
        </w:rPr>
        <w:t xml:space="preserve">（较严）， 具体包括：①除单台出力大于等于 </w:t>
      </w:r>
      <w:r>
        <w:rPr>
          <w:rFonts w:ascii="Times New Roman" w:eastAsia="Times New Roman" w:hAnsi="Times New Roman"/>
          <w:sz w:val="21"/>
        </w:rPr>
        <w:t>20</w:t>
      </w:r>
    </w:p>
    <w:p>
      <w:pPr>
        <w:spacing w:before="0" w:line="244" w:lineRule="auto"/>
        <w:ind w:left="87" w:right="1607" w:firstLine="0"/>
        <w:jc w:val="left"/>
        <w:rPr>
          <w:sz w:val="21"/>
        </w:rPr>
      </w:pPr>
      <w:r>
        <w:rPr>
          <w:sz w:val="21"/>
        </w:rPr>
        <w:t>蒸吨</w:t>
      </w:r>
      <w:r>
        <w:rPr>
          <w:rFonts w:ascii="Times New Roman" w:eastAsia="Times New Roman" w:hAnsi="Times New Roman"/>
          <w:sz w:val="21"/>
        </w:rPr>
        <w:t>/</w:t>
      </w:r>
      <w:r>
        <w:rPr>
          <w:sz w:val="21"/>
        </w:rPr>
        <w:t>小时锅炉以外燃用的煤炭及其制 本项目不燃料使用品。②石油焦、 油页岩、原油、重油、</w:t>
      </w:r>
    </w:p>
    <w:p>
      <w:pPr>
        <w:spacing w:before="0" w:line="265" w:lineRule="exact"/>
        <w:ind w:left="87" w:right="0" w:firstLine="0"/>
        <w:jc w:val="left"/>
        <w:rPr>
          <w:sz w:val="21"/>
        </w:rPr>
      </w:pPr>
      <w:r>
        <w:rPr>
          <w:sz w:val="21"/>
        </w:rPr>
        <w:t>渣油、煤焦油。</w:t>
      </w:r>
    </w:p>
    <w:p>
      <w:pPr>
        <w:spacing w:after="0" w:line="265" w:lineRule="exact"/>
        <w:jc w:val="left"/>
        <w:rPr>
          <w:sz w:val="21"/>
        </w:rPr>
        <w:sectPr>
          <w:footerReference w:type="default" r:id="rId7"/>
          <w:pgSz w:w="11910" w:h="16840"/>
          <w:pgMar w:top="1580" w:right="1100" w:bottom="1500" w:left="1180" w:header="0" w:footer="1225"/>
          <w:pgNumType w:start="4"/>
          <w:cols w:num="2" w:space="708" w:equalWidth="0">
            <w:col w:w="2675" w:space="40"/>
            <w:col w:w="6915" w:space="0"/>
          </w:cols>
        </w:sectPr>
      </w:pPr>
    </w:p>
    <w:p>
      <w:pPr>
        <w:spacing w:before="13"/>
        <w:ind w:left="5240" w:right="0" w:firstLine="0"/>
        <w:jc w:val="left"/>
        <w:rPr>
          <w:sz w:val="21"/>
        </w:rPr>
      </w:pPr>
      <w:r>
        <w:rPr>
          <w:color w:val="0000FF"/>
          <w:sz w:val="21"/>
        </w:rPr>
        <w:t>淮河流域</w:t>
      </w:r>
    </w:p>
    <w:p>
      <w:pPr>
        <w:spacing w:before="21" w:line="242" w:lineRule="auto"/>
        <w:ind w:left="2801" w:right="3236" w:firstLine="0"/>
        <w:jc w:val="left"/>
        <w:rPr>
          <w:sz w:val="21"/>
        </w:rPr>
      </w:pPr>
      <w:r>
        <w:rPr>
          <w:rFonts w:ascii="Times New Roman" w:eastAsia="Times New Roman"/>
          <w:color w:val="0000FF"/>
          <w:sz w:val="21"/>
        </w:rPr>
        <w:t>1</w:t>
      </w:r>
      <w:r>
        <w:rPr>
          <w:color w:val="0000FF"/>
          <w:sz w:val="21"/>
        </w:rPr>
        <w:t>、禁止在淮河流域新建化学制浆造纸</w:t>
      </w:r>
      <w:r>
        <w:rPr>
          <w:color w:val="0000FF"/>
          <w:spacing w:val="-16"/>
          <w:w w:val="95"/>
          <w:sz w:val="21"/>
        </w:rPr>
        <w:t>企业，禁止在淮河流域新建制革、化工、</w:t>
      </w:r>
      <w:r>
        <w:rPr>
          <w:color w:val="0000FF"/>
          <w:spacing w:val="-12"/>
          <w:sz w:val="21"/>
        </w:rPr>
        <w:t>印染、电镀、酿造等污染严重的小型企业。</w:t>
      </w:r>
    </w:p>
    <w:p>
      <w:pPr>
        <w:spacing w:before="1" w:line="244" w:lineRule="auto"/>
        <w:ind w:left="2801" w:right="3342" w:firstLine="0"/>
        <w:jc w:val="left"/>
        <w:rPr>
          <w:sz w:val="21"/>
        </w:rPr>
      </w:pPr>
      <w:r>
        <w:rPr>
          <w:rFonts w:ascii="Times New Roman" w:eastAsia="Times New Roman"/>
          <w:color w:val="0000FF"/>
          <w:sz w:val="21"/>
        </w:rPr>
        <w:t>2</w:t>
      </w:r>
      <w:r>
        <w:rPr>
          <w:color w:val="0000FF"/>
          <w:sz w:val="21"/>
        </w:rPr>
        <w:t>、落实《江苏省通榆河水污染防治条</w:t>
      </w:r>
      <w:r>
        <w:rPr>
          <w:color w:val="0000FF"/>
          <w:w w:val="95"/>
          <w:sz w:val="21"/>
        </w:rPr>
        <w:t>例》，在通榆河一级保护区、二级保护</w:t>
      </w:r>
    </w:p>
    <w:p>
      <w:pPr>
        <w:tabs>
          <w:tab w:val="left" w:pos="9238"/>
        </w:tabs>
        <w:spacing w:before="0" w:line="163" w:lineRule="exact"/>
        <w:ind w:left="2801" w:right="0" w:firstLine="0"/>
        <w:jc w:val="left"/>
        <w:rPr>
          <w:sz w:val="21"/>
        </w:rPr>
      </w:pPr>
      <w:r>
        <w:rPr>
          <w:color w:val="0000FF"/>
          <w:sz w:val="21"/>
        </w:rPr>
        <w:t>区</w:t>
      </w:r>
      <w:r>
        <w:rPr>
          <w:color w:val="0000FF"/>
          <w:spacing w:val="-49"/>
          <w:sz w:val="21"/>
        </w:rPr>
        <w:t>，</w:t>
      </w:r>
      <w:r>
        <w:rPr>
          <w:color w:val="0000FF"/>
          <w:sz w:val="21"/>
        </w:rPr>
        <w:t>禁止新建</w:t>
      </w:r>
      <w:r>
        <w:rPr>
          <w:color w:val="0000FF"/>
          <w:spacing w:val="-46"/>
          <w:sz w:val="21"/>
        </w:rPr>
        <w:t>、</w:t>
      </w:r>
      <w:r>
        <w:rPr>
          <w:color w:val="0000FF"/>
          <w:sz w:val="21"/>
        </w:rPr>
        <w:t>改建</w:t>
      </w:r>
      <w:r>
        <w:rPr>
          <w:color w:val="0000FF"/>
          <w:spacing w:val="-49"/>
          <w:sz w:val="21"/>
        </w:rPr>
        <w:t>、</w:t>
      </w:r>
      <w:r>
        <w:rPr>
          <w:color w:val="0000FF"/>
          <w:sz w:val="21"/>
        </w:rPr>
        <w:t>扩建制浆</w:t>
      </w:r>
      <w:r>
        <w:rPr>
          <w:color w:val="0000FF"/>
          <w:spacing w:val="-46"/>
          <w:sz w:val="21"/>
        </w:rPr>
        <w:t>、</w:t>
      </w:r>
      <w:r>
        <w:rPr>
          <w:color w:val="0000FF"/>
          <w:sz w:val="21"/>
        </w:rPr>
        <w:t>造纸、</w:t>
        <w:tab/>
      </w:r>
      <w:r>
        <w:rPr>
          <w:color w:val="0000FF"/>
          <w:position w:val="-13"/>
          <w:sz w:val="21"/>
        </w:rPr>
        <w:t>、</w:t>
      </w:r>
    </w:p>
    <w:p>
      <w:pPr>
        <w:spacing w:after="0" w:line="163" w:lineRule="exact"/>
        <w:jc w:val="left"/>
        <w:rPr>
          <w:sz w:val="21"/>
        </w:rPr>
        <w:sectPr>
          <w:footerReference w:type="default" r:id="rId8"/>
          <w:type w:val="continuous"/>
          <w:pgSz w:w="11910" w:h="16840"/>
          <w:pgMar w:top="1580" w:right="1100" w:bottom="280" w:left="1180" w:header="708" w:footer="708"/>
          <w:pgNumType w:start="5"/>
          <w:cols w:space="708"/>
        </w:sectPr>
      </w:pPr>
    </w:p>
    <w:p>
      <w:pPr>
        <w:spacing w:before="106" w:line="165" w:lineRule="exact"/>
        <w:ind w:left="2801" w:right="0" w:firstLine="0"/>
        <w:jc w:val="left"/>
        <w:rPr>
          <w:sz w:val="21"/>
        </w:rPr>
      </w:pPr>
      <w:r>
        <w:rPr>
          <w:color w:val="0000FF"/>
          <w:spacing w:val="-15"/>
          <w:sz w:val="21"/>
        </w:rPr>
        <w:t>化工、制革、酿造、染料、印染、电镀</w:t>
      </w:r>
    </w:p>
    <w:p>
      <w:pPr>
        <w:spacing w:before="0" w:line="172" w:lineRule="exact"/>
        <w:ind w:left="125" w:right="0" w:firstLine="0"/>
        <w:jc w:val="left"/>
        <w:rPr>
          <w:sz w:val="21"/>
        </w:rPr>
      </w:pPr>
      <w:r>
        <w:br w:type="column"/>
      </w:r>
      <w:r>
        <w:rPr>
          <w:color w:val="0000FF"/>
          <w:sz w:val="21"/>
        </w:rPr>
        <w:t>本项目不属于制革、化工、印染</w:t>
      </w:r>
    </w:p>
    <w:p>
      <w:pPr>
        <w:spacing w:before="0" w:line="99" w:lineRule="exact"/>
        <w:ind w:left="-38" w:right="0" w:firstLine="0"/>
        <w:jc w:val="left"/>
        <w:rPr>
          <w:sz w:val="21"/>
        </w:rPr>
      </w:pPr>
      <w:r>
        <w:rPr>
          <w:color w:val="0000FF"/>
          <w:w w:val="99"/>
          <w:sz w:val="21"/>
        </w:rPr>
        <w:t>、</w:t>
      </w:r>
    </w:p>
    <w:p>
      <w:pPr>
        <w:spacing w:after="0" w:line="99" w:lineRule="exact"/>
        <w:jc w:val="left"/>
        <w:rPr>
          <w:sz w:val="21"/>
        </w:rPr>
        <w:sectPr>
          <w:footerReference w:type="default" r:id="rId9"/>
          <w:type w:val="continuous"/>
          <w:pgSz w:w="11910" w:h="16840"/>
          <w:pgMar w:top="1580" w:right="1100" w:bottom="280" w:left="1180" w:header="708" w:footer="708"/>
          <w:pgNumType w:start="6"/>
          <w:cols w:num="2" w:space="708" w:equalWidth="0">
            <w:col w:w="6174" w:space="40"/>
            <w:col w:w="3416" w:space="0"/>
          </w:cols>
        </w:sectPr>
      </w:pPr>
    </w:p>
    <w:p>
      <w:pPr>
        <w:spacing w:before="106" w:line="242" w:lineRule="auto"/>
        <w:ind w:left="2045" w:right="0" w:firstLine="0"/>
        <w:jc w:val="right"/>
        <w:rPr>
          <w:sz w:val="21"/>
        </w:rPr>
      </w:pPr>
      <w:r>
        <w:rPr>
          <w:color w:val="0000FF"/>
          <w:w w:val="95"/>
          <w:sz w:val="21"/>
        </w:rPr>
        <w:t>空间布局约束</w:t>
      </w:r>
    </w:p>
    <w:p>
      <w:pPr>
        <w:spacing w:before="35" w:line="160" w:lineRule="auto"/>
        <w:ind w:left="87" w:right="315" w:firstLine="0"/>
        <w:jc w:val="left"/>
        <w:rPr>
          <w:sz w:val="21"/>
        </w:rPr>
      </w:pPr>
      <w:r>
        <w:br w:type="column"/>
      </w:r>
      <w:r>
        <w:rPr>
          <w:color w:val="0000FF"/>
          <w:spacing w:val="-12"/>
          <w:sz w:val="21"/>
        </w:rPr>
        <w:t xml:space="preserve">炼油、铅酸蓄电池和排放水污染物的黑 </w:t>
      </w:r>
      <w:r>
        <w:rPr>
          <w:color w:val="0000FF"/>
          <w:position w:val="14"/>
          <w:sz w:val="21"/>
        </w:rPr>
        <w:t>电镀、酿造等污染严重的小型企</w:t>
      </w:r>
      <w:r>
        <w:rPr>
          <w:color w:val="0000FF"/>
          <w:spacing w:val="-9"/>
          <w:sz w:val="21"/>
        </w:rPr>
        <w:t xml:space="preserve">色金属冶炼及压延加工项目、有色金属 </w:t>
      </w:r>
      <w:r>
        <w:rPr>
          <w:color w:val="0000FF"/>
          <w:position w:val="14"/>
          <w:sz w:val="21"/>
        </w:rPr>
        <w:t>业。项目位于江苏省盐城市阜宁</w:t>
      </w:r>
    </w:p>
    <w:p>
      <w:pPr>
        <w:spacing w:before="0" w:line="142" w:lineRule="exact"/>
        <w:ind w:left="87" w:right="0" w:firstLine="0"/>
        <w:jc w:val="left"/>
        <w:rPr>
          <w:sz w:val="21"/>
        </w:rPr>
      </w:pPr>
      <w:r>
        <w:rPr>
          <w:color w:val="0000FF"/>
          <w:spacing w:val="-11"/>
          <w:sz w:val="21"/>
        </w:rPr>
        <w:t xml:space="preserve">冶炼及压延加工项目、金属制品项目等 </w:t>
      </w:r>
      <w:r>
        <w:rPr>
          <w:color w:val="0000FF"/>
          <w:position w:val="13"/>
          <w:sz w:val="21"/>
        </w:rPr>
        <w:t>县（阜宁县东站货运场站至射阜</w:t>
      </w:r>
    </w:p>
    <w:p>
      <w:pPr>
        <w:spacing w:after="0" w:line="142" w:lineRule="exact"/>
        <w:jc w:val="left"/>
        <w:rPr>
          <w:sz w:val="21"/>
        </w:rPr>
        <w:sectPr>
          <w:footerReference w:type="default" r:id="rId10"/>
          <w:type w:val="continuous"/>
          <w:pgSz w:w="11910" w:h="16840"/>
          <w:pgMar w:top="1580" w:right="1100" w:bottom="280" w:left="1180" w:header="708" w:footer="708"/>
          <w:pgNumType w:start="7"/>
          <w:cols w:num="2" w:space="708" w:equalWidth="0">
            <w:col w:w="2675" w:space="40"/>
            <w:col w:w="6915"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p>
      <w:pPr>
        <w:spacing w:before="0" w:line="167" w:lineRule="exact"/>
        <w:ind w:left="0" w:right="0" w:firstLine="0"/>
        <w:jc w:val="right"/>
        <w:rPr>
          <w:sz w:val="21"/>
        </w:rPr>
      </w:pPr>
      <w:r>
        <w:rPr>
          <w:color w:val="0000FF"/>
          <w:w w:val="95"/>
          <w:sz w:val="21"/>
        </w:rPr>
        <w:t>污染物</w:t>
      </w:r>
    </w:p>
    <w:p>
      <w:pPr>
        <w:spacing w:before="107"/>
        <w:ind w:left="87" w:right="0" w:firstLine="0"/>
        <w:jc w:val="left"/>
        <w:rPr>
          <w:sz w:val="21"/>
        </w:rPr>
      </w:pPr>
      <w:r>
        <w:br w:type="column"/>
      </w:r>
      <w:r>
        <w:rPr>
          <w:color w:val="0000FF"/>
          <w:sz w:val="21"/>
        </w:rPr>
        <w:t>污染环境的项目。</w:t>
      </w:r>
    </w:p>
    <w:p>
      <w:pPr>
        <w:spacing w:before="2" w:line="242" w:lineRule="auto"/>
        <w:ind w:left="87" w:right="0" w:firstLine="0"/>
        <w:jc w:val="both"/>
        <w:rPr>
          <w:sz w:val="21"/>
        </w:rPr>
      </w:pPr>
      <w:r>
        <w:rPr>
          <w:rFonts w:ascii="Times New Roman" w:eastAsia="Times New Roman"/>
          <w:color w:val="0000FF"/>
          <w:sz w:val="21"/>
        </w:rPr>
        <w:t>3</w:t>
      </w:r>
      <w:r>
        <w:rPr>
          <w:color w:val="0000FF"/>
          <w:spacing w:val="-2"/>
          <w:sz w:val="21"/>
        </w:rPr>
        <w:t>、在通榆河一级保护区，禁止新建、</w:t>
      </w:r>
      <w:r>
        <w:rPr>
          <w:color w:val="0000FF"/>
          <w:spacing w:val="5"/>
          <w:w w:val="95"/>
          <w:sz w:val="21"/>
        </w:rPr>
        <w:t>扩建直接或者间接向水体排放污染物</w:t>
      </w:r>
      <w:r>
        <w:rPr>
          <w:color w:val="0000FF"/>
          <w:spacing w:val="-11"/>
          <w:sz w:val="21"/>
        </w:rPr>
        <w:t>的项目，禁止建设工业固体废物集中贮存、利用、处置设施或者场所以及城市</w:t>
      </w:r>
      <w:r>
        <w:rPr>
          <w:color w:val="0000FF"/>
          <w:spacing w:val="-10"/>
          <w:sz w:val="21"/>
        </w:rPr>
        <w:t>生活垃圾填埋场，禁止新建规模化畜禽</w:t>
      </w:r>
      <w:r>
        <w:rPr>
          <w:color w:val="0000FF"/>
          <w:sz w:val="21"/>
        </w:rPr>
        <w:t>养殖场。</w:t>
      </w:r>
    </w:p>
    <w:p>
      <w:pPr>
        <w:spacing w:before="0" w:line="239" w:lineRule="exact"/>
        <w:ind w:left="17" w:right="0" w:firstLine="0"/>
        <w:jc w:val="left"/>
        <w:rPr>
          <w:sz w:val="21"/>
        </w:rPr>
      </w:pPr>
      <w:r>
        <w:br w:type="column"/>
      </w:r>
      <w:r>
        <w:rPr>
          <w:color w:val="0000FF"/>
          <w:sz w:val="21"/>
        </w:rPr>
        <w:t>线），不在通榆河保护区范围内。</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spacing w:before="0"/>
        <w:ind w:left="48" w:right="0" w:firstLine="0"/>
        <w:jc w:val="left"/>
        <w:rPr>
          <w:sz w:val="21"/>
        </w:rPr>
      </w:pPr>
      <w:r>
        <w:rPr>
          <w:color w:val="0000FF"/>
          <w:sz w:val="21"/>
        </w:rPr>
        <w:t>本项目在营运期正常状态时除汽</w:t>
      </w:r>
    </w:p>
    <w:p>
      <w:pPr>
        <w:spacing w:after="0"/>
        <w:jc w:val="left"/>
        <w:rPr>
          <w:sz w:val="21"/>
        </w:rPr>
        <w:sectPr>
          <w:footerReference w:type="default" r:id="rId11"/>
          <w:type w:val="continuous"/>
          <w:pgSz w:w="11910" w:h="16840"/>
          <w:pgMar w:top="1580" w:right="1100" w:bottom="280" w:left="1180" w:header="708" w:footer="708"/>
          <w:pgNumType w:start="8"/>
          <w:cols w:num="3" w:space="708" w:equalWidth="0">
            <w:col w:w="2675" w:space="40"/>
            <w:col w:w="3568" w:space="39"/>
            <w:col w:w="3308" w:space="0"/>
          </w:cols>
        </w:sectPr>
      </w:pPr>
    </w:p>
    <w:p>
      <w:pPr>
        <w:spacing w:before="104" w:line="167" w:lineRule="exact"/>
        <w:ind w:left="0" w:right="0" w:firstLine="0"/>
        <w:jc w:val="right"/>
        <w:rPr>
          <w:sz w:val="21"/>
        </w:rPr>
      </w:pPr>
      <w:r>
        <w:rPr>
          <w:color w:val="0000FF"/>
          <w:w w:val="95"/>
          <w:sz w:val="21"/>
        </w:rPr>
        <w:t>排放管</w:t>
      </w:r>
    </w:p>
    <w:p>
      <w:pPr>
        <w:spacing w:before="0" w:line="239" w:lineRule="exact"/>
        <w:ind w:left="87" w:right="0" w:firstLine="0"/>
        <w:jc w:val="left"/>
        <w:rPr>
          <w:sz w:val="21"/>
        </w:rPr>
      </w:pPr>
      <w:r>
        <w:br w:type="column"/>
      </w:r>
      <w:r>
        <w:rPr>
          <w:color w:val="0000FF"/>
          <w:sz w:val="21"/>
        </w:rPr>
        <w:t>按照《淮河流域水污染防治暂行条例》</w:t>
      </w:r>
    </w:p>
    <w:p>
      <w:pPr>
        <w:spacing w:before="0" w:line="239" w:lineRule="exact"/>
        <w:ind w:left="65" w:right="0" w:firstLine="0"/>
        <w:jc w:val="left"/>
        <w:rPr>
          <w:sz w:val="21"/>
        </w:rPr>
      </w:pPr>
      <w:r>
        <w:br w:type="column"/>
      </w:r>
      <w:r>
        <w:rPr>
          <w:color w:val="0000FF"/>
          <w:sz w:val="21"/>
        </w:rPr>
        <w:t>车尾气呈无组织排放外无其他</w:t>
      </w:r>
    </w:p>
    <w:p>
      <w:pPr>
        <w:spacing w:after="0" w:line="239" w:lineRule="exact"/>
        <w:jc w:val="left"/>
        <w:rPr>
          <w:sz w:val="21"/>
        </w:rPr>
        <w:sectPr>
          <w:footerReference w:type="default" r:id="rId12"/>
          <w:type w:val="continuous"/>
          <w:pgSz w:w="11910" w:h="16840"/>
          <w:pgMar w:top="1580" w:right="1100" w:bottom="280" w:left="1180" w:header="708" w:footer="708"/>
          <w:pgNumType w:start="9"/>
          <w:cols w:num="3" w:space="708" w:equalWidth="0">
            <w:col w:w="2675" w:space="40"/>
            <w:col w:w="3657" w:space="39"/>
            <w:col w:w="3219" w:space="0"/>
          </w:cols>
        </w:sectPr>
      </w:pPr>
    </w:p>
    <w:p>
      <w:pPr>
        <w:tabs>
          <w:tab w:val="left" w:pos="2801"/>
        </w:tabs>
        <w:spacing w:before="0" w:line="204" w:lineRule="auto"/>
        <w:ind w:left="2254" w:right="0" w:firstLine="0"/>
        <w:jc w:val="left"/>
        <w:rPr>
          <w:sz w:val="21"/>
        </w:rPr>
      </w:pPr>
      <w:r>
        <w:rPr>
          <w:color w:val="0000FF"/>
          <w:position w:val="-12"/>
          <w:sz w:val="21"/>
        </w:rPr>
        <w:t>控</w:t>
        <w:tab/>
      </w:r>
      <w:r>
        <w:rPr>
          <w:color w:val="0000FF"/>
          <w:sz w:val="21"/>
        </w:rPr>
        <w:t>实施排污总量控制制度</w:t>
      </w:r>
      <w:r>
        <w:rPr>
          <w:color w:val="0000FF"/>
          <w:spacing w:val="-15"/>
          <w:sz w:val="21"/>
        </w:rPr>
        <w:t>。</w:t>
      </w:r>
    </w:p>
    <w:p>
      <w:pPr>
        <w:spacing w:before="0" w:line="239" w:lineRule="exact"/>
        <w:ind w:left="1200" w:right="298" w:firstLine="0"/>
        <w:jc w:val="center"/>
        <w:rPr>
          <w:sz w:val="21"/>
        </w:rPr>
      </w:pPr>
      <w:r>
        <w:br w:type="column"/>
      </w:r>
      <w:r>
        <w:rPr>
          <w:color w:val="0000FF"/>
          <w:sz w:val="21"/>
        </w:rPr>
        <w:t>“三废”排放。故本项目不涉及</w:t>
      </w:r>
    </w:p>
    <w:p>
      <w:pPr>
        <w:spacing w:before="4"/>
        <w:ind w:left="1200" w:right="298" w:firstLine="0"/>
        <w:jc w:val="center"/>
        <w:rPr>
          <w:sz w:val="21"/>
        </w:rPr>
      </w:pPr>
      <w:r>
        <w:rPr>
          <w:color w:val="0000FF"/>
          <w:sz w:val="21"/>
        </w:rPr>
        <w:t>总量控制问题。</w:t>
      </w:r>
    </w:p>
    <w:p>
      <w:pPr>
        <w:spacing w:after="0"/>
        <w:jc w:val="center"/>
        <w:rPr>
          <w:sz w:val="21"/>
        </w:rPr>
        <w:sectPr>
          <w:footerReference w:type="default" r:id="rId13"/>
          <w:type w:val="continuous"/>
          <w:pgSz w:w="11910" w:h="16840"/>
          <w:pgMar w:top="1580" w:right="1100" w:bottom="280" w:left="1180" w:header="708" w:footer="708"/>
          <w:pgNumType w:start="10"/>
          <w:cols w:num="2" w:space="708" w:equalWidth="0">
            <w:col w:w="5111" w:space="40"/>
            <w:col w:w="4479" w:space="0"/>
          </w:cols>
        </w:sectPr>
      </w:pPr>
    </w:p>
    <w:p>
      <w:pPr>
        <w:spacing w:before="149" w:line="244" w:lineRule="auto"/>
        <w:ind w:left="2045" w:right="0" w:firstLine="0"/>
        <w:jc w:val="right"/>
        <w:rPr>
          <w:sz w:val="21"/>
        </w:rPr>
      </w:pPr>
      <w:r>
        <w:rPr>
          <w:color w:val="0000FF"/>
          <w:w w:val="95"/>
          <w:sz w:val="21"/>
        </w:rPr>
        <w:t>环境风险防控</w:t>
      </w:r>
    </w:p>
    <w:p>
      <w:pPr>
        <w:spacing w:before="142" w:line="242" w:lineRule="auto"/>
        <w:ind w:left="2045" w:right="0" w:firstLine="0"/>
        <w:jc w:val="both"/>
        <w:rPr>
          <w:sz w:val="21"/>
        </w:rPr>
      </w:pPr>
      <w:r>
        <w:rPr>
          <w:color w:val="0000FF"/>
          <w:sz w:val="21"/>
        </w:rPr>
        <w:t>资源利用效率要求</w:t>
      </w:r>
    </w:p>
    <w:p>
      <w:pPr>
        <w:spacing w:before="40" w:line="163" w:lineRule="auto"/>
        <w:ind w:left="87" w:right="315" w:firstLine="0"/>
        <w:jc w:val="left"/>
        <w:rPr>
          <w:sz w:val="21"/>
        </w:rPr>
      </w:pPr>
      <w:r>
        <w:br w:type="column"/>
      </w:r>
      <w:r>
        <w:rPr>
          <w:color w:val="0000FF"/>
          <w:sz w:val="21"/>
        </w:rPr>
        <w:t xml:space="preserve">禁止运输剧毒化学品以及国家规定禁 </w:t>
      </w:r>
      <w:r>
        <w:rPr>
          <w:color w:val="0000FF"/>
          <w:position w:val="-12"/>
          <w:sz w:val="21"/>
        </w:rPr>
        <w:t>项目不涉及剧毒化学品及内河水</w:t>
      </w:r>
      <w:r>
        <w:rPr>
          <w:color w:val="0000FF"/>
          <w:sz w:val="21"/>
        </w:rPr>
        <w:t>止通过内河运输的其他危险化学品的</w:t>
      </w:r>
    </w:p>
    <w:p>
      <w:pPr>
        <w:tabs>
          <w:tab w:val="left" w:pos="5021"/>
        </w:tabs>
        <w:spacing w:before="0" w:line="240" w:lineRule="auto"/>
        <w:ind w:left="87" w:right="0" w:firstLine="0"/>
        <w:jc w:val="left"/>
        <w:rPr>
          <w:sz w:val="21"/>
        </w:rPr>
      </w:pPr>
      <w:r>
        <w:rPr>
          <w:color w:val="0000FF"/>
          <w:sz w:val="21"/>
        </w:rPr>
        <w:t>船舶进入通榆河及主要供水河道。</w:t>
        <w:tab/>
      </w:r>
      <w:r>
        <w:rPr>
          <w:color w:val="0000FF"/>
          <w:position w:val="13"/>
          <w:sz w:val="21"/>
        </w:rPr>
        <w:t>运</w:t>
      </w:r>
    </w:p>
    <w:p>
      <w:pPr>
        <w:spacing w:before="0"/>
        <w:ind w:left="87" w:right="0" w:firstLine="0"/>
        <w:jc w:val="left"/>
        <w:rPr>
          <w:sz w:val="21"/>
        </w:rPr>
      </w:pPr>
      <w:r>
        <w:rPr>
          <w:color w:val="0000FF"/>
          <w:sz w:val="21"/>
        </w:rPr>
        <w:t>限制缺水地区发展耗水型产业，调整缺</w:t>
      </w:r>
    </w:p>
    <w:p>
      <w:pPr>
        <w:spacing w:before="0" w:line="242" w:lineRule="auto"/>
        <w:ind w:left="87" w:right="315" w:firstLine="0"/>
        <w:jc w:val="left"/>
        <w:rPr>
          <w:sz w:val="21"/>
        </w:rPr>
      </w:pPr>
      <w:r>
        <w:rPr>
          <w:color w:val="0000FF"/>
          <w:spacing w:val="-12"/>
          <w:sz w:val="21"/>
        </w:rPr>
        <w:t>水地区的产 业结构，严格控制高耗水、项目所在地区不属于缺水地区。</w:t>
      </w:r>
      <w:r>
        <w:rPr>
          <w:color w:val="0000FF"/>
          <w:spacing w:val="-11"/>
          <w:sz w:val="21"/>
        </w:rPr>
        <w:t>高耗能和重污染的建设 项目。</w:t>
      </w:r>
    </w:p>
    <w:p>
      <w:pPr>
        <w:spacing w:before="0"/>
        <w:ind w:left="2523" w:right="0" w:firstLine="0"/>
        <w:jc w:val="left"/>
        <w:rPr>
          <w:b/>
          <w:sz w:val="21"/>
        </w:rPr>
      </w:pPr>
      <w:r>
        <w:rPr>
          <w:b/>
          <w:color w:val="0000FF"/>
          <w:sz w:val="21"/>
        </w:rPr>
        <w:t>沿海地区</w:t>
      </w:r>
    </w:p>
    <w:p>
      <w:pPr>
        <w:spacing w:after="0"/>
        <w:jc w:val="left"/>
        <w:rPr>
          <w:sz w:val="21"/>
        </w:rPr>
        <w:sectPr>
          <w:footerReference w:type="default" r:id="rId14"/>
          <w:type w:val="continuous"/>
          <w:pgSz w:w="11910" w:h="16840"/>
          <w:pgMar w:top="1580" w:right="1100" w:bottom="280" w:left="1180" w:header="708" w:footer="708"/>
          <w:pgNumType w:start="11"/>
          <w:cols w:num="2" w:space="708" w:equalWidth="0">
            <w:col w:w="2675" w:space="40"/>
            <w:col w:w="6915" w:space="0"/>
          </w:cols>
        </w:sectPr>
      </w:pPr>
    </w:p>
    <w:p>
      <w:pPr>
        <w:spacing w:before="0" w:line="213" w:lineRule="exact"/>
        <w:ind w:left="2801" w:right="0" w:firstLine="0"/>
        <w:jc w:val="left"/>
        <w:rPr>
          <w:sz w:val="21"/>
        </w:rPr>
      </w:pPr>
      <w:r>
        <w:rPr>
          <w:rFonts w:ascii="Times New Roman" w:eastAsia="Times New Roman"/>
          <w:color w:val="0000FF"/>
          <w:sz w:val="21"/>
        </w:rPr>
        <w:t>1</w:t>
      </w:r>
      <w:r>
        <w:rPr>
          <w:color w:val="0000FF"/>
          <w:spacing w:val="-1"/>
          <w:sz w:val="21"/>
        </w:rPr>
        <w:t>、禁止在沿海陆域内新建不具备有效</w:t>
      </w:r>
    </w:p>
    <w:p>
      <w:pPr>
        <w:spacing w:before="81" w:line="167" w:lineRule="exact"/>
        <w:ind w:left="67" w:right="0" w:firstLine="0"/>
        <w:jc w:val="left"/>
        <w:rPr>
          <w:sz w:val="21"/>
        </w:rPr>
      </w:pPr>
      <w:r>
        <w:br w:type="column"/>
      </w:r>
      <w:r>
        <w:rPr>
          <w:color w:val="0000FF"/>
          <w:sz w:val="21"/>
        </w:rPr>
        <w:t>本项目不属于化学制浆造纸、化</w:t>
      </w:r>
    </w:p>
    <w:p>
      <w:pPr>
        <w:spacing w:after="0" w:line="167" w:lineRule="exact"/>
        <w:jc w:val="left"/>
        <w:rPr>
          <w:sz w:val="21"/>
        </w:rPr>
        <w:sectPr>
          <w:footerReference w:type="default" r:id="rId15"/>
          <w:type w:val="continuous"/>
          <w:pgSz w:w="11910" w:h="16840"/>
          <w:pgMar w:top="1580" w:right="1100" w:bottom="280" w:left="1180" w:header="708" w:footer="708"/>
          <w:pgNumType w:start="12"/>
          <w:cols w:num="2" w:space="708" w:equalWidth="0">
            <w:col w:w="6263" w:space="40"/>
            <w:col w:w="3327" w:space="0"/>
          </w:cols>
        </w:sectPr>
      </w:pPr>
    </w:p>
    <w:p>
      <w:pPr>
        <w:pStyle w:val="BodyText"/>
        <w:spacing w:before="6"/>
        <w:rPr>
          <w:sz w:val="29"/>
        </w:rPr>
      </w:pPr>
    </w:p>
    <w:p>
      <w:pPr>
        <w:spacing w:before="0" w:line="167" w:lineRule="exact"/>
        <w:ind w:left="0" w:right="0" w:firstLine="0"/>
        <w:jc w:val="right"/>
        <w:rPr>
          <w:sz w:val="21"/>
        </w:rPr>
      </w:pPr>
      <w:r>
        <w:rPr>
          <w:color w:val="0000FF"/>
          <w:w w:val="95"/>
          <w:sz w:val="21"/>
        </w:rPr>
        <w:t>空间布</w:t>
      </w:r>
    </w:p>
    <w:p>
      <w:pPr>
        <w:spacing w:before="0" w:line="170" w:lineRule="exact"/>
        <w:ind w:left="87" w:right="0" w:firstLine="0"/>
        <w:jc w:val="left"/>
        <w:rPr>
          <w:sz w:val="21"/>
        </w:rPr>
      </w:pPr>
      <w:r>
        <w:br w:type="column"/>
      </w:r>
      <w:r>
        <w:rPr>
          <w:color w:val="0000FF"/>
          <w:sz w:val="21"/>
        </w:rPr>
        <w:t>治理措施的化学制浆造纸、化工、印染、</w:t>
      </w:r>
    </w:p>
    <w:p>
      <w:pPr>
        <w:spacing w:before="0" w:line="273" w:lineRule="exact"/>
        <w:ind w:left="87" w:right="0" w:firstLine="0"/>
        <w:jc w:val="left"/>
        <w:rPr>
          <w:sz w:val="21"/>
        </w:rPr>
      </w:pPr>
      <w:r>
        <w:rPr>
          <w:color w:val="0000FF"/>
          <w:spacing w:val="-13"/>
          <w:sz w:val="21"/>
        </w:rPr>
        <w:t xml:space="preserve">制革、电镀、酿造、炼油、岸边冲滩拆 </w:t>
      </w:r>
      <w:r>
        <w:rPr>
          <w:color w:val="0000FF"/>
          <w:position w:val="14"/>
          <w:sz w:val="21"/>
        </w:rPr>
        <w:t>工、印染、制革、电镀、酿造、</w:t>
      </w:r>
    </w:p>
    <w:p>
      <w:pPr>
        <w:spacing w:before="0" w:line="102" w:lineRule="exact"/>
        <w:ind w:left="3655" w:right="0" w:firstLine="0"/>
        <w:jc w:val="left"/>
        <w:rPr>
          <w:sz w:val="21"/>
        </w:rPr>
      </w:pPr>
      <w:r>
        <w:rPr>
          <w:color w:val="0000FF"/>
          <w:w w:val="95"/>
          <w:sz w:val="21"/>
        </w:rPr>
        <w:t>炼油、岸边冲滩拆船以及其他严</w:t>
      </w:r>
    </w:p>
    <w:p>
      <w:pPr>
        <w:spacing w:after="0" w:line="102" w:lineRule="exact"/>
        <w:jc w:val="left"/>
        <w:rPr>
          <w:sz w:val="21"/>
        </w:rPr>
        <w:sectPr>
          <w:footerReference w:type="default" r:id="rId16"/>
          <w:type w:val="continuous"/>
          <w:pgSz w:w="11910" w:h="16840"/>
          <w:pgMar w:top="1580" w:right="1100" w:bottom="280" w:left="1180" w:header="708" w:footer="708"/>
          <w:pgNumType w:start="13"/>
          <w:cols w:num="2" w:space="708" w:equalWidth="0">
            <w:col w:w="2675" w:space="40"/>
            <w:col w:w="6915" w:space="0"/>
          </w:cols>
        </w:sectPr>
      </w:pPr>
    </w:p>
    <w:p>
      <w:pPr>
        <w:spacing w:before="104"/>
        <w:ind w:left="0" w:right="0" w:firstLine="0"/>
        <w:jc w:val="right"/>
        <w:rPr>
          <w:sz w:val="21"/>
        </w:rPr>
      </w:pPr>
      <w:r>
        <w:pict>
          <v:group id="_x0000_s1032" style="width:452.95pt;height:663.55pt;margin-top:85.05pt;margin-left:76.07pt;mso-position-horizontal-relative:page;mso-position-vertical-relative:page;position:absolute;z-index:-251654144" coordorigin="1521,1701" coordsize="9059,13271">
            <v:line id="_x0000_s1033" style="position:absolute" from="3127,1741" to="10551,1741" stroked="t" strokecolor="black" strokeweight="1.44pt">
              <v:stroke dashstyle="solid"/>
            </v:line>
            <v:shape id="_x0000_s1034" style="width:7424;height:2719;left:3127;position:absolute;top:12363" coordorigin="3127,12363" coordsize="7424,2719" path="m3127,3104l10551,3104m3127,4475l10551,4475m3953,1756l3953,4470m7491,1756l7491,4470e" filled="f" stroked="t" strokecolor="black" strokeweight="0.48pt">
              <v:stroke dashstyle="solid"/>
              <v:path arrowok="t"/>
            </v:shape>
            <v:line id="_x0000_s1035" style="position:absolute" from="1521,1711" to="10580,1711" stroked="t" strokecolor="black" strokeweight="0.96pt">
              <v:stroke dashstyle="solid"/>
            </v:line>
            <v:line id="_x0000_s1036" style="position:absolute" from="3127,14946" to="10551,14946" stroked="t" strokecolor="black" strokeweight="1.44pt">
              <v:stroke dashstyle="solid"/>
            </v:line>
            <v:shape id="_x0000_s1037" style="width:7424;height:2208;left:3127;position:absolute;top:1906" coordorigin="3127,1906" coordsize="7424,2208" path="m3127,12729l10551,12729m3127,14645l10551,14645m3953,12724l3953,14932m7491,12724l7491,14932e" filled="f" stroked="t" strokecolor="black" strokeweight="0.48pt">
              <v:stroke dashstyle="solid"/>
              <v:path arrowok="t"/>
            </v:shape>
            <v:shape id="_x0000_s1038" style="width:9059;height:13271;left:1521;position:absolute;top:1866" coordorigin="1521,1867" coordsize="9059,13271" path="m1521,14962l10580,14962m1531,1701l1531,14971e" filled="f" stroked="t" strokecolor="black" strokeweight="0.96pt">
              <v:stroke dashstyle="solid"/>
              <v:path arrowok="t"/>
            </v:shape>
            <v:shape id="_x0000_s1039" style="width:7424;height:7671;left:3127;position:absolute;top:4403" coordorigin="3127,4403" coordsize="7424,7671" path="m3127,4769l10551,4769m3127,9682l10551,9682m3127,10781l10551,10781m3127,11608l10551,11608m3127,12435l10551,12435m3953,4764l3953,12430m7491,4764l7491,12430e" filled="f" stroked="t" strokecolor="black" strokeweight="0.48pt">
              <v:stroke dashstyle="solid"/>
              <v:path arrowok="t"/>
            </v:shape>
            <v:line id="_x0000_s1040" style="position:absolute" from="10570,1720" to="10570,14971" stroked="t" strokecolor="black" strokeweight="0.96pt">
              <v:stroke dashstyle="solid"/>
            </v:line>
            <v:line id="_x0000_s1041" style="position:absolute" from="3111,1720" to="3111,14952" stroked="t" strokecolor="black" strokeweight="0.48pt">
              <v:stroke dashstyle="solid"/>
            </v:line>
          </v:group>
        </w:pict>
      </w:r>
      <w:r>
        <w:rPr>
          <w:color w:val="0000FF"/>
          <w:w w:val="95"/>
          <w:sz w:val="21"/>
        </w:rPr>
        <w:t>局约束</w:t>
      </w:r>
    </w:p>
    <w:p>
      <w:pPr>
        <w:pStyle w:val="BodyText"/>
        <w:rPr>
          <w:sz w:val="20"/>
        </w:rPr>
      </w:pPr>
    </w:p>
    <w:p>
      <w:pPr>
        <w:pStyle w:val="BodyText"/>
        <w:rPr>
          <w:sz w:val="20"/>
        </w:rPr>
      </w:pPr>
    </w:p>
    <w:p>
      <w:pPr>
        <w:pStyle w:val="BodyText"/>
        <w:spacing w:before="8"/>
        <w:rPr>
          <w:sz w:val="14"/>
        </w:rPr>
      </w:pPr>
    </w:p>
    <w:p>
      <w:pPr>
        <w:spacing w:before="0"/>
        <w:ind w:left="0" w:right="0" w:firstLine="0"/>
        <w:jc w:val="right"/>
        <w:rPr>
          <w:sz w:val="21"/>
        </w:rPr>
      </w:pPr>
      <w:r>
        <w:rPr>
          <w:color w:val="0000FF"/>
          <w:w w:val="95"/>
          <w:sz w:val="21"/>
        </w:rPr>
        <w:t>污染物</w:t>
      </w:r>
    </w:p>
    <w:p>
      <w:pPr>
        <w:spacing w:before="0" w:line="239" w:lineRule="exact"/>
        <w:ind w:left="87" w:right="0" w:firstLine="0"/>
        <w:jc w:val="left"/>
        <w:rPr>
          <w:sz w:val="21"/>
        </w:rPr>
      </w:pPr>
      <w:r>
        <w:br w:type="column"/>
      </w:r>
      <w:r>
        <w:rPr>
          <w:color w:val="0000FF"/>
          <w:sz w:val="21"/>
        </w:rPr>
        <w:t>船以及其他严重污染海洋环境的工业</w:t>
      </w:r>
    </w:p>
    <w:p>
      <w:pPr>
        <w:spacing w:before="2"/>
        <w:ind w:left="87" w:right="0" w:firstLine="0"/>
        <w:jc w:val="left"/>
        <w:rPr>
          <w:sz w:val="21"/>
        </w:rPr>
      </w:pPr>
      <w:r>
        <w:rPr>
          <w:color w:val="0000FF"/>
          <w:sz w:val="21"/>
        </w:rPr>
        <w:t>生产项目。</w:t>
      </w:r>
    </w:p>
    <w:p>
      <w:pPr>
        <w:spacing w:before="2" w:line="244" w:lineRule="auto"/>
        <w:ind w:left="87" w:right="17" w:firstLine="0"/>
        <w:jc w:val="left"/>
        <w:rPr>
          <w:sz w:val="21"/>
        </w:rPr>
      </w:pPr>
      <w:r>
        <w:rPr>
          <w:rFonts w:ascii="Times New Roman" w:eastAsia="Times New Roman"/>
          <w:color w:val="0000FF"/>
          <w:w w:val="95"/>
          <w:sz w:val="21"/>
        </w:rPr>
        <w:t>2</w:t>
      </w:r>
      <w:r>
        <w:rPr>
          <w:color w:val="0000FF"/>
          <w:w w:val="95"/>
          <w:sz w:val="21"/>
        </w:rPr>
        <w:t>、沿海地区严格控制新建医药、农药</w:t>
      </w:r>
      <w:r>
        <w:rPr>
          <w:color w:val="0000FF"/>
          <w:sz w:val="21"/>
        </w:rPr>
        <w:t>和染料中间体项目</w:t>
      </w:r>
    </w:p>
    <w:p>
      <w:pPr>
        <w:spacing w:before="13"/>
        <w:ind w:left="87" w:right="0" w:firstLine="0"/>
        <w:jc w:val="left"/>
        <w:rPr>
          <w:sz w:val="21"/>
        </w:rPr>
      </w:pPr>
      <w:r>
        <w:rPr>
          <w:color w:val="0000FF"/>
          <w:spacing w:val="-11"/>
          <w:sz w:val="21"/>
        </w:rPr>
        <w:t>按照《江苏省海洋环境保护条例》实施</w:t>
      </w:r>
    </w:p>
    <w:p>
      <w:pPr>
        <w:spacing w:before="104" w:line="242" w:lineRule="auto"/>
        <w:ind w:left="48" w:right="315" w:firstLine="2"/>
        <w:jc w:val="center"/>
        <w:rPr>
          <w:sz w:val="21"/>
        </w:rPr>
      </w:pPr>
      <w:r>
        <w:br w:type="column"/>
      </w:r>
      <w:r>
        <w:rPr>
          <w:color w:val="0000FF"/>
          <w:sz w:val="21"/>
        </w:rPr>
        <w:t xml:space="preserve">重污染海洋环境的工业生产项 </w:t>
      </w:r>
      <w:r>
        <w:rPr>
          <w:color w:val="0000FF"/>
          <w:w w:val="95"/>
          <w:sz w:val="21"/>
        </w:rPr>
        <w:t>目，不属于医药、农药和染料中</w:t>
      </w:r>
      <w:r>
        <w:rPr>
          <w:color w:val="0000FF"/>
          <w:sz w:val="21"/>
        </w:rPr>
        <w:t>间体项目</w:t>
      </w:r>
    </w:p>
    <w:p>
      <w:pPr>
        <w:spacing w:before="154"/>
        <w:ind w:left="662" w:right="926" w:firstLine="0"/>
        <w:jc w:val="center"/>
        <w:rPr>
          <w:sz w:val="21"/>
        </w:rPr>
      </w:pPr>
      <w:r>
        <w:rPr>
          <w:color w:val="0000FF"/>
          <w:sz w:val="21"/>
        </w:rPr>
        <w:t>项目不涉及海域。</w:t>
      </w:r>
    </w:p>
    <w:p>
      <w:pPr>
        <w:spacing w:after="0"/>
        <w:jc w:val="center"/>
        <w:rPr>
          <w:sz w:val="21"/>
        </w:rPr>
        <w:sectPr>
          <w:footerReference w:type="default" r:id="rId17"/>
          <w:type w:val="continuous"/>
          <w:pgSz w:w="11910" w:h="16840"/>
          <w:pgMar w:top="1580" w:right="1100" w:bottom="280" w:left="1180" w:header="708" w:footer="708"/>
          <w:pgNumType w:start="14"/>
          <w:cols w:num="3" w:space="708" w:equalWidth="0">
            <w:col w:w="2675" w:space="40"/>
            <w:col w:w="3568" w:space="39"/>
            <w:col w:w="3308" w:space="0"/>
          </w:cols>
        </w:sectPr>
      </w:pPr>
    </w:p>
    <w:p>
      <w:pPr>
        <w:pStyle w:val="BodyText"/>
        <w:rPr>
          <w:sz w:val="20"/>
        </w:rPr>
      </w:pPr>
      <w:r>
        <w:pict>
          <v:shape id="_x0000_s1042" type="#_x0000_t202" style="width:453.4pt;height:665.75pt;margin-top:85.7pt;margin-left:76.07pt;mso-position-horizontal-relative:page;mso-position-vertical-relative:page;position:absolute;z-index:251663360" filled="f" stroked="f">
            <v:textbox inset="0,0,0,0">
              <w:txbxContent>
                <w:tbl>
                  <w:tblPr>
                    <w:tblStyle w:val="TableNormal3"/>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842"/>
                    <w:gridCol w:w="136"/>
                    <w:gridCol w:w="2836"/>
                    <w:gridCol w:w="566"/>
                    <w:gridCol w:w="3079"/>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25"/>
                      <w:jc w:val="left"/>
                    </w:trPr>
                    <w:tc>
                      <w:tcPr>
                        <w:tcW w:w="1580" w:type="dxa"/>
                        <w:vMerge w:val="restart"/>
                        <w:tcBorders>
                          <w:right w:val="single" w:sz="4" w:space="0" w:color="000000"/>
                        </w:tcBorders>
                      </w:tcPr>
                      <w:p>
                        <w:pPr>
                          <w:pStyle w:val="TableParagraph"/>
                          <w:rPr>
                            <w:rFonts w:ascii="Times New Roman"/>
                            <w:sz w:val="20"/>
                          </w:rPr>
                        </w:pPr>
                      </w:p>
                    </w:tc>
                    <w:tc>
                      <w:tcPr>
                        <w:tcW w:w="842"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98" w:right="63"/>
                          <w:jc w:val="center"/>
                          <w:rPr>
                            <w:sz w:val="21"/>
                          </w:rPr>
                        </w:pPr>
                        <w:r>
                          <w:rPr>
                            <w:color w:val="0000FF"/>
                            <w:sz w:val="21"/>
                          </w:rPr>
                          <w:t>排放管</w:t>
                        </w:r>
                      </w:p>
                      <w:p>
                        <w:pPr>
                          <w:pStyle w:val="TableParagraph"/>
                          <w:spacing w:before="4" w:line="246" w:lineRule="exact"/>
                          <w:ind w:left="33"/>
                          <w:jc w:val="center"/>
                          <w:rPr>
                            <w:sz w:val="21"/>
                          </w:rPr>
                        </w:pPr>
                        <w:r>
                          <w:rPr>
                            <w:color w:val="0000FF"/>
                            <w:w w:val="99"/>
                            <w:sz w:val="21"/>
                          </w:rPr>
                          <w:t>控</w:t>
                        </w:r>
                      </w:p>
                    </w:tc>
                    <w:tc>
                      <w:tcPr>
                        <w:tcW w:w="3538" w:type="dxa"/>
                        <w:gridSpan w:val="3"/>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33"/>
                          <w:rPr>
                            <w:sz w:val="21"/>
                          </w:rPr>
                        </w:pPr>
                        <w:r>
                          <w:rPr>
                            <w:color w:val="0000FF"/>
                            <w:sz w:val="21"/>
                          </w:rPr>
                          <w:t>重点海域排污总量控制制度。</w:t>
                        </w:r>
                      </w:p>
                    </w:tc>
                    <w:tc>
                      <w:tcPr>
                        <w:tcW w:w="3079"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10" w:type="dxa"/>
                      <w:tblLayout w:type="fixed"/>
                      <w:tblCellMar>
                        <w:top w:w="0" w:type="dxa"/>
                        <w:left w:w="0" w:type="dxa"/>
                        <w:bottom w:w="0" w:type="dxa"/>
                        <w:right w:w="0" w:type="dxa"/>
                      </w:tblCellMar>
                      <w:tblLook w:val="01E0"/>
                    </w:tblPrEx>
                    <w:trPr>
                      <w:trHeight w:val="2167"/>
                      <w:jc w:val="left"/>
                    </w:trPr>
                    <w:tc>
                      <w:tcPr>
                        <w:tcW w:w="1580" w:type="dxa"/>
                        <w:vMerge/>
                        <w:tcBorders>
                          <w:top w:val="nil"/>
                          <w:right w:val="single" w:sz="4" w:space="0" w:color="000000"/>
                        </w:tcBorders>
                      </w:tcPr>
                      <w:p>
                        <w:pPr>
                          <w:rPr>
                            <w:sz w:val="2"/>
                            <w:szCs w:val="2"/>
                          </w:rPr>
                        </w:pPr>
                      </w:p>
                    </w:tc>
                    <w:tc>
                      <w:tcPr>
                        <w:tcW w:w="842"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rPr>
                            <w:b/>
                            <w:sz w:val="20"/>
                          </w:rPr>
                        </w:pPr>
                      </w:p>
                      <w:p>
                        <w:pPr>
                          <w:pStyle w:val="TableParagraph"/>
                          <w:spacing w:before="3"/>
                          <w:rPr>
                            <w:b/>
                            <w:sz w:val="23"/>
                          </w:rPr>
                        </w:pPr>
                      </w:p>
                      <w:p>
                        <w:pPr>
                          <w:pStyle w:val="TableParagraph"/>
                          <w:spacing w:before="1" w:line="242" w:lineRule="auto"/>
                          <w:ind w:left="119" w:right="81"/>
                          <w:rPr>
                            <w:sz w:val="21"/>
                          </w:rPr>
                        </w:pPr>
                        <w:r>
                          <w:rPr>
                            <w:color w:val="0000FF"/>
                            <w:sz w:val="21"/>
                          </w:rPr>
                          <w:t>环境风险防控</w:t>
                        </w:r>
                      </w:p>
                    </w:tc>
                    <w:tc>
                      <w:tcPr>
                        <w:tcW w:w="3538"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3" w:right="31"/>
                          <w:rPr>
                            <w:sz w:val="21"/>
                          </w:rPr>
                        </w:pPr>
                        <w:r>
                          <w:rPr>
                            <w:rFonts w:ascii="Times New Roman" w:eastAsia="Times New Roman"/>
                            <w:color w:val="0000FF"/>
                            <w:w w:val="95"/>
                            <w:sz w:val="21"/>
                          </w:rPr>
                          <w:t>1</w:t>
                        </w:r>
                        <w:r>
                          <w:rPr>
                            <w:color w:val="0000FF"/>
                            <w:w w:val="95"/>
                            <w:sz w:val="21"/>
                          </w:rPr>
                          <w:t>、禁止向海洋倾倒汞及汞化合物、强</w:t>
                        </w:r>
                        <w:r>
                          <w:rPr>
                            <w:color w:val="0000FF"/>
                            <w:sz w:val="21"/>
                          </w:rPr>
                          <w:t xml:space="preserve">放射性物质等国家规定的一类废弃物 </w:t>
                        </w:r>
                        <w:r>
                          <w:rPr>
                            <w:rFonts w:ascii="Times New Roman" w:eastAsia="Times New Roman"/>
                            <w:color w:val="0000FF"/>
                            <w:w w:val="95"/>
                            <w:sz w:val="21"/>
                          </w:rPr>
                          <w:t>2</w:t>
                        </w:r>
                        <w:r>
                          <w:rPr>
                            <w:color w:val="0000FF"/>
                            <w:w w:val="95"/>
                            <w:sz w:val="21"/>
                          </w:rPr>
                          <w:t>、加强对赤潮、浒苔绿潮、溢油、危</w:t>
                        </w:r>
                        <w:r>
                          <w:rPr>
                            <w:color w:val="0000FF"/>
                            <w:sz w:val="21"/>
                          </w:rPr>
                          <w:t>险化学品泄漏及海洋核辐射等海上突</w:t>
                        </w:r>
                        <w:r>
                          <w:rPr>
                            <w:color w:val="0000FF"/>
                            <w:spacing w:val="-1"/>
                            <w:sz w:val="21"/>
                          </w:rPr>
                          <w:t>发性海洋灾害事故应急 监视，防治突发性海洋环境灾害。</w:t>
                        </w:r>
                      </w:p>
                      <w:p>
                        <w:pPr>
                          <w:pStyle w:val="TableParagraph"/>
                          <w:spacing w:line="270" w:lineRule="atLeast"/>
                          <w:ind w:left="33" w:right="118"/>
                          <w:rPr>
                            <w:sz w:val="21"/>
                          </w:rPr>
                        </w:pPr>
                        <w:r>
                          <w:rPr>
                            <w:rFonts w:ascii="Times New Roman" w:eastAsia="Times New Roman"/>
                            <w:color w:val="0000FF"/>
                            <w:w w:val="95"/>
                            <w:sz w:val="21"/>
                          </w:rPr>
                          <w:t>3</w:t>
                        </w:r>
                        <w:r>
                          <w:rPr>
                            <w:color w:val="0000FF"/>
                            <w:spacing w:val="-10"/>
                            <w:w w:val="95"/>
                            <w:sz w:val="21"/>
                          </w:rPr>
                          <w:t>、沿海地区应加强危险货物运输风险</w:t>
                        </w:r>
                        <w:r>
                          <w:rPr>
                            <w:color w:val="0000FF"/>
                            <w:spacing w:val="-10"/>
                            <w:sz w:val="21"/>
                          </w:rPr>
                          <w:t>船舶污染事故风险应急管控。</w:t>
                        </w:r>
                      </w:p>
                    </w:tc>
                    <w:tc>
                      <w:tcPr>
                        <w:tcW w:w="3079" w:type="dxa"/>
                        <w:tcBorders>
                          <w:top w:val="single" w:sz="4" w:space="0" w:color="000000"/>
                          <w:left w:val="single" w:sz="4" w:space="0" w:color="000000"/>
                          <w:bottom w:val="single" w:sz="4" w:space="0" w:color="000000"/>
                        </w:tcBorders>
                      </w:tcPr>
                      <w:p>
                        <w:pPr>
                          <w:pStyle w:val="TableParagraph"/>
                          <w:spacing w:before="9"/>
                          <w:rPr>
                            <w:b/>
                            <w:sz w:val="20"/>
                          </w:rPr>
                        </w:pPr>
                      </w:p>
                      <w:p>
                        <w:pPr>
                          <w:pStyle w:val="TableParagraph"/>
                          <w:spacing w:before="1"/>
                          <w:ind w:left="-145"/>
                          <w:rPr>
                            <w:sz w:val="21"/>
                          </w:rPr>
                        </w:pPr>
                        <w:r>
                          <w:rPr>
                            <w:color w:val="0000FF"/>
                            <w:w w:val="99"/>
                            <w:sz w:val="21"/>
                          </w:rPr>
                          <w:t>。</w:t>
                        </w:r>
                      </w:p>
                      <w:p>
                        <w:pPr>
                          <w:pStyle w:val="TableParagraph"/>
                          <w:rPr>
                            <w:b/>
                            <w:sz w:val="20"/>
                          </w:rPr>
                        </w:pPr>
                      </w:p>
                      <w:p>
                        <w:pPr>
                          <w:pStyle w:val="TableParagraph"/>
                          <w:spacing w:before="156"/>
                          <w:ind w:left="483"/>
                          <w:rPr>
                            <w:sz w:val="21"/>
                          </w:rPr>
                        </w:pPr>
                        <w:r>
                          <w:rPr>
                            <w:color w:val="0000FF"/>
                            <w:sz w:val="21"/>
                          </w:rPr>
                          <w:t>项目不涉及海上运输。</w:t>
                        </w:r>
                      </w:p>
                      <w:p>
                        <w:pPr>
                          <w:pStyle w:val="TableParagraph"/>
                          <w:rPr>
                            <w:b/>
                            <w:sz w:val="20"/>
                          </w:rPr>
                        </w:pPr>
                      </w:p>
                      <w:p>
                        <w:pPr>
                          <w:pStyle w:val="TableParagraph"/>
                          <w:spacing w:before="156"/>
                          <w:ind w:left="-129"/>
                          <w:rPr>
                            <w:sz w:val="21"/>
                          </w:rPr>
                        </w:pPr>
                        <w:r>
                          <w:rPr>
                            <w:color w:val="0000FF"/>
                            <w:w w:val="99"/>
                            <w:sz w:val="21"/>
                          </w:rPr>
                          <w:t>、</w:t>
                        </w:r>
                      </w:p>
                    </w:tc>
                  </w:tr>
                  <w:tr>
                    <w:tblPrEx>
                      <w:tblW w:w="0" w:type="auto"/>
                      <w:jc w:val="left"/>
                      <w:tblInd w:w="10" w:type="dxa"/>
                      <w:tblLayout w:type="fixed"/>
                      <w:tblCellMar>
                        <w:top w:w="0" w:type="dxa"/>
                        <w:left w:w="0" w:type="dxa"/>
                        <w:bottom w:w="0" w:type="dxa"/>
                        <w:right w:w="0" w:type="dxa"/>
                      </w:tblCellMar>
                      <w:tblLook w:val="01E0"/>
                    </w:tblPrEx>
                    <w:trPr>
                      <w:trHeight w:val="1081"/>
                      <w:jc w:val="left"/>
                    </w:trPr>
                    <w:tc>
                      <w:tcPr>
                        <w:tcW w:w="1580" w:type="dxa"/>
                        <w:vMerge/>
                        <w:tcBorders>
                          <w:top w:val="nil"/>
                          <w:right w:val="single" w:sz="4" w:space="0" w:color="000000"/>
                        </w:tcBorders>
                      </w:tcPr>
                      <w:p>
                        <w:pPr>
                          <w:rPr>
                            <w:sz w:val="2"/>
                            <w:szCs w:val="2"/>
                          </w:rPr>
                        </w:pPr>
                      </w:p>
                    </w:tc>
                    <w:tc>
                      <w:tcPr>
                        <w:tcW w:w="842" w:type="dxa"/>
                        <w:tcBorders>
                          <w:top w:val="single" w:sz="4" w:space="0" w:color="000000"/>
                          <w:left w:val="single" w:sz="4" w:space="0" w:color="000000"/>
                          <w:bottom w:val="single" w:sz="12" w:space="0" w:color="000000"/>
                          <w:right w:val="single" w:sz="4" w:space="0" w:color="000000"/>
                        </w:tcBorders>
                      </w:tcPr>
                      <w:p>
                        <w:pPr>
                          <w:pStyle w:val="TableParagraph"/>
                          <w:spacing w:before="127" w:line="242" w:lineRule="auto"/>
                          <w:ind w:left="119" w:right="81"/>
                          <w:jc w:val="both"/>
                          <w:rPr>
                            <w:sz w:val="21"/>
                          </w:rPr>
                        </w:pPr>
                        <w:r>
                          <w:rPr>
                            <w:color w:val="0000FF"/>
                            <w:sz w:val="21"/>
                          </w:rPr>
                          <w:t>资源利用效率要求</w:t>
                        </w:r>
                      </w:p>
                    </w:tc>
                    <w:tc>
                      <w:tcPr>
                        <w:tcW w:w="3538" w:type="dxa"/>
                        <w:gridSpan w:val="3"/>
                        <w:tcBorders>
                          <w:top w:val="single" w:sz="4" w:space="0" w:color="000000"/>
                          <w:left w:val="single" w:sz="4" w:space="0" w:color="000000"/>
                          <w:bottom w:val="single" w:sz="12" w:space="0" w:color="000000"/>
                          <w:right w:val="single" w:sz="4" w:space="0" w:color="000000"/>
                        </w:tcBorders>
                      </w:tcPr>
                      <w:p>
                        <w:pPr>
                          <w:pStyle w:val="TableParagraph"/>
                          <w:spacing w:before="127" w:line="242" w:lineRule="auto"/>
                          <w:ind w:left="33" w:right="12"/>
                          <w:jc w:val="both"/>
                          <w:rPr>
                            <w:sz w:val="21"/>
                          </w:rPr>
                        </w:pPr>
                        <w:r>
                          <w:rPr>
                            <w:color w:val="0000FF"/>
                            <w:spacing w:val="-25"/>
                            <w:sz w:val="21"/>
                          </w:rPr>
                          <w:t xml:space="preserve">至 </w:t>
                        </w:r>
                        <w:r>
                          <w:rPr>
                            <w:rFonts w:ascii="Times New Roman" w:eastAsia="Times New Roman"/>
                            <w:color w:val="0000FF"/>
                            <w:sz w:val="21"/>
                          </w:rPr>
                          <w:t xml:space="preserve">2020 </w:t>
                        </w:r>
                        <w:r>
                          <w:rPr>
                            <w:color w:val="0000FF"/>
                            <w:spacing w:val="-2"/>
                            <w:sz w:val="21"/>
                          </w:rPr>
                          <w:t>年，大陆自然岸线保有率不低</w:t>
                        </w:r>
                        <w:r>
                          <w:rPr>
                            <w:color w:val="0000FF"/>
                            <w:w w:val="99"/>
                            <w:sz w:val="21"/>
                          </w:rPr>
                          <w:t>于</w:t>
                        </w:r>
                        <w:r>
                          <w:rPr>
                            <w:color w:val="0000FF"/>
                            <w:spacing w:val="-53"/>
                            <w:sz w:val="21"/>
                          </w:rPr>
                          <w:t xml:space="preserve"> </w:t>
                        </w:r>
                        <w:r>
                          <w:rPr>
                            <w:rFonts w:ascii="Times New Roman" w:eastAsia="Times New Roman"/>
                            <w:color w:val="0000FF"/>
                            <w:spacing w:val="1"/>
                            <w:w w:val="99"/>
                            <w:sz w:val="21"/>
                          </w:rPr>
                          <w:t>37</w:t>
                        </w:r>
                        <w:r>
                          <w:rPr>
                            <w:rFonts w:ascii="Times New Roman" w:eastAsia="Times New Roman"/>
                            <w:color w:val="0000FF"/>
                            <w:spacing w:val="-2"/>
                            <w:w w:val="99"/>
                            <w:sz w:val="21"/>
                          </w:rPr>
                          <w:t>%</w:t>
                        </w:r>
                        <w:r>
                          <w:rPr>
                            <w:color w:val="0000FF"/>
                            <w:spacing w:val="-11"/>
                            <w:w w:val="99"/>
                            <w:sz w:val="21"/>
                          </w:rPr>
                          <w:t>，全省海岛自然岸线保有率不低</w:t>
                        </w:r>
                        <w:r>
                          <w:rPr>
                            <w:color w:val="0000FF"/>
                            <w:spacing w:val="-33"/>
                            <w:sz w:val="21"/>
                          </w:rPr>
                          <w:t xml:space="preserve">于 </w:t>
                        </w:r>
                        <w:r>
                          <w:rPr>
                            <w:rFonts w:ascii="Times New Roman" w:eastAsia="Times New Roman"/>
                            <w:color w:val="0000FF"/>
                            <w:sz w:val="21"/>
                          </w:rPr>
                          <w:t>25%</w:t>
                        </w:r>
                        <w:r>
                          <w:rPr>
                            <w:color w:val="0000FF"/>
                            <w:sz w:val="21"/>
                          </w:rPr>
                          <w:t>。</w:t>
                        </w:r>
                      </w:p>
                    </w:tc>
                    <w:tc>
                      <w:tcPr>
                        <w:tcW w:w="3079" w:type="dxa"/>
                        <w:tcBorders>
                          <w:top w:val="single" w:sz="4" w:space="0" w:color="000000"/>
                          <w:left w:val="single" w:sz="4" w:space="0" w:color="000000"/>
                          <w:bottom w:val="single" w:sz="12" w:space="0" w:color="000000"/>
                        </w:tcBorders>
                      </w:tcPr>
                      <w:p>
                        <w:pPr>
                          <w:pStyle w:val="TableParagraph"/>
                          <w:spacing w:line="262" w:lineRule="exact"/>
                          <w:ind w:left="60" w:right="56"/>
                          <w:jc w:val="center"/>
                          <w:rPr>
                            <w:sz w:val="21"/>
                          </w:rPr>
                        </w:pPr>
                        <w:r>
                          <w:rPr>
                            <w:color w:val="0000FF"/>
                            <w:sz w:val="21"/>
                          </w:rPr>
                          <w:t>项目位于江苏省盐城市阜宁县</w:t>
                        </w:r>
                      </w:p>
                      <w:p>
                        <w:pPr>
                          <w:pStyle w:val="TableParagraph"/>
                          <w:spacing w:before="2" w:line="244" w:lineRule="auto"/>
                          <w:ind w:left="63" w:right="60" w:firstLine="2"/>
                          <w:jc w:val="center"/>
                          <w:rPr>
                            <w:sz w:val="21"/>
                          </w:rPr>
                        </w:pPr>
                        <w:r>
                          <w:rPr>
                            <w:color w:val="0000FF"/>
                            <w:sz w:val="21"/>
                          </w:rPr>
                          <w:t xml:space="preserve">（阜宁县东站货运场站至射阜 </w:t>
                        </w:r>
                        <w:r>
                          <w:rPr>
                            <w:color w:val="0000FF"/>
                            <w:w w:val="95"/>
                            <w:sz w:val="21"/>
                          </w:rPr>
                          <w:t>线）</w:t>
                        </w:r>
                        <w:r>
                          <w:rPr>
                            <w:color w:val="0000FF"/>
                            <w:spacing w:val="-1"/>
                            <w:w w:val="95"/>
                            <w:sz w:val="21"/>
                          </w:rPr>
                          <w:t>，不涉及大陆自然岸线及海</w:t>
                        </w:r>
                      </w:p>
                      <w:p>
                        <w:pPr>
                          <w:pStyle w:val="TableParagraph"/>
                          <w:spacing w:line="249" w:lineRule="exact"/>
                          <w:ind w:left="60" w:right="56"/>
                          <w:jc w:val="center"/>
                          <w:rPr>
                            <w:sz w:val="21"/>
                          </w:rPr>
                        </w:pPr>
                        <w:r>
                          <w:rPr>
                            <w:color w:val="0000FF"/>
                            <w:sz w:val="21"/>
                          </w:rPr>
                          <w:t>岛自然岸线</w:t>
                        </w:r>
                      </w:p>
                    </w:tc>
                  </w:tr>
                  <w:tr>
                    <w:tblPrEx>
                      <w:tblW w:w="0" w:type="auto"/>
                      <w:jc w:val="left"/>
                      <w:tblInd w:w="10" w:type="dxa"/>
                      <w:tblLayout w:type="fixed"/>
                      <w:tblCellMar>
                        <w:top w:w="0" w:type="dxa"/>
                        <w:left w:w="0" w:type="dxa"/>
                        <w:bottom w:w="0" w:type="dxa"/>
                        <w:right w:w="0" w:type="dxa"/>
                      </w:tblCellMar>
                      <w:tblLook w:val="01E0"/>
                    </w:tblPrEx>
                    <w:trPr>
                      <w:trHeight w:val="5255"/>
                      <w:jc w:val="left"/>
                    </w:trPr>
                    <w:tc>
                      <w:tcPr>
                        <w:tcW w:w="1580" w:type="dxa"/>
                        <w:vMerge/>
                        <w:tcBorders>
                          <w:top w:val="nil"/>
                          <w:right w:val="single" w:sz="4" w:space="0" w:color="000000"/>
                        </w:tcBorders>
                      </w:tcPr>
                      <w:p>
                        <w:pPr>
                          <w:rPr>
                            <w:sz w:val="2"/>
                            <w:szCs w:val="2"/>
                          </w:rPr>
                        </w:pPr>
                      </w:p>
                    </w:tc>
                    <w:tc>
                      <w:tcPr>
                        <w:tcW w:w="7459" w:type="dxa"/>
                        <w:gridSpan w:val="5"/>
                        <w:tcBorders>
                          <w:top w:val="single" w:sz="12" w:space="0" w:color="000000"/>
                          <w:left w:val="single" w:sz="4" w:space="0" w:color="000000"/>
                          <w:bottom w:val="single" w:sz="12" w:space="0" w:color="000000"/>
                        </w:tcBorders>
                      </w:tcPr>
                      <w:p>
                        <w:pPr>
                          <w:pStyle w:val="TableParagraph"/>
                          <w:spacing w:before="120" w:line="364" w:lineRule="auto"/>
                          <w:ind w:left="20" w:right="-15" w:firstLine="480"/>
                          <w:rPr>
                            <w:sz w:val="24"/>
                          </w:rPr>
                        </w:pPr>
                        <w:r>
                          <w:rPr>
                            <w:spacing w:val="-16"/>
                            <w:sz w:val="24"/>
                          </w:rPr>
                          <w:t xml:space="preserve">根据表 </w:t>
                        </w:r>
                        <w:r>
                          <w:rPr>
                            <w:rFonts w:ascii="Times New Roman" w:eastAsia="Times New Roman" w:hAnsi="Times New Roman"/>
                            <w:sz w:val="24"/>
                          </w:rPr>
                          <w:t>1-2</w:t>
                        </w:r>
                        <w:r>
                          <w:rPr>
                            <w:rFonts w:ascii="Times New Roman" w:eastAsia="Times New Roman" w:hAnsi="Times New Roman"/>
                            <w:spacing w:val="-1"/>
                            <w:sz w:val="24"/>
                          </w:rPr>
                          <w:t xml:space="preserve"> </w:t>
                        </w:r>
                        <w:r>
                          <w:rPr>
                            <w:spacing w:val="-12"/>
                            <w:sz w:val="24"/>
                          </w:rPr>
                          <w:t>分析可知，项目的建设符合《江苏省政府关于印发</w:t>
                        </w:r>
                        <w:r>
                          <w:rPr>
                            <w:rFonts w:ascii="Times New Roman" w:eastAsia="Times New Roman" w:hAnsi="Times New Roman"/>
                            <w:sz w:val="24"/>
                          </w:rPr>
                          <w:t>&lt;</w:t>
                        </w:r>
                        <w:r>
                          <w:rPr>
                            <w:sz w:val="24"/>
                          </w:rPr>
                          <w:t>江苏省</w:t>
                        </w:r>
                        <w:r>
                          <w:rPr>
                            <w:rFonts w:ascii="Times New Roman" w:eastAsia="Times New Roman" w:hAnsi="Times New Roman"/>
                            <w:sz w:val="24"/>
                          </w:rPr>
                          <w:t>“</w:t>
                        </w:r>
                        <w:r>
                          <w:rPr>
                            <w:sz w:val="24"/>
                          </w:rPr>
                          <w:t>三线一单</w:t>
                        </w:r>
                        <w:r>
                          <w:rPr>
                            <w:rFonts w:ascii="Times New Roman" w:eastAsia="Times New Roman" w:hAnsi="Times New Roman"/>
                            <w:sz w:val="24"/>
                          </w:rPr>
                          <w:t>”</w:t>
                        </w:r>
                        <w:r>
                          <w:rPr>
                            <w:sz w:val="24"/>
                          </w:rPr>
                          <w:t>生态环境分区管控方案</w:t>
                        </w:r>
                        <w:r>
                          <w:rPr>
                            <w:rFonts w:ascii="Times New Roman" w:eastAsia="Times New Roman" w:hAnsi="Times New Roman"/>
                            <w:sz w:val="24"/>
                          </w:rPr>
                          <w:t>&gt;</w:t>
                        </w:r>
                        <w:r>
                          <w:rPr>
                            <w:spacing w:val="-8"/>
                            <w:sz w:val="24"/>
                          </w:rPr>
                          <w:t>的通知》</w:t>
                        </w:r>
                        <w:r>
                          <w:rPr>
                            <w:sz w:val="24"/>
                          </w:rPr>
                          <w:t>（</w:t>
                        </w:r>
                        <w:r>
                          <w:rPr>
                            <w:spacing w:val="-4"/>
                            <w:sz w:val="24"/>
                          </w:rPr>
                          <w:t>苏政发〔</w:t>
                        </w:r>
                        <w:r>
                          <w:rPr>
                            <w:rFonts w:ascii="Times New Roman" w:eastAsia="Times New Roman" w:hAnsi="Times New Roman"/>
                            <w:sz w:val="24"/>
                          </w:rPr>
                          <w:t>2020</w:t>
                        </w:r>
                        <w:r>
                          <w:rPr>
                            <w:spacing w:val="-17"/>
                            <w:sz w:val="24"/>
                          </w:rPr>
                          <w:t>〕</w:t>
                        </w:r>
                        <w:r>
                          <w:rPr>
                            <w:rFonts w:ascii="Times New Roman" w:eastAsia="Times New Roman" w:hAnsi="Times New Roman"/>
                            <w:sz w:val="24"/>
                          </w:rPr>
                          <w:t>49</w:t>
                        </w:r>
                        <w:r>
                          <w:rPr>
                            <w:rFonts w:ascii="Times New Roman" w:eastAsia="Times New Roman" w:hAnsi="Times New Roman"/>
                            <w:spacing w:val="-1"/>
                            <w:sz w:val="24"/>
                          </w:rPr>
                          <w:t xml:space="preserve"> </w:t>
                        </w:r>
                        <w:r>
                          <w:rPr>
                            <w:sz w:val="24"/>
                          </w:rPr>
                          <w:t>号相关要求。</w:t>
                        </w:r>
                      </w:p>
                      <w:p>
                        <w:pPr>
                          <w:pStyle w:val="TableParagraph"/>
                          <w:spacing w:line="307" w:lineRule="exact"/>
                          <w:ind w:left="500" w:right="-15"/>
                          <w:rPr>
                            <w:sz w:val="24"/>
                          </w:rPr>
                        </w:pPr>
                        <w:r>
                          <w:rPr>
                            <w:color w:val="0000FF"/>
                            <w:spacing w:val="-4"/>
                            <w:sz w:val="24"/>
                          </w:rPr>
                          <w:t>③与《盐城市“三线一单”生态环境分区管控实施方案》相符性分</w:t>
                        </w:r>
                      </w:p>
                      <w:p>
                        <w:pPr>
                          <w:pStyle w:val="TableParagraph"/>
                          <w:spacing w:before="161"/>
                          <w:ind w:left="20"/>
                          <w:rPr>
                            <w:sz w:val="24"/>
                          </w:rPr>
                        </w:pPr>
                        <w:r>
                          <w:rPr>
                            <w:color w:val="0000FF"/>
                            <w:sz w:val="24"/>
                          </w:rPr>
                          <w:t>析</w:t>
                        </w:r>
                      </w:p>
                      <w:p>
                        <w:pPr>
                          <w:pStyle w:val="TableParagraph"/>
                          <w:spacing w:before="158" w:line="364" w:lineRule="auto"/>
                          <w:ind w:left="20" w:right="-15" w:firstLine="480"/>
                          <w:rPr>
                            <w:sz w:val="24"/>
                          </w:rPr>
                        </w:pPr>
                        <w:r>
                          <w:rPr>
                            <w:color w:val="0000FF"/>
                            <w:spacing w:val="-5"/>
                            <w:sz w:val="24"/>
                          </w:rPr>
                          <w:t>本项目位于江苏省盐城市阜宁县</w:t>
                        </w:r>
                        <w:r>
                          <w:rPr>
                            <w:color w:val="0000FF"/>
                            <w:sz w:val="24"/>
                          </w:rPr>
                          <w:t>（阜宁县东站货运场站至射阜线</w:t>
                        </w:r>
                        <w:r>
                          <w:rPr>
                            <w:color w:val="0000FF"/>
                            <w:spacing w:val="-60"/>
                            <w:sz w:val="24"/>
                          </w:rPr>
                          <w:t xml:space="preserve">） </w:t>
                        </w:r>
                        <w:r>
                          <w:rPr>
                            <w:color w:val="0000FF"/>
                            <w:spacing w:val="-20"/>
                            <w:sz w:val="24"/>
                          </w:rPr>
                          <w:t>对照《盐城市“三线一单”生态环境分区管控实施方案》</w:t>
                        </w:r>
                        <w:r>
                          <w:rPr>
                            <w:color w:val="0000FF"/>
                            <w:sz w:val="24"/>
                          </w:rPr>
                          <w:t>（</w:t>
                        </w:r>
                        <w:r>
                          <w:rPr>
                            <w:color w:val="0000FF"/>
                            <w:spacing w:val="-16"/>
                            <w:sz w:val="24"/>
                          </w:rPr>
                          <w:t>盐环发〔</w:t>
                        </w:r>
                        <w:r>
                          <w:rPr>
                            <w:rFonts w:ascii="Times New Roman" w:eastAsia="Times New Roman" w:hAnsi="Times New Roman"/>
                            <w:color w:val="0000FF"/>
                            <w:sz w:val="24"/>
                          </w:rPr>
                          <w:t>2020 200</w:t>
                        </w:r>
                        <w:r>
                          <w:rPr>
                            <w:rFonts w:ascii="Times New Roman" w:eastAsia="Times New Roman" w:hAnsi="Times New Roman"/>
                            <w:color w:val="0000FF"/>
                            <w:spacing w:val="28"/>
                            <w:sz w:val="24"/>
                          </w:rPr>
                          <w:t xml:space="preserve"> </w:t>
                        </w:r>
                        <w:r>
                          <w:rPr>
                            <w:color w:val="0000FF"/>
                            <w:sz w:val="24"/>
                          </w:rPr>
                          <w:t>号），项目所属园区为重点管控单元，本项目与《盐城市“三线一</w:t>
                        </w:r>
                        <w:r>
                          <w:rPr>
                            <w:color w:val="0000FF"/>
                            <w:spacing w:val="-3"/>
                            <w:sz w:val="24"/>
                          </w:rPr>
                          <w:t xml:space="preserve">单”生态环境分区管控实施方案》相符性分析详见表 </w:t>
                        </w:r>
                        <w:r>
                          <w:rPr>
                            <w:rFonts w:ascii="Times New Roman" w:eastAsia="Times New Roman" w:hAnsi="Times New Roman"/>
                            <w:color w:val="0000FF"/>
                            <w:sz w:val="24"/>
                          </w:rPr>
                          <w:t>1-3</w:t>
                        </w:r>
                        <w:r>
                          <w:rPr>
                            <w:color w:val="0000FF"/>
                            <w:sz w:val="24"/>
                          </w:rPr>
                          <w:t>。</w:t>
                        </w:r>
                      </w:p>
                      <w:p>
                        <w:pPr>
                          <w:pStyle w:val="TableParagraph"/>
                          <w:spacing w:line="305" w:lineRule="exact"/>
                          <w:ind w:left="500"/>
                          <w:rPr>
                            <w:b/>
                            <w:sz w:val="24"/>
                          </w:rPr>
                        </w:pPr>
                        <w:r>
                          <w:rPr>
                            <w:b/>
                            <w:color w:val="0000FF"/>
                            <w:spacing w:val="-32"/>
                            <w:sz w:val="24"/>
                          </w:rPr>
                          <w:t xml:space="preserve">表 </w:t>
                        </w:r>
                        <w:r>
                          <w:rPr>
                            <w:rFonts w:ascii="Times New Roman" w:eastAsia="Times New Roman" w:hAnsi="Times New Roman"/>
                            <w:b/>
                            <w:color w:val="0000FF"/>
                            <w:sz w:val="24"/>
                          </w:rPr>
                          <w:t>1-3</w:t>
                        </w:r>
                        <w:r>
                          <w:rPr>
                            <w:rFonts w:ascii="Times New Roman" w:eastAsia="Times New Roman" w:hAnsi="Times New Roman"/>
                            <w:b/>
                            <w:color w:val="0000FF"/>
                            <w:spacing w:val="56"/>
                            <w:sz w:val="24"/>
                          </w:rPr>
                          <w:t xml:space="preserve"> </w:t>
                        </w:r>
                        <w:r>
                          <w:rPr>
                            <w:b/>
                            <w:color w:val="0000FF"/>
                            <w:spacing w:val="-15"/>
                            <w:sz w:val="24"/>
                          </w:rPr>
                          <w:t>本项目与《盐城市“三线一单”生态环境分区管控实施方案</w:t>
                        </w:r>
                      </w:p>
                      <w:p>
                        <w:pPr>
                          <w:pStyle w:val="TableParagraph"/>
                          <w:spacing w:before="161"/>
                          <w:ind w:left="1671" w:right="1648"/>
                          <w:jc w:val="center"/>
                          <w:rPr>
                            <w:b/>
                            <w:sz w:val="24"/>
                          </w:rPr>
                        </w:pPr>
                        <w:r>
                          <w:rPr>
                            <w:b/>
                            <w:color w:val="0000FF"/>
                            <w:sz w:val="24"/>
                          </w:rPr>
                          <w:t>相符性分析表</w:t>
                        </w:r>
                      </w:p>
                    </w:tc>
                  </w:tr>
                  <w:tr>
                    <w:tblPrEx>
                      <w:tblW w:w="0" w:type="auto"/>
                      <w:jc w:val="left"/>
                      <w:tblInd w:w="10" w:type="dxa"/>
                      <w:tblLayout w:type="fixed"/>
                      <w:tblCellMar>
                        <w:top w:w="0" w:type="dxa"/>
                        <w:left w:w="0" w:type="dxa"/>
                        <w:bottom w:w="0" w:type="dxa"/>
                        <w:right w:w="0" w:type="dxa"/>
                      </w:tblCellMar>
                      <w:tblLook w:val="01E0"/>
                    </w:tblPrEx>
                    <w:trPr>
                      <w:trHeight w:val="540"/>
                      <w:jc w:val="left"/>
                    </w:trPr>
                    <w:tc>
                      <w:tcPr>
                        <w:tcW w:w="1580" w:type="dxa"/>
                        <w:vMerge/>
                        <w:tcBorders>
                          <w:top w:val="nil"/>
                          <w:right w:val="single" w:sz="4" w:space="0" w:color="000000"/>
                        </w:tcBorders>
                      </w:tcPr>
                      <w:p>
                        <w:pPr>
                          <w:rPr>
                            <w:sz w:val="2"/>
                            <w:szCs w:val="2"/>
                          </w:rPr>
                        </w:pPr>
                      </w:p>
                    </w:tc>
                    <w:tc>
                      <w:tcPr>
                        <w:tcW w:w="978"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136"/>
                          <w:ind w:left="78"/>
                          <w:rPr>
                            <w:b/>
                            <w:sz w:val="21"/>
                          </w:rPr>
                        </w:pPr>
                        <w:r>
                          <w:rPr>
                            <w:b/>
                            <w:color w:val="0000FF"/>
                            <w:sz w:val="21"/>
                          </w:rPr>
                          <w:t>管控类别</w:t>
                        </w:r>
                      </w:p>
                    </w:tc>
                    <w:tc>
                      <w:tcPr>
                        <w:tcW w:w="2836" w:type="dxa"/>
                        <w:tcBorders>
                          <w:top w:val="single" w:sz="12" w:space="0" w:color="000000"/>
                          <w:left w:val="single" w:sz="4" w:space="0" w:color="000000"/>
                          <w:bottom w:val="single" w:sz="4" w:space="0" w:color="000000"/>
                          <w:right w:val="single" w:sz="4" w:space="0" w:color="000000"/>
                        </w:tcBorders>
                      </w:tcPr>
                      <w:p>
                        <w:pPr>
                          <w:pStyle w:val="TableParagraph"/>
                          <w:spacing w:before="1"/>
                          <w:ind w:left="29" w:right="15"/>
                          <w:jc w:val="center"/>
                          <w:rPr>
                            <w:b/>
                            <w:sz w:val="21"/>
                          </w:rPr>
                        </w:pPr>
                        <w:r>
                          <w:rPr>
                            <w:b/>
                            <w:color w:val="0000FF"/>
                            <w:sz w:val="21"/>
                          </w:rPr>
                          <w:t>“三线一单”生态准环境准入</w:t>
                        </w:r>
                      </w:p>
                      <w:p>
                        <w:pPr>
                          <w:pStyle w:val="TableParagraph"/>
                          <w:spacing w:before="3" w:line="247" w:lineRule="exact"/>
                          <w:ind w:left="29" w:right="11"/>
                          <w:jc w:val="center"/>
                          <w:rPr>
                            <w:b/>
                            <w:sz w:val="21"/>
                          </w:rPr>
                        </w:pPr>
                        <w:r>
                          <w:rPr>
                            <w:b/>
                            <w:color w:val="0000FF"/>
                            <w:sz w:val="21"/>
                          </w:rPr>
                          <w:t>清单</w:t>
                        </w:r>
                      </w:p>
                    </w:tc>
                    <w:tc>
                      <w:tcPr>
                        <w:tcW w:w="3645" w:type="dxa"/>
                        <w:gridSpan w:val="2"/>
                        <w:tcBorders>
                          <w:top w:val="single" w:sz="12" w:space="0" w:color="000000"/>
                          <w:left w:val="single" w:sz="4" w:space="0" w:color="000000"/>
                          <w:bottom w:val="single" w:sz="4" w:space="0" w:color="000000"/>
                        </w:tcBorders>
                      </w:tcPr>
                      <w:p>
                        <w:pPr>
                          <w:pStyle w:val="TableParagraph"/>
                          <w:spacing w:before="136"/>
                          <w:ind w:left="32" w:right="26"/>
                          <w:jc w:val="center"/>
                          <w:rPr>
                            <w:b/>
                            <w:sz w:val="21"/>
                          </w:rPr>
                        </w:pPr>
                        <w:r>
                          <w:rPr>
                            <w:b/>
                            <w:color w:val="0000FF"/>
                            <w:sz w:val="21"/>
                          </w:rPr>
                          <w:t>相符性分析</w:t>
                        </w:r>
                      </w:p>
                    </w:tc>
                  </w:tr>
                  <w:tr>
                    <w:tblPrEx>
                      <w:tblW w:w="0" w:type="auto"/>
                      <w:jc w:val="left"/>
                      <w:tblInd w:w="10" w:type="dxa"/>
                      <w:tblLayout w:type="fixed"/>
                      <w:tblCellMar>
                        <w:top w:w="0" w:type="dxa"/>
                        <w:left w:w="0" w:type="dxa"/>
                        <w:bottom w:w="0" w:type="dxa"/>
                        <w:right w:w="0" w:type="dxa"/>
                      </w:tblCellMar>
                      <w:tblLook w:val="01E0"/>
                    </w:tblPrEx>
                    <w:trPr>
                      <w:trHeight w:val="1897"/>
                      <w:jc w:val="left"/>
                    </w:trPr>
                    <w:tc>
                      <w:tcPr>
                        <w:tcW w:w="1580" w:type="dxa"/>
                        <w:vMerge/>
                        <w:tcBorders>
                          <w:top w:val="nil"/>
                          <w:right w:val="single" w:sz="4" w:space="0" w:color="000000"/>
                        </w:tcBorders>
                      </w:tcPr>
                      <w:p>
                        <w:pPr>
                          <w:rPr>
                            <w:sz w:val="2"/>
                            <w:szCs w:val="2"/>
                          </w:rPr>
                        </w:pPr>
                      </w:p>
                    </w:tc>
                    <w:tc>
                      <w:tcPr>
                        <w:tcW w:w="978" w:type="dxa"/>
                        <w:gridSpan w:val="2"/>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rPr>
                            <w:b/>
                            <w:sz w:val="20"/>
                          </w:rPr>
                        </w:pPr>
                      </w:p>
                      <w:p>
                        <w:pPr>
                          <w:pStyle w:val="TableParagraph"/>
                          <w:spacing w:before="162" w:line="244" w:lineRule="auto"/>
                          <w:ind w:left="291" w:right="47" w:hanging="212"/>
                          <w:rPr>
                            <w:sz w:val="21"/>
                          </w:rPr>
                        </w:pPr>
                        <w:r>
                          <w:rPr>
                            <w:color w:val="0000FF"/>
                            <w:sz w:val="21"/>
                          </w:rPr>
                          <w:t>空间布局约束</w:t>
                        </w:r>
                      </w:p>
                    </w:tc>
                    <w:tc>
                      <w:tcPr>
                        <w:tcW w:w="283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1" w:right="14"/>
                          <w:jc w:val="both"/>
                          <w:rPr>
                            <w:sz w:val="21"/>
                          </w:rPr>
                        </w:pPr>
                        <w:r>
                          <w:rPr>
                            <w:color w:val="0000FF"/>
                            <w:spacing w:val="-18"/>
                            <w:sz w:val="21"/>
                          </w:rPr>
                          <w:t>（</w:t>
                        </w:r>
                        <w:r>
                          <w:rPr>
                            <w:rFonts w:ascii="Times New Roman" w:eastAsia="Times New Roman"/>
                            <w:color w:val="0000FF"/>
                            <w:spacing w:val="-18"/>
                            <w:sz w:val="21"/>
                          </w:rPr>
                          <w:t>1</w:t>
                        </w:r>
                        <w:r>
                          <w:rPr>
                            <w:color w:val="0000FF"/>
                            <w:spacing w:val="-18"/>
                            <w:sz w:val="21"/>
                          </w:rPr>
                          <w:t>）</w:t>
                        </w:r>
                        <w:r>
                          <w:rPr>
                            <w:color w:val="0000FF"/>
                            <w:spacing w:val="-2"/>
                            <w:sz w:val="21"/>
                          </w:rPr>
                          <w:t>执行规划和规划环评及其</w:t>
                        </w:r>
                        <w:r>
                          <w:rPr>
                            <w:color w:val="0000FF"/>
                            <w:spacing w:val="-5"/>
                            <w:w w:val="95"/>
                            <w:sz w:val="21"/>
                          </w:rPr>
                          <w:t>审查意见相关要求。</w:t>
                        </w:r>
                        <w:r>
                          <w:rPr>
                            <w:color w:val="0000FF"/>
                            <w:spacing w:val="-6"/>
                            <w:w w:val="95"/>
                            <w:sz w:val="21"/>
                          </w:rPr>
                          <w:t>（</w:t>
                        </w:r>
                        <w:r>
                          <w:rPr>
                            <w:rFonts w:ascii="Times New Roman" w:eastAsia="Times New Roman"/>
                            <w:color w:val="0000FF"/>
                            <w:spacing w:val="-6"/>
                            <w:w w:val="95"/>
                            <w:sz w:val="21"/>
                          </w:rPr>
                          <w:t>2</w:t>
                        </w:r>
                        <w:r>
                          <w:rPr>
                            <w:color w:val="0000FF"/>
                            <w:spacing w:val="-6"/>
                            <w:w w:val="95"/>
                            <w:sz w:val="21"/>
                          </w:rPr>
                          <w:t>）</w:t>
                        </w:r>
                        <w:r>
                          <w:rPr>
                            <w:color w:val="0000FF"/>
                            <w:w w:val="95"/>
                            <w:sz w:val="21"/>
                          </w:rPr>
                          <w:t>优化</w:t>
                        </w:r>
                        <w:r>
                          <w:rPr>
                            <w:color w:val="0000FF"/>
                            <w:spacing w:val="2"/>
                            <w:sz w:val="21"/>
                          </w:rPr>
                          <w:t>产业布局和结构，实施分区差</w:t>
                        </w:r>
                        <w:r>
                          <w:rPr>
                            <w:color w:val="0000FF"/>
                            <w:spacing w:val="-4"/>
                            <w:sz w:val="21"/>
                          </w:rPr>
                          <w:t>别化的产业准入要求。</w:t>
                        </w:r>
                        <w:r>
                          <w:rPr>
                            <w:color w:val="0000FF"/>
                            <w:spacing w:val="-6"/>
                            <w:sz w:val="21"/>
                          </w:rPr>
                          <w:t>（</w:t>
                        </w:r>
                        <w:r>
                          <w:rPr>
                            <w:rFonts w:ascii="Times New Roman" w:eastAsia="Times New Roman"/>
                            <w:color w:val="0000FF"/>
                            <w:spacing w:val="-6"/>
                            <w:sz w:val="21"/>
                          </w:rPr>
                          <w:t>3</w:t>
                        </w:r>
                        <w:r>
                          <w:rPr>
                            <w:color w:val="0000FF"/>
                            <w:spacing w:val="-6"/>
                            <w:sz w:val="21"/>
                          </w:rPr>
                          <w:t>）</w:t>
                        </w:r>
                        <w:r>
                          <w:rPr>
                            <w:color w:val="0000FF"/>
                            <w:spacing w:val="-13"/>
                            <w:sz w:val="21"/>
                          </w:rPr>
                          <w:t>合</w:t>
                        </w:r>
                        <w:r>
                          <w:rPr>
                            <w:color w:val="0000FF"/>
                            <w:spacing w:val="2"/>
                            <w:sz w:val="21"/>
                          </w:rPr>
                          <w:t>理规划居住区与园区，在居住区和园区、企业之间设置防护</w:t>
                        </w:r>
                      </w:p>
                      <w:p>
                        <w:pPr>
                          <w:pStyle w:val="TableParagraph"/>
                          <w:spacing w:line="247" w:lineRule="exact"/>
                          <w:ind w:left="31"/>
                          <w:rPr>
                            <w:sz w:val="21"/>
                          </w:rPr>
                        </w:pPr>
                        <w:r>
                          <w:rPr>
                            <w:color w:val="0000FF"/>
                            <w:sz w:val="21"/>
                          </w:rPr>
                          <w:t>绿地、生态绿地等隔离带。</w:t>
                        </w:r>
                      </w:p>
                    </w:tc>
                    <w:tc>
                      <w:tcPr>
                        <w:tcW w:w="3645" w:type="dxa"/>
                        <w:gridSpan w:val="2"/>
                        <w:tcBorders>
                          <w:top w:val="single" w:sz="4" w:space="0" w:color="000000"/>
                          <w:left w:val="single" w:sz="4" w:space="0" w:color="000000"/>
                          <w:bottom w:val="single" w:sz="4" w:space="0" w:color="000000"/>
                        </w:tcBorders>
                      </w:tcPr>
                      <w:p>
                        <w:pPr>
                          <w:pStyle w:val="TableParagraph"/>
                          <w:rPr>
                            <w:b/>
                            <w:sz w:val="20"/>
                          </w:rPr>
                        </w:pPr>
                      </w:p>
                      <w:p>
                        <w:pPr>
                          <w:pStyle w:val="TableParagraph"/>
                          <w:rPr>
                            <w:b/>
                            <w:sz w:val="20"/>
                          </w:rPr>
                        </w:pPr>
                      </w:p>
                      <w:p>
                        <w:pPr>
                          <w:pStyle w:val="TableParagraph"/>
                          <w:spacing w:before="162" w:line="244" w:lineRule="auto"/>
                          <w:ind w:left="138" w:right="26" w:hanging="106"/>
                          <w:rPr>
                            <w:sz w:val="21"/>
                          </w:rPr>
                        </w:pPr>
                        <w:r>
                          <w:rPr>
                            <w:color w:val="0000FF"/>
                            <w:w w:val="95"/>
                            <w:sz w:val="21"/>
                          </w:rPr>
                          <w:t>本项目为二级公路建设项目。本项目与</w:t>
                        </w:r>
                        <w:r>
                          <w:rPr>
                            <w:color w:val="0000FF"/>
                            <w:sz w:val="21"/>
                          </w:rPr>
                          <w:t>居住区之间设置有防护绿地隔离带。</w:t>
                        </w:r>
                      </w:p>
                    </w:tc>
                  </w:tr>
                  <w:tr>
                    <w:tblPrEx>
                      <w:tblW w:w="0" w:type="auto"/>
                      <w:jc w:val="left"/>
                      <w:tblInd w:w="10" w:type="dxa"/>
                      <w:tblLayout w:type="fixed"/>
                      <w:tblCellMar>
                        <w:top w:w="0" w:type="dxa"/>
                        <w:left w:w="0" w:type="dxa"/>
                        <w:bottom w:w="0" w:type="dxa"/>
                        <w:right w:w="0" w:type="dxa"/>
                      </w:tblCellMar>
                      <w:tblLook w:val="01E0"/>
                    </w:tblPrEx>
                    <w:trPr>
                      <w:trHeight w:val="1624"/>
                      <w:jc w:val="left"/>
                    </w:trPr>
                    <w:tc>
                      <w:tcPr>
                        <w:tcW w:w="1580" w:type="dxa"/>
                        <w:vMerge/>
                        <w:tcBorders>
                          <w:top w:val="nil"/>
                          <w:right w:val="single" w:sz="4" w:space="0" w:color="000000"/>
                        </w:tcBorders>
                      </w:tcPr>
                      <w:p>
                        <w:pPr>
                          <w:rPr>
                            <w:sz w:val="2"/>
                            <w:szCs w:val="2"/>
                          </w:rPr>
                        </w:pPr>
                      </w:p>
                    </w:tc>
                    <w:tc>
                      <w:tcPr>
                        <w:tcW w:w="978" w:type="dxa"/>
                        <w:gridSpan w:val="2"/>
                        <w:tcBorders>
                          <w:top w:val="single" w:sz="4" w:space="0" w:color="000000"/>
                          <w:left w:val="single" w:sz="4" w:space="0" w:color="000000"/>
                          <w:bottom w:val="single" w:sz="18" w:space="0" w:color="000000"/>
                          <w:right w:val="single" w:sz="4" w:space="0" w:color="000000"/>
                        </w:tcBorders>
                      </w:tcPr>
                      <w:p>
                        <w:pPr>
                          <w:pStyle w:val="TableParagraph"/>
                          <w:rPr>
                            <w:b/>
                            <w:sz w:val="20"/>
                          </w:rPr>
                        </w:pPr>
                      </w:p>
                      <w:p>
                        <w:pPr>
                          <w:pStyle w:val="TableParagraph"/>
                          <w:rPr>
                            <w:b/>
                            <w:sz w:val="22"/>
                          </w:rPr>
                        </w:pPr>
                      </w:p>
                      <w:p>
                        <w:pPr>
                          <w:pStyle w:val="TableParagraph"/>
                          <w:spacing w:line="242" w:lineRule="auto"/>
                          <w:ind w:left="186" w:right="47" w:hanging="106"/>
                          <w:rPr>
                            <w:sz w:val="21"/>
                          </w:rPr>
                        </w:pPr>
                        <w:r>
                          <w:rPr>
                            <w:color w:val="0000FF"/>
                            <w:sz w:val="21"/>
                          </w:rPr>
                          <w:t>污染物排放管控</w:t>
                        </w:r>
                      </w:p>
                    </w:tc>
                    <w:tc>
                      <w:tcPr>
                        <w:tcW w:w="2836" w:type="dxa"/>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31" w:right="13"/>
                          <w:jc w:val="both"/>
                          <w:rPr>
                            <w:sz w:val="21"/>
                          </w:rPr>
                        </w:pPr>
                        <w:r>
                          <w:rPr>
                            <w:color w:val="0000FF"/>
                            <w:spacing w:val="-18"/>
                            <w:sz w:val="21"/>
                          </w:rPr>
                          <w:t>（</w:t>
                        </w:r>
                        <w:r>
                          <w:rPr>
                            <w:rFonts w:ascii="Times New Roman" w:eastAsia="Times New Roman"/>
                            <w:color w:val="0000FF"/>
                            <w:spacing w:val="-18"/>
                            <w:sz w:val="21"/>
                          </w:rPr>
                          <w:t>1</w:t>
                        </w:r>
                        <w:r>
                          <w:rPr>
                            <w:color w:val="0000FF"/>
                            <w:spacing w:val="-18"/>
                            <w:sz w:val="21"/>
                          </w:rPr>
                          <w:t>）</w:t>
                        </w:r>
                        <w:r>
                          <w:rPr>
                            <w:color w:val="0000FF"/>
                            <w:spacing w:val="-2"/>
                            <w:sz w:val="21"/>
                          </w:rPr>
                          <w:t>严格实施污染物总量控制</w:t>
                        </w:r>
                        <w:r>
                          <w:rPr>
                            <w:color w:val="0000FF"/>
                            <w:spacing w:val="2"/>
                            <w:sz w:val="21"/>
                          </w:rPr>
                          <w:t>制度，根据区域环境质量改善目标，采取有效措施减少主要污染物排放总量，确保区域环</w:t>
                        </w:r>
                        <w:r>
                          <w:rPr>
                            <w:color w:val="0000FF"/>
                            <w:spacing w:val="-5"/>
                            <w:w w:val="95"/>
                            <w:sz w:val="21"/>
                          </w:rPr>
                          <w:t>境质量持续改善。</w:t>
                        </w:r>
                        <w:r>
                          <w:rPr>
                            <w:color w:val="0000FF"/>
                            <w:spacing w:val="-6"/>
                            <w:w w:val="95"/>
                            <w:sz w:val="21"/>
                          </w:rPr>
                          <w:t>（</w:t>
                        </w:r>
                        <w:r>
                          <w:rPr>
                            <w:rFonts w:ascii="Times New Roman" w:eastAsia="Times New Roman"/>
                            <w:color w:val="0000FF"/>
                            <w:spacing w:val="-6"/>
                            <w:w w:val="95"/>
                            <w:sz w:val="21"/>
                          </w:rPr>
                          <w:t>2</w:t>
                        </w:r>
                        <w:r>
                          <w:rPr>
                            <w:color w:val="0000FF"/>
                            <w:spacing w:val="-6"/>
                            <w:w w:val="95"/>
                            <w:sz w:val="21"/>
                          </w:rPr>
                          <w:t>）</w:t>
                        </w:r>
                        <w:r>
                          <w:rPr>
                            <w:color w:val="0000FF"/>
                            <w:spacing w:val="-4"/>
                            <w:w w:val="95"/>
                            <w:sz w:val="21"/>
                          </w:rPr>
                          <w:t>园区污</w:t>
                        </w:r>
                      </w:p>
                      <w:p>
                        <w:pPr>
                          <w:pStyle w:val="TableParagraph"/>
                          <w:spacing w:line="247" w:lineRule="exact"/>
                          <w:ind w:left="31"/>
                          <w:rPr>
                            <w:sz w:val="21"/>
                          </w:rPr>
                        </w:pPr>
                        <w:r>
                          <w:rPr>
                            <w:color w:val="0000FF"/>
                            <w:spacing w:val="3"/>
                            <w:w w:val="95"/>
                            <w:sz w:val="21"/>
                          </w:rPr>
                          <w:t>染物排放总量不得突破环评报</w:t>
                        </w:r>
                      </w:p>
                    </w:tc>
                    <w:tc>
                      <w:tcPr>
                        <w:tcW w:w="3645" w:type="dxa"/>
                        <w:gridSpan w:val="2"/>
                        <w:tcBorders>
                          <w:top w:val="single" w:sz="4" w:space="0" w:color="000000"/>
                          <w:left w:val="single" w:sz="4" w:space="0" w:color="000000"/>
                          <w:bottom w:val="single" w:sz="18" w:space="0" w:color="000000"/>
                        </w:tcBorders>
                      </w:tcPr>
                      <w:p>
                        <w:pPr>
                          <w:pStyle w:val="TableParagraph"/>
                          <w:rPr>
                            <w:b/>
                            <w:sz w:val="20"/>
                          </w:rPr>
                        </w:pPr>
                      </w:p>
                      <w:p>
                        <w:pPr>
                          <w:pStyle w:val="TableParagraph"/>
                          <w:spacing w:before="145" w:line="242" w:lineRule="auto"/>
                          <w:ind w:left="32" w:right="26" w:hanging="1"/>
                          <w:jc w:val="center"/>
                          <w:rPr>
                            <w:sz w:val="21"/>
                          </w:rPr>
                        </w:pPr>
                        <w:r>
                          <w:rPr>
                            <w:color w:val="0000FF"/>
                            <w:w w:val="95"/>
                            <w:sz w:val="21"/>
                          </w:rPr>
                          <w:t>本项目在营运期正常状态时除汽车尾气呈无组织排放外无其他“三废”排放。</w:t>
                        </w:r>
                        <w:r>
                          <w:rPr>
                            <w:color w:val="0000FF"/>
                            <w:sz w:val="21"/>
                          </w:rPr>
                          <w:t>故本项目不涉及总量控制问题。</w:t>
                        </w:r>
                      </w:p>
                    </w:tc>
                  </w:tr>
                </w:tbl>
                <w:p>
                  <w:pPr>
                    <w:pStyle w:val="BodyText"/>
                  </w:pP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pStyle w:val="BodyText"/>
        <w:ind w:right="131"/>
        <w:jc w:val="right"/>
      </w:pPr>
      <w:r>
        <w:t>）</w:t>
      </w:r>
    </w:p>
    <w:p>
      <w:pPr>
        <w:pStyle w:val="BodyText"/>
      </w:pPr>
    </w:p>
    <w:p>
      <w:pPr>
        <w:pStyle w:val="BodyText"/>
      </w:pPr>
    </w:p>
    <w:p>
      <w:pPr>
        <w:pStyle w:val="BodyText"/>
      </w:pPr>
    </w:p>
    <w:p>
      <w:pPr>
        <w:pStyle w:val="BodyText"/>
      </w:pPr>
    </w:p>
    <w:p>
      <w:pPr>
        <w:pStyle w:val="BodyText"/>
        <w:spacing w:before="9"/>
        <w:rPr>
          <w:sz w:val="25"/>
        </w:rPr>
      </w:pPr>
    </w:p>
    <w:p>
      <w:pPr>
        <w:pStyle w:val="BodyText"/>
        <w:ind w:right="116"/>
        <w:jc w:val="right"/>
      </w:pPr>
      <w:r>
        <w:rPr>
          <w:color w:val="0000FF"/>
        </w:rPr>
        <w:t>，</w:t>
      </w:r>
    </w:p>
    <w:p>
      <w:pPr>
        <w:pStyle w:val="BodyText"/>
        <w:spacing w:before="161"/>
        <w:ind w:right="131"/>
        <w:jc w:val="right"/>
      </w:pPr>
      <w:r>
        <w:rPr>
          <w:color w:val="0000FF"/>
        </w:rPr>
        <w:t>〕</w:t>
      </w:r>
    </w:p>
    <w:p>
      <w:pPr>
        <w:pStyle w:val="BodyText"/>
      </w:pPr>
    </w:p>
    <w:p>
      <w:pPr>
        <w:pStyle w:val="BodyText"/>
      </w:pPr>
    </w:p>
    <w:p>
      <w:pPr>
        <w:pStyle w:val="BodyText"/>
      </w:pPr>
    </w:p>
    <w:p>
      <w:pPr>
        <w:pStyle w:val="Heading2"/>
        <w:spacing w:before="169"/>
        <w:ind w:left="0" w:right="131"/>
        <w:jc w:val="right"/>
      </w:pPr>
      <w:r>
        <w:rPr>
          <w:color w:val="0000FF"/>
          <w:w w:val="99"/>
        </w:rPr>
        <w:t>》</w:t>
      </w:r>
    </w:p>
    <w:p>
      <w:pPr>
        <w:spacing w:after="0"/>
        <w:jc w:val="right"/>
        <w:sectPr>
          <w:footerReference w:type="default" r:id="rId18"/>
          <w:pgSz w:w="11910" w:h="16840"/>
          <w:pgMar w:top="1580" w:right="1100" w:bottom="1500" w:left="1180" w:header="0" w:footer="1225"/>
          <w:pgNumType w:start="15"/>
          <w:cols w:space="708"/>
        </w:sectPr>
      </w:pPr>
    </w:p>
    <w:p>
      <w:pPr>
        <w:pStyle w:val="BodyText"/>
        <w:rPr>
          <w:b/>
          <w:sz w:val="20"/>
        </w:rPr>
      </w:pPr>
      <w:r>
        <w:pict>
          <v:shape id="_x0000_s1043" type="#_x0000_t202" style="width:453.4pt;height:666.75pt;margin-top:85.7pt;margin-left:76.07pt;mso-position-horizontal-relative:page;mso-position-vertical-relative:page;position:absolute;z-index:251664384" filled="f" stroked="f">
            <v:textbox inset="0,0,0,0">
              <w:txbxContent>
                <w:tbl>
                  <w:tblPr>
                    <w:tblStyle w:val="TableNormal4"/>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978"/>
                    <w:gridCol w:w="2836"/>
                    <w:gridCol w:w="3645"/>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84"/>
                      <w:jc w:val="left"/>
                    </w:trPr>
                    <w:tc>
                      <w:tcPr>
                        <w:tcW w:w="1580" w:type="dxa"/>
                        <w:vMerge w:val="restart"/>
                        <w:tcBorders>
                          <w:right w:val="single" w:sz="4" w:space="0" w:color="000000"/>
                        </w:tcBorders>
                      </w:tcPr>
                      <w:p>
                        <w:pPr>
                          <w:pStyle w:val="TableParagraph"/>
                          <w:rPr>
                            <w:rFonts w:ascii="Times New Roman"/>
                            <w:sz w:val="22"/>
                          </w:rPr>
                        </w:pPr>
                      </w:p>
                    </w:tc>
                    <w:tc>
                      <w:tcPr>
                        <w:tcW w:w="978"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6"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31"/>
                          <w:rPr>
                            <w:sz w:val="21"/>
                          </w:rPr>
                        </w:pPr>
                        <w:r>
                          <w:rPr>
                            <w:color w:val="0000FF"/>
                            <w:sz w:val="21"/>
                          </w:rPr>
                          <w:t>告及批复的总量。</w:t>
                        </w:r>
                      </w:p>
                    </w:tc>
                    <w:tc>
                      <w:tcPr>
                        <w:tcW w:w="3645"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10" w:type="dxa"/>
                      <w:tblLayout w:type="fixed"/>
                      <w:tblCellMar>
                        <w:top w:w="0" w:type="dxa"/>
                        <w:left w:w="0" w:type="dxa"/>
                        <w:bottom w:w="0" w:type="dxa"/>
                        <w:right w:w="0" w:type="dxa"/>
                      </w:tblCellMar>
                      <w:tblLook w:val="01E0"/>
                    </w:tblPrEx>
                    <w:trPr>
                      <w:trHeight w:val="1073"/>
                      <w:jc w:val="left"/>
                    </w:trPr>
                    <w:tc>
                      <w:tcPr>
                        <w:tcW w:w="1580" w:type="dxa"/>
                        <w:vMerge/>
                        <w:tcBorders>
                          <w:top w:val="nil"/>
                          <w:right w:val="single" w:sz="4" w:space="0" w:color="000000"/>
                        </w:tcBorders>
                      </w:tcPr>
                      <w:p>
                        <w:pPr>
                          <w:rPr>
                            <w:sz w:val="2"/>
                            <w:szCs w:val="2"/>
                          </w:rPr>
                        </w:pPr>
                      </w:p>
                    </w:tc>
                    <w:tc>
                      <w:tcPr>
                        <w:tcW w:w="978" w:type="dxa"/>
                        <w:tcBorders>
                          <w:top w:val="single" w:sz="4" w:space="0" w:color="000000"/>
                          <w:left w:val="single" w:sz="4" w:space="0" w:color="000000"/>
                          <w:bottom w:val="nil"/>
                          <w:right w:val="single" w:sz="4" w:space="0" w:color="000000"/>
                        </w:tcBorders>
                      </w:tcPr>
                      <w:p>
                        <w:pPr>
                          <w:pStyle w:val="TableParagraph"/>
                          <w:rPr>
                            <w:sz w:val="20"/>
                          </w:rPr>
                        </w:pPr>
                      </w:p>
                      <w:p>
                        <w:pPr>
                          <w:pStyle w:val="TableParagraph"/>
                          <w:spacing w:before="147" w:line="242" w:lineRule="auto"/>
                          <w:ind w:left="291" w:right="47" w:hanging="212"/>
                          <w:rPr>
                            <w:sz w:val="21"/>
                          </w:rPr>
                        </w:pPr>
                        <w:r>
                          <w:rPr>
                            <w:color w:val="0000FF"/>
                            <w:sz w:val="21"/>
                          </w:rPr>
                          <w:t>环境风险防控</w:t>
                        </w:r>
                      </w:p>
                    </w:tc>
                    <w:tc>
                      <w:tcPr>
                        <w:tcW w:w="2836" w:type="dxa"/>
                        <w:tcBorders>
                          <w:top w:val="single" w:sz="4" w:space="0" w:color="000000"/>
                          <w:left w:val="single" w:sz="4" w:space="0" w:color="000000"/>
                          <w:bottom w:val="nil"/>
                          <w:right w:val="single" w:sz="4" w:space="0" w:color="000000"/>
                        </w:tcBorders>
                      </w:tcPr>
                      <w:p>
                        <w:pPr>
                          <w:pStyle w:val="TableParagraph"/>
                          <w:spacing w:line="242" w:lineRule="auto"/>
                          <w:ind w:left="31" w:right="13"/>
                          <w:jc w:val="both"/>
                          <w:rPr>
                            <w:sz w:val="21"/>
                          </w:rPr>
                        </w:pPr>
                        <w:r>
                          <w:rPr>
                            <w:color w:val="0000FF"/>
                            <w:spacing w:val="2"/>
                            <w:sz w:val="21"/>
                          </w:rPr>
                          <w:t>工业用地周边设置必要的缓冲</w:t>
                        </w:r>
                        <w:r>
                          <w:rPr>
                            <w:color w:val="0000FF"/>
                            <w:spacing w:val="-13"/>
                            <w:sz w:val="21"/>
                          </w:rPr>
                          <w:t xml:space="preserve">带，产业园应设置不小于 </w:t>
                        </w:r>
                        <w:r>
                          <w:rPr>
                            <w:rFonts w:ascii="Times New Roman" w:eastAsia="Times New Roman"/>
                            <w:color w:val="0000FF"/>
                            <w:spacing w:val="-3"/>
                            <w:sz w:val="21"/>
                          </w:rPr>
                          <w:t xml:space="preserve">100m </w:t>
                        </w:r>
                        <w:r>
                          <w:rPr>
                            <w:color w:val="0000FF"/>
                            <w:spacing w:val="-9"/>
                            <w:sz w:val="21"/>
                          </w:rPr>
                          <w:t>的空间防护 距离，防护距离内</w:t>
                        </w:r>
                      </w:p>
                      <w:p>
                        <w:pPr>
                          <w:pStyle w:val="TableParagraph"/>
                          <w:spacing w:line="242" w:lineRule="exact"/>
                          <w:ind w:left="31"/>
                          <w:rPr>
                            <w:sz w:val="21"/>
                          </w:rPr>
                        </w:pPr>
                        <w:r>
                          <w:rPr>
                            <w:color w:val="0000FF"/>
                            <w:spacing w:val="3"/>
                            <w:w w:val="95"/>
                            <w:sz w:val="21"/>
                          </w:rPr>
                          <w:t>禁止建设学校、医院、集中居</w:t>
                        </w:r>
                      </w:p>
                    </w:tc>
                    <w:tc>
                      <w:tcPr>
                        <w:tcW w:w="3645" w:type="dxa"/>
                        <w:tcBorders>
                          <w:top w:val="single" w:sz="4" w:space="0" w:color="000000"/>
                          <w:left w:val="single" w:sz="4" w:space="0" w:color="000000"/>
                          <w:bottom w:val="nil"/>
                        </w:tcBorders>
                      </w:tcPr>
                      <w:p>
                        <w:pPr>
                          <w:pStyle w:val="TableParagraph"/>
                          <w:rPr>
                            <w:sz w:val="20"/>
                          </w:rPr>
                        </w:pPr>
                      </w:p>
                      <w:p>
                        <w:pPr>
                          <w:pStyle w:val="TableParagraph"/>
                          <w:spacing w:before="162"/>
                          <w:ind w:left="32"/>
                          <w:rPr>
                            <w:sz w:val="21"/>
                          </w:rPr>
                        </w:pPr>
                        <w:r>
                          <w:rPr>
                            <w:color w:val="0000FF"/>
                            <w:sz w:val="21"/>
                          </w:rPr>
                          <w:t>本项目不涉及。</w:t>
                        </w:r>
                      </w:p>
                    </w:tc>
                  </w:tr>
                  <w:tr>
                    <w:tblPrEx>
                      <w:tblW w:w="0" w:type="auto"/>
                      <w:jc w:val="left"/>
                      <w:tblInd w:w="10" w:type="dxa"/>
                      <w:tblLayout w:type="fixed"/>
                      <w:tblCellMar>
                        <w:top w:w="0" w:type="dxa"/>
                        <w:left w:w="0" w:type="dxa"/>
                        <w:bottom w:w="0" w:type="dxa"/>
                        <w:right w:w="0" w:type="dxa"/>
                      </w:tblCellMar>
                      <w:tblLook w:val="01E0"/>
                    </w:tblPrEx>
                    <w:trPr>
                      <w:trHeight w:val="258"/>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2836" w:type="dxa"/>
                        <w:tcBorders>
                          <w:top w:val="nil"/>
                          <w:left w:val="single" w:sz="4" w:space="0" w:color="000000"/>
                          <w:bottom w:val="single" w:sz="4" w:space="0" w:color="000000"/>
                          <w:right w:val="single" w:sz="4" w:space="0" w:color="000000"/>
                        </w:tcBorders>
                      </w:tcPr>
                      <w:p>
                        <w:pPr>
                          <w:pStyle w:val="TableParagraph"/>
                          <w:spacing w:line="238" w:lineRule="exact"/>
                          <w:ind w:left="31"/>
                          <w:rPr>
                            <w:sz w:val="21"/>
                          </w:rPr>
                        </w:pPr>
                        <w:r>
                          <w:rPr>
                            <w:color w:val="0000FF"/>
                            <w:sz w:val="21"/>
                          </w:rPr>
                          <w:t>住区等环境敏感保护目标。</w:t>
                        </w:r>
                      </w:p>
                    </w:tc>
                    <w:tc>
                      <w:tcPr>
                        <w:tcW w:w="3645" w:type="dxa"/>
                        <w:tcBorders>
                          <w:top w:val="nil"/>
                          <w:left w:val="single" w:sz="4" w:space="0" w:color="000000"/>
                          <w:bottom w:val="single" w:sz="4" w:space="0" w:color="000000"/>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528"/>
                      <w:jc w:val="left"/>
                    </w:trPr>
                    <w:tc>
                      <w:tcPr>
                        <w:tcW w:w="1580" w:type="dxa"/>
                        <w:vMerge/>
                        <w:tcBorders>
                          <w:top w:val="nil"/>
                          <w:right w:val="single" w:sz="4" w:space="0" w:color="000000"/>
                        </w:tcBorders>
                      </w:tcPr>
                      <w:p>
                        <w:pPr>
                          <w:rPr>
                            <w:sz w:val="2"/>
                            <w:szCs w:val="2"/>
                          </w:rPr>
                        </w:pPr>
                      </w:p>
                    </w:tc>
                    <w:tc>
                      <w:tcPr>
                        <w:tcW w:w="978"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2836" w:type="dxa"/>
                        <w:tcBorders>
                          <w:top w:val="single" w:sz="4" w:space="0" w:color="000000"/>
                          <w:left w:val="single" w:sz="4" w:space="0" w:color="000000"/>
                          <w:bottom w:val="nil"/>
                          <w:right w:val="single" w:sz="4" w:space="0" w:color="000000"/>
                        </w:tcBorders>
                      </w:tcPr>
                      <w:p>
                        <w:pPr>
                          <w:pStyle w:val="TableParagraph"/>
                          <w:spacing w:line="263" w:lineRule="exact"/>
                          <w:ind w:left="31"/>
                          <w:rPr>
                            <w:sz w:val="21"/>
                          </w:rPr>
                        </w:pPr>
                        <w:r>
                          <w:rPr>
                            <w:color w:val="0000FF"/>
                            <w:spacing w:val="-9"/>
                            <w:w w:val="95"/>
                            <w:sz w:val="21"/>
                          </w:rPr>
                          <w:t>（</w:t>
                        </w:r>
                        <w:r>
                          <w:rPr>
                            <w:rFonts w:ascii="Times New Roman" w:eastAsia="Times New Roman"/>
                            <w:color w:val="0000FF"/>
                            <w:spacing w:val="-9"/>
                            <w:w w:val="95"/>
                            <w:sz w:val="21"/>
                          </w:rPr>
                          <w:t>1</w:t>
                        </w:r>
                        <w:r>
                          <w:rPr>
                            <w:color w:val="0000FF"/>
                            <w:spacing w:val="-9"/>
                            <w:w w:val="95"/>
                            <w:sz w:val="21"/>
                          </w:rPr>
                          <w:t>）</w:t>
                        </w:r>
                        <w:r>
                          <w:rPr>
                            <w:color w:val="0000FF"/>
                            <w:spacing w:val="-3"/>
                            <w:w w:val="95"/>
                            <w:sz w:val="21"/>
                          </w:rPr>
                          <w:t>引进项目的生产工艺、设</w:t>
                        </w:r>
                      </w:p>
                      <w:p>
                        <w:pPr>
                          <w:pStyle w:val="TableParagraph"/>
                          <w:spacing w:before="4" w:line="240" w:lineRule="exact"/>
                          <w:ind w:left="31"/>
                          <w:rPr>
                            <w:sz w:val="21"/>
                          </w:rPr>
                        </w:pPr>
                        <w:r>
                          <w:rPr>
                            <w:color w:val="0000FF"/>
                            <w:spacing w:val="3"/>
                            <w:w w:val="95"/>
                            <w:sz w:val="21"/>
                          </w:rPr>
                          <w:t>备、能耗、污染物排放、资源</w:t>
                        </w:r>
                      </w:p>
                    </w:tc>
                    <w:tc>
                      <w:tcPr>
                        <w:tcW w:w="3645" w:type="dxa"/>
                        <w:tcBorders>
                          <w:top w:val="single" w:sz="4" w:space="0" w:color="000000"/>
                          <w:left w:val="single" w:sz="4" w:space="0" w:color="000000"/>
                          <w:bottom w:val="nil"/>
                        </w:tcBorders>
                      </w:tcPr>
                      <w:p>
                        <w:pPr>
                          <w:pStyle w:val="TableParagraph"/>
                          <w:rPr>
                            <w:rFonts w:ascii="Times New Roman"/>
                            <w:sz w:val="22"/>
                          </w:rPr>
                        </w:pPr>
                      </w:p>
                    </w:tc>
                  </w:tr>
                  <w:tr>
                    <w:tblPrEx>
                      <w:tblW w:w="0" w:type="auto"/>
                      <w:jc w:val="left"/>
                      <w:tblInd w:w="10" w:type="dxa"/>
                      <w:tblLayout w:type="fixed"/>
                      <w:tblCellMar>
                        <w:top w:w="0" w:type="dxa"/>
                        <w:left w:w="0" w:type="dxa"/>
                        <w:bottom w:w="0" w:type="dxa"/>
                        <w:right w:w="0" w:type="dxa"/>
                      </w:tblCellMar>
                      <w:tblLook w:val="01E0"/>
                    </w:tblPrEx>
                    <w:trPr>
                      <w:trHeight w:val="1068"/>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22"/>
                          </w:rPr>
                        </w:pPr>
                      </w:p>
                    </w:tc>
                    <w:tc>
                      <w:tcPr>
                        <w:tcW w:w="2836" w:type="dxa"/>
                        <w:tcBorders>
                          <w:top w:val="nil"/>
                          <w:left w:val="single" w:sz="4" w:space="0" w:color="000000"/>
                          <w:bottom w:val="nil"/>
                          <w:right w:val="single" w:sz="4" w:space="0" w:color="000000"/>
                        </w:tcBorders>
                      </w:tcPr>
                      <w:p>
                        <w:pPr>
                          <w:pStyle w:val="TableParagraph"/>
                          <w:spacing w:line="242" w:lineRule="auto"/>
                          <w:ind w:left="31" w:right="13"/>
                          <w:jc w:val="both"/>
                          <w:rPr>
                            <w:sz w:val="21"/>
                          </w:rPr>
                        </w:pPr>
                        <w:r>
                          <w:rPr>
                            <w:color w:val="0000FF"/>
                            <w:spacing w:val="2"/>
                            <w:sz w:val="21"/>
                          </w:rPr>
                          <w:t>利用等均须达到同行业先进水</w:t>
                        </w:r>
                        <w:r>
                          <w:rPr>
                            <w:color w:val="0000FF"/>
                            <w:spacing w:val="-19"/>
                            <w:sz w:val="21"/>
                          </w:rPr>
                          <w:t>平。</w:t>
                        </w:r>
                        <w:r>
                          <w:rPr>
                            <w:color w:val="0000FF"/>
                            <w:spacing w:val="-6"/>
                            <w:sz w:val="21"/>
                          </w:rPr>
                          <w:t>（</w:t>
                        </w:r>
                        <w:r>
                          <w:rPr>
                            <w:rFonts w:ascii="Times New Roman" w:eastAsia="Times New Roman"/>
                            <w:color w:val="0000FF"/>
                            <w:spacing w:val="-6"/>
                            <w:sz w:val="21"/>
                          </w:rPr>
                          <w:t>2</w:t>
                        </w:r>
                        <w:r>
                          <w:rPr>
                            <w:color w:val="0000FF"/>
                            <w:spacing w:val="-6"/>
                            <w:sz w:val="21"/>
                          </w:rPr>
                          <w:t>）</w:t>
                        </w:r>
                        <w:r>
                          <w:rPr>
                            <w:color w:val="0000FF"/>
                            <w:spacing w:val="-2"/>
                            <w:sz w:val="21"/>
                          </w:rPr>
                          <w:t>按照国家和省能耗及</w:t>
                        </w:r>
                        <w:r>
                          <w:rPr>
                            <w:color w:val="0000FF"/>
                            <w:spacing w:val="-5"/>
                            <w:w w:val="95"/>
                            <w:sz w:val="21"/>
                          </w:rPr>
                          <w:t>水耗限额标准执行。</w:t>
                        </w:r>
                        <w:r>
                          <w:rPr>
                            <w:color w:val="0000FF"/>
                            <w:spacing w:val="-6"/>
                            <w:w w:val="95"/>
                            <w:sz w:val="21"/>
                          </w:rPr>
                          <w:t>（</w:t>
                        </w:r>
                        <w:r>
                          <w:rPr>
                            <w:rFonts w:ascii="Times New Roman" w:eastAsia="Times New Roman"/>
                            <w:color w:val="0000FF"/>
                            <w:spacing w:val="-6"/>
                            <w:w w:val="95"/>
                            <w:sz w:val="21"/>
                          </w:rPr>
                          <w:t>3</w:t>
                        </w:r>
                        <w:r>
                          <w:rPr>
                            <w:color w:val="0000FF"/>
                            <w:spacing w:val="-6"/>
                            <w:w w:val="95"/>
                            <w:sz w:val="21"/>
                          </w:rPr>
                          <w:t>）</w:t>
                        </w:r>
                        <w:r>
                          <w:rPr>
                            <w:color w:val="0000FF"/>
                            <w:w w:val="95"/>
                            <w:sz w:val="21"/>
                          </w:rPr>
                          <w:t>强化</w:t>
                        </w:r>
                      </w:p>
                      <w:p>
                        <w:pPr>
                          <w:pStyle w:val="TableParagraph"/>
                          <w:spacing w:line="242" w:lineRule="exact"/>
                          <w:ind w:left="31"/>
                          <w:rPr>
                            <w:sz w:val="21"/>
                          </w:rPr>
                        </w:pPr>
                        <w:r>
                          <w:rPr>
                            <w:color w:val="0000FF"/>
                            <w:spacing w:val="3"/>
                            <w:w w:val="95"/>
                            <w:sz w:val="21"/>
                          </w:rPr>
                          <w:t>企业清洁生产改造，推进节水</w:t>
                        </w:r>
                      </w:p>
                    </w:tc>
                    <w:tc>
                      <w:tcPr>
                        <w:tcW w:w="3645" w:type="dxa"/>
                        <w:tcBorders>
                          <w:top w:val="nil"/>
                          <w:left w:val="single" w:sz="4" w:space="0" w:color="000000"/>
                          <w:bottom w:val="nil"/>
                        </w:tcBorders>
                      </w:tcPr>
                      <w:p>
                        <w:pPr>
                          <w:pStyle w:val="TableParagraph"/>
                          <w:rPr>
                            <w:rFonts w:ascii="Times New Roman"/>
                            <w:sz w:val="22"/>
                          </w:rPr>
                        </w:pPr>
                      </w:p>
                    </w:tc>
                  </w:tr>
                  <w:tr>
                    <w:tblPrEx>
                      <w:tblW w:w="0" w:type="auto"/>
                      <w:jc w:val="left"/>
                      <w:tblInd w:w="10" w:type="dxa"/>
                      <w:tblLayout w:type="fixed"/>
                      <w:tblCellMar>
                        <w:top w:w="0" w:type="dxa"/>
                        <w:left w:w="0" w:type="dxa"/>
                        <w:bottom w:w="0" w:type="dxa"/>
                        <w:right w:w="0" w:type="dxa"/>
                      </w:tblCellMar>
                      <w:tblLook w:val="01E0"/>
                    </w:tblPrEx>
                    <w:trPr>
                      <w:trHeight w:val="1341"/>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sz w:val="20"/>
                          </w:rPr>
                        </w:pPr>
                      </w:p>
                      <w:p>
                        <w:pPr>
                          <w:pStyle w:val="TableParagraph"/>
                          <w:spacing w:before="11"/>
                          <w:rPr>
                            <w:sz w:val="21"/>
                          </w:rPr>
                        </w:pPr>
                      </w:p>
                      <w:p>
                        <w:pPr>
                          <w:pStyle w:val="TableParagraph"/>
                          <w:spacing w:line="242" w:lineRule="auto"/>
                          <w:ind w:left="80" w:right="47"/>
                          <w:rPr>
                            <w:sz w:val="21"/>
                          </w:rPr>
                        </w:pPr>
                        <w:r>
                          <w:rPr>
                            <w:color w:val="0000FF"/>
                            <w:sz w:val="21"/>
                          </w:rPr>
                          <w:t>资源利用效率要求</w:t>
                        </w:r>
                      </w:p>
                    </w:tc>
                    <w:tc>
                      <w:tcPr>
                        <w:tcW w:w="2836" w:type="dxa"/>
                        <w:tcBorders>
                          <w:top w:val="nil"/>
                          <w:left w:val="single" w:sz="4" w:space="0" w:color="000000"/>
                          <w:bottom w:val="nil"/>
                          <w:right w:val="single" w:sz="4" w:space="0" w:color="000000"/>
                        </w:tcBorders>
                      </w:tcPr>
                      <w:p>
                        <w:pPr>
                          <w:pStyle w:val="TableParagraph"/>
                          <w:spacing w:line="242" w:lineRule="auto"/>
                          <w:ind w:left="31" w:right="14"/>
                          <w:jc w:val="both"/>
                          <w:rPr>
                            <w:sz w:val="21"/>
                          </w:rPr>
                        </w:pPr>
                        <w:r>
                          <w:rPr>
                            <w:color w:val="0000FF"/>
                            <w:spacing w:val="2"/>
                            <w:sz w:val="21"/>
                          </w:rPr>
                          <w:t>型企业、节水型园区建设，提</w:t>
                        </w:r>
                        <w:r>
                          <w:rPr>
                            <w:color w:val="0000FF"/>
                            <w:spacing w:val="-4"/>
                            <w:sz w:val="21"/>
                          </w:rPr>
                          <w:t>高资源能源利用效率。</w:t>
                        </w:r>
                        <w:r>
                          <w:rPr>
                            <w:color w:val="0000FF"/>
                            <w:spacing w:val="-6"/>
                            <w:sz w:val="21"/>
                          </w:rPr>
                          <w:t>（</w:t>
                        </w:r>
                        <w:r>
                          <w:rPr>
                            <w:rFonts w:ascii="Times New Roman" w:eastAsia="Times New Roman" w:hAnsi="Times New Roman"/>
                            <w:color w:val="0000FF"/>
                            <w:spacing w:val="-6"/>
                            <w:sz w:val="21"/>
                          </w:rPr>
                          <w:t>4</w:t>
                        </w:r>
                        <w:r>
                          <w:rPr>
                            <w:color w:val="0000FF"/>
                            <w:spacing w:val="-6"/>
                            <w:sz w:val="21"/>
                          </w:rPr>
                          <w:t>）</w:t>
                        </w:r>
                        <w:r>
                          <w:rPr>
                            <w:color w:val="0000FF"/>
                            <w:spacing w:val="-13"/>
                            <w:sz w:val="21"/>
                          </w:rPr>
                          <w:t>禁</w:t>
                        </w:r>
                        <w:r>
                          <w:rPr>
                            <w:color w:val="0000FF"/>
                            <w:spacing w:val="-12"/>
                            <w:w w:val="95"/>
                            <w:sz w:val="21"/>
                          </w:rPr>
                          <w:t>止销售使用燃料为“Ⅲ类”</w:t>
                        </w:r>
                        <w:r>
                          <w:rPr>
                            <w:color w:val="0000FF"/>
                            <w:spacing w:val="-35"/>
                            <w:w w:val="95"/>
                            <w:sz w:val="21"/>
                          </w:rPr>
                          <w:t>（</w:t>
                        </w:r>
                        <w:r>
                          <w:rPr>
                            <w:color w:val="0000FF"/>
                            <w:spacing w:val="-11"/>
                            <w:w w:val="95"/>
                            <w:sz w:val="21"/>
                          </w:rPr>
                          <w:t>严</w:t>
                        </w:r>
                      </w:p>
                      <w:p>
                        <w:pPr>
                          <w:pStyle w:val="TableParagraph"/>
                          <w:spacing w:line="270" w:lineRule="atLeast"/>
                          <w:ind w:left="31" w:right="13"/>
                          <w:jc w:val="both"/>
                          <w:rPr>
                            <w:sz w:val="21"/>
                          </w:rPr>
                        </w:pPr>
                        <w:r>
                          <w:rPr>
                            <w:color w:val="0000FF"/>
                            <w:spacing w:val="4"/>
                            <w:sz w:val="21"/>
                          </w:rPr>
                          <w:t>格</w:t>
                        </w:r>
                        <w:r>
                          <w:rPr>
                            <w:color w:val="0000FF"/>
                            <w:spacing w:val="5"/>
                            <w:sz w:val="21"/>
                          </w:rPr>
                          <w:t>）</w:t>
                        </w:r>
                        <w:r>
                          <w:rPr>
                            <w:color w:val="0000FF"/>
                            <w:spacing w:val="2"/>
                            <w:sz w:val="21"/>
                          </w:rPr>
                          <w:t>，具体包括：①煤炭及其</w:t>
                        </w:r>
                        <w:r>
                          <w:rPr>
                            <w:color w:val="0000FF"/>
                            <w:spacing w:val="-9"/>
                            <w:sz w:val="21"/>
                          </w:rPr>
                          <w:t>制 品</w:t>
                        </w:r>
                        <w:r>
                          <w:rPr>
                            <w:color w:val="0000FF"/>
                            <w:sz w:val="21"/>
                          </w:rPr>
                          <w:t>（</w:t>
                        </w:r>
                        <w:r>
                          <w:rPr>
                            <w:color w:val="0000FF"/>
                            <w:spacing w:val="-6"/>
                            <w:sz w:val="21"/>
                          </w:rPr>
                          <w:t>包括原煤、散煤、煤矸</w:t>
                        </w:r>
                      </w:p>
                    </w:tc>
                    <w:tc>
                      <w:tcPr>
                        <w:tcW w:w="3645" w:type="dxa"/>
                        <w:tcBorders>
                          <w:top w:val="nil"/>
                          <w:left w:val="single" w:sz="4" w:space="0" w:color="000000"/>
                          <w:bottom w:val="nil"/>
                        </w:tcBorders>
                      </w:tcPr>
                      <w:p>
                        <w:pPr>
                          <w:pStyle w:val="TableParagraph"/>
                          <w:rPr>
                            <w:sz w:val="20"/>
                          </w:rPr>
                        </w:pPr>
                      </w:p>
                      <w:p>
                        <w:pPr>
                          <w:pStyle w:val="TableParagraph"/>
                          <w:spacing w:before="143" w:line="242" w:lineRule="auto"/>
                          <w:ind w:left="32" w:right="26"/>
                          <w:jc w:val="center"/>
                          <w:rPr>
                            <w:sz w:val="21"/>
                          </w:rPr>
                        </w:pPr>
                        <w:r>
                          <w:rPr>
                            <w:color w:val="0000FF"/>
                            <w:w w:val="95"/>
                            <w:sz w:val="21"/>
                          </w:rPr>
                          <w:t>本项目为二级公路建设项目，在营运期正常状态时除汽车尾气呈无组织排放外</w:t>
                        </w:r>
                        <w:r>
                          <w:rPr>
                            <w:color w:val="0000FF"/>
                            <w:sz w:val="21"/>
                          </w:rPr>
                          <w:t>无其他“三废”排放。</w:t>
                        </w:r>
                      </w:p>
                    </w:tc>
                  </w:tr>
                  <w:tr>
                    <w:tblPrEx>
                      <w:tblW w:w="0" w:type="auto"/>
                      <w:jc w:val="left"/>
                      <w:tblInd w:w="10" w:type="dxa"/>
                      <w:tblLayout w:type="fixed"/>
                      <w:tblCellMar>
                        <w:top w:w="0" w:type="dxa"/>
                        <w:left w:w="0" w:type="dxa"/>
                        <w:bottom w:w="0" w:type="dxa"/>
                        <w:right w:w="0" w:type="dxa"/>
                      </w:tblCellMar>
                      <w:tblLook w:val="01E0"/>
                    </w:tblPrEx>
                    <w:trPr>
                      <w:trHeight w:val="239"/>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16"/>
                          </w:rPr>
                        </w:pPr>
                      </w:p>
                    </w:tc>
                    <w:tc>
                      <w:tcPr>
                        <w:tcW w:w="2836" w:type="dxa"/>
                        <w:tcBorders>
                          <w:top w:val="nil"/>
                          <w:left w:val="single" w:sz="4" w:space="0" w:color="000000"/>
                          <w:bottom w:val="nil"/>
                          <w:right w:val="single" w:sz="4" w:space="0" w:color="000000"/>
                        </w:tcBorders>
                      </w:tcPr>
                      <w:p>
                        <w:pPr>
                          <w:pStyle w:val="TableParagraph"/>
                          <w:spacing w:line="219" w:lineRule="exact"/>
                          <w:ind w:left="31"/>
                          <w:rPr>
                            <w:sz w:val="21"/>
                          </w:rPr>
                        </w:pPr>
                        <w:r>
                          <w:rPr>
                            <w:color w:val="0000FF"/>
                            <w:sz w:val="21"/>
                          </w:rPr>
                          <w:t>石、煤泥、煤粉、水煤浆、型</w:t>
                        </w:r>
                      </w:p>
                    </w:tc>
                    <w:tc>
                      <w:tcPr>
                        <w:tcW w:w="3645" w:type="dxa"/>
                        <w:tcBorders>
                          <w:top w:val="nil"/>
                          <w:left w:val="single" w:sz="4" w:space="0" w:color="000000"/>
                          <w:bottom w:val="nil"/>
                        </w:tcBorders>
                      </w:tcPr>
                      <w:p>
                        <w:pPr>
                          <w:pStyle w:val="TableParagraph"/>
                          <w:rPr>
                            <w:rFonts w:ascii="Times New Roman"/>
                            <w:sz w:val="16"/>
                          </w:rPr>
                        </w:pPr>
                      </w:p>
                    </w:tc>
                  </w:tr>
                  <w:tr>
                    <w:tblPrEx>
                      <w:tblW w:w="0" w:type="auto"/>
                      <w:jc w:val="left"/>
                      <w:tblInd w:w="10" w:type="dxa"/>
                      <w:tblLayout w:type="fixed"/>
                      <w:tblCellMar>
                        <w:top w:w="0" w:type="dxa"/>
                        <w:left w:w="0" w:type="dxa"/>
                        <w:bottom w:w="0" w:type="dxa"/>
                        <w:right w:w="0" w:type="dxa"/>
                      </w:tblCellMar>
                      <w:tblLook w:val="01E0"/>
                    </w:tblPrEx>
                    <w:trPr>
                      <w:trHeight w:val="252"/>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18"/>
                          </w:rPr>
                        </w:pPr>
                      </w:p>
                    </w:tc>
                    <w:tc>
                      <w:tcPr>
                        <w:tcW w:w="2836" w:type="dxa"/>
                        <w:tcBorders>
                          <w:top w:val="nil"/>
                          <w:left w:val="single" w:sz="4" w:space="0" w:color="000000"/>
                          <w:bottom w:val="nil"/>
                          <w:right w:val="single" w:sz="4" w:space="0" w:color="000000"/>
                        </w:tcBorders>
                      </w:tcPr>
                      <w:p>
                        <w:pPr>
                          <w:pStyle w:val="TableParagraph"/>
                          <w:spacing w:line="232" w:lineRule="exact"/>
                          <w:ind w:left="31"/>
                          <w:rPr>
                            <w:sz w:val="21"/>
                          </w:rPr>
                        </w:pPr>
                        <w:r>
                          <w:rPr>
                            <w:color w:val="0000FF"/>
                            <w:sz w:val="21"/>
                          </w:rPr>
                          <w:t>煤、焦炭、兰炭等）；②石油</w:t>
                        </w:r>
                      </w:p>
                    </w:tc>
                    <w:tc>
                      <w:tcPr>
                        <w:tcW w:w="3645" w:type="dxa"/>
                        <w:tcBorders>
                          <w:top w:val="nil"/>
                          <w:left w:val="single" w:sz="4" w:space="0" w:color="000000"/>
                          <w:bottom w:val="nil"/>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52"/>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18"/>
                          </w:rPr>
                        </w:pPr>
                      </w:p>
                    </w:tc>
                    <w:tc>
                      <w:tcPr>
                        <w:tcW w:w="2836" w:type="dxa"/>
                        <w:tcBorders>
                          <w:top w:val="nil"/>
                          <w:left w:val="single" w:sz="4" w:space="0" w:color="000000"/>
                          <w:bottom w:val="nil"/>
                          <w:right w:val="single" w:sz="4" w:space="0" w:color="000000"/>
                        </w:tcBorders>
                      </w:tcPr>
                      <w:p>
                        <w:pPr>
                          <w:pStyle w:val="TableParagraph"/>
                          <w:spacing w:line="232" w:lineRule="exact"/>
                          <w:ind w:left="31"/>
                          <w:rPr>
                            <w:sz w:val="21"/>
                          </w:rPr>
                        </w:pPr>
                        <w:r>
                          <w:rPr>
                            <w:color w:val="0000FF"/>
                            <w:sz w:val="21"/>
                          </w:rPr>
                          <w:t>焦、油页岩、原油、重油、渣</w:t>
                        </w:r>
                      </w:p>
                    </w:tc>
                    <w:tc>
                      <w:tcPr>
                        <w:tcW w:w="3645" w:type="dxa"/>
                        <w:tcBorders>
                          <w:top w:val="nil"/>
                          <w:left w:val="single" w:sz="4" w:space="0" w:color="000000"/>
                          <w:bottom w:val="nil"/>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52"/>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18"/>
                          </w:rPr>
                        </w:pPr>
                      </w:p>
                    </w:tc>
                    <w:tc>
                      <w:tcPr>
                        <w:tcW w:w="2836" w:type="dxa"/>
                        <w:tcBorders>
                          <w:top w:val="nil"/>
                          <w:left w:val="single" w:sz="4" w:space="0" w:color="000000"/>
                          <w:bottom w:val="nil"/>
                          <w:right w:val="single" w:sz="4" w:space="0" w:color="000000"/>
                        </w:tcBorders>
                      </w:tcPr>
                      <w:p>
                        <w:pPr>
                          <w:pStyle w:val="TableParagraph"/>
                          <w:spacing w:line="232" w:lineRule="exact"/>
                          <w:ind w:left="31"/>
                          <w:rPr>
                            <w:sz w:val="21"/>
                          </w:rPr>
                        </w:pPr>
                        <w:r>
                          <w:rPr>
                            <w:color w:val="0000FF"/>
                            <w:sz w:val="21"/>
                          </w:rPr>
                          <w:t>油、煤焦油；③非专用锅炉或</w:t>
                        </w:r>
                      </w:p>
                    </w:tc>
                    <w:tc>
                      <w:tcPr>
                        <w:tcW w:w="3645" w:type="dxa"/>
                        <w:tcBorders>
                          <w:top w:val="nil"/>
                          <w:left w:val="single" w:sz="4" w:space="0" w:color="000000"/>
                          <w:bottom w:val="nil"/>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52"/>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18"/>
                          </w:rPr>
                        </w:pPr>
                      </w:p>
                    </w:tc>
                    <w:tc>
                      <w:tcPr>
                        <w:tcW w:w="2836" w:type="dxa"/>
                        <w:tcBorders>
                          <w:top w:val="nil"/>
                          <w:left w:val="single" w:sz="4" w:space="0" w:color="000000"/>
                          <w:bottom w:val="nil"/>
                          <w:right w:val="single" w:sz="4" w:space="0" w:color="000000"/>
                        </w:tcBorders>
                      </w:tcPr>
                      <w:p>
                        <w:pPr>
                          <w:pStyle w:val="TableParagraph"/>
                          <w:spacing w:line="232" w:lineRule="exact"/>
                          <w:ind w:left="31"/>
                          <w:rPr>
                            <w:sz w:val="21"/>
                          </w:rPr>
                        </w:pPr>
                        <w:r>
                          <w:rPr>
                            <w:color w:val="0000FF"/>
                            <w:sz w:val="21"/>
                          </w:rPr>
                          <w:t>未配置高效除尘设施的专用锅</w:t>
                        </w:r>
                      </w:p>
                    </w:tc>
                    <w:tc>
                      <w:tcPr>
                        <w:tcW w:w="3645" w:type="dxa"/>
                        <w:tcBorders>
                          <w:top w:val="nil"/>
                          <w:left w:val="single" w:sz="4" w:space="0" w:color="000000"/>
                          <w:bottom w:val="nil"/>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52"/>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nil"/>
                          <w:right w:val="single" w:sz="4" w:space="0" w:color="000000"/>
                        </w:tcBorders>
                      </w:tcPr>
                      <w:p>
                        <w:pPr>
                          <w:pStyle w:val="TableParagraph"/>
                          <w:rPr>
                            <w:rFonts w:ascii="Times New Roman"/>
                            <w:sz w:val="18"/>
                          </w:rPr>
                        </w:pPr>
                      </w:p>
                    </w:tc>
                    <w:tc>
                      <w:tcPr>
                        <w:tcW w:w="2836" w:type="dxa"/>
                        <w:tcBorders>
                          <w:top w:val="nil"/>
                          <w:left w:val="single" w:sz="4" w:space="0" w:color="000000"/>
                          <w:bottom w:val="nil"/>
                          <w:right w:val="single" w:sz="4" w:space="0" w:color="000000"/>
                        </w:tcBorders>
                      </w:tcPr>
                      <w:p>
                        <w:pPr>
                          <w:pStyle w:val="TableParagraph"/>
                          <w:spacing w:line="232" w:lineRule="exact"/>
                          <w:ind w:left="31"/>
                          <w:rPr>
                            <w:sz w:val="21"/>
                          </w:rPr>
                        </w:pPr>
                        <w:r>
                          <w:rPr>
                            <w:color w:val="0000FF"/>
                            <w:sz w:val="21"/>
                          </w:rPr>
                          <w:t>炉燃用的生物质成型燃料；④</w:t>
                        </w:r>
                      </w:p>
                    </w:tc>
                    <w:tc>
                      <w:tcPr>
                        <w:tcW w:w="3645" w:type="dxa"/>
                        <w:tcBorders>
                          <w:top w:val="nil"/>
                          <w:left w:val="single" w:sz="4" w:space="0" w:color="000000"/>
                          <w:bottom w:val="nil"/>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263"/>
                      <w:jc w:val="left"/>
                    </w:trPr>
                    <w:tc>
                      <w:tcPr>
                        <w:tcW w:w="1580" w:type="dxa"/>
                        <w:vMerge/>
                        <w:tcBorders>
                          <w:top w:val="nil"/>
                          <w:right w:val="single" w:sz="4" w:space="0" w:color="000000"/>
                        </w:tcBorders>
                      </w:tcPr>
                      <w:p>
                        <w:pPr>
                          <w:rPr>
                            <w:sz w:val="2"/>
                            <w:szCs w:val="2"/>
                          </w:rPr>
                        </w:pPr>
                      </w:p>
                    </w:tc>
                    <w:tc>
                      <w:tcPr>
                        <w:tcW w:w="978" w:type="dxa"/>
                        <w:tcBorders>
                          <w:top w:val="nil"/>
                          <w:left w:val="single" w:sz="4" w:space="0" w:color="000000"/>
                          <w:bottom w:val="single" w:sz="12" w:space="0" w:color="000000"/>
                          <w:right w:val="single" w:sz="4" w:space="0" w:color="000000"/>
                        </w:tcBorders>
                      </w:tcPr>
                      <w:p>
                        <w:pPr>
                          <w:pStyle w:val="TableParagraph"/>
                          <w:rPr>
                            <w:rFonts w:ascii="Times New Roman"/>
                            <w:sz w:val="18"/>
                          </w:rPr>
                        </w:pPr>
                      </w:p>
                    </w:tc>
                    <w:tc>
                      <w:tcPr>
                        <w:tcW w:w="2836" w:type="dxa"/>
                        <w:tcBorders>
                          <w:top w:val="nil"/>
                          <w:left w:val="single" w:sz="4" w:space="0" w:color="000000"/>
                          <w:bottom w:val="single" w:sz="12" w:space="0" w:color="000000"/>
                          <w:right w:val="single" w:sz="4" w:space="0" w:color="000000"/>
                        </w:tcBorders>
                      </w:tcPr>
                      <w:p>
                        <w:pPr>
                          <w:pStyle w:val="TableParagraph"/>
                          <w:spacing w:line="243" w:lineRule="exact"/>
                          <w:ind w:left="31"/>
                          <w:rPr>
                            <w:sz w:val="21"/>
                          </w:rPr>
                        </w:pPr>
                        <w:r>
                          <w:rPr>
                            <w:color w:val="0000FF"/>
                            <w:sz w:val="21"/>
                          </w:rPr>
                          <w:t>国家规定的其它高污染燃料。</w:t>
                        </w:r>
                      </w:p>
                    </w:tc>
                    <w:tc>
                      <w:tcPr>
                        <w:tcW w:w="3645" w:type="dxa"/>
                        <w:tcBorders>
                          <w:top w:val="nil"/>
                          <w:left w:val="single" w:sz="4" w:space="0" w:color="000000"/>
                          <w:bottom w:val="single" w:sz="12" w:space="0" w:color="000000"/>
                        </w:tcBorders>
                      </w:tcPr>
                      <w:p>
                        <w:pPr>
                          <w:pStyle w:val="TableParagraph"/>
                          <w:rPr>
                            <w:rFonts w:ascii="Times New Roman"/>
                            <w:sz w:val="18"/>
                          </w:rPr>
                        </w:pPr>
                      </w:p>
                    </w:tc>
                  </w:tr>
                  <w:tr>
                    <w:tblPrEx>
                      <w:tblW w:w="0" w:type="auto"/>
                      <w:jc w:val="left"/>
                      <w:tblInd w:w="10" w:type="dxa"/>
                      <w:tblLayout w:type="fixed"/>
                      <w:tblCellMar>
                        <w:top w:w="0" w:type="dxa"/>
                        <w:left w:w="0" w:type="dxa"/>
                        <w:bottom w:w="0" w:type="dxa"/>
                        <w:right w:w="0" w:type="dxa"/>
                      </w:tblCellMar>
                      <w:tblLook w:val="01E0"/>
                    </w:tblPrEx>
                    <w:trPr>
                      <w:trHeight w:val="378"/>
                      <w:jc w:val="left"/>
                    </w:trPr>
                    <w:tc>
                      <w:tcPr>
                        <w:tcW w:w="1580" w:type="dxa"/>
                        <w:vMerge/>
                        <w:tcBorders>
                          <w:top w:val="nil"/>
                          <w:right w:val="single" w:sz="4" w:space="0" w:color="000000"/>
                        </w:tcBorders>
                      </w:tcPr>
                      <w:p>
                        <w:pPr>
                          <w:rPr>
                            <w:sz w:val="2"/>
                            <w:szCs w:val="2"/>
                          </w:rPr>
                        </w:pPr>
                      </w:p>
                    </w:tc>
                    <w:tc>
                      <w:tcPr>
                        <w:tcW w:w="7459" w:type="dxa"/>
                        <w:gridSpan w:val="3"/>
                        <w:tcBorders>
                          <w:top w:val="single" w:sz="12" w:space="0" w:color="000000"/>
                          <w:left w:val="single" w:sz="4" w:space="0" w:color="000000"/>
                          <w:bottom w:val="nil"/>
                        </w:tcBorders>
                      </w:tcPr>
                      <w:p>
                        <w:pPr>
                          <w:pStyle w:val="TableParagraph"/>
                          <w:spacing w:before="1"/>
                          <w:ind w:left="500" w:right="-15"/>
                          <w:rPr>
                            <w:sz w:val="24"/>
                          </w:rPr>
                        </w:pPr>
                        <w:r>
                          <w:rPr>
                            <w:color w:val="0000FF"/>
                            <w:spacing w:val="-4"/>
                            <w:sz w:val="24"/>
                          </w:rPr>
                          <w:t>综上所述，本项目符合《盐城市“三线一单”生态环境分区管控实</w:t>
                        </w:r>
                      </w:p>
                    </w:tc>
                  </w:tr>
                  <w:tr>
                    <w:tblPrEx>
                      <w:tblW w:w="0" w:type="auto"/>
                      <w:jc w:val="left"/>
                      <w:tblInd w:w="10" w:type="dxa"/>
                      <w:tblLayout w:type="fixed"/>
                      <w:tblCellMar>
                        <w:top w:w="0" w:type="dxa"/>
                        <w:left w:w="0" w:type="dxa"/>
                        <w:bottom w:w="0" w:type="dxa"/>
                        <w:right w:w="0" w:type="dxa"/>
                      </w:tblCellMar>
                      <w:tblLook w:val="01E0"/>
                    </w:tblPrEx>
                    <w:trPr>
                      <w:trHeight w:val="442"/>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70"/>
                          <w:ind w:left="20"/>
                          <w:rPr>
                            <w:sz w:val="24"/>
                          </w:rPr>
                        </w:pPr>
                        <w:r>
                          <w:rPr>
                            <w:color w:val="0000FF"/>
                            <w:sz w:val="24"/>
                          </w:rPr>
                          <w:t>施方案》中相关要求。</w:t>
                        </w:r>
                      </w:p>
                    </w:tc>
                  </w:tr>
                  <w:tr>
                    <w:tblPrEx>
                      <w:tblW w:w="0" w:type="auto"/>
                      <w:jc w:val="left"/>
                      <w:tblInd w:w="10" w:type="dxa"/>
                      <w:tblLayout w:type="fixed"/>
                      <w:tblCellMar>
                        <w:top w:w="0" w:type="dxa"/>
                        <w:left w:w="0" w:type="dxa"/>
                        <w:bottom w:w="0" w:type="dxa"/>
                        <w:right w:w="0" w:type="dxa"/>
                      </w:tblCellMar>
                      <w:tblLook w:val="01E0"/>
                    </w:tblPrEx>
                    <w:trPr>
                      <w:trHeight w:val="455"/>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73"/>
                          <w:ind w:left="500"/>
                          <w:rPr>
                            <w:sz w:val="24"/>
                          </w:rPr>
                        </w:pPr>
                        <w:r>
                          <w:rPr>
                            <w:sz w:val="24"/>
                          </w:rPr>
                          <w:t>（</w:t>
                        </w:r>
                        <w:r>
                          <w:rPr>
                            <w:rFonts w:ascii="Times New Roman" w:eastAsia="Times New Roman"/>
                            <w:sz w:val="24"/>
                          </w:rPr>
                          <w:t>2</w:t>
                        </w:r>
                        <w:r>
                          <w:rPr>
                            <w:sz w:val="24"/>
                          </w:rPr>
                          <w:t>）环境质量底线相符性分析</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5"/>
                          <w:ind w:left="500" w:right="-15"/>
                          <w:rPr>
                            <w:sz w:val="24"/>
                          </w:rPr>
                        </w:pPr>
                        <w:r>
                          <w:rPr>
                            <w:spacing w:val="1"/>
                            <w:sz w:val="24"/>
                          </w:rPr>
                          <w:t>根据阜宁县《</w:t>
                        </w:r>
                        <w:r>
                          <w:rPr>
                            <w:rFonts w:ascii="Times New Roman" w:eastAsia="Times New Roman"/>
                            <w:sz w:val="24"/>
                          </w:rPr>
                          <w:t>2022</w:t>
                        </w:r>
                        <w:r>
                          <w:rPr>
                            <w:rFonts w:ascii="Times New Roman" w:eastAsia="Times New Roman"/>
                            <w:spacing w:val="10"/>
                            <w:sz w:val="24"/>
                          </w:rPr>
                          <w:t xml:space="preserve"> </w:t>
                        </w:r>
                        <w:r>
                          <w:rPr>
                            <w:sz w:val="24"/>
                          </w:rPr>
                          <w:t>年阜宁县环境质量状况公报》，</w:t>
                        </w:r>
                        <w:r>
                          <w:rPr>
                            <w:rFonts w:ascii="Times New Roman" w:eastAsia="Times New Roman"/>
                            <w:sz w:val="24"/>
                          </w:rPr>
                          <w:t>2022</w:t>
                        </w:r>
                        <w:r>
                          <w:rPr>
                            <w:rFonts w:ascii="Times New Roman" w:eastAsia="Times New Roman"/>
                            <w:spacing w:val="10"/>
                            <w:sz w:val="24"/>
                          </w:rPr>
                          <w:t xml:space="preserve"> </w:t>
                        </w:r>
                        <w:r>
                          <w:rPr>
                            <w:spacing w:val="1"/>
                            <w:sz w:val="24"/>
                          </w:rPr>
                          <w:t>年阜宁县</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6"/>
                          <w:ind w:left="20" w:right="-15"/>
                          <w:rPr>
                            <w:sz w:val="24"/>
                          </w:rPr>
                        </w:pPr>
                        <w:r>
                          <w:rPr>
                            <w:spacing w:val="-5"/>
                            <w:sz w:val="24"/>
                          </w:rPr>
                          <w:t xml:space="preserve">县城空气优良天数比例 </w:t>
                        </w:r>
                        <w:r>
                          <w:rPr>
                            <w:rFonts w:ascii="Times New Roman" w:eastAsia="Times New Roman"/>
                            <w:sz w:val="24"/>
                          </w:rPr>
                          <w:t>86.6%</w:t>
                        </w:r>
                        <w:r>
                          <w:rPr>
                            <w:spacing w:val="-7"/>
                            <w:sz w:val="24"/>
                          </w:rPr>
                          <w:t xml:space="preserve">，较上年上升 </w:t>
                        </w:r>
                        <w:r>
                          <w:rPr>
                            <w:rFonts w:ascii="Times New Roman" w:eastAsia="Times New Roman"/>
                            <w:sz w:val="24"/>
                          </w:rPr>
                          <w:t>1.1</w:t>
                        </w:r>
                        <w:r>
                          <w:rPr>
                            <w:rFonts w:ascii="Times New Roman" w:eastAsia="Times New Roman"/>
                            <w:spacing w:val="12"/>
                            <w:sz w:val="24"/>
                          </w:rPr>
                          <w:t xml:space="preserve"> </w:t>
                        </w:r>
                        <w:r>
                          <w:rPr>
                            <w:sz w:val="24"/>
                          </w:rPr>
                          <w:t>个百分点。空气质量达</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5"/>
                          <w:ind w:left="20"/>
                          <w:rPr>
                            <w:sz w:val="24"/>
                          </w:rPr>
                        </w:pPr>
                        <w:r>
                          <w:rPr>
                            <w:spacing w:val="-30"/>
                            <w:sz w:val="24"/>
                          </w:rPr>
                          <w:t xml:space="preserve">优 </w:t>
                        </w:r>
                        <w:r>
                          <w:rPr>
                            <w:rFonts w:ascii="Times New Roman" w:eastAsia="Times New Roman"/>
                            <w:sz w:val="24"/>
                          </w:rPr>
                          <w:t xml:space="preserve">94 </w:t>
                        </w:r>
                        <w:r>
                          <w:rPr>
                            <w:spacing w:val="-17"/>
                            <w:sz w:val="24"/>
                          </w:rPr>
                          <w:t xml:space="preserve">天，良 </w:t>
                        </w:r>
                        <w:r>
                          <w:rPr>
                            <w:rFonts w:ascii="Times New Roman" w:eastAsia="Times New Roman"/>
                            <w:sz w:val="24"/>
                          </w:rPr>
                          <w:t xml:space="preserve">222 </w:t>
                        </w:r>
                        <w:r>
                          <w:rPr>
                            <w:spacing w:val="-11"/>
                            <w:sz w:val="24"/>
                          </w:rPr>
                          <w:t xml:space="preserve">天，轻度污染 </w:t>
                        </w:r>
                        <w:r>
                          <w:rPr>
                            <w:rFonts w:ascii="Times New Roman" w:eastAsia="Times New Roman"/>
                            <w:sz w:val="24"/>
                          </w:rPr>
                          <w:t xml:space="preserve">38 </w:t>
                        </w:r>
                        <w:r>
                          <w:rPr>
                            <w:spacing w:val="-11"/>
                            <w:sz w:val="24"/>
                          </w:rPr>
                          <w:t xml:space="preserve">天，中度污染 </w:t>
                        </w:r>
                        <w:r>
                          <w:rPr>
                            <w:rFonts w:ascii="Times New Roman" w:eastAsia="Times New Roman"/>
                            <w:sz w:val="24"/>
                          </w:rPr>
                          <w:t xml:space="preserve">10 </w:t>
                        </w:r>
                        <w:r>
                          <w:rPr>
                            <w:spacing w:val="-11"/>
                            <w:sz w:val="24"/>
                          </w:rPr>
                          <w:t xml:space="preserve">天，重度污染 </w:t>
                        </w:r>
                        <w:r>
                          <w:rPr>
                            <w:rFonts w:ascii="Times New Roman" w:eastAsia="Times New Roman"/>
                            <w:sz w:val="24"/>
                          </w:rPr>
                          <w:t xml:space="preserve">1 </w:t>
                        </w:r>
                        <w:r>
                          <w:rPr>
                            <w:sz w:val="24"/>
                          </w:rPr>
                          <w:t>天</w:t>
                        </w:r>
                      </w:p>
                    </w:tc>
                  </w:tr>
                  <w:tr>
                    <w:tblPrEx>
                      <w:tblW w:w="0" w:type="auto"/>
                      <w:jc w:val="left"/>
                      <w:tblInd w:w="10" w:type="dxa"/>
                      <w:tblLayout w:type="fixed"/>
                      <w:tblCellMar>
                        <w:top w:w="0" w:type="dxa"/>
                        <w:left w:w="0" w:type="dxa"/>
                        <w:bottom w:w="0" w:type="dxa"/>
                        <w:right w:w="0" w:type="dxa"/>
                      </w:tblCellMar>
                      <w:tblLook w:val="01E0"/>
                    </w:tblPrEx>
                    <w:trPr>
                      <w:trHeight w:val="447"/>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3"/>
                          <w:ind w:left="20"/>
                          <w:rPr>
                            <w:sz w:val="24"/>
                          </w:rPr>
                        </w:pPr>
                        <w:r>
                          <w:rPr>
                            <w:position w:val="2"/>
                            <w:sz w:val="24"/>
                          </w:rPr>
                          <w:t xml:space="preserve">首要污染物为 </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 xml:space="preserve">、臭氧和 </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1"/>
                          <w:ind w:left="500"/>
                          <w:rPr>
                            <w:rFonts w:ascii="Times New Roman" w:eastAsia="Times New Roman"/>
                            <w:sz w:val="24"/>
                          </w:rPr>
                        </w:pPr>
                        <w:r>
                          <w:rPr>
                            <w:spacing w:val="-11"/>
                            <w:position w:val="2"/>
                            <w:sz w:val="24"/>
                          </w:rPr>
                          <w:t>环境空气中二氧化硫</w:t>
                        </w:r>
                        <w:r>
                          <w:rPr>
                            <w:spacing w:val="-5"/>
                            <w:position w:val="2"/>
                            <w:sz w:val="24"/>
                          </w:rPr>
                          <w:t>（</w:t>
                        </w:r>
                        <w:r>
                          <w:rPr>
                            <w:rFonts w:ascii="Times New Roman" w:eastAsia="Times New Roman"/>
                            <w:position w:val="2"/>
                            <w:sz w:val="24"/>
                          </w:rPr>
                          <w:t>S</w:t>
                        </w:r>
                        <w:r>
                          <w:rPr>
                            <w:rFonts w:ascii="Times New Roman" w:eastAsia="Times New Roman"/>
                            <w:spacing w:val="-3"/>
                            <w:position w:val="2"/>
                            <w:sz w:val="24"/>
                          </w:rPr>
                          <w:t>O</w:t>
                        </w:r>
                        <w:r>
                          <w:rPr>
                            <w:rFonts w:ascii="Times New Roman" w:eastAsia="Times New Roman"/>
                            <w:spacing w:val="1"/>
                            <w:w w:val="103"/>
                            <w:position w:val="2"/>
                            <w:sz w:val="24"/>
                            <w:vertAlign w:val="subscript"/>
                          </w:rPr>
                          <w:t>2</w:t>
                        </w:r>
                        <w:r>
                          <w:rPr>
                            <w:spacing w:val="-106"/>
                            <w:position w:val="2"/>
                            <w:sz w:val="24"/>
                            <w:vertAlign w:val="baseline"/>
                          </w:rPr>
                          <w:t>）</w:t>
                        </w:r>
                        <w:r>
                          <w:rPr>
                            <w:spacing w:val="-42"/>
                            <w:position w:val="2"/>
                            <w:sz w:val="24"/>
                            <w:vertAlign w:val="baseline"/>
                          </w:rPr>
                          <w:t>、二氧化氮</w:t>
                        </w:r>
                        <w:r>
                          <w:rPr>
                            <w:spacing w:val="-5"/>
                            <w:position w:val="2"/>
                            <w:sz w:val="24"/>
                            <w:vertAlign w:val="baseline"/>
                          </w:rPr>
                          <w:t>（</w:t>
                        </w:r>
                        <w:r>
                          <w:rPr>
                            <w:rFonts w:ascii="Times New Roman" w:eastAsia="Times New Roman"/>
                            <w:spacing w:val="-1"/>
                            <w:position w:val="2"/>
                            <w:sz w:val="24"/>
                            <w:vertAlign w:val="baseline"/>
                          </w:rPr>
                          <w:t>N</w:t>
                        </w:r>
                        <w:r>
                          <w:rPr>
                            <w:rFonts w:ascii="Times New Roman" w:eastAsia="Times New Roman"/>
                            <w:spacing w:val="1"/>
                            <w:position w:val="2"/>
                            <w:sz w:val="24"/>
                            <w:vertAlign w:val="baseline"/>
                          </w:rPr>
                          <w:t>O</w:t>
                        </w:r>
                        <w:r>
                          <w:rPr>
                            <w:rFonts w:ascii="Times New Roman" w:eastAsia="Times New Roman"/>
                            <w:spacing w:val="-2"/>
                            <w:w w:val="103"/>
                            <w:position w:val="2"/>
                            <w:sz w:val="24"/>
                            <w:vertAlign w:val="subscript"/>
                          </w:rPr>
                          <w:t>2</w:t>
                        </w:r>
                        <w:r>
                          <w:rPr>
                            <w:spacing w:val="-106"/>
                            <w:position w:val="2"/>
                            <w:sz w:val="24"/>
                            <w:vertAlign w:val="baseline"/>
                          </w:rPr>
                          <w:t>）</w:t>
                        </w:r>
                        <w:r>
                          <w:rPr>
                            <w:spacing w:val="-30"/>
                            <w:position w:val="2"/>
                            <w:sz w:val="24"/>
                            <w:vertAlign w:val="baseline"/>
                          </w:rPr>
                          <w:t>、可吸入颗粒物</w:t>
                        </w:r>
                        <w:r>
                          <w:rPr>
                            <w:spacing w:val="-5"/>
                            <w:position w:val="2"/>
                            <w:sz w:val="24"/>
                            <w:vertAlign w:val="baseline"/>
                          </w:rPr>
                          <w:t>（</w:t>
                        </w:r>
                        <w:r>
                          <w:rPr>
                            <w:rFonts w:ascii="Times New Roman" w:eastAsia="Times New Roman"/>
                            <w:position w:val="2"/>
                            <w:sz w:val="24"/>
                            <w:vertAlign w:val="baseline"/>
                          </w:rPr>
                          <w:t>PM</w:t>
                        </w:r>
                        <w:r>
                          <w:rPr>
                            <w:rFonts w:ascii="Times New Roman" w:eastAsia="Times New Roman"/>
                            <w:spacing w:val="1"/>
                            <w:w w:val="103"/>
                            <w:position w:val="2"/>
                            <w:sz w:val="24"/>
                            <w:vertAlign w:val="subscript"/>
                          </w:rPr>
                          <w:t>1</w:t>
                        </w:r>
                        <w:r>
                          <w:rPr>
                            <w:rFonts w:ascii="Times New Roman" w:eastAsia="Times New Roman"/>
                            <w:w w:val="103"/>
                            <w:position w:val="2"/>
                            <w:sz w:val="24"/>
                            <w:vertAlign w:val="subscript"/>
                          </w:rPr>
                          <w:t>0</w:t>
                        </w:r>
                      </w:p>
                    </w:tc>
                  </w:tr>
                  <w:tr>
                    <w:tblPrEx>
                      <w:tblW w:w="0" w:type="auto"/>
                      <w:jc w:val="left"/>
                      <w:tblInd w:w="10" w:type="dxa"/>
                      <w:tblLayout w:type="fixed"/>
                      <w:tblCellMar>
                        <w:top w:w="0" w:type="dxa"/>
                        <w:left w:w="0" w:type="dxa"/>
                        <w:bottom w:w="0" w:type="dxa"/>
                        <w:right w:w="0" w:type="dxa"/>
                      </w:tblCellMar>
                      <w:tblLook w:val="01E0"/>
                    </w:tblPrEx>
                    <w:trPr>
                      <w:trHeight w:val="447"/>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3"/>
                          <w:ind w:left="20" w:right="-29"/>
                          <w:rPr>
                            <w:sz w:val="24"/>
                          </w:rPr>
                        </w:pPr>
                        <w:r>
                          <w:rPr>
                            <w:position w:val="2"/>
                            <w:sz w:val="24"/>
                          </w:rPr>
                          <w:t>和细颗粒物（</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w:t>
                        </w:r>
                        <w:r>
                          <w:rPr>
                            <w:spacing w:val="-8"/>
                            <w:position w:val="2"/>
                            <w:sz w:val="24"/>
                            <w:vertAlign w:val="baseline"/>
                          </w:rPr>
                          <w:t xml:space="preserve">年均浓度分别为 </w:t>
                        </w:r>
                        <w:r>
                          <w:rPr>
                            <w:rFonts w:ascii="Times New Roman" w:eastAsia="Times New Roman"/>
                            <w:position w:val="2"/>
                            <w:sz w:val="24"/>
                            <w:vertAlign w:val="baseline"/>
                          </w:rPr>
                          <w:t xml:space="preserve">8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20 </w:t>
                        </w:r>
                        <w:r>
                          <w:rPr>
                            <w:position w:val="2"/>
                            <w:sz w:val="24"/>
                            <w:vertAlign w:val="baseline"/>
                          </w:rPr>
                          <w:t>微克</w:t>
                        </w:r>
                        <w:r>
                          <w:rPr>
                            <w:rFonts w:ascii="Times New Roman" w:eastAsia="Times New Roman"/>
                            <w:position w:val="2"/>
                            <w:sz w:val="24"/>
                            <w:vertAlign w:val="baseline"/>
                          </w:rPr>
                          <w:t>/</w:t>
                        </w:r>
                        <w:r>
                          <w:rPr>
                            <w:spacing w:val="-6"/>
                            <w:position w:val="2"/>
                            <w:sz w:val="24"/>
                            <w:vertAlign w:val="baseline"/>
                          </w:rPr>
                          <w:t>立方米、</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4"/>
                          <w:ind w:left="20"/>
                          <w:rPr>
                            <w:rFonts w:ascii="Times New Roman" w:eastAsia="Times New Roman"/>
                            <w:sz w:val="24"/>
                          </w:rPr>
                        </w:pPr>
                        <w:r>
                          <w:rPr>
                            <w:rFonts w:ascii="Times New Roman" w:eastAsia="Times New Roman"/>
                            <w:sz w:val="24"/>
                          </w:rPr>
                          <w:t xml:space="preserve">55 </w:t>
                        </w:r>
                        <w:r>
                          <w:rPr>
                            <w:sz w:val="24"/>
                          </w:rPr>
                          <w:t>微克</w:t>
                        </w:r>
                        <w:r>
                          <w:rPr>
                            <w:rFonts w:ascii="Times New Roman" w:eastAsia="Times New Roman"/>
                            <w:sz w:val="24"/>
                          </w:rPr>
                          <w:t>/</w:t>
                        </w:r>
                        <w:r>
                          <w:rPr>
                            <w:spacing w:val="-12"/>
                            <w:sz w:val="24"/>
                          </w:rPr>
                          <w:t xml:space="preserve">立方米和 </w:t>
                        </w:r>
                        <w:r>
                          <w:rPr>
                            <w:rFonts w:ascii="Times New Roman" w:eastAsia="Times New Roman"/>
                            <w:sz w:val="24"/>
                          </w:rPr>
                          <w:t xml:space="preserve">31 </w:t>
                        </w:r>
                        <w:r>
                          <w:rPr>
                            <w:sz w:val="24"/>
                          </w:rPr>
                          <w:t>微克</w:t>
                        </w:r>
                        <w:r>
                          <w:rPr>
                            <w:rFonts w:ascii="Times New Roman" w:eastAsia="Times New Roman"/>
                            <w:sz w:val="24"/>
                          </w:rPr>
                          <w:t>/</w:t>
                        </w:r>
                        <w:r>
                          <w:rPr>
                            <w:sz w:val="24"/>
                          </w:rPr>
                          <w:t>立方米，一氧化碳（</w:t>
                        </w:r>
                        <w:r>
                          <w:rPr>
                            <w:spacing w:val="-20"/>
                            <w:sz w:val="24"/>
                          </w:rPr>
                          <w:t xml:space="preserve">日均 </w:t>
                        </w:r>
                        <w:r>
                          <w:rPr>
                            <w:rFonts w:ascii="Times New Roman" w:eastAsia="Times New Roman"/>
                            <w:sz w:val="24"/>
                          </w:rPr>
                          <w:t>95%</w:t>
                        </w:r>
                        <w:r>
                          <w:rPr>
                            <w:sz w:val="24"/>
                          </w:rPr>
                          <w:t>位数）</w:t>
                        </w:r>
                        <w:r>
                          <w:rPr>
                            <w:spacing w:val="-20"/>
                            <w:sz w:val="24"/>
                          </w:rPr>
                          <w:t xml:space="preserve">浓度 </w:t>
                        </w:r>
                        <w:r>
                          <w:rPr>
                            <w:rFonts w:ascii="Times New Roman" w:eastAsia="Times New Roman"/>
                            <w:sz w:val="24"/>
                          </w:rPr>
                          <w:t>0.8</w:t>
                        </w:r>
                      </w:p>
                    </w:tc>
                  </w:tr>
                  <w:tr>
                    <w:tblPrEx>
                      <w:tblW w:w="0" w:type="auto"/>
                      <w:jc w:val="left"/>
                      <w:tblInd w:w="10" w:type="dxa"/>
                      <w:tblLayout w:type="fixed"/>
                      <w:tblCellMar>
                        <w:top w:w="0" w:type="dxa"/>
                        <w:left w:w="0" w:type="dxa"/>
                        <w:bottom w:w="0" w:type="dxa"/>
                        <w:right w:w="0" w:type="dxa"/>
                      </w:tblCellMar>
                      <w:tblLook w:val="01E0"/>
                    </w:tblPrEx>
                    <w:trPr>
                      <w:trHeight w:val="44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6"/>
                          <w:ind w:left="20" w:right="-15"/>
                          <w:rPr>
                            <w:rFonts w:ascii="Times New Roman" w:eastAsia="Times New Roman"/>
                            <w:sz w:val="24"/>
                          </w:rPr>
                        </w:pPr>
                        <w:r>
                          <w:rPr>
                            <w:sz w:val="24"/>
                          </w:rPr>
                          <w:t>毫克</w:t>
                        </w:r>
                        <w:r>
                          <w:rPr>
                            <w:rFonts w:ascii="Times New Roman" w:eastAsia="Times New Roman"/>
                            <w:sz w:val="24"/>
                          </w:rPr>
                          <w:t>/</w:t>
                        </w:r>
                        <w:r>
                          <w:rPr>
                            <w:sz w:val="24"/>
                          </w:rPr>
                          <w:t>立方米、臭氧（</w:t>
                        </w:r>
                        <w:r>
                          <w:rPr>
                            <w:spacing w:val="-13"/>
                            <w:sz w:val="24"/>
                          </w:rPr>
                          <w:t xml:space="preserve">日最大 </w:t>
                        </w:r>
                        <w:r>
                          <w:rPr>
                            <w:rFonts w:ascii="Times New Roman" w:eastAsia="Times New Roman"/>
                            <w:sz w:val="24"/>
                          </w:rPr>
                          <w:t>8</w:t>
                        </w:r>
                        <w:r>
                          <w:rPr>
                            <w:rFonts w:ascii="Times New Roman" w:eastAsia="Times New Roman"/>
                            <w:spacing w:val="10"/>
                            <w:sz w:val="24"/>
                          </w:rPr>
                          <w:t xml:space="preserve"> </w:t>
                        </w:r>
                        <w:r>
                          <w:rPr>
                            <w:spacing w:val="-7"/>
                            <w:sz w:val="24"/>
                          </w:rPr>
                          <w:t xml:space="preserve">小时滑动平均 </w:t>
                        </w:r>
                        <w:r>
                          <w:rPr>
                            <w:rFonts w:ascii="Times New Roman" w:eastAsia="Times New Roman"/>
                            <w:sz w:val="24"/>
                          </w:rPr>
                          <w:t>90%</w:t>
                        </w:r>
                        <w:r>
                          <w:rPr>
                            <w:sz w:val="24"/>
                          </w:rPr>
                          <w:t>位数）</w:t>
                        </w:r>
                        <w:r>
                          <w:rPr>
                            <w:spacing w:val="-17"/>
                            <w:sz w:val="24"/>
                          </w:rPr>
                          <w:t xml:space="preserve">浓度 </w:t>
                        </w:r>
                        <w:r>
                          <w:rPr>
                            <w:rFonts w:ascii="Times New Roman" w:eastAsia="Times New Roman"/>
                            <w:sz w:val="24"/>
                          </w:rPr>
                          <w:t>158</w:t>
                        </w:r>
                        <w:r>
                          <w:rPr>
                            <w:rFonts w:ascii="Times New Roman" w:eastAsia="Times New Roman"/>
                            <w:spacing w:val="10"/>
                            <w:sz w:val="24"/>
                          </w:rPr>
                          <w:t xml:space="preserve"> </w:t>
                        </w:r>
                        <w:r>
                          <w:rPr>
                            <w:spacing w:val="2"/>
                            <w:sz w:val="24"/>
                          </w:rPr>
                          <w:t>微克</w:t>
                        </w:r>
                        <w:r>
                          <w:rPr>
                            <w:rFonts w:ascii="Times New Roman" w:eastAsia="Times New Roman"/>
                            <w:sz w:val="24"/>
                          </w:rPr>
                          <w:t>/</w:t>
                        </w:r>
                      </w:p>
                    </w:tc>
                  </w:tr>
                  <w:tr>
                    <w:tblPrEx>
                      <w:tblW w:w="0" w:type="auto"/>
                      <w:jc w:val="left"/>
                      <w:tblInd w:w="10" w:type="dxa"/>
                      <w:tblLayout w:type="fixed"/>
                      <w:tblCellMar>
                        <w:top w:w="0" w:type="dxa"/>
                        <w:left w:w="0" w:type="dxa"/>
                        <w:bottom w:w="0" w:type="dxa"/>
                        <w:right w:w="0" w:type="dxa"/>
                      </w:tblCellMar>
                      <w:tblLook w:val="01E0"/>
                    </w:tblPrEx>
                    <w:trPr>
                      <w:trHeight w:val="506"/>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65"/>
                          <w:ind w:left="20"/>
                          <w:rPr>
                            <w:sz w:val="24"/>
                          </w:rPr>
                        </w:pPr>
                        <w:r>
                          <w:rPr>
                            <w:sz w:val="24"/>
                          </w:rPr>
                          <w:t>立方米，浓度均优于《环境空气质量标准》（</w:t>
                        </w:r>
                        <w:r>
                          <w:rPr>
                            <w:rFonts w:ascii="Times New Roman" w:eastAsia="Times New Roman"/>
                            <w:sz w:val="24"/>
                          </w:rPr>
                          <w:t>GB3095-2012</w:t>
                        </w:r>
                        <w:r>
                          <w:rPr>
                            <w:sz w:val="24"/>
                          </w:rPr>
                          <w:t>）二级标准</w:t>
                        </w:r>
                      </w:p>
                    </w:tc>
                  </w:tr>
                  <w:tr>
                    <w:tblPrEx>
                      <w:tblW w:w="0" w:type="auto"/>
                      <w:jc w:val="left"/>
                      <w:tblInd w:w="10" w:type="dxa"/>
                      <w:tblLayout w:type="fixed"/>
                      <w:tblCellMar>
                        <w:top w:w="0" w:type="dxa"/>
                        <w:left w:w="0" w:type="dxa"/>
                        <w:bottom w:w="0" w:type="dxa"/>
                        <w:right w:w="0" w:type="dxa"/>
                      </w:tblCellMar>
                      <w:tblLook w:val="01E0"/>
                    </w:tblPrEx>
                    <w:trPr>
                      <w:trHeight w:val="507"/>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bottom w:val="nil"/>
                        </w:tcBorders>
                      </w:tcPr>
                      <w:p>
                        <w:pPr>
                          <w:pStyle w:val="TableParagraph"/>
                          <w:spacing w:before="123"/>
                          <w:ind w:left="500" w:right="-15"/>
                          <w:rPr>
                            <w:sz w:val="24"/>
                          </w:rPr>
                        </w:pPr>
                        <w:r>
                          <w:rPr>
                            <w:position w:val="2"/>
                            <w:sz w:val="24"/>
                          </w:rPr>
                          <w:t>与上年相比，二氧化硫、二氧化氮、</w:t>
                        </w:r>
                        <w:r>
                          <w:rPr>
                            <w:rFonts w:ascii="Times New Roman" w:eastAsia="Times New Roman"/>
                            <w:position w:val="2"/>
                            <w:sz w:val="24"/>
                          </w:rPr>
                          <w:t>PM</w:t>
                        </w:r>
                        <w:r>
                          <w:rPr>
                            <w:rFonts w:ascii="Times New Roman" w:eastAsia="Times New Roman"/>
                            <w:position w:val="2"/>
                            <w:sz w:val="24"/>
                            <w:vertAlign w:val="subscript"/>
                          </w:rPr>
                          <w:t>2.5</w:t>
                        </w:r>
                        <w:r>
                          <w:rPr>
                            <w:rFonts w:ascii="Times New Roman" w:eastAsia="Times New Roman"/>
                            <w:spacing w:val="-19"/>
                            <w:position w:val="2"/>
                            <w:sz w:val="24"/>
                            <w:vertAlign w:val="baseline"/>
                          </w:rPr>
                          <w:t xml:space="preserve"> </w:t>
                        </w:r>
                        <w:r>
                          <w:rPr>
                            <w:spacing w:val="-27"/>
                            <w:position w:val="2"/>
                            <w:sz w:val="24"/>
                            <w:vertAlign w:val="baseline"/>
                          </w:rPr>
                          <w:t xml:space="preserve">和 </w:t>
                        </w:r>
                        <w:r>
                          <w:rPr>
                            <w:rFonts w:ascii="Times New Roman" w:eastAsia="Times New Roman"/>
                            <w:position w:val="2"/>
                            <w:sz w:val="24"/>
                            <w:vertAlign w:val="baseline"/>
                          </w:rPr>
                          <w:t>PM</w:t>
                        </w:r>
                        <w:r>
                          <w:rPr>
                            <w:rFonts w:ascii="Times New Roman" w:eastAsia="Times New Roman"/>
                            <w:position w:val="2"/>
                            <w:sz w:val="24"/>
                            <w:vertAlign w:val="subscript"/>
                          </w:rPr>
                          <w:t>10</w:t>
                        </w:r>
                        <w:r>
                          <w:rPr>
                            <w:rFonts w:ascii="Times New Roman" w:eastAsia="Times New Roman"/>
                            <w:spacing w:val="-19"/>
                            <w:position w:val="2"/>
                            <w:sz w:val="24"/>
                            <w:vertAlign w:val="baseline"/>
                          </w:rPr>
                          <w:t xml:space="preserve"> </w:t>
                        </w:r>
                        <w:r>
                          <w:rPr>
                            <w:spacing w:val="-3"/>
                            <w:position w:val="2"/>
                            <w:sz w:val="24"/>
                            <w:vertAlign w:val="baseline"/>
                          </w:rPr>
                          <w:t>年均浓度分别下</w:t>
                        </w:r>
                      </w:p>
                    </w:tc>
                  </w:tr>
                  <w:tr>
                    <w:tblPrEx>
                      <w:tblW w:w="0" w:type="auto"/>
                      <w:jc w:val="left"/>
                      <w:tblInd w:w="10" w:type="dxa"/>
                      <w:tblLayout w:type="fixed"/>
                      <w:tblCellMar>
                        <w:top w:w="0" w:type="dxa"/>
                        <w:left w:w="0" w:type="dxa"/>
                        <w:bottom w:w="0" w:type="dxa"/>
                        <w:right w:w="0" w:type="dxa"/>
                      </w:tblCellMar>
                      <w:tblLook w:val="01E0"/>
                    </w:tblPrEx>
                    <w:trPr>
                      <w:trHeight w:val="548"/>
                      <w:jc w:val="left"/>
                    </w:trPr>
                    <w:tc>
                      <w:tcPr>
                        <w:tcW w:w="1580" w:type="dxa"/>
                        <w:vMerge/>
                        <w:tcBorders>
                          <w:top w:val="nil"/>
                          <w:right w:val="single" w:sz="4" w:space="0" w:color="000000"/>
                        </w:tcBorders>
                      </w:tcPr>
                      <w:p>
                        <w:pPr>
                          <w:rPr>
                            <w:sz w:val="2"/>
                            <w:szCs w:val="2"/>
                          </w:rPr>
                        </w:pPr>
                      </w:p>
                    </w:tc>
                    <w:tc>
                      <w:tcPr>
                        <w:tcW w:w="7459" w:type="dxa"/>
                        <w:gridSpan w:val="3"/>
                        <w:tcBorders>
                          <w:top w:val="nil"/>
                          <w:left w:val="single" w:sz="4" w:space="0" w:color="000000"/>
                        </w:tcBorders>
                      </w:tcPr>
                      <w:p>
                        <w:pPr>
                          <w:pStyle w:val="TableParagraph"/>
                          <w:spacing w:before="64"/>
                          <w:ind w:left="20" w:right="-15"/>
                          <w:rPr>
                            <w:sz w:val="24"/>
                          </w:rPr>
                        </w:pPr>
                        <w:r>
                          <w:rPr>
                            <w:spacing w:val="-26"/>
                            <w:sz w:val="24"/>
                          </w:rPr>
                          <w:t xml:space="preserve">降 </w:t>
                        </w:r>
                        <w:r>
                          <w:rPr>
                            <w:rFonts w:ascii="Times New Roman" w:eastAsia="Times New Roman"/>
                            <w:sz w:val="24"/>
                          </w:rPr>
                          <w:t>11.1%</w:t>
                        </w:r>
                        <w:r>
                          <w:rPr>
                            <w:sz w:val="24"/>
                          </w:rPr>
                          <w:t>、</w:t>
                        </w:r>
                        <w:r>
                          <w:rPr>
                            <w:rFonts w:ascii="Times New Roman" w:eastAsia="Times New Roman"/>
                            <w:sz w:val="24"/>
                          </w:rPr>
                          <w:t>9.1%</w:t>
                        </w:r>
                        <w:r>
                          <w:rPr>
                            <w:sz w:val="24"/>
                          </w:rPr>
                          <w:t>、</w:t>
                        </w:r>
                        <w:r>
                          <w:rPr>
                            <w:rFonts w:ascii="Times New Roman" w:eastAsia="Times New Roman"/>
                            <w:sz w:val="24"/>
                          </w:rPr>
                          <w:t>3.1%</w:t>
                        </w:r>
                        <w:r>
                          <w:rPr>
                            <w:sz w:val="24"/>
                          </w:rPr>
                          <w:t>、</w:t>
                        </w:r>
                        <w:r>
                          <w:rPr>
                            <w:rFonts w:ascii="Times New Roman" w:eastAsia="Times New Roman"/>
                            <w:sz w:val="24"/>
                          </w:rPr>
                          <w:t>16.7%</w:t>
                        </w:r>
                        <w:r>
                          <w:rPr>
                            <w:spacing w:val="1"/>
                            <w:sz w:val="24"/>
                          </w:rPr>
                          <w:t>，臭氧</w:t>
                        </w:r>
                        <w:r>
                          <w:rPr>
                            <w:spacing w:val="4"/>
                            <w:sz w:val="24"/>
                          </w:rPr>
                          <w:t>（</w:t>
                        </w:r>
                        <w:r>
                          <w:rPr>
                            <w:spacing w:val="-13"/>
                            <w:sz w:val="24"/>
                          </w:rPr>
                          <w:t xml:space="preserve">日最大 </w:t>
                        </w:r>
                        <w:r>
                          <w:rPr>
                            <w:rFonts w:ascii="Times New Roman" w:eastAsia="Times New Roman"/>
                            <w:sz w:val="24"/>
                          </w:rPr>
                          <w:t>8</w:t>
                        </w:r>
                        <w:r>
                          <w:rPr>
                            <w:rFonts w:ascii="Times New Roman" w:eastAsia="Times New Roman"/>
                            <w:spacing w:val="8"/>
                            <w:sz w:val="24"/>
                          </w:rPr>
                          <w:t xml:space="preserve"> </w:t>
                        </w:r>
                        <w:r>
                          <w:rPr>
                            <w:spacing w:val="-8"/>
                            <w:sz w:val="24"/>
                          </w:rPr>
                          <w:t xml:space="preserve">小时滑动平均 </w:t>
                        </w:r>
                        <w:r>
                          <w:rPr>
                            <w:rFonts w:ascii="Times New Roman" w:eastAsia="Times New Roman"/>
                            <w:sz w:val="24"/>
                          </w:rPr>
                          <w:t>90%</w:t>
                        </w:r>
                        <w:r>
                          <w:rPr>
                            <w:sz w:val="24"/>
                          </w:rPr>
                          <w:t>位</w:t>
                        </w:r>
                      </w:p>
                    </w:tc>
                  </w:tr>
                </w:tbl>
                <w:p>
                  <w:pPr>
                    <w:pStyle w:val="BodyText"/>
                  </w:pPr>
                </w:p>
              </w:txbxContent>
            </v:textbox>
          </v:shape>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rPr>
      </w:pPr>
    </w:p>
    <w:p>
      <w:pPr>
        <w:pStyle w:val="BodyText"/>
        <w:spacing w:before="66"/>
        <w:ind w:right="131"/>
        <w:jc w:val="right"/>
      </w:pPr>
      <w:r>
        <w:t>。</w:t>
      </w:r>
    </w:p>
    <w:p>
      <w:pPr>
        <w:pStyle w:val="BodyText"/>
      </w:pPr>
    </w:p>
    <w:p>
      <w:pPr>
        <w:pStyle w:val="BodyText"/>
        <w:spacing w:before="11"/>
      </w:pPr>
    </w:p>
    <w:p>
      <w:pPr>
        <w:pStyle w:val="BodyText"/>
        <w:ind w:right="131"/>
        <w:jc w:val="right"/>
      </w:pPr>
      <w:r>
        <w:t>）</w:t>
      </w:r>
    </w:p>
    <w:p>
      <w:pPr>
        <w:pStyle w:val="BodyText"/>
      </w:pPr>
    </w:p>
    <w:p>
      <w:pPr>
        <w:pStyle w:val="BodyText"/>
      </w:pPr>
    </w:p>
    <w:p>
      <w:pPr>
        <w:pStyle w:val="BodyText"/>
      </w:pPr>
    </w:p>
    <w:p>
      <w:pPr>
        <w:pStyle w:val="BodyText"/>
      </w:pPr>
    </w:p>
    <w:p>
      <w:pPr>
        <w:pStyle w:val="BodyText"/>
        <w:spacing w:before="10"/>
        <w:rPr>
          <w:sz w:val="25"/>
        </w:rPr>
      </w:pPr>
    </w:p>
    <w:p>
      <w:pPr>
        <w:pStyle w:val="BodyText"/>
        <w:ind w:right="131"/>
        <w:jc w:val="right"/>
      </w:pPr>
      <w:r>
        <w:t>。</w:t>
      </w:r>
    </w:p>
    <w:p>
      <w:pPr>
        <w:spacing w:after="0"/>
        <w:jc w:val="right"/>
        <w:sectPr>
          <w:footerReference w:type="default" r:id="rId19"/>
          <w:pgSz w:w="11910" w:h="16840"/>
          <w:pgMar w:top="1580" w:right="1100" w:bottom="1500" w:left="1180" w:header="0" w:footer="1225"/>
          <w:pgNumType w:start="16"/>
          <w:cols w:space="708"/>
        </w:sectPr>
      </w:pPr>
    </w:p>
    <w:p>
      <w:pPr>
        <w:pStyle w:val="BodyText"/>
        <w:rPr>
          <w:sz w:val="20"/>
        </w:rPr>
      </w:pPr>
      <w:r>
        <w:pict>
          <v:shape id="_x0000_s1044" type="#_x0000_t202" style="width:453.4pt;height:661.75pt;margin-top:85.05pt;margin-left:76.07pt;mso-position-horizontal-relative:page;mso-position-vertical-relative:page;position:absolute;z-index:251665408" filled="f" stroked="f">
            <v:textbox inset="0,0,0,0">
              <w:txbxContent>
                <w:tbl>
                  <w:tblPr>
                    <w:tblStyle w:val="TableNormal5"/>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941"/>
                    <w:gridCol w:w="3681"/>
                    <w:gridCol w:w="2837"/>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2035"/>
                      <w:jc w:val="left"/>
                    </w:trPr>
                    <w:tc>
                      <w:tcPr>
                        <w:tcW w:w="1580" w:type="dxa"/>
                        <w:vMerge w:val="restart"/>
                        <w:tcBorders>
                          <w:right w:val="single" w:sz="4" w:space="0" w:color="000000"/>
                        </w:tcBorders>
                      </w:tcPr>
                      <w:p>
                        <w:pPr>
                          <w:pStyle w:val="TableParagraph"/>
                          <w:rPr>
                            <w:rFonts w:ascii="Times New Roman"/>
                            <w:sz w:val="22"/>
                          </w:rPr>
                        </w:pPr>
                      </w:p>
                    </w:tc>
                    <w:tc>
                      <w:tcPr>
                        <w:tcW w:w="7459" w:type="dxa"/>
                        <w:gridSpan w:val="3"/>
                        <w:tcBorders>
                          <w:left w:val="single" w:sz="4" w:space="0" w:color="000000"/>
                          <w:bottom w:val="single" w:sz="12" w:space="0" w:color="000000"/>
                        </w:tcBorders>
                      </w:tcPr>
                      <w:p>
                        <w:pPr>
                          <w:pStyle w:val="TableParagraph"/>
                          <w:spacing w:before="8" w:line="364" w:lineRule="auto"/>
                          <w:ind w:left="20" w:right="-29"/>
                          <w:rPr>
                            <w:sz w:val="24"/>
                          </w:rPr>
                        </w:pPr>
                        <w:r>
                          <w:rPr>
                            <w:spacing w:val="4"/>
                            <w:sz w:val="24"/>
                          </w:rPr>
                          <w:t>数）</w:t>
                        </w:r>
                        <w:r>
                          <w:rPr>
                            <w:spacing w:val="-16"/>
                            <w:sz w:val="24"/>
                          </w:rPr>
                          <w:t xml:space="preserve">上升 </w:t>
                        </w:r>
                        <w:r>
                          <w:rPr>
                            <w:rFonts w:ascii="Times New Roman" w:eastAsia="Times New Roman" w:hAnsi="Times New Roman"/>
                            <w:sz w:val="24"/>
                          </w:rPr>
                          <w:t>10.0%</w:t>
                        </w:r>
                        <w:r>
                          <w:rPr>
                            <w:spacing w:val="2"/>
                            <w:sz w:val="24"/>
                          </w:rPr>
                          <w:t>，一氧化碳</w:t>
                        </w:r>
                        <w:r>
                          <w:rPr>
                            <w:spacing w:val="4"/>
                            <w:sz w:val="24"/>
                          </w:rPr>
                          <w:t>（</w:t>
                        </w:r>
                        <w:r>
                          <w:rPr>
                            <w:spacing w:val="-16"/>
                            <w:sz w:val="24"/>
                          </w:rPr>
                          <w:t xml:space="preserve">日均 </w:t>
                        </w:r>
                        <w:r>
                          <w:rPr>
                            <w:rFonts w:ascii="Times New Roman" w:eastAsia="Times New Roman" w:hAnsi="Times New Roman"/>
                            <w:sz w:val="24"/>
                          </w:rPr>
                          <w:t>95%</w:t>
                        </w:r>
                        <w:r>
                          <w:rPr>
                            <w:spacing w:val="4"/>
                            <w:sz w:val="24"/>
                          </w:rPr>
                          <w:t>位数）</w:t>
                        </w:r>
                        <w:r>
                          <w:rPr>
                            <w:sz w:val="24"/>
                          </w:rPr>
                          <w:t>浓度持平， 因此项目所</w:t>
                        </w:r>
                        <w:r>
                          <w:rPr>
                            <w:spacing w:val="21"/>
                            <w:sz w:val="24"/>
                          </w:rPr>
                          <w:t>在区域大气环境质量判定为达标区。</w:t>
                        </w:r>
                        <w:r>
                          <w:rPr>
                            <w:rFonts w:ascii="Times New Roman" w:eastAsia="Times New Roman" w:hAnsi="Times New Roman"/>
                            <w:spacing w:val="7"/>
                            <w:sz w:val="24"/>
                          </w:rPr>
                          <w:t>2022</w:t>
                        </w:r>
                        <w:r>
                          <w:rPr>
                            <w:rFonts w:ascii="Times New Roman" w:eastAsia="Times New Roman" w:hAnsi="Times New Roman"/>
                            <w:spacing w:val="17"/>
                            <w:sz w:val="24"/>
                          </w:rPr>
                          <w:t xml:space="preserve"> </w:t>
                        </w:r>
                        <w:r>
                          <w:rPr>
                            <w:spacing w:val="18"/>
                            <w:sz w:val="24"/>
                          </w:rPr>
                          <w:t>年境内地表水环境质量</w:t>
                        </w:r>
                        <w:r>
                          <w:rPr>
                            <w:spacing w:val="13"/>
                            <w:sz w:val="24"/>
                          </w:rPr>
                          <w:t xml:space="preserve">总体良好，达到或优于Ⅲ类水质断面比例 </w:t>
                        </w:r>
                        <w:r>
                          <w:rPr>
                            <w:rFonts w:ascii="Times New Roman" w:eastAsia="Times New Roman" w:hAnsi="Times New Roman"/>
                            <w:spacing w:val="5"/>
                            <w:sz w:val="24"/>
                          </w:rPr>
                          <w:t>100%</w:t>
                        </w:r>
                        <w:r>
                          <w:rPr>
                            <w:spacing w:val="14"/>
                            <w:sz w:val="24"/>
                          </w:rPr>
                          <w:t>，县级在用饮用水</w:t>
                        </w:r>
                        <w:r>
                          <w:rPr>
                            <w:spacing w:val="7"/>
                            <w:sz w:val="24"/>
                          </w:rPr>
                          <w:t>源水质稳定达标， 满足《地表水环境质量标准》</w:t>
                        </w:r>
                        <w:r>
                          <w:rPr>
                            <w:spacing w:val="9"/>
                            <w:sz w:val="24"/>
                          </w:rPr>
                          <w:t>（</w:t>
                        </w:r>
                        <w:r>
                          <w:rPr>
                            <w:rFonts w:ascii="Times New Roman" w:eastAsia="Times New Roman" w:hAnsi="Times New Roman"/>
                            <w:spacing w:val="9"/>
                            <w:sz w:val="24"/>
                          </w:rPr>
                          <w:t>GB3838-2002</w:t>
                        </w:r>
                        <w:r>
                          <w:rPr>
                            <w:spacing w:val="9"/>
                            <w:sz w:val="24"/>
                          </w:rPr>
                          <w:t xml:space="preserve">） </w:t>
                        </w:r>
                        <w:r>
                          <w:rPr>
                            <w:spacing w:val="-4"/>
                            <w:sz w:val="24"/>
                          </w:rPr>
                          <w:t xml:space="preserve">Ⅲ类标准， </w:t>
                        </w:r>
                        <w:r>
                          <w:rPr>
                            <w:rFonts w:ascii="Times New Roman" w:eastAsia="Times New Roman" w:hAnsi="Times New Roman"/>
                            <w:sz w:val="24"/>
                          </w:rPr>
                          <w:t>2022</w:t>
                        </w:r>
                        <w:r>
                          <w:rPr>
                            <w:rFonts w:ascii="Times New Roman" w:eastAsia="Times New Roman" w:hAnsi="Times New Roman"/>
                            <w:spacing w:val="21"/>
                            <w:sz w:val="24"/>
                          </w:rPr>
                          <w:t xml:space="preserve"> </w:t>
                        </w:r>
                        <w:r>
                          <w:rPr>
                            <w:sz w:val="24"/>
                          </w:rPr>
                          <w:t>年我县县级在用水源地苏北灌溉总渠板湖水源地和陈</w:t>
                        </w:r>
                        <w:r>
                          <w:rPr>
                            <w:spacing w:val="-6"/>
                            <w:sz w:val="24"/>
                          </w:rPr>
                          <w:t xml:space="preserve">集水源地取水量合计 </w:t>
                        </w:r>
                        <w:r>
                          <w:rPr>
                            <w:rFonts w:ascii="Times New Roman" w:eastAsia="Times New Roman" w:hAnsi="Times New Roman"/>
                            <w:sz w:val="24"/>
                          </w:rPr>
                          <w:t xml:space="preserve">4637 </w:t>
                        </w:r>
                        <w:r>
                          <w:rPr>
                            <w:spacing w:val="-12"/>
                            <w:sz w:val="24"/>
                          </w:rPr>
                          <w:t xml:space="preserve">万吨，达标率 </w:t>
                        </w:r>
                        <w:r>
                          <w:rPr>
                            <w:rFonts w:ascii="Times New Roman" w:eastAsia="Times New Roman" w:hAnsi="Times New Roman"/>
                            <w:sz w:val="24"/>
                          </w:rPr>
                          <w:t>100%</w:t>
                        </w:r>
                        <w:r>
                          <w:rPr>
                            <w:spacing w:val="-12"/>
                            <w:sz w:val="24"/>
                          </w:rPr>
                          <w:t>。</w:t>
                        </w:r>
                        <w:r>
                          <w:rPr>
                            <w:rFonts w:ascii="Times New Roman" w:eastAsia="Times New Roman" w:hAnsi="Times New Roman"/>
                            <w:spacing w:val="4"/>
                            <w:sz w:val="24"/>
                          </w:rPr>
                          <w:t>2022</w:t>
                        </w:r>
                        <w:r>
                          <w:rPr>
                            <w:rFonts w:ascii="Times New Roman" w:eastAsia="Times New Roman" w:hAnsi="Times New Roman"/>
                            <w:spacing w:val="14"/>
                            <w:sz w:val="24"/>
                          </w:rPr>
                          <w:t xml:space="preserve"> </w:t>
                        </w:r>
                        <w:r>
                          <w:rPr>
                            <w:spacing w:val="16"/>
                            <w:sz w:val="24"/>
                          </w:rPr>
                          <w:t>年县城区声环境</w:t>
                        </w:r>
                        <w:r>
                          <w:rPr>
                            <w:spacing w:val="7"/>
                            <w:sz w:val="24"/>
                          </w:rPr>
                          <w:t>质量状况总体较好，昼间区域噪声及道路交通噪声平均等效声级仍</w:t>
                        </w:r>
                        <w:r>
                          <w:rPr>
                            <w:spacing w:val="12"/>
                            <w:sz w:val="24"/>
                          </w:rPr>
                          <w:t>维持在上年水平，城区功能区噪声昼夜达标情况良好。项目所在区</w:t>
                        </w:r>
                        <w:r>
                          <w:rPr>
                            <w:spacing w:val="3"/>
                            <w:sz w:val="24"/>
                          </w:rPr>
                          <w:t>域执行《声环境质量标准》</w:t>
                        </w:r>
                        <w:r>
                          <w:rPr>
                            <w:sz w:val="24"/>
                          </w:rPr>
                          <w:t>（</w:t>
                        </w:r>
                        <w:r>
                          <w:rPr>
                            <w:rFonts w:ascii="Times New Roman" w:eastAsia="Times New Roman" w:hAnsi="Times New Roman"/>
                            <w:sz w:val="24"/>
                          </w:rPr>
                          <w:t>GB3096-2008</w:t>
                        </w:r>
                        <w:r>
                          <w:rPr>
                            <w:sz w:val="24"/>
                          </w:rPr>
                          <w:t>）</w:t>
                        </w:r>
                        <w:r>
                          <w:rPr>
                            <w:rFonts w:ascii="Times New Roman" w:eastAsia="Times New Roman" w:hAnsi="Times New Roman"/>
                            <w:sz w:val="24"/>
                          </w:rPr>
                          <w:t>2</w:t>
                        </w:r>
                        <w:r>
                          <w:rPr>
                            <w:rFonts w:ascii="Times New Roman" w:eastAsia="Times New Roman" w:hAnsi="Times New Roman"/>
                            <w:spacing w:val="11"/>
                            <w:sz w:val="24"/>
                          </w:rPr>
                          <w:t xml:space="preserve"> </w:t>
                        </w:r>
                        <w:r>
                          <w:rPr>
                            <w:spacing w:val="2"/>
                            <w:sz w:val="24"/>
                          </w:rPr>
                          <w:t>类标准要求，由噪声环</w:t>
                        </w:r>
                        <w:r>
                          <w:rPr>
                            <w:spacing w:val="-7"/>
                            <w:sz w:val="24"/>
                          </w:rPr>
                          <w:t xml:space="preserve">境现状质量监测报告可知，项目所在区域声环境满足《声环境质量标准 </w:t>
                        </w:r>
                        <w:r>
                          <w:rPr>
                            <w:rFonts w:ascii="Times New Roman" w:eastAsia="Times New Roman" w:hAnsi="Times New Roman"/>
                            <w:spacing w:val="-7"/>
                            <w:sz w:val="24"/>
                          </w:rPr>
                          <w:t xml:space="preserve">2 </w:t>
                        </w:r>
                        <w:r>
                          <w:rPr>
                            <w:spacing w:val="-7"/>
                            <w:sz w:val="24"/>
                          </w:rPr>
                          <w:t>类标准要求。</w:t>
                        </w:r>
                      </w:p>
                      <w:p>
                        <w:pPr>
                          <w:pStyle w:val="TableParagraph"/>
                          <w:spacing w:line="362" w:lineRule="auto"/>
                          <w:ind w:left="20" w:right="14" w:firstLine="520"/>
                          <w:rPr>
                            <w:sz w:val="24"/>
                          </w:rPr>
                        </w:pPr>
                        <w:r>
                          <w:rPr>
                            <w:sz w:val="24"/>
                          </w:rPr>
                          <w:t>项目运行期间噪声经有效处理后，对环境影响较小，不会改变环境质量现状。</w:t>
                        </w:r>
                      </w:p>
                      <w:p>
                        <w:pPr>
                          <w:pStyle w:val="TableParagraph"/>
                          <w:numPr>
                            <w:ilvl w:val="0"/>
                            <w:numId w:val="36"/>
                          </w:numPr>
                          <w:tabs>
                            <w:tab w:val="left" w:pos="1102"/>
                          </w:tabs>
                          <w:spacing w:before="0" w:after="0" w:line="240" w:lineRule="auto"/>
                          <w:ind w:left="1101" w:right="0" w:hanging="602"/>
                          <w:jc w:val="left"/>
                          <w:rPr>
                            <w:sz w:val="24"/>
                          </w:rPr>
                        </w:pPr>
                        <w:r>
                          <w:rPr>
                            <w:sz w:val="24"/>
                          </w:rPr>
                          <w:t>资源利用上线相符性分析</w:t>
                        </w:r>
                      </w:p>
                      <w:p>
                        <w:pPr>
                          <w:pStyle w:val="TableParagraph"/>
                          <w:spacing w:before="158" w:line="364" w:lineRule="auto"/>
                          <w:ind w:left="20" w:right="-29" w:firstLine="480"/>
                          <w:jc w:val="both"/>
                          <w:rPr>
                            <w:sz w:val="24"/>
                          </w:rPr>
                        </w:pPr>
                        <w:r>
                          <w:rPr>
                            <w:spacing w:val="-3"/>
                            <w:sz w:val="24"/>
                          </w:rPr>
                          <w:t>本项目通过内部管理、设备选择、原辅材料的选用和管理、污染治理等多方面采取合理可行的清洁生产措施，以</w:t>
                        </w:r>
                        <w:r>
                          <w:rPr>
                            <w:rFonts w:ascii="Times New Roman" w:eastAsia="Times New Roman" w:hAnsi="Times New Roman"/>
                            <w:spacing w:val="-3"/>
                            <w:sz w:val="24"/>
                          </w:rPr>
                          <w:t>“</w:t>
                        </w:r>
                        <w:r>
                          <w:rPr>
                            <w:spacing w:val="-3"/>
                            <w:sz w:val="24"/>
                          </w:rPr>
                          <w:t>节能、降耗、减污</w:t>
                        </w:r>
                        <w:r>
                          <w:rPr>
                            <w:rFonts w:ascii="Times New Roman" w:eastAsia="Times New Roman" w:hAnsi="Times New Roman"/>
                            <w:spacing w:val="-3"/>
                            <w:sz w:val="24"/>
                          </w:rPr>
                          <w:t>”</w:t>
                        </w:r>
                        <w:r>
                          <w:rPr>
                            <w:spacing w:val="-3"/>
                            <w:sz w:val="24"/>
                          </w:rPr>
                          <w:t>为目</w:t>
                        </w:r>
                        <w:r>
                          <w:rPr>
                            <w:spacing w:val="-5"/>
                            <w:sz w:val="24"/>
                          </w:rPr>
                          <w:t xml:space="preserve">标，有效地控制污染，较好地贯彻了清洁生产原则。本工程施工期主要用电包括场区照明、机械修配、钢木加工、混凝土垂直运输与浇筑、生活区用电等，工程主要是土方机械为主，营运期主要用电为道路照明， </w:t>
                        </w:r>
                        <w:r>
                          <w:rPr>
                            <w:spacing w:val="-7"/>
                            <w:sz w:val="24"/>
                          </w:rPr>
                          <w:t>用电负荷较小，可根据具体情况就近接引系统电或采用自发电。本工程</w:t>
                        </w:r>
                        <w:r>
                          <w:rPr>
                            <w:spacing w:val="-8"/>
                            <w:sz w:val="24"/>
                          </w:rPr>
                          <w:t>的施工用水和生活用水可在就近接引自来水，项目运营期所用水量及电力消耗量较小，对当地资源利用影响较小。</w:t>
                        </w:r>
                      </w:p>
                      <w:p>
                        <w:pPr>
                          <w:pStyle w:val="TableParagraph"/>
                          <w:numPr>
                            <w:ilvl w:val="0"/>
                            <w:numId w:val="36"/>
                          </w:numPr>
                          <w:tabs>
                            <w:tab w:val="left" w:pos="1102"/>
                          </w:tabs>
                          <w:spacing w:before="0" w:after="0" w:line="305" w:lineRule="exact"/>
                          <w:ind w:left="1101" w:right="0" w:hanging="602"/>
                          <w:jc w:val="left"/>
                          <w:rPr>
                            <w:sz w:val="24"/>
                          </w:rPr>
                        </w:pPr>
                        <w:r>
                          <w:rPr>
                            <w:sz w:val="24"/>
                          </w:rPr>
                          <w:t>环境准入负面清单相符性分析</w:t>
                        </w:r>
                      </w:p>
                      <w:p>
                        <w:pPr>
                          <w:pStyle w:val="TableParagraph"/>
                          <w:spacing w:before="158" w:line="364" w:lineRule="auto"/>
                          <w:ind w:left="20" w:right="-15" w:firstLine="480"/>
                          <w:rPr>
                            <w:sz w:val="24"/>
                          </w:rPr>
                        </w:pPr>
                        <w:r>
                          <w:rPr>
                            <w:spacing w:val="6"/>
                            <w:sz w:val="24"/>
                          </w:rPr>
                          <w:t>本次环评从产业政策相符性、地方规划相符性等方面进行对照分析，具体见下表。</w:t>
                        </w:r>
                      </w:p>
                      <w:p>
                        <w:pPr>
                          <w:pStyle w:val="TableParagraph"/>
                          <w:spacing w:line="306" w:lineRule="exact"/>
                          <w:ind w:left="1828"/>
                          <w:rPr>
                            <w:b/>
                            <w:sz w:val="24"/>
                          </w:rPr>
                        </w:pPr>
                        <w:r>
                          <w:rPr>
                            <w:b/>
                            <w:sz w:val="24"/>
                          </w:rPr>
                          <w:t>表</w:t>
                        </w:r>
                        <w:r>
                          <w:rPr>
                            <w:rFonts w:ascii="Times New Roman" w:eastAsia="Times New Roman"/>
                            <w:b/>
                            <w:sz w:val="24"/>
                          </w:rPr>
                          <w:t>1-4</w:t>
                        </w:r>
                        <w:r>
                          <w:rPr>
                            <w:rFonts w:ascii="Times New Roman" w:eastAsia="Times New Roman"/>
                            <w:b/>
                            <w:spacing w:val="59"/>
                            <w:sz w:val="24"/>
                          </w:rPr>
                          <w:t xml:space="preserve"> </w:t>
                        </w:r>
                        <w:r>
                          <w:rPr>
                            <w:b/>
                            <w:sz w:val="24"/>
                          </w:rPr>
                          <w:t>环境准入负面清单分析对照表</w:t>
                        </w:r>
                      </w:p>
                    </w:tc>
                  </w:tr>
                  <w:tr>
                    <w:tblPrEx>
                      <w:tblW w:w="0" w:type="auto"/>
                      <w:jc w:val="left"/>
                      <w:tblInd w:w="10" w:type="dxa"/>
                      <w:tblLayout w:type="fixed"/>
                      <w:tblCellMar>
                        <w:top w:w="0" w:type="dxa"/>
                        <w:left w:w="0" w:type="dxa"/>
                        <w:bottom w:w="0" w:type="dxa"/>
                        <w:right w:w="0" w:type="dxa"/>
                      </w:tblCellMar>
                      <w:tblLook w:val="01E0"/>
                    </w:tblPrEx>
                    <w:trPr>
                      <w:trHeight w:val="279"/>
                      <w:jc w:val="left"/>
                    </w:trPr>
                    <w:tc>
                      <w:tcPr>
                        <w:tcW w:w="1580" w:type="dxa"/>
                        <w:vMerge/>
                        <w:tcBorders>
                          <w:top w:val="nil"/>
                          <w:right w:val="single" w:sz="4" w:space="0" w:color="000000"/>
                        </w:tcBorders>
                      </w:tcPr>
                      <w:p>
                        <w:pPr>
                          <w:rPr>
                            <w:sz w:val="2"/>
                            <w:szCs w:val="2"/>
                          </w:rPr>
                        </w:pPr>
                      </w:p>
                    </w:tc>
                    <w:tc>
                      <w:tcPr>
                        <w:tcW w:w="941" w:type="dxa"/>
                        <w:tcBorders>
                          <w:top w:val="single" w:sz="12" w:space="0" w:color="000000"/>
                          <w:left w:val="single" w:sz="4" w:space="0" w:color="000000"/>
                          <w:bottom w:val="single" w:sz="4" w:space="0" w:color="000000"/>
                          <w:right w:val="single" w:sz="4" w:space="0" w:color="000000"/>
                        </w:tcBorders>
                      </w:tcPr>
                      <w:p>
                        <w:pPr>
                          <w:pStyle w:val="TableParagraph"/>
                          <w:spacing w:before="6" w:line="253" w:lineRule="exact"/>
                          <w:ind w:left="249" w:right="220"/>
                          <w:jc w:val="center"/>
                          <w:rPr>
                            <w:b/>
                            <w:sz w:val="21"/>
                          </w:rPr>
                        </w:pPr>
                        <w:r>
                          <w:rPr>
                            <w:b/>
                            <w:sz w:val="21"/>
                          </w:rPr>
                          <w:t>序号</w:t>
                        </w:r>
                      </w:p>
                    </w:tc>
                    <w:tc>
                      <w:tcPr>
                        <w:tcW w:w="3681" w:type="dxa"/>
                        <w:tcBorders>
                          <w:top w:val="single" w:sz="12" w:space="0" w:color="000000"/>
                          <w:left w:val="single" w:sz="4" w:space="0" w:color="000000"/>
                          <w:bottom w:val="single" w:sz="4" w:space="0" w:color="000000"/>
                          <w:right w:val="single" w:sz="4" w:space="0" w:color="000000"/>
                        </w:tcBorders>
                      </w:tcPr>
                      <w:p>
                        <w:pPr>
                          <w:pStyle w:val="TableParagraph"/>
                          <w:spacing w:before="6" w:line="253" w:lineRule="exact"/>
                          <w:ind w:left="15"/>
                          <w:jc w:val="center"/>
                          <w:rPr>
                            <w:b/>
                            <w:sz w:val="21"/>
                          </w:rPr>
                        </w:pPr>
                        <w:r>
                          <w:rPr>
                            <w:b/>
                            <w:sz w:val="21"/>
                          </w:rPr>
                          <w:t>文件</w:t>
                        </w:r>
                      </w:p>
                    </w:tc>
                    <w:tc>
                      <w:tcPr>
                        <w:tcW w:w="2837" w:type="dxa"/>
                        <w:tcBorders>
                          <w:top w:val="single" w:sz="12" w:space="0" w:color="000000"/>
                          <w:left w:val="single" w:sz="4" w:space="0" w:color="000000"/>
                          <w:bottom w:val="single" w:sz="4" w:space="0" w:color="000000"/>
                        </w:tcBorders>
                      </w:tcPr>
                      <w:p>
                        <w:pPr>
                          <w:pStyle w:val="TableParagraph"/>
                          <w:spacing w:before="6" w:line="253" w:lineRule="exact"/>
                          <w:ind w:left="887"/>
                          <w:rPr>
                            <w:b/>
                            <w:sz w:val="21"/>
                          </w:rPr>
                        </w:pPr>
                        <w:r>
                          <w:rPr>
                            <w:b/>
                            <w:sz w:val="21"/>
                          </w:rPr>
                          <w:t>相符性分析</w:t>
                        </w:r>
                      </w:p>
                    </w:tc>
                  </w:tr>
                  <w:tr>
                    <w:tblPrEx>
                      <w:tblW w:w="0" w:type="auto"/>
                      <w:jc w:val="left"/>
                      <w:tblInd w:w="10" w:type="dxa"/>
                      <w:tblLayout w:type="fixed"/>
                      <w:tblCellMar>
                        <w:top w:w="0" w:type="dxa"/>
                        <w:left w:w="0" w:type="dxa"/>
                        <w:bottom w:w="0" w:type="dxa"/>
                        <w:right w:w="0" w:type="dxa"/>
                      </w:tblCellMar>
                      <w:tblLook w:val="01E0"/>
                    </w:tblPrEx>
                    <w:trPr>
                      <w:trHeight w:val="807"/>
                      <w:jc w:val="left"/>
                    </w:trPr>
                    <w:tc>
                      <w:tcPr>
                        <w:tcW w:w="1580" w:type="dxa"/>
                        <w:vMerge/>
                        <w:tcBorders>
                          <w:top w:val="nil"/>
                          <w:right w:val="single" w:sz="4" w:space="0" w:color="000000"/>
                        </w:tcBorders>
                      </w:tcPr>
                      <w:p>
                        <w:pPr>
                          <w:rPr>
                            <w:sz w:val="2"/>
                            <w:szCs w:val="2"/>
                          </w:rPr>
                        </w:pPr>
                      </w:p>
                    </w:tc>
                    <w:tc>
                      <w:tcPr>
                        <w:tcW w:w="941" w:type="dxa"/>
                        <w:tcBorders>
                          <w:top w:val="single" w:sz="4" w:space="0" w:color="000000"/>
                          <w:left w:val="single" w:sz="4" w:space="0" w:color="000000"/>
                          <w:bottom w:val="single" w:sz="18" w:space="0" w:color="000000"/>
                          <w:right w:val="single" w:sz="4" w:space="0" w:color="000000"/>
                        </w:tcBorders>
                      </w:tcPr>
                      <w:p>
                        <w:pPr>
                          <w:pStyle w:val="TableParagraph"/>
                          <w:spacing w:before="10"/>
                          <w:rPr>
                            <w:sz w:val="21"/>
                          </w:rPr>
                        </w:pPr>
                      </w:p>
                      <w:p>
                        <w:pPr>
                          <w:pStyle w:val="TableParagraph"/>
                          <w:spacing w:before="1"/>
                          <w:ind w:left="35"/>
                          <w:jc w:val="center"/>
                          <w:rPr>
                            <w:rFonts w:ascii="Times New Roman"/>
                            <w:sz w:val="21"/>
                          </w:rPr>
                        </w:pPr>
                        <w:r>
                          <w:rPr>
                            <w:rFonts w:ascii="Times New Roman"/>
                            <w:w w:val="99"/>
                            <w:sz w:val="21"/>
                          </w:rPr>
                          <w:t>1</w:t>
                        </w:r>
                      </w:p>
                    </w:tc>
                    <w:tc>
                      <w:tcPr>
                        <w:tcW w:w="3681" w:type="dxa"/>
                        <w:tcBorders>
                          <w:top w:val="single" w:sz="4" w:space="0" w:color="000000"/>
                          <w:left w:val="single" w:sz="4" w:space="0" w:color="000000"/>
                          <w:bottom w:val="single" w:sz="18" w:space="0" w:color="000000"/>
                          <w:right w:val="single" w:sz="4" w:space="0" w:color="000000"/>
                        </w:tcBorders>
                      </w:tcPr>
                      <w:p>
                        <w:pPr>
                          <w:pStyle w:val="TableParagraph"/>
                          <w:spacing w:before="131"/>
                          <w:ind w:left="15"/>
                          <w:jc w:val="center"/>
                          <w:rPr>
                            <w:sz w:val="21"/>
                          </w:rPr>
                        </w:pPr>
                        <w:r>
                          <w:rPr>
                            <w:sz w:val="21"/>
                          </w:rPr>
                          <w:t>《产业结构调整指导目录（</w:t>
                        </w:r>
                        <w:r>
                          <w:rPr>
                            <w:rFonts w:ascii="Times New Roman" w:eastAsia="Times New Roman"/>
                            <w:sz w:val="21"/>
                          </w:rPr>
                          <w:t xml:space="preserve">2019 </w:t>
                        </w:r>
                        <w:r>
                          <w:rPr>
                            <w:sz w:val="21"/>
                          </w:rPr>
                          <w:t>年本）</w:t>
                        </w:r>
                      </w:p>
                      <w:p>
                        <w:pPr>
                          <w:pStyle w:val="TableParagraph"/>
                          <w:spacing w:before="2"/>
                          <w:ind w:left="15"/>
                          <w:jc w:val="center"/>
                          <w:rPr>
                            <w:sz w:val="21"/>
                          </w:rPr>
                        </w:pPr>
                        <w:r>
                          <w:rPr>
                            <w:sz w:val="21"/>
                          </w:rPr>
                          <w:t>（</w:t>
                        </w:r>
                        <w:r>
                          <w:rPr>
                            <w:rFonts w:ascii="Times New Roman" w:eastAsia="Times New Roman"/>
                            <w:sz w:val="21"/>
                          </w:rPr>
                          <w:t xml:space="preserve">2021 </w:t>
                        </w:r>
                        <w:r>
                          <w:rPr>
                            <w:sz w:val="21"/>
                          </w:rPr>
                          <w:t>修正）》</w:t>
                        </w:r>
                      </w:p>
                    </w:tc>
                    <w:tc>
                      <w:tcPr>
                        <w:tcW w:w="2837" w:type="dxa"/>
                        <w:tcBorders>
                          <w:top w:val="single" w:sz="4" w:space="0" w:color="000000"/>
                          <w:left w:val="single" w:sz="4" w:space="0" w:color="000000"/>
                          <w:bottom w:val="single" w:sz="18" w:space="0" w:color="000000"/>
                        </w:tcBorders>
                      </w:tcPr>
                      <w:p>
                        <w:pPr>
                          <w:pStyle w:val="TableParagraph"/>
                          <w:spacing w:line="242" w:lineRule="auto"/>
                          <w:ind w:left="33" w:right="24"/>
                          <w:rPr>
                            <w:sz w:val="21"/>
                          </w:rPr>
                        </w:pPr>
                        <w:r>
                          <w:rPr>
                            <w:color w:val="FF0000"/>
                            <w:w w:val="95"/>
                            <w:sz w:val="21"/>
                          </w:rPr>
                          <w:t>本项目属于</w:t>
                        </w:r>
                        <w:r>
                          <w:rPr>
                            <w:rFonts w:ascii="Times New Roman" w:eastAsia="Times New Roman" w:hAnsi="Times New Roman"/>
                            <w:color w:val="FF0000"/>
                            <w:w w:val="95"/>
                            <w:sz w:val="21"/>
                          </w:rPr>
                          <w:t>“</w:t>
                        </w:r>
                        <w:r>
                          <w:rPr>
                            <w:color w:val="FF0000"/>
                            <w:spacing w:val="-9"/>
                            <w:w w:val="95"/>
                            <w:sz w:val="21"/>
                          </w:rPr>
                          <w:t>一、鼓励类，二十</w:t>
                        </w:r>
                        <w:r>
                          <w:rPr>
                            <w:color w:val="FF0000"/>
                            <w:spacing w:val="-7"/>
                            <w:w w:val="95"/>
                            <w:sz w:val="21"/>
                          </w:rPr>
                          <w:t>二、城镇基础设施，</w:t>
                        </w:r>
                        <w:r>
                          <w:rPr>
                            <w:rFonts w:ascii="Times New Roman" w:eastAsia="Times New Roman" w:hAnsi="Times New Roman"/>
                            <w:color w:val="FF0000"/>
                            <w:spacing w:val="-12"/>
                            <w:w w:val="95"/>
                            <w:sz w:val="21"/>
                          </w:rPr>
                          <w:t>4</w:t>
                        </w:r>
                        <w:r>
                          <w:rPr>
                            <w:color w:val="FF0000"/>
                            <w:spacing w:val="-9"/>
                            <w:w w:val="95"/>
                            <w:sz w:val="21"/>
                          </w:rPr>
                          <w:t>、二级公</w:t>
                        </w:r>
                      </w:p>
                      <w:p>
                        <w:pPr>
                          <w:pStyle w:val="TableParagraph"/>
                          <w:spacing w:line="248" w:lineRule="exact"/>
                          <w:ind w:left="33"/>
                          <w:rPr>
                            <w:sz w:val="21"/>
                          </w:rPr>
                        </w:pPr>
                        <w:r>
                          <w:rPr>
                            <w:color w:val="FF0000"/>
                            <w:w w:val="95"/>
                            <w:sz w:val="21"/>
                          </w:rPr>
                          <w:t>路及智能交通体系建设</w:t>
                        </w:r>
                        <w:r>
                          <w:rPr>
                            <w:rFonts w:ascii="Times New Roman" w:eastAsia="Times New Roman" w:hAnsi="Times New Roman"/>
                            <w:color w:val="FF0000"/>
                            <w:spacing w:val="-29"/>
                            <w:w w:val="95"/>
                            <w:sz w:val="21"/>
                          </w:rPr>
                          <w:t>”</w:t>
                        </w:r>
                        <w:r>
                          <w:rPr>
                            <w:color w:val="FF0000"/>
                            <w:spacing w:val="-10"/>
                            <w:w w:val="95"/>
                            <w:sz w:val="21"/>
                          </w:rPr>
                          <w:t>，属于</w:t>
                        </w:r>
                      </w:p>
                    </w:tc>
                  </w:tr>
                </w:tbl>
                <w:p>
                  <w:pPr>
                    <w:pStyle w:val="BodyText"/>
                  </w:pP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8"/>
        </w:rPr>
      </w:pPr>
    </w:p>
    <w:p>
      <w:pPr>
        <w:pStyle w:val="BodyText"/>
        <w:ind w:right="131"/>
        <w:jc w:val="right"/>
      </w:pPr>
      <w:r>
        <w:t>》</w:t>
      </w:r>
    </w:p>
    <w:p>
      <w:pPr>
        <w:spacing w:after="0"/>
        <w:jc w:val="right"/>
        <w:sectPr>
          <w:footerReference w:type="default" r:id="rId20"/>
          <w:pgSz w:w="11910" w:h="16840"/>
          <w:pgMar w:top="1580" w:right="1100" w:bottom="1500" w:left="1180" w:header="0" w:footer="1225"/>
          <w:pgNumType w:start="17"/>
          <w:cols w:space="708"/>
        </w:sectPr>
      </w:pPr>
    </w:p>
    <w:p>
      <w:pPr>
        <w:pStyle w:val="BodyText"/>
        <w:spacing w:before="1"/>
        <w:rPr>
          <w:rFonts w:ascii="Times New Roman"/>
          <w:sz w:val="10"/>
        </w:rPr>
      </w:pPr>
    </w:p>
    <w:tbl>
      <w:tblPr>
        <w:tblStyle w:val="TableNormal6"/>
        <w:tblW w:w="0" w:type="auto"/>
        <w:jc w:val="left"/>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693"/>
        <w:gridCol w:w="248"/>
        <w:gridCol w:w="605"/>
        <w:gridCol w:w="3076"/>
        <w:gridCol w:w="2837"/>
      </w:tblGrid>
      <w:tr>
        <w:tblPrEx>
          <w:tblW w:w="0" w:type="auto"/>
          <w:jc w:val="left"/>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84"/>
          <w:jc w:val="left"/>
        </w:trPr>
        <w:tc>
          <w:tcPr>
            <w:tcW w:w="1580" w:type="dxa"/>
            <w:vMerge w:val="restart"/>
            <w:tcBorders>
              <w:right w:val="single" w:sz="4" w:space="0" w:color="000000"/>
            </w:tcBorders>
          </w:tcPr>
          <w:p>
            <w:pPr>
              <w:pStyle w:val="TableParagraph"/>
              <w:rPr>
                <w:rFonts w:ascii="Times New Roman"/>
                <w:sz w:val="20"/>
              </w:rPr>
            </w:pPr>
          </w:p>
        </w:tc>
        <w:tc>
          <w:tcPr>
            <w:tcW w:w="941" w:type="dxa"/>
            <w:gridSpan w:val="2"/>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1" w:type="dxa"/>
            <w:gridSpan w:val="2"/>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7" w:type="dxa"/>
            <w:tcBorders>
              <w:top w:val="thinThickMediumGap" w:sz="6" w:space="0" w:color="000000"/>
              <w:left w:val="single" w:sz="4" w:space="0" w:color="000000"/>
              <w:bottom w:val="single" w:sz="4" w:space="0" w:color="000000"/>
            </w:tcBorders>
          </w:tcPr>
          <w:p>
            <w:pPr>
              <w:pStyle w:val="TableParagraph"/>
              <w:spacing w:line="256" w:lineRule="exact"/>
              <w:ind w:left="29" w:right="23"/>
              <w:jc w:val="center"/>
              <w:rPr>
                <w:sz w:val="21"/>
              </w:rPr>
            </w:pPr>
            <w:r>
              <w:rPr>
                <w:color w:val="FF0000"/>
                <w:sz w:val="21"/>
              </w:rPr>
              <w:t>鼓励类项目</w:t>
            </w:r>
          </w:p>
        </w:tc>
      </w:tr>
      <w:tr>
        <w:tblPrEx>
          <w:tblW w:w="0" w:type="auto"/>
          <w:jc w:val="left"/>
          <w:tblInd w:w="361" w:type="dxa"/>
          <w:tblLayout w:type="fixed"/>
          <w:tblCellMar>
            <w:top w:w="0" w:type="dxa"/>
            <w:left w:w="0" w:type="dxa"/>
            <w:bottom w:w="0" w:type="dxa"/>
            <w:right w:w="0" w:type="dxa"/>
          </w:tblCellMar>
          <w:tblLook w:val="01E0"/>
        </w:tblPrEx>
        <w:trPr>
          <w:trHeight w:val="535"/>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6"/>
              <w:ind w:left="35"/>
              <w:jc w:val="center"/>
              <w:rPr>
                <w:rFonts w:ascii="Times New Roman"/>
                <w:sz w:val="21"/>
              </w:rPr>
            </w:pPr>
            <w:r>
              <w:rPr>
                <w:rFonts w:ascii="Times New Roman"/>
                <w:w w:val="99"/>
                <w:sz w:val="21"/>
              </w:rPr>
              <w:t>2</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5"/>
              <w:jc w:val="center"/>
              <w:rPr>
                <w:sz w:val="21"/>
              </w:rPr>
            </w:pPr>
            <w:r>
              <w:rPr>
                <w:sz w:val="21"/>
              </w:rPr>
              <w:t>《江苏省产业结构调整限制、淘汰和禁</w:t>
            </w:r>
          </w:p>
          <w:p>
            <w:pPr>
              <w:pStyle w:val="TableParagraph"/>
              <w:spacing w:before="2" w:line="248" w:lineRule="exact"/>
              <w:ind w:left="15"/>
              <w:jc w:val="center"/>
              <w:rPr>
                <w:sz w:val="21"/>
              </w:rPr>
            </w:pPr>
            <w:r>
              <w:rPr>
                <w:sz w:val="21"/>
              </w:rPr>
              <w:t>止目录》（苏办发〔</w:t>
            </w:r>
            <w:r>
              <w:rPr>
                <w:rFonts w:ascii="Times New Roman" w:eastAsia="Times New Roman"/>
                <w:sz w:val="21"/>
              </w:rPr>
              <w:t>2018</w:t>
            </w:r>
            <w:r>
              <w:rPr>
                <w:sz w:val="21"/>
              </w:rPr>
              <w:t>〕</w:t>
            </w:r>
            <w:r>
              <w:rPr>
                <w:rFonts w:ascii="Times New Roman" w:eastAsia="Times New Roman"/>
                <w:sz w:val="21"/>
              </w:rPr>
              <w:t xml:space="preserve">32 </w:t>
            </w:r>
            <w:r>
              <w:rPr>
                <w:sz w:val="21"/>
              </w:rPr>
              <w:t>号）</w:t>
            </w:r>
          </w:p>
        </w:tc>
        <w:tc>
          <w:tcPr>
            <w:tcW w:w="2837" w:type="dxa"/>
            <w:tcBorders>
              <w:top w:val="single" w:sz="4" w:space="0" w:color="000000"/>
              <w:left w:val="single" w:sz="4" w:space="0" w:color="000000"/>
              <w:bottom w:val="single" w:sz="4" w:space="0" w:color="000000"/>
            </w:tcBorders>
          </w:tcPr>
          <w:p>
            <w:pPr>
              <w:pStyle w:val="TableParagraph"/>
              <w:spacing w:line="265" w:lineRule="exact"/>
              <w:ind w:left="29" w:right="23"/>
              <w:jc w:val="center"/>
              <w:rPr>
                <w:sz w:val="21"/>
              </w:rPr>
            </w:pPr>
            <w:r>
              <w:rPr>
                <w:sz w:val="21"/>
              </w:rPr>
              <w:t>项目不属于目录中限制类、淘</w:t>
            </w:r>
          </w:p>
          <w:p>
            <w:pPr>
              <w:pStyle w:val="TableParagraph"/>
              <w:spacing w:before="2" w:line="248" w:lineRule="exact"/>
              <w:ind w:left="29" w:right="23"/>
              <w:jc w:val="center"/>
              <w:rPr>
                <w:sz w:val="21"/>
              </w:rPr>
            </w:pPr>
            <w:r>
              <w:rPr>
                <w:sz w:val="21"/>
              </w:rPr>
              <w:t>汰类和禁止类项目</w:t>
            </w:r>
          </w:p>
        </w:tc>
      </w:tr>
      <w:tr>
        <w:tblPrEx>
          <w:tblW w:w="0" w:type="auto"/>
          <w:jc w:val="left"/>
          <w:tblInd w:w="361" w:type="dxa"/>
          <w:tblLayout w:type="fixed"/>
          <w:tblCellMar>
            <w:top w:w="0" w:type="dxa"/>
            <w:left w:w="0" w:type="dxa"/>
            <w:bottom w:w="0" w:type="dxa"/>
            <w:right w:w="0" w:type="dxa"/>
          </w:tblCellMar>
          <w:tblLook w:val="01E0"/>
        </w:tblPrEx>
        <w:trPr>
          <w:trHeight w:val="546"/>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1"/>
              <w:ind w:left="35"/>
              <w:jc w:val="center"/>
              <w:rPr>
                <w:rFonts w:ascii="Times New Roman"/>
                <w:sz w:val="21"/>
              </w:rPr>
            </w:pPr>
            <w:r>
              <w:rPr>
                <w:rFonts w:ascii="Times New Roman"/>
                <w:w w:val="99"/>
                <w:sz w:val="21"/>
              </w:rPr>
              <w:t>3</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ind w:left="32"/>
              <w:rPr>
                <w:sz w:val="21"/>
              </w:rPr>
            </w:pPr>
            <w:r>
              <w:rPr>
                <w:sz w:val="21"/>
              </w:rPr>
              <w:t>《限制用地项目目录（</w:t>
            </w:r>
            <w:r>
              <w:rPr>
                <w:rFonts w:ascii="Times New Roman" w:eastAsia="Times New Roman"/>
                <w:sz w:val="21"/>
              </w:rPr>
              <w:t xml:space="preserve">2012 </w:t>
            </w:r>
            <w:r>
              <w:rPr>
                <w:sz w:val="21"/>
              </w:rPr>
              <w:t>年本）》、</w:t>
            </w:r>
          </w:p>
          <w:p>
            <w:pPr>
              <w:pStyle w:val="TableParagraph"/>
              <w:spacing w:before="2" w:line="255" w:lineRule="exact"/>
              <w:ind w:left="138"/>
              <w:rPr>
                <w:sz w:val="21"/>
              </w:rPr>
            </w:pPr>
            <w:r>
              <w:rPr>
                <w:sz w:val="21"/>
              </w:rPr>
              <w:t>《禁止用地项目目录（</w:t>
            </w:r>
            <w:r>
              <w:rPr>
                <w:rFonts w:ascii="Times New Roman" w:eastAsia="Times New Roman"/>
                <w:sz w:val="21"/>
              </w:rPr>
              <w:t xml:space="preserve">2012 </w:t>
            </w:r>
            <w:r>
              <w:rPr>
                <w:sz w:val="21"/>
              </w:rPr>
              <w:t>年本）》</w:t>
            </w:r>
          </w:p>
        </w:tc>
        <w:tc>
          <w:tcPr>
            <w:tcW w:w="2837" w:type="dxa"/>
            <w:tcBorders>
              <w:top w:val="single" w:sz="4" w:space="0" w:color="000000"/>
              <w:left w:val="single" w:sz="4" w:space="0" w:color="000000"/>
              <w:bottom w:val="single" w:sz="4" w:space="0" w:color="000000"/>
            </w:tcBorders>
          </w:tcPr>
          <w:p>
            <w:pPr>
              <w:pStyle w:val="TableParagraph"/>
              <w:ind w:left="29" w:right="23"/>
              <w:jc w:val="center"/>
              <w:rPr>
                <w:sz w:val="21"/>
              </w:rPr>
            </w:pPr>
            <w:r>
              <w:rPr>
                <w:sz w:val="21"/>
              </w:rPr>
              <w:t>项目不属于目录中限制和禁止</w:t>
            </w:r>
          </w:p>
          <w:p>
            <w:pPr>
              <w:pStyle w:val="TableParagraph"/>
              <w:spacing w:before="2" w:line="255" w:lineRule="exact"/>
              <w:ind w:left="29" w:right="23"/>
              <w:jc w:val="center"/>
              <w:rPr>
                <w:sz w:val="21"/>
              </w:rPr>
            </w:pPr>
            <w:r>
              <w:rPr>
                <w:sz w:val="21"/>
              </w:rPr>
              <w:t>用地项目</w:t>
            </w:r>
          </w:p>
        </w:tc>
      </w:tr>
      <w:tr>
        <w:tblPrEx>
          <w:tblW w:w="0" w:type="auto"/>
          <w:jc w:val="left"/>
          <w:tblInd w:w="361" w:type="dxa"/>
          <w:tblLayout w:type="fixed"/>
          <w:tblCellMar>
            <w:top w:w="0" w:type="dxa"/>
            <w:left w:w="0" w:type="dxa"/>
            <w:bottom w:w="0" w:type="dxa"/>
            <w:right w:w="0" w:type="dxa"/>
          </w:tblCellMar>
          <w:tblLook w:val="01E0"/>
        </w:tblPrEx>
        <w:trPr>
          <w:trHeight w:val="806"/>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4"/>
              </w:rPr>
            </w:pPr>
          </w:p>
          <w:p>
            <w:pPr>
              <w:pStyle w:val="TableParagraph"/>
              <w:spacing w:before="1"/>
              <w:ind w:left="35"/>
              <w:jc w:val="center"/>
              <w:rPr>
                <w:rFonts w:ascii="Times New Roman"/>
                <w:sz w:val="21"/>
              </w:rPr>
            </w:pPr>
            <w:r>
              <w:rPr>
                <w:rFonts w:ascii="Times New Roman"/>
                <w:w w:val="99"/>
                <w:sz w:val="21"/>
              </w:rPr>
              <w:t>4</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2" w:right="11" w:hanging="4"/>
              <w:jc w:val="center"/>
              <w:rPr>
                <w:rFonts w:ascii="Times New Roman" w:eastAsia="Times New Roman"/>
                <w:sz w:val="21"/>
              </w:rPr>
            </w:pPr>
            <w:r>
              <w:rPr>
                <w:sz w:val="21"/>
              </w:rPr>
              <w:t>《江苏省限制用地项目目录（</w:t>
            </w:r>
            <w:r>
              <w:rPr>
                <w:rFonts w:ascii="Times New Roman" w:eastAsia="Times New Roman"/>
                <w:sz w:val="21"/>
              </w:rPr>
              <w:t>2013</w:t>
            </w:r>
            <w:r>
              <w:rPr>
                <w:rFonts w:ascii="Times New Roman" w:eastAsia="Times New Roman"/>
                <w:spacing w:val="-4"/>
                <w:sz w:val="21"/>
              </w:rPr>
              <w:t xml:space="preserve"> </w:t>
            </w:r>
            <w:r>
              <w:rPr>
                <w:sz w:val="21"/>
              </w:rPr>
              <w:t xml:space="preserve">年 </w:t>
            </w:r>
            <w:r>
              <w:rPr>
                <w:w w:val="95"/>
                <w:sz w:val="21"/>
              </w:rPr>
              <w:t>本</w:t>
            </w:r>
            <w:r>
              <w:rPr>
                <w:spacing w:val="-70"/>
                <w:w w:val="95"/>
                <w:sz w:val="21"/>
              </w:rPr>
              <w:t>）</w:t>
            </w:r>
            <w:r>
              <w:rPr>
                <w:spacing w:val="-24"/>
                <w:w w:val="95"/>
                <w:sz w:val="21"/>
              </w:rPr>
              <w:t>》、《江苏省禁止用地项目目录</w:t>
            </w:r>
            <w:r>
              <w:rPr>
                <w:w w:val="95"/>
                <w:sz w:val="21"/>
              </w:rPr>
              <w:t>（</w:t>
            </w:r>
            <w:r>
              <w:rPr>
                <w:rFonts w:ascii="Times New Roman" w:eastAsia="Times New Roman"/>
                <w:w w:val="95"/>
                <w:sz w:val="21"/>
              </w:rPr>
              <w:t>2013</w:t>
            </w:r>
          </w:p>
          <w:p>
            <w:pPr>
              <w:pStyle w:val="TableParagraph"/>
              <w:spacing w:line="248" w:lineRule="exact"/>
              <w:ind w:left="15"/>
              <w:jc w:val="center"/>
              <w:rPr>
                <w:sz w:val="21"/>
              </w:rPr>
            </w:pPr>
            <w:r>
              <w:rPr>
                <w:sz w:val="21"/>
              </w:rPr>
              <w:t>年本）》</w:t>
            </w:r>
          </w:p>
        </w:tc>
        <w:tc>
          <w:tcPr>
            <w:tcW w:w="2837" w:type="dxa"/>
            <w:tcBorders>
              <w:top w:val="single" w:sz="4" w:space="0" w:color="000000"/>
              <w:left w:val="single" w:sz="4" w:space="0" w:color="000000"/>
              <w:bottom w:val="single" w:sz="4" w:space="0" w:color="000000"/>
            </w:tcBorders>
          </w:tcPr>
          <w:p>
            <w:pPr>
              <w:pStyle w:val="TableParagraph"/>
              <w:spacing w:before="130" w:line="244" w:lineRule="auto"/>
              <w:ind w:left="995" w:right="41" w:hanging="946"/>
              <w:rPr>
                <w:sz w:val="21"/>
              </w:rPr>
            </w:pPr>
            <w:r>
              <w:rPr>
                <w:sz w:val="21"/>
              </w:rPr>
              <w:t>项目不属于目录中限制和禁止用地项目</w:t>
            </w:r>
          </w:p>
        </w:tc>
      </w:tr>
      <w:tr>
        <w:tblPrEx>
          <w:tblW w:w="0" w:type="auto"/>
          <w:jc w:val="left"/>
          <w:tblInd w:w="361" w:type="dxa"/>
          <w:tblLayout w:type="fixed"/>
          <w:tblCellMar>
            <w:top w:w="0" w:type="dxa"/>
            <w:left w:w="0" w:type="dxa"/>
            <w:bottom w:w="0" w:type="dxa"/>
            <w:right w:w="0" w:type="dxa"/>
          </w:tblCellMar>
          <w:tblLook w:val="01E0"/>
        </w:tblPrEx>
        <w:trPr>
          <w:trHeight w:val="1079"/>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spacing w:before="163"/>
              <w:ind w:left="35"/>
              <w:jc w:val="center"/>
              <w:rPr>
                <w:rFonts w:ascii="Times New Roman"/>
                <w:sz w:val="21"/>
              </w:rPr>
            </w:pPr>
            <w:r>
              <w:rPr>
                <w:rFonts w:ascii="Times New Roman"/>
                <w:w w:val="99"/>
                <w:sz w:val="21"/>
              </w:rPr>
              <w:t>5</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2" w:right="12"/>
              <w:rPr>
                <w:sz w:val="21"/>
              </w:rPr>
            </w:pPr>
            <w:r>
              <w:rPr>
                <w:spacing w:val="-3"/>
                <w:sz w:val="21"/>
              </w:rPr>
              <w:t>《全国主体功能区规划》</w:t>
            </w:r>
            <w:r>
              <w:rPr>
                <w:sz w:val="21"/>
              </w:rPr>
              <w:t>（</w:t>
            </w:r>
            <w:r>
              <w:rPr>
                <w:spacing w:val="-6"/>
                <w:sz w:val="21"/>
              </w:rPr>
              <w:t>国发〔</w:t>
            </w:r>
            <w:r>
              <w:rPr>
                <w:rFonts w:ascii="Times New Roman" w:eastAsia="Times New Roman"/>
                <w:sz w:val="21"/>
              </w:rPr>
              <w:t xml:space="preserve">2010 46 </w:t>
            </w:r>
            <w:r>
              <w:rPr>
                <w:sz w:val="21"/>
              </w:rPr>
              <w:t>号</w:t>
            </w:r>
            <w:r>
              <w:rPr>
                <w:spacing w:val="-41"/>
                <w:sz w:val="21"/>
              </w:rPr>
              <w:t>）</w:t>
            </w:r>
            <w:r>
              <w:rPr>
                <w:spacing w:val="-16"/>
                <w:sz w:val="21"/>
              </w:rPr>
              <w:t>、《江苏省主体功能区规划》</w:t>
            </w:r>
            <w:r>
              <w:rPr>
                <w:sz w:val="21"/>
              </w:rPr>
              <w:t>（</w:t>
            </w:r>
            <w:r>
              <w:rPr>
                <w:spacing w:val="-11"/>
                <w:sz w:val="21"/>
              </w:rPr>
              <w:t>苏</w:t>
            </w:r>
            <w:r>
              <w:rPr>
                <w:sz w:val="21"/>
              </w:rPr>
              <w:t>政发〔</w:t>
            </w:r>
            <w:r>
              <w:rPr>
                <w:rFonts w:ascii="Times New Roman" w:eastAsia="Times New Roman"/>
                <w:sz w:val="21"/>
              </w:rPr>
              <w:t>2014</w:t>
            </w:r>
            <w:r>
              <w:rPr>
                <w:sz w:val="21"/>
              </w:rPr>
              <w:t>〕</w:t>
            </w:r>
            <w:r>
              <w:rPr>
                <w:rFonts w:ascii="Times New Roman" w:eastAsia="Times New Roman"/>
                <w:sz w:val="21"/>
              </w:rPr>
              <w:t xml:space="preserve">20 </w:t>
            </w:r>
            <w:r>
              <w:rPr>
                <w:sz w:val="21"/>
              </w:rPr>
              <w:t>号）、《盐城市主体功</w:t>
            </w:r>
          </w:p>
          <w:p>
            <w:pPr>
              <w:pStyle w:val="TableParagraph"/>
              <w:spacing w:line="246" w:lineRule="exact"/>
              <w:ind w:left="32"/>
              <w:rPr>
                <w:sz w:val="21"/>
              </w:rPr>
            </w:pPr>
            <w:r>
              <w:rPr>
                <w:sz w:val="21"/>
              </w:rPr>
              <w:t>能区实施规划》（盐政发〔</w:t>
            </w:r>
            <w:r>
              <w:rPr>
                <w:rFonts w:ascii="Times New Roman" w:eastAsia="Times New Roman"/>
                <w:sz w:val="21"/>
              </w:rPr>
              <w:t>2017</w:t>
            </w:r>
            <w:r>
              <w:rPr>
                <w:sz w:val="21"/>
              </w:rPr>
              <w:t>〕</w:t>
            </w:r>
            <w:r>
              <w:rPr>
                <w:rFonts w:ascii="Times New Roman" w:eastAsia="Times New Roman"/>
                <w:sz w:val="21"/>
              </w:rPr>
              <w:t xml:space="preserve">74 </w:t>
            </w:r>
            <w:r>
              <w:rPr>
                <w:sz w:val="21"/>
              </w:rPr>
              <w:t>号</w:t>
            </w:r>
          </w:p>
        </w:tc>
        <w:tc>
          <w:tcPr>
            <w:tcW w:w="2837" w:type="dxa"/>
            <w:tcBorders>
              <w:top w:val="single" w:sz="4" w:space="0" w:color="000000"/>
              <w:left w:val="single" w:sz="4" w:space="0" w:color="000000"/>
              <w:bottom w:val="single" w:sz="4" w:space="0" w:color="000000"/>
            </w:tcBorders>
          </w:tcPr>
          <w:p>
            <w:pPr>
              <w:pStyle w:val="TableParagraph"/>
              <w:spacing w:line="242" w:lineRule="auto"/>
              <w:ind w:left="49" w:right="41" w:hanging="178"/>
              <w:rPr>
                <w:sz w:val="21"/>
              </w:rPr>
            </w:pPr>
            <w:r>
              <w:rPr>
                <w:position w:val="14"/>
                <w:sz w:val="21"/>
              </w:rPr>
              <w:t xml:space="preserve">〕 </w:t>
            </w:r>
            <w:r>
              <w:rPr>
                <w:sz w:val="21"/>
              </w:rPr>
              <w:t>项目不属限制及禁止开发区域，不涉及重要生态功能保护</w:t>
            </w:r>
          </w:p>
          <w:p>
            <w:pPr>
              <w:pStyle w:val="TableParagraph"/>
              <w:tabs>
                <w:tab w:val="left" w:pos="1309"/>
              </w:tabs>
              <w:spacing w:line="211" w:lineRule="auto"/>
              <w:ind w:left="-128"/>
              <w:rPr>
                <w:sz w:val="21"/>
              </w:rPr>
            </w:pPr>
            <w:r>
              <w:rPr>
                <w:position w:val="-13"/>
                <w:sz w:val="21"/>
              </w:rPr>
              <w:t>）</w:t>
              <w:tab/>
            </w:r>
            <w:r>
              <w:rPr>
                <w:sz w:val="21"/>
              </w:rPr>
              <w:t>区</w:t>
            </w:r>
          </w:p>
        </w:tc>
      </w:tr>
      <w:tr>
        <w:tblPrEx>
          <w:tblW w:w="0" w:type="auto"/>
          <w:jc w:val="left"/>
          <w:tblInd w:w="361" w:type="dxa"/>
          <w:tblLayout w:type="fixed"/>
          <w:tblCellMar>
            <w:top w:w="0" w:type="dxa"/>
            <w:left w:w="0" w:type="dxa"/>
            <w:bottom w:w="0" w:type="dxa"/>
            <w:right w:w="0" w:type="dxa"/>
          </w:tblCellMar>
          <w:tblLook w:val="01E0"/>
        </w:tblPrEx>
        <w:trPr>
          <w:trHeight w:val="535"/>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5"/>
              <w:ind w:left="35"/>
              <w:jc w:val="center"/>
              <w:rPr>
                <w:rFonts w:ascii="Times New Roman"/>
                <w:sz w:val="21"/>
              </w:rPr>
            </w:pPr>
            <w:r>
              <w:rPr>
                <w:rFonts w:ascii="Times New Roman"/>
                <w:w w:val="99"/>
                <w:sz w:val="21"/>
              </w:rPr>
              <w:t>6</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32"/>
              <w:rPr>
                <w:sz w:val="21"/>
              </w:rPr>
            </w:pPr>
            <w:r>
              <w:rPr>
                <w:sz w:val="21"/>
              </w:rPr>
              <w:t>《长江经济带发展负面清单指南（试行</w:t>
            </w:r>
          </w:p>
          <w:p>
            <w:pPr>
              <w:pStyle w:val="TableParagraph"/>
              <w:spacing w:before="2" w:line="247" w:lineRule="exact"/>
              <w:ind w:left="15"/>
              <w:jc w:val="center"/>
              <w:rPr>
                <w:sz w:val="21"/>
              </w:rPr>
            </w:pPr>
            <w:r>
              <w:rPr>
                <w:rFonts w:ascii="Times New Roman" w:eastAsia="Times New Roman"/>
                <w:sz w:val="21"/>
              </w:rPr>
              <w:t xml:space="preserve">2022 </w:t>
            </w:r>
            <w:r>
              <w:rPr>
                <w:sz w:val="21"/>
              </w:rPr>
              <w:t>版）》</w:t>
            </w:r>
          </w:p>
        </w:tc>
        <w:tc>
          <w:tcPr>
            <w:tcW w:w="2837" w:type="dxa"/>
            <w:tcBorders>
              <w:top w:val="single" w:sz="4" w:space="0" w:color="000000"/>
              <w:left w:val="single" w:sz="4" w:space="0" w:color="000000"/>
              <w:bottom w:val="single" w:sz="4" w:space="0" w:color="000000"/>
            </w:tcBorders>
          </w:tcPr>
          <w:p>
            <w:pPr>
              <w:pStyle w:val="TableParagraph"/>
              <w:spacing w:line="266" w:lineRule="exact"/>
              <w:ind w:left="-97" w:right="41"/>
              <w:jc w:val="center"/>
              <w:rPr>
                <w:sz w:val="21"/>
              </w:rPr>
            </w:pPr>
            <w:r>
              <w:rPr>
                <w:spacing w:val="-10"/>
                <w:w w:val="95"/>
                <w:sz w:val="21"/>
              </w:rPr>
              <w:t>，项目不属于负面清单中禁止建</w:t>
            </w:r>
          </w:p>
          <w:p>
            <w:pPr>
              <w:pStyle w:val="TableParagraph"/>
              <w:spacing w:before="2" w:line="247" w:lineRule="exact"/>
              <w:ind w:left="27" w:right="23"/>
              <w:jc w:val="center"/>
              <w:rPr>
                <w:sz w:val="21"/>
              </w:rPr>
            </w:pPr>
            <w:r>
              <w:rPr>
                <w:sz w:val="21"/>
              </w:rPr>
              <w:t>设项目</w:t>
            </w:r>
          </w:p>
        </w:tc>
      </w:tr>
      <w:tr>
        <w:tblPrEx>
          <w:tblW w:w="0" w:type="auto"/>
          <w:jc w:val="left"/>
          <w:tblInd w:w="361" w:type="dxa"/>
          <w:tblLayout w:type="fixed"/>
          <w:tblCellMar>
            <w:top w:w="0" w:type="dxa"/>
            <w:left w:w="0" w:type="dxa"/>
            <w:bottom w:w="0" w:type="dxa"/>
            <w:right w:w="0" w:type="dxa"/>
          </w:tblCellMar>
          <w:tblLook w:val="01E0"/>
        </w:tblPrEx>
        <w:trPr>
          <w:trHeight w:val="534"/>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44"/>
              <w:ind w:left="35"/>
              <w:jc w:val="center"/>
              <w:rPr>
                <w:rFonts w:ascii="Times New Roman"/>
                <w:sz w:val="21"/>
              </w:rPr>
            </w:pPr>
            <w:r>
              <w:rPr>
                <w:rFonts w:ascii="Times New Roman"/>
                <w:w w:val="99"/>
                <w:sz w:val="21"/>
              </w:rPr>
              <w:t>7</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32"/>
              <w:rPr>
                <w:sz w:val="21"/>
              </w:rPr>
            </w:pPr>
            <w:r>
              <w:rPr>
                <w:sz w:val="21"/>
              </w:rPr>
              <w:t>《长江经济带发展负面清单指南（试行</w:t>
            </w:r>
          </w:p>
          <w:p>
            <w:pPr>
              <w:pStyle w:val="TableParagraph"/>
              <w:spacing w:before="4" w:line="246" w:lineRule="exact"/>
              <w:ind w:left="558"/>
              <w:rPr>
                <w:sz w:val="21"/>
              </w:rPr>
            </w:pPr>
            <w:r>
              <w:rPr>
                <w:rFonts w:ascii="Times New Roman" w:eastAsia="Times New Roman"/>
                <w:sz w:val="21"/>
              </w:rPr>
              <w:t xml:space="preserve">2022 </w:t>
            </w:r>
            <w:r>
              <w:rPr>
                <w:sz w:val="21"/>
              </w:rPr>
              <w:t>版）》江苏省实施细则</w:t>
            </w:r>
          </w:p>
        </w:tc>
        <w:tc>
          <w:tcPr>
            <w:tcW w:w="2837" w:type="dxa"/>
            <w:tcBorders>
              <w:top w:val="single" w:sz="4" w:space="0" w:color="000000"/>
              <w:left w:val="single" w:sz="4" w:space="0" w:color="000000"/>
              <w:bottom w:val="single" w:sz="4" w:space="0" w:color="000000"/>
            </w:tcBorders>
          </w:tcPr>
          <w:p>
            <w:pPr>
              <w:pStyle w:val="TableParagraph"/>
              <w:spacing w:line="263" w:lineRule="exact"/>
              <w:ind w:left="-97" w:right="41"/>
              <w:jc w:val="center"/>
              <w:rPr>
                <w:sz w:val="21"/>
              </w:rPr>
            </w:pPr>
            <w:r>
              <w:rPr>
                <w:spacing w:val="-10"/>
                <w:w w:val="95"/>
                <w:sz w:val="21"/>
              </w:rPr>
              <w:t>，项目不属于负面清单中禁止建</w:t>
            </w:r>
          </w:p>
          <w:p>
            <w:pPr>
              <w:pStyle w:val="TableParagraph"/>
              <w:spacing w:before="4" w:line="246" w:lineRule="exact"/>
              <w:ind w:left="27" w:right="23"/>
              <w:jc w:val="center"/>
              <w:rPr>
                <w:sz w:val="21"/>
              </w:rPr>
            </w:pPr>
            <w:r>
              <w:rPr>
                <w:sz w:val="21"/>
              </w:rPr>
              <w:t>设项目</w:t>
            </w:r>
          </w:p>
        </w:tc>
      </w:tr>
      <w:tr>
        <w:tblPrEx>
          <w:tblW w:w="0" w:type="auto"/>
          <w:jc w:val="left"/>
          <w:tblInd w:w="361" w:type="dxa"/>
          <w:tblLayout w:type="fixed"/>
          <w:tblCellMar>
            <w:top w:w="0" w:type="dxa"/>
            <w:left w:w="0" w:type="dxa"/>
            <w:bottom w:w="0" w:type="dxa"/>
            <w:right w:w="0" w:type="dxa"/>
          </w:tblCellMar>
          <w:tblLook w:val="01E0"/>
        </w:tblPrEx>
        <w:trPr>
          <w:trHeight w:val="539"/>
          <w:jc w:val="left"/>
        </w:trPr>
        <w:tc>
          <w:tcPr>
            <w:tcW w:w="1580" w:type="dxa"/>
            <w:vMerge/>
            <w:tcBorders>
              <w:top w:val="nil"/>
              <w:right w:val="single" w:sz="4" w:space="0" w:color="000000"/>
            </w:tcBorders>
          </w:tcPr>
          <w:p>
            <w:pPr>
              <w:rPr>
                <w:sz w:val="2"/>
                <w:szCs w:val="2"/>
              </w:rPr>
            </w:pPr>
          </w:p>
        </w:tc>
        <w:tc>
          <w:tcPr>
            <w:tcW w:w="941"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45"/>
              <w:ind w:left="35"/>
              <w:jc w:val="center"/>
              <w:rPr>
                <w:rFonts w:ascii="Times New Roman"/>
                <w:sz w:val="21"/>
              </w:rPr>
            </w:pPr>
            <w:r>
              <w:rPr>
                <w:rFonts w:ascii="Times New Roman"/>
                <w:w w:val="99"/>
                <w:sz w:val="21"/>
              </w:rPr>
              <w:t>8</w:t>
            </w:r>
          </w:p>
        </w:tc>
        <w:tc>
          <w:tcPr>
            <w:tcW w:w="3681"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131"/>
              <w:ind w:left="138"/>
              <w:rPr>
                <w:sz w:val="21"/>
              </w:rPr>
            </w:pPr>
            <w:r>
              <w:rPr>
                <w:sz w:val="21"/>
              </w:rPr>
              <w:t>《市场准入负面清单（</w:t>
            </w:r>
            <w:r>
              <w:rPr>
                <w:rFonts w:ascii="Times New Roman" w:eastAsia="Times New Roman"/>
                <w:sz w:val="21"/>
              </w:rPr>
              <w:t xml:space="preserve">2022 </w:t>
            </w:r>
            <w:r>
              <w:rPr>
                <w:sz w:val="21"/>
              </w:rPr>
              <w:t>年版）》</w:t>
            </w:r>
          </w:p>
        </w:tc>
        <w:tc>
          <w:tcPr>
            <w:tcW w:w="2837" w:type="dxa"/>
            <w:tcBorders>
              <w:top w:val="single" w:sz="4" w:space="0" w:color="000000"/>
              <w:left w:val="single" w:sz="4" w:space="0" w:color="000000"/>
              <w:bottom w:val="single" w:sz="12" w:space="0" w:color="000000"/>
            </w:tcBorders>
          </w:tcPr>
          <w:p>
            <w:pPr>
              <w:pStyle w:val="TableParagraph"/>
              <w:spacing w:line="266" w:lineRule="exact"/>
              <w:ind w:left="29" w:right="23"/>
              <w:jc w:val="center"/>
              <w:rPr>
                <w:sz w:val="21"/>
              </w:rPr>
            </w:pPr>
            <w:r>
              <w:rPr>
                <w:sz w:val="21"/>
              </w:rPr>
              <w:t>项目不在禁止准入类和限制准</w:t>
            </w:r>
          </w:p>
          <w:p>
            <w:pPr>
              <w:pStyle w:val="TableParagraph"/>
              <w:spacing w:before="2" w:line="252" w:lineRule="exact"/>
              <w:ind w:left="27" w:right="23"/>
              <w:jc w:val="center"/>
              <w:rPr>
                <w:sz w:val="21"/>
              </w:rPr>
            </w:pPr>
            <w:r>
              <w:rPr>
                <w:sz w:val="21"/>
              </w:rPr>
              <w:t>入类中</w:t>
            </w:r>
          </w:p>
        </w:tc>
      </w:tr>
      <w:tr>
        <w:tblPrEx>
          <w:tblW w:w="0" w:type="auto"/>
          <w:jc w:val="left"/>
          <w:tblInd w:w="361" w:type="dxa"/>
          <w:tblLayout w:type="fixed"/>
          <w:tblCellMar>
            <w:top w:w="0" w:type="dxa"/>
            <w:left w:w="0" w:type="dxa"/>
            <w:bottom w:w="0" w:type="dxa"/>
            <w:right w:w="0" w:type="dxa"/>
          </w:tblCellMar>
          <w:tblLook w:val="01E0"/>
        </w:tblPrEx>
        <w:trPr>
          <w:trHeight w:val="1450"/>
          <w:jc w:val="left"/>
        </w:trPr>
        <w:tc>
          <w:tcPr>
            <w:tcW w:w="1580" w:type="dxa"/>
            <w:vMerge/>
            <w:tcBorders>
              <w:top w:val="nil"/>
              <w:right w:val="single" w:sz="4" w:space="0" w:color="000000"/>
            </w:tcBorders>
          </w:tcPr>
          <w:p>
            <w:pPr>
              <w:rPr>
                <w:sz w:val="2"/>
                <w:szCs w:val="2"/>
              </w:rPr>
            </w:pPr>
          </w:p>
        </w:tc>
        <w:tc>
          <w:tcPr>
            <w:tcW w:w="7459" w:type="dxa"/>
            <w:gridSpan w:val="5"/>
            <w:tcBorders>
              <w:top w:val="single" w:sz="12" w:space="0" w:color="000000"/>
              <w:left w:val="single" w:sz="4" w:space="0" w:color="000000"/>
              <w:bottom w:val="single" w:sz="12" w:space="0" w:color="000000"/>
            </w:tcBorders>
          </w:tcPr>
          <w:p>
            <w:pPr>
              <w:pStyle w:val="TableParagraph"/>
              <w:spacing w:before="2"/>
              <w:rPr>
                <w:rFonts w:ascii="Times New Roman"/>
                <w:sz w:val="24"/>
              </w:rPr>
            </w:pPr>
          </w:p>
          <w:p>
            <w:pPr>
              <w:pStyle w:val="TableParagraph"/>
              <w:spacing w:line="364" w:lineRule="auto"/>
              <w:ind w:left="500" w:right="461"/>
              <w:rPr>
                <w:sz w:val="24"/>
              </w:rPr>
            </w:pPr>
            <w:r>
              <w:rPr>
                <w:rFonts w:ascii="Times New Roman" w:eastAsia="Times New Roman"/>
                <w:b/>
                <w:sz w:val="24"/>
              </w:rPr>
              <w:t>3</w:t>
            </w:r>
            <w:r>
              <w:rPr>
                <w:b/>
                <w:sz w:val="24"/>
              </w:rPr>
              <w:t xml:space="preserve">、与江苏省长江经济带生态环境保护实施规划相符性分析 </w:t>
            </w:r>
            <w:r>
              <w:rPr>
                <w:spacing w:val="-1"/>
                <w:sz w:val="24"/>
              </w:rPr>
              <w:t>江苏省长江经济带生态环境保护实施规划相符性具体见下表。</w:t>
            </w:r>
          </w:p>
          <w:p>
            <w:pPr>
              <w:pStyle w:val="TableParagraph"/>
              <w:spacing w:line="217" w:lineRule="exact"/>
              <w:ind w:left="260"/>
              <w:rPr>
                <w:b/>
                <w:sz w:val="24"/>
              </w:rPr>
            </w:pPr>
            <w:r>
              <w:rPr>
                <w:b/>
                <w:sz w:val="24"/>
              </w:rPr>
              <w:t>表</w:t>
            </w:r>
            <w:r>
              <w:rPr>
                <w:rFonts w:ascii="Times New Roman" w:eastAsia="Times New Roman"/>
                <w:b/>
                <w:sz w:val="24"/>
              </w:rPr>
              <w:t>1-5</w:t>
            </w:r>
            <w:r>
              <w:rPr>
                <w:rFonts w:ascii="Times New Roman" w:eastAsia="Times New Roman"/>
                <w:b/>
                <w:spacing w:val="59"/>
                <w:sz w:val="24"/>
              </w:rPr>
              <w:t xml:space="preserve"> </w:t>
            </w:r>
            <w:r>
              <w:rPr>
                <w:b/>
                <w:sz w:val="24"/>
              </w:rPr>
              <w:t>项目与江苏省长江经济带生态环境保护实施规划相符性分析</w:t>
            </w:r>
          </w:p>
        </w:tc>
      </w:tr>
      <w:tr>
        <w:tblPrEx>
          <w:tblW w:w="0" w:type="auto"/>
          <w:jc w:val="left"/>
          <w:tblInd w:w="361" w:type="dxa"/>
          <w:tblLayout w:type="fixed"/>
          <w:tblCellMar>
            <w:top w:w="0" w:type="dxa"/>
            <w:left w:w="0" w:type="dxa"/>
            <w:bottom w:w="0" w:type="dxa"/>
            <w:right w:w="0" w:type="dxa"/>
          </w:tblCellMar>
          <w:tblLook w:val="01E0"/>
        </w:tblPrEx>
        <w:trPr>
          <w:trHeight w:val="279"/>
          <w:jc w:val="left"/>
        </w:trPr>
        <w:tc>
          <w:tcPr>
            <w:tcW w:w="1580" w:type="dxa"/>
            <w:vMerge/>
            <w:tcBorders>
              <w:top w:val="nil"/>
              <w:right w:val="single" w:sz="4" w:space="0" w:color="000000"/>
            </w:tcBorders>
          </w:tcPr>
          <w:p>
            <w:pPr>
              <w:rPr>
                <w:sz w:val="2"/>
                <w:szCs w:val="2"/>
              </w:rPr>
            </w:pPr>
          </w:p>
        </w:tc>
        <w:tc>
          <w:tcPr>
            <w:tcW w:w="693" w:type="dxa"/>
            <w:tcBorders>
              <w:top w:val="single" w:sz="12" w:space="0" w:color="000000"/>
              <w:left w:val="single" w:sz="4" w:space="0" w:color="000000"/>
              <w:bottom w:val="single" w:sz="4" w:space="0" w:color="000000"/>
              <w:right w:val="single" w:sz="4" w:space="0" w:color="000000"/>
            </w:tcBorders>
          </w:tcPr>
          <w:p>
            <w:pPr>
              <w:pStyle w:val="TableParagraph"/>
              <w:spacing w:before="6" w:line="253" w:lineRule="exact"/>
              <w:ind w:left="127" w:right="94"/>
              <w:jc w:val="center"/>
              <w:rPr>
                <w:b/>
                <w:sz w:val="21"/>
              </w:rPr>
            </w:pPr>
            <w:r>
              <w:rPr>
                <w:b/>
                <w:sz w:val="21"/>
              </w:rPr>
              <w:t>序号</w:t>
            </w:r>
          </w:p>
        </w:tc>
        <w:tc>
          <w:tcPr>
            <w:tcW w:w="3929" w:type="dxa"/>
            <w:gridSpan w:val="3"/>
            <w:tcBorders>
              <w:top w:val="single" w:sz="12" w:space="0" w:color="000000"/>
              <w:left w:val="single" w:sz="4" w:space="0" w:color="000000"/>
              <w:bottom w:val="single" w:sz="4" w:space="0" w:color="000000"/>
              <w:right w:val="single" w:sz="4" w:space="0" w:color="000000"/>
            </w:tcBorders>
          </w:tcPr>
          <w:p>
            <w:pPr>
              <w:pStyle w:val="TableParagraph"/>
              <w:spacing w:before="6" w:line="253" w:lineRule="exact"/>
              <w:ind w:left="71"/>
              <w:rPr>
                <w:b/>
                <w:sz w:val="21"/>
              </w:rPr>
            </w:pPr>
            <w:r>
              <w:rPr>
                <w:b/>
                <w:sz w:val="21"/>
              </w:rPr>
              <w:t>江苏省长江经济带生态环境保护实施规划</w:t>
            </w:r>
          </w:p>
        </w:tc>
        <w:tc>
          <w:tcPr>
            <w:tcW w:w="2837" w:type="dxa"/>
            <w:tcBorders>
              <w:top w:val="single" w:sz="12" w:space="0" w:color="000000"/>
              <w:left w:val="single" w:sz="4" w:space="0" w:color="000000"/>
              <w:bottom w:val="single" w:sz="4" w:space="0" w:color="000000"/>
            </w:tcBorders>
          </w:tcPr>
          <w:p>
            <w:pPr>
              <w:pStyle w:val="TableParagraph"/>
              <w:spacing w:before="6" w:line="253" w:lineRule="exact"/>
              <w:ind w:left="27" w:right="23"/>
              <w:jc w:val="center"/>
              <w:rPr>
                <w:b/>
                <w:sz w:val="21"/>
              </w:rPr>
            </w:pPr>
            <w:r>
              <w:rPr>
                <w:b/>
                <w:sz w:val="21"/>
              </w:rPr>
              <w:t>相符性分析</w:t>
            </w:r>
          </w:p>
        </w:tc>
      </w:tr>
      <w:tr>
        <w:tblPrEx>
          <w:tblW w:w="0" w:type="auto"/>
          <w:jc w:val="left"/>
          <w:tblInd w:w="361" w:type="dxa"/>
          <w:tblLayout w:type="fixed"/>
          <w:tblCellMar>
            <w:top w:w="0" w:type="dxa"/>
            <w:left w:w="0" w:type="dxa"/>
            <w:bottom w:w="0" w:type="dxa"/>
            <w:right w:w="0" w:type="dxa"/>
          </w:tblCellMar>
          <w:tblLook w:val="01E0"/>
        </w:tblPrEx>
        <w:trPr>
          <w:trHeight w:val="2986"/>
          <w:jc w:val="left"/>
        </w:trPr>
        <w:tc>
          <w:tcPr>
            <w:tcW w:w="1580" w:type="dxa"/>
            <w:vMerge/>
            <w:tcBorders>
              <w:top w:val="nil"/>
              <w:right w:val="single" w:sz="4" w:space="0" w:color="000000"/>
            </w:tcBorders>
          </w:tcPr>
          <w:p>
            <w:pPr>
              <w:rPr>
                <w:sz w:val="2"/>
                <w:szCs w:val="2"/>
              </w:rPr>
            </w:pPr>
          </w:p>
        </w:tc>
        <w:tc>
          <w:tcPr>
            <w:tcW w:w="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
              <w:rPr>
                <w:rFonts w:ascii="Times New Roman"/>
                <w:sz w:val="31"/>
              </w:rPr>
            </w:pPr>
          </w:p>
          <w:p>
            <w:pPr>
              <w:pStyle w:val="TableParagraph"/>
              <w:ind w:left="34"/>
              <w:jc w:val="center"/>
              <w:rPr>
                <w:rFonts w:ascii="Times New Roman"/>
                <w:sz w:val="21"/>
              </w:rPr>
            </w:pPr>
            <w:r>
              <w:rPr>
                <w:rFonts w:ascii="Times New Roman"/>
                <w:w w:val="99"/>
                <w:sz w:val="21"/>
              </w:rPr>
              <w:t>1</w:t>
            </w:r>
          </w:p>
        </w:tc>
        <w:tc>
          <w:tcPr>
            <w:tcW w:w="853"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2"/>
              </w:rPr>
            </w:pPr>
          </w:p>
          <w:p>
            <w:pPr>
              <w:pStyle w:val="TableParagraph"/>
              <w:spacing w:before="1" w:line="242" w:lineRule="auto"/>
              <w:ind w:left="115" w:right="97"/>
              <w:jc w:val="center"/>
              <w:rPr>
                <w:sz w:val="21"/>
              </w:rPr>
            </w:pPr>
            <w:r>
              <w:rPr>
                <w:sz w:val="21"/>
              </w:rPr>
              <w:t>保护和科学利用水资源</w:t>
            </w:r>
          </w:p>
        </w:tc>
        <w:tc>
          <w:tcPr>
            <w:tcW w:w="307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73" w:right="53" w:hanging="3"/>
              <w:jc w:val="center"/>
              <w:rPr>
                <w:sz w:val="21"/>
              </w:rPr>
            </w:pPr>
            <w:r>
              <w:rPr>
                <w:sz w:val="21"/>
              </w:rPr>
              <w:t xml:space="preserve">执行国家鼓励和淘汰的用水技 </w:t>
            </w:r>
            <w:r>
              <w:rPr>
                <w:spacing w:val="-1"/>
                <w:w w:val="95"/>
                <w:sz w:val="21"/>
              </w:rPr>
              <w:t>术、工艺、设备、产品目录及高耗水行业取用水定额标准，完善火力发电、钢铁、造纸、石化、化工、印染、化纤、食品发酵等高耗水行业省级用水定额；严格控制高耗水行业发展；按照重要</w:t>
            </w:r>
            <w:r>
              <w:rPr>
                <w:sz w:val="21"/>
              </w:rPr>
              <w:t xml:space="preserve">江河湖泊水功能区水质达标要 </w:t>
            </w:r>
            <w:r>
              <w:rPr>
                <w:spacing w:val="-1"/>
                <w:w w:val="95"/>
                <w:sz w:val="21"/>
              </w:rPr>
              <w:t>求，落实污染物达标排放措施， 切实监管入河湖排污口，严格控</w:t>
            </w:r>
          </w:p>
          <w:p>
            <w:pPr>
              <w:pStyle w:val="TableParagraph"/>
              <w:spacing w:before="1" w:line="247" w:lineRule="exact"/>
              <w:ind w:left="67" w:right="52"/>
              <w:jc w:val="center"/>
              <w:rPr>
                <w:sz w:val="21"/>
              </w:rPr>
            </w:pPr>
            <w:r>
              <w:rPr>
                <w:sz w:val="21"/>
              </w:rPr>
              <w:t>制入河湖排污总量。</w:t>
            </w:r>
          </w:p>
        </w:tc>
        <w:tc>
          <w:tcPr>
            <w:tcW w:w="2837"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4"/>
              <w:rPr>
                <w:rFonts w:ascii="Times New Roman"/>
                <w:sz w:val="22"/>
              </w:rPr>
            </w:pPr>
          </w:p>
          <w:p>
            <w:pPr>
              <w:pStyle w:val="TableParagraph"/>
              <w:spacing w:before="1" w:line="242" w:lineRule="auto"/>
              <w:ind w:left="49" w:right="41"/>
              <w:jc w:val="center"/>
              <w:rPr>
                <w:sz w:val="21"/>
              </w:rPr>
            </w:pPr>
            <w:r>
              <w:rPr>
                <w:w w:val="95"/>
                <w:sz w:val="21"/>
              </w:rPr>
              <w:t>项目属于二级公路建设工程， 营运期正常状态时除汽车尾气</w:t>
            </w:r>
            <w:r>
              <w:rPr>
                <w:sz w:val="21"/>
              </w:rPr>
              <w:t>呈无组织排放外无其他</w:t>
            </w:r>
            <w:r>
              <w:rPr>
                <w:rFonts w:ascii="Times New Roman" w:eastAsia="Times New Roman" w:hAnsi="Times New Roman"/>
                <w:sz w:val="21"/>
              </w:rPr>
              <w:t>“</w:t>
            </w:r>
            <w:r>
              <w:rPr>
                <w:sz w:val="21"/>
              </w:rPr>
              <w:t>三废</w:t>
            </w:r>
            <w:r>
              <w:rPr>
                <w:rFonts w:ascii="Times New Roman" w:eastAsia="Times New Roman" w:hAnsi="Times New Roman"/>
                <w:sz w:val="21"/>
              </w:rPr>
              <w:t xml:space="preserve">” </w:t>
            </w:r>
            <w:r>
              <w:rPr>
                <w:sz w:val="21"/>
              </w:rPr>
              <w:t>排放，生态影响较小。</w:t>
            </w:r>
          </w:p>
        </w:tc>
      </w:tr>
      <w:tr>
        <w:tblPrEx>
          <w:tblW w:w="0" w:type="auto"/>
          <w:jc w:val="left"/>
          <w:tblInd w:w="361" w:type="dxa"/>
          <w:tblLayout w:type="fixed"/>
          <w:tblCellMar>
            <w:top w:w="0" w:type="dxa"/>
            <w:left w:w="0" w:type="dxa"/>
            <w:bottom w:w="0" w:type="dxa"/>
            <w:right w:w="0" w:type="dxa"/>
          </w:tblCellMar>
          <w:tblLook w:val="01E0"/>
        </w:tblPrEx>
        <w:trPr>
          <w:trHeight w:val="1350"/>
          <w:jc w:val="left"/>
        </w:trPr>
        <w:tc>
          <w:tcPr>
            <w:tcW w:w="1580" w:type="dxa"/>
            <w:vMerge/>
            <w:tcBorders>
              <w:top w:val="nil"/>
              <w:right w:val="single" w:sz="4" w:space="0" w:color="000000"/>
            </w:tcBorders>
          </w:tcPr>
          <w:p>
            <w:pPr>
              <w:rPr>
                <w:sz w:val="2"/>
                <w:szCs w:val="2"/>
              </w:rPr>
            </w:pPr>
          </w:p>
        </w:tc>
        <w:tc>
          <w:tcPr>
            <w:tcW w:w="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6"/>
              </w:rPr>
            </w:pPr>
          </w:p>
          <w:p>
            <w:pPr>
              <w:pStyle w:val="TableParagraph"/>
              <w:ind w:left="34"/>
              <w:jc w:val="center"/>
              <w:rPr>
                <w:rFonts w:ascii="Times New Roman"/>
                <w:sz w:val="21"/>
              </w:rPr>
            </w:pPr>
            <w:r>
              <w:rPr>
                <w:rFonts w:ascii="Times New Roman"/>
                <w:w w:val="99"/>
                <w:sz w:val="21"/>
              </w:rPr>
              <w:t>2</w:t>
            </w:r>
          </w:p>
        </w:tc>
        <w:tc>
          <w:tcPr>
            <w:tcW w:w="853"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3"/>
              </w:rPr>
            </w:pPr>
          </w:p>
          <w:p>
            <w:pPr>
              <w:pStyle w:val="TableParagraph"/>
              <w:spacing w:line="242" w:lineRule="auto"/>
              <w:ind w:left="115" w:right="97"/>
              <w:jc w:val="both"/>
              <w:rPr>
                <w:sz w:val="21"/>
              </w:rPr>
            </w:pPr>
            <w:r>
              <w:rPr>
                <w:sz w:val="21"/>
              </w:rPr>
              <w:t>实施生态保护与修复</w:t>
            </w:r>
          </w:p>
        </w:tc>
        <w:tc>
          <w:tcPr>
            <w:tcW w:w="307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73" w:right="53"/>
              <w:jc w:val="both"/>
              <w:rPr>
                <w:sz w:val="21"/>
              </w:rPr>
            </w:pPr>
            <w:r>
              <w:rPr>
                <w:sz w:val="21"/>
              </w:rPr>
              <w:t>划定并严守生态保护红线：国家生态保护红线原则上按禁止开发区域的要求进行管理，严禁不符合主体功能定位的各类开发活</w:t>
            </w:r>
          </w:p>
          <w:p>
            <w:pPr>
              <w:pStyle w:val="TableParagraph"/>
              <w:spacing w:line="248" w:lineRule="exact"/>
              <w:ind w:left="387"/>
              <w:rPr>
                <w:sz w:val="21"/>
              </w:rPr>
            </w:pPr>
            <w:r>
              <w:rPr>
                <w:sz w:val="21"/>
              </w:rPr>
              <w:t>动，严禁任意改变用途。</w:t>
            </w:r>
          </w:p>
        </w:tc>
        <w:tc>
          <w:tcPr>
            <w:tcW w:w="2837"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74" w:line="242" w:lineRule="auto"/>
              <w:ind w:left="784" w:right="41" w:hanging="735"/>
              <w:rPr>
                <w:sz w:val="21"/>
              </w:rPr>
            </w:pPr>
            <w:r>
              <w:rPr>
                <w:sz w:val="21"/>
              </w:rPr>
              <w:t>项目不在生态红线范围内，符合相关要求。</w:t>
            </w:r>
          </w:p>
        </w:tc>
      </w:tr>
      <w:tr>
        <w:tblPrEx>
          <w:tblW w:w="0" w:type="auto"/>
          <w:jc w:val="left"/>
          <w:tblInd w:w="361" w:type="dxa"/>
          <w:tblLayout w:type="fixed"/>
          <w:tblCellMar>
            <w:top w:w="0" w:type="dxa"/>
            <w:left w:w="0" w:type="dxa"/>
            <w:bottom w:w="0" w:type="dxa"/>
            <w:right w:w="0" w:type="dxa"/>
          </w:tblCellMar>
          <w:tblLook w:val="01E0"/>
        </w:tblPrEx>
        <w:trPr>
          <w:trHeight w:val="1927"/>
          <w:jc w:val="left"/>
        </w:trPr>
        <w:tc>
          <w:tcPr>
            <w:tcW w:w="1580" w:type="dxa"/>
            <w:vMerge/>
            <w:tcBorders>
              <w:top w:val="nil"/>
              <w:right w:val="single" w:sz="4" w:space="0" w:color="000000"/>
            </w:tcBorders>
          </w:tcPr>
          <w:p>
            <w:pPr>
              <w:rPr>
                <w:sz w:val="2"/>
                <w:szCs w:val="2"/>
              </w:rPr>
            </w:pPr>
          </w:p>
        </w:tc>
        <w:tc>
          <w:tcPr>
            <w:tcW w:w="693"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8"/>
              </w:rPr>
            </w:pPr>
          </w:p>
          <w:p>
            <w:pPr>
              <w:pStyle w:val="TableParagraph"/>
              <w:ind w:left="34"/>
              <w:jc w:val="center"/>
              <w:rPr>
                <w:rFonts w:ascii="Times New Roman"/>
                <w:sz w:val="21"/>
              </w:rPr>
            </w:pPr>
            <w:r>
              <w:rPr>
                <w:rFonts w:ascii="Times New Roman"/>
                <w:w w:val="99"/>
                <w:sz w:val="21"/>
              </w:rPr>
              <w:t>3</w:t>
            </w:r>
          </w:p>
        </w:tc>
        <w:tc>
          <w:tcPr>
            <w:tcW w:w="853" w:type="dxa"/>
            <w:gridSpan w:val="2"/>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0"/>
              </w:rPr>
            </w:pPr>
          </w:p>
          <w:p>
            <w:pPr>
              <w:pStyle w:val="TableParagraph"/>
              <w:spacing w:before="11"/>
              <w:rPr>
                <w:rFonts w:ascii="Times New Roman"/>
                <w:sz w:val="26"/>
              </w:rPr>
            </w:pPr>
          </w:p>
          <w:p>
            <w:pPr>
              <w:pStyle w:val="TableParagraph"/>
              <w:spacing w:line="242" w:lineRule="auto"/>
              <w:ind w:left="115" w:right="97"/>
              <w:jc w:val="center"/>
              <w:rPr>
                <w:sz w:val="21"/>
              </w:rPr>
            </w:pPr>
            <w:r>
              <w:rPr>
                <w:sz w:val="21"/>
              </w:rPr>
              <w:t>推进水环境治理</w:t>
            </w:r>
          </w:p>
        </w:tc>
        <w:tc>
          <w:tcPr>
            <w:tcW w:w="3076" w:type="dxa"/>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73" w:right="53"/>
              <w:jc w:val="both"/>
              <w:rPr>
                <w:sz w:val="21"/>
              </w:rPr>
            </w:pPr>
            <w:r>
              <w:rPr>
                <w:sz w:val="21"/>
              </w:rPr>
              <w:t>严格执行国家环境质量标准，将水质达标作为环境质量的底线要求，从严控制污染物排放；严格落实化工、原料药加工、印染、电镀、造纸、焦化等十大重点行业改建、扩建项目主要水污染物排放等量或减量置换要求。加快</w:t>
            </w:r>
          </w:p>
        </w:tc>
        <w:tc>
          <w:tcPr>
            <w:tcW w:w="2837" w:type="dxa"/>
            <w:tcBorders>
              <w:top w:val="single" w:sz="4" w:space="0" w:color="000000"/>
              <w:left w:val="single" w:sz="4" w:space="0" w:color="000000"/>
              <w:bottom w:val="single" w:sz="18" w:space="0" w:color="000000"/>
            </w:tcBorders>
          </w:tcPr>
          <w:p>
            <w:pPr>
              <w:pStyle w:val="TableParagraph"/>
              <w:rPr>
                <w:rFonts w:ascii="Times New Roman"/>
                <w:sz w:val="20"/>
              </w:rPr>
            </w:pPr>
          </w:p>
          <w:p>
            <w:pPr>
              <w:pStyle w:val="TableParagraph"/>
              <w:spacing w:before="173" w:line="242" w:lineRule="auto"/>
              <w:ind w:left="49" w:right="41"/>
              <w:jc w:val="center"/>
              <w:rPr>
                <w:sz w:val="21"/>
              </w:rPr>
            </w:pPr>
            <w:r>
              <w:rPr>
                <w:w w:val="95"/>
                <w:sz w:val="21"/>
              </w:rPr>
              <w:t>项目属于二级公路建设工程， 营运期正常状态时除汽车尾气</w:t>
            </w:r>
            <w:r>
              <w:rPr>
                <w:sz w:val="21"/>
              </w:rPr>
              <w:t>呈无组织排放外无其他</w:t>
            </w:r>
            <w:r>
              <w:rPr>
                <w:rFonts w:ascii="Times New Roman" w:eastAsia="Times New Roman" w:hAnsi="Times New Roman"/>
                <w:sz w:val="21"/>
              </w:rPr>
              <w:t>“</w:t>
            </w:r>
            <w:r>
              <w:rPr>
                <w:sz w:val="21"/>
              </w:rPr>
              <w:t>三废</w:t>
            </w:r>
            <w:r>
              <w:rPr>
                <w:rFonts w:ascii="Times New Roman" w:eastAsia="Times New Roman" w:hAnsi="Times New Roman"/>
                <w:sz w:val="21"/>
              </w:rPr>
              <w:t xml:space="preserve">” </w:t>
            </w:r>
            <w:r>
              <w:rPr>
                <w:sz w:val="21"/>
              </w:rPr>
              <w:t>排放，生态影响较小。</w:t>
            </w:r>
          </w:p>
        </w:tc>
      </w:tr>
    </w:tbl>
    <w:p>
      <w:pPr>
        <w:spacing w:after="0" w:line="242" w:lineRule="auto"/>
        <w:jc w:val="center"/>
        <w:rPr>
          <w:sz w:val="21"/>
        </w:rPr>
        <w:sectPr>
          <w:footerReference w:type="default" r:id="rId21"/>
          <w:pgSz w:w="11910" w:h="16840"/>
          <w:pgMar w:top="1580" w:right="1100" w:bottom="1420" w:left="1180" w:header="0" w:footer="1225"/>
          <w:pgNumType w:start="18"/>
          <w:cols w:space="708"/>
        </w:sectPr>
      </w:pPr>
    </w:p>
    <w:p>
      <w:pPr>
        <w:pStyle w:val="BodyText"/>
        <w:rPr>
          <w:rFonts w:ascii="Times New Roman"/>
          <w:sz w:val="20"/>
        </w:rPr>
      </w:pPr>
      <w:r>
        <w:pict>
          <v:shape id="_x0000_s1045" type="#_x0000_t202" style="width:453.4pt;height:669.1pt;margin-top:85.7pt;margin-left:76.07pt;mso-position-horizontal-relative:page;mso-position-vertical-relative:page;position:absolute;z-index:251666432" filled="f" stroked="f">
            <v:textbox inset="0,0,0,0">
              <w:txbxContent>
                <w:tbl>
                  <w:tblPr>
                    <w:tblStyle w:val="TableNormal7"/>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692"/>
                    <w:gridCol w:w="853"/>
                    <w:gridCol w:w="2834"/>
                    <w:gridCol w:w="242"/>
                    <w:gridCol w:w="2837"/>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074"/>
                      <w:jc w:val="left"/>
                    </w:trPr>
                    <w:tc>
                      <w:tcPr>
                        <w:tcW w:w="1580" w:type="dxa"/>
                        <w:vMerge w:val="restart"/>
                        <w:tcBorders>
                          <w:right w:val="single" w:sz="4" w:space="0" w:color="000000"/>
                        </w:tcBorders>
                      </w:tcPr>
                      <w:p>
                        <w:pPr>
                          <w:pStyle w:val="TableParagraph"/>
                          <w:rPr>
                            <w:rFonts w:ascii="Times New Roman"/>
                            <w:sz w:val="20"/>
                          </w:rPr>
                        </w:pPr>
                      </w:p>
                    </w:tc>
                    <w:tc>
                      <w:tcPr>
                        <w:tcW w:w="692" w:type="dxa"/>
                        <w:tcBorders>
                          <w:top w:val="thinThickMediumGap" w:sz="6" w:space="0" w:color="000000"/>
                          <w:left w:val="single" w:sz="4" w:space="0" w:color="000000"/>
                          <w:bottom w:val="single" w:sz="12" w:space="0" w:color="000000"/>
                          <w:right w:val="single" w:sz="4" w:space="0" w:color="000000"/>
                        </w:tcBorders>
                      </w:tcPr>
                      <w:p>
                        <w:pPr>
                          <w:pStyle w:val="TableParagraph"/>
                          <w:rPr>
                            <w:rFonts w:ascii="Times New Roman"/>
                            <w:sz w:val="20"/>
                          </w:rPr>
                        </w:pPr>
                      </w:p>
                    </w:tc>
                    <w:tc>
                      <w:tcPr>
                        <w:tcW w:w="853" w:type="dxa"/>
                        <w:tcBorders>
                          <w:top w:val="thinThickMediumGap" w:sz="6" w:space="0" w:color="000000"/>
                          <w:left w:val="single" w:sz="4" w:space="0" w:color="000000"/>
                          <w:bottom w:val="single" w:sz="12" w:space="0" w:color="000000"/>
                          <w:right w:val="single" w:sz="4" w:space="0" w:color="000000"/>
                        </w:tcBorders>
                      </w:tcPr>
                      <w:p>
                        <w:pPr>
                          <w:pStyle w:val="TableParagraph"/>
                          <w:rPr>
                            <w:rFonts w:ascii="Times New Roman"/>
                            <w:sz w:val="20"/>
                          </w:rPr>
                        </w:pPr>
                      </w:p>
                    </w:tc>
                    <w:tc>
                      <w:tcPr>
                        <w:tcW w:w="3076" w:type="dxa"/>
                        <w:gridSpan w:val="2"/>
                        <w:tcBorders>
                          <w:top w:val="thinThickMediumGap" w:sz="6" w:space="0" w:color="000000"/>
                          <w:left w:val="single" w:sz="4" w:space="0" w:color="000000"/>
                          <w:bottom w:val="single" w:sz="12" w:space="0" w:color="000000"/>
                          <w:right w:val="single" w:sz="4" w:space="0" w:color="000000"/>
                        </w:tcBorders>
                      </w:tcPr>
                      <w:p>
                        <w:pPr>
                          <w:pStyle w:val="TableParagraph"/>
                          <w:spacing w:line="256" w:lineRule="exact"/>
                          <w:ind w:left="69" w:right="52"/>
                          <w:jc w:val="center"/>
                          <w:rPr>
                            <w:sz w:val="21"/>
                          </w:rPr>
                        </w:pPr>
                        <w:r>
                          <w:rPr>
                            <w:sz w:val="21"/>
                          </w:rPr>
                          <w:t>布局分散的企业向工业园区集</w:t>
                        </w:r>
                      </w:p>
                      <w:p>
                        <w:pPr>
                          <w:pStyle w:val="TableParagraph"/>
                          <w:spacing w:before="4" w:line="242" w:lineRule="auto"/>
                          <w:ind w:left="74" w:right="52"/>
                          <w:jc w:val="center"/>
                          <w:rPr>
                            <w:sz w:val="21"/>
                          </w:rPr>
                        </w:pPr>
                        <w:r>
                          <w:rPr>
                            <w:w w:val="95"/>
                            <w:sz w:val="21"/>
                          </w:rPr>
                          <w:t>中，有序推动工业园区水污染集中治理工作，强化园区污水处理</w:t>
                        </w:r>
                      </w:p>
                      <w:p>
                        <w:pPr>
                          <w:pStyle w:val="TableParagraph"/>
                          <w:spacing w:before="2" w:line="250" w:lineRule="exact"/>
                          <w:ind w:left="69" w:right="52"/>
                          <w:jc w:val="center"/>
                          <w:rPr>
                            <w:sz w:val="21"/>
                          </w:rPr>
                        </w:pPr>
                        <w:r>
                          <w:rPr>
                            <w:sz w:val="21"/>
                          </w:rPr>
                          <w:t>设施运行管理后督查</w:t>
                        </w:r>
                      </w:p>
                    </w:tc>
                    <w:tc>
                      <w:tcPr>
                        <w:tcW w:w="2837" w:type="dxa"/>
                        <w:tcBorders>
                          <w:top w:val="thinThickMediumGap" w:sz="6" w:space="0" w:color="000000"/>
                          <w:left w:val="single" w:sz="4" w:space="0" w:color="000000"/>
                          <w:bottom w:val="single" w:sz="12" w:space="0" w:color="000000"/>
                        </w:tcBorders>
                      </w:tcPr>
                      <w:p>
                        <w:pPr>
                          <w:pStyle w:val="TableParagraph"/>
                          <w:rPr>
                            <w:rFonts w:ascii="Times New Roman"/>
                            <w:sz w:val="20"/>
                          </w:rPr>
                        </w:pPr>
                      </w:p>
                    </w:tc>
                  </w:tr>
                  <w:tr>
                    <w:tblPrEx>
                      <w:tblW w:w="0" w:type="auto"/>
                      <w:jc w:val="left"/>
                      <w:tblInd w:w="10" w:type="dxa"/>
                      <w:tblLayout w:type="fixed"/>
                      <w:tblCellMar>
                        <w:top w:w="0" w:type="dxa"/>
                        <w:left w:w="0" w:type="dxa"/>
                        <w:bottom w:w="0" w:type="dxa"/>
                        <w:right w:w="0" w:type="dxa"/>
                      </w:tblCellMar>
                      <w:tblLook w:val="01E0"/>
                    </w:tblPrEx>
                    <w:trPr>
                      <w:trHeight w:val="2347"/>
                      <w:jc w:val="left"/>
                    </w:trPr>
                    <w:tc>
                      <w:tcPr>
                        <w:tcW w:w="1580" w:type="dxa"/>
                        <w:vMerge/>
                        <w:tcBorders>
                          <w:top w:val="nil"/>
                          <w:right w:val="single" w:sz="4" w:space="0" w:color="000000"/>
                        </w:tcBorders>
                      </w:tcPr>
                      <w:p>
                        <w:pPr>
                          <w:rPr>
                            <w:sz w:val="2"/>
                            <w:szCs w:val="2"/>
                          </w:rPr>
                        </w:pPr>
                      </w:p>
                    </w:tc>
                    <w:tc>
                      <w:tcPr>
                        <w:tcW w:w="7458" w:type="dxa"/>
                        <w:gridSpan w:val="5"/>
                        <w:tcBorders>
                          <w:top w:val="single" w:sz="12" w:space="0" w:color="000000"/>
                          <w:left w:val="single" w:sz="4" w:space="0" w:color="000000"/>
                          <w:bottom w:val="single" w:sz="12" w:space="0" w:color="000000"/>
                        </w:tcBorders>
                      </w:tcPr>
                      <w:p>
                        <w:pPr>
                          <w:pStyle w:val="TableParagraph"/>
                          <w:spacing w:before="1" w:line="364" w:lineRule="auto"/>
                          <w:ind w:left="20" w:right="-15" w:firstLine="480"/>
                          <w:rPr>
                            <w:sz w:val="24"/>
                          </w:rPr>
                        </w:pPr>
                        <w:r>
                          <w:rPr>
                            <w:spacing w:val="-3"/>
                            <w:sz w:val="24"/>
                          </w:rPr>
                          <w:t>由上表可知，项目建设与《江苏省长江经济带生态环境保护实施规划》相符。</w:t>
                        </w:r>
                      </w:p>
                      <w:p>
                        <w:pPr>
                          <w:pStyle w:val="TableParagraph"/>
                          <w:spacing w:before="2" w:line="362" w:lineRule="auto"/>
                          <w:ind w:left="20" w:right="-15" w:firstLine="480"/>
                          <w:rPr>
                            <w:b/>
                            <w:sz w:val="24"/>
                          </w:rPr>
                        </w:pPr>
                        <w:r>
                          <w:rPr>
                            <w:rFonts w:ascii="Times New Roman" w:eastAsia="Times New Roman" w:hAnsi="Times New Roman"/>
                            <w:b/>
                            <w:color w:val="0000FF"/>
                            <w:sz w:val="24"/>
                          </w:rPr>
                          <w:t>4</w:t>
                        </w:r>
                        <w:r>
                          <w:rPr>
                            <w:b/>
                            <w:color w:val="0000FF"/>
                            <w:spacing w:val="-14"/>
                            <w:sz w:val="24"/>
                          </w:rPr>
                          <w:t>、与《关于印发盐城市“十四五”生态环境保护规划的通知》</w:t>
                        </w:r>
                        <w:r>
                          <w:rPr>
                            <w:b/>
                            <w:color w:val="0000FF"/>
                            <w:sz w:val="24"/>
                          </w:rPr>
                          <w:t>（盐政办发〔</w:t>
                        </w:r>
                        <w:r>
                          <w:rPr>
                            <w:rFonts w:ascii="Times New Roman" w:eastAsia="Times New Roman" w:hAnsi="Times New Roman"/>
                            <w:b/>
                            <w:color w:val="0000FF"/>
                            <w:sz w:val="24"/>
                          </w:rPr>
                          <w:t>2021</w:t>
                        </w:r>
                        <w:r>
                          <w:rPr>
                            <w:b/>
                            <w:color w:val="0000FF"/>
                            <w:sz w:val="24"/>
                          </w:rPr>
                          <w:t>〕</w:t>
                        </w:r>
                        <w:r>
                          <w:rPr>
                            <w:rFonts w:ascii="Times New Roman" w:eastAsia="Times New Roman" w:hAnsi="Times New Roman"/>
                            <w:b/>
                            <w:color w:val="0000FF"/>
                            <w:sz w:val="24"/>
                          </w:rPr>
                          <w:t>87</w:t>
                        </w:r>
                        <w:r>
                          <w:rPr>
                            <w:rFonts w:ascii="Times New Roman" w:eastAsia="Times New Roman" w:hAnsi="Times New Roman"/>
                            <w:b/>
                            <w:color w:val="0000FF"/>
                            <w:spacing w:val="-1"/>
                            <w:sz w:val="24"/>
                          </w:rPr>
                          <w:t xml:space="preserve"> </w:t>
                        </w:r>
                        <w:r>
                          <w:rPr>
                            <w:b/>
                            <w:color w:val="0000FF"/>
                            <w:sz w:val="24"/>
                          </w:rPr>
                          <w:t>号）相符性分析</w:t>
                        </w:r>
                      </w:p>
                      <w:p>
                        <w:pPr>
                          <w:pStyle w:val="TableParagraph"/>
                          <w:spacing w:line="228" w:lineRule="exact"/>
                          <w:ind w:left="20" w:right="-15"/>
                          <w:jc w:val="center"/>
                          <w:rPr>
                            <w:b/>
                            <w:sz w:val="24"/>
                          </w:rPr>
                        </w:pPr>
                        <w:r>
                          <w:rPr>
                            <w:b/>
                            <w:color w:val="0000FF"/>
                            <w:sz w:val="24"/>
                          </w:rPr>
                          <w:t>表</w:t>
                        </w:r>
                        <w:r>
                          <w:rPr>
                            <w:rFonts w:ascii="Times New Roman" w:eastAsia="Times New Roman" w:hAnsi="Times New Roman"/>
                            <w:b/>
                            <w:color w:val="0000FF"/>
                            <w:sz w:val="24"/>
                          </w:rPr>
                          <w:t>1-6</w:t>
                        </w:r>
                        <w:r>
                          <w:rPr>
                            <w:rFonts w:ascii="Times New Roman" w:eastAsia="Times New Roman" w:hAnsi="Times New Roman"/>
                            <w:b/>
                            <w:color w:val="0000FF"/>
                            <w:spacing w:val="54"/>
                            <w:sz w:val="24"/>
                          </w:rPr>
                          <w:t xml:space="preserve"> </w:t>
                        </w:r>
                        <w:r>
                          <w:rPr>
                            <w:b/>
                            <w:color w:val="0000FF"/>
                            <w:sz w:val="24"/>
                          </w:rPr>
                          <w:t>项目与《关于印发盐城市“十四五”生态环境保护规划的通知》</w:t>
                        </w:r>
                      </w:p>
                      <w:p>
                        <w:pPr>
                          <w:pStyle w:val="TableParagraph"/>
                          <w:spacing w:line="233" w:lineRule="exact"/>
                          <w:ind w:left="221" w:right="197"/>
                          <w:jc w:val="center"/>
                          <w:rPr>
                            <w:b/>
                            <w:sz w:val="24"/>
                          </w:rPr>
                        </w:pPr>
                        <w:r>
                          <w:rPr>
                            <w:b/>
                            <w:color w:val="0000FF"/>
                            <w:sz w:val="24"/>
                          </w:rPr>
                          <w:t>（盐政办发〔</w:t>
                        </w:r>
                        <w:r>
                          <w:rPr>
                            <w:rFonts w:ascii="Times New Roman" w:eastAsia="Times New Roman"/>
                            <w:b/>
                            <w:color w:val="0000FF"/>
                            <w:sz w:val="24"/>
                          </w:rPr>
                          <w:t>2021</w:t>
                        </w:r>
                        <w:r>
                          <w:rPr>
                            <w:b/>
                            <w:color w:val="0000FF"/>
                            <w:sz w:val="24"/>
                          </w:rPr>
                          <w:t>〕</w:t>
                        </w:r>
                        <w:r>
                          <w:rPr>
                            <w:rFonts w:ascii="Times New Roman" w:eastAsia="Times New Roman"/>
                            <w:b/>
                            <w:color w:val="0000FF"/>
                            <w:sz w:val="24"/>
                          </w:rPr>
                          <w:t>87</w:t>
                        </w:r>
                        <w:r>
                          <w:rPr>
                            <w:b/>
                            <w:color w:val="0000FF"/>
                            <w:sz w:val="24"/>
                          </w:rPr>
                          <w:t>号）相符性分析</w:t>
                        </w:r>
                      </w:p>
                    </w:tc>
                  </w:tr>
                  <w:tr>
                    <w:tblPrEx>
                      <w:tblW w:w="0" w:type="auto"/>
                      <w:jc w:val="left"/>
                      <w:tblInd w:w="10" w:type="dxa"/>
                      <w:tblLayout w:type="fixed"/>
                      <w:tblCellMar>
                        <w:top w:w="0" w:type="dxa"/>
                        <w:left w:w="0" w:type="dxa"/>
                        <w:bottom w:w="0" w:type="dxa"/>
                        <w:right w:w="0" w:type="dxa"/>
                      </w:tblCellMar>
                      <w:tblLook w:val="01E0"/>
                    </w:tblPrEx>
                    <w:trPr>
                      <w:trHeight w:val="540"/>
                      <w:jc w:val="left"/>
                    </w:trPr>
                    <w:tc>
                      <w:tcPr>
                        <w:tcW w:w="1580" w:type="dxa"/>
                        <w:vMerge/>
                        <w:tcBorders>
                          <w:top w:val="nil"/>
                          <w:right w:val="single" w:sz="4" w:space="0" w:color="000000"/>
                        </w:tcBorders>
                      </w:tcPr>
                      <w:p>
                        <w:pPr>
                          <w:rPr>
                            <w:sz w:val="2"/>
                            <w:szCs w:val="2"/>
                          </w:rPr>
                        </w:pPr>
                      </w:p>
                    </w:tc>
                    <w:tc>
                      <w:tcPr>
                        <w:tcW w:w="692" w:type="dxa"/>
                        <w:tcBorders>
                          <w:top w:val="single" w:sz="12" w:space="0" w:color="000000"/>
                          <w:left w:val="single" w:sz="4" w:space="0" w:color="000000"/>
                          <w:bottom w:val="single" w:sz="4" w:space="0" w:color="000000"/>
                          <w:right w:val="single" w:sz="4" w:space="0" w:color="000000"/>
                        </w:tcBorders>
                      </w:tcPr>
                      <w:p>
                        <w:pPr>
                          <w:pStyle w:val="TableParagraph"/>
                          <w:spacing w:before="135"/>
                          <w:ind w:left="127" w:right="93"/>
                          <w:jc w:val="center"/>
                          <w:rPr>
                            <w:b/>
                            <w:sz w:val="21"/>
                          </w:rPr>
                        </w:pPr>
                        <w:r>
                          <w:rPr>
                            <w:b/>
                            <w:color w:val="0000FF"/>
                            <w:sz w:val="21"/>
                          </w:rPr>
                          <w:t>序号</w:t>
                        </w:r>
                      </w:p>
                    </w:tc>
                    <w:tc>
                      <w:tcPr>
                        <w:tcW w:w="3687" w:type="dxa"/>
                        <w:gridSpan w:val="2"/>
                        <w:tcBorders>
                          <w:top w:val="single" w:sz="12" w:space="0" w:color="000000"/>
                          <w:left w:val="single" w:sz="4" w:space="0" w:color="000000"/>
                          <w:bottom w:val="single" w:sz="4" w:space="0" w:color="000000"/>
                          <w:right w:val="single" w:sz="4" w:space="0" w:color="000000"/>
                        </w:tcBorders>
                      </w:tcPr>
                      <w:p>
                        <w:pPr>
                          <w:pStyle w:val="TableParagraph"/>
                          <w:ind w:left="34" w:right="19"/>
                          <w:jc w:val="center"/>
                          <w:rPr>
                            <w:b/>
                            <w:sz w:val="21"/>
                          </w:rPr>
                        </w:pPr>
                        <w:r>
                          <w:rPr>
                            <w:b/>
                            <w:color w:val="0000FF"/>
                            <w:sz w:val="21"/>
                          </w:rPr>
                          <w:t>关于印发盐城市“十四五”生态环境保</w:t>
                        </w:r>
                      </w:p>
                      <w:p>
                        <w:pPr>
                          <w:pStyle w:val="TableParagraph"/>
                          <w:spacing w:before="3" w:line="248" w:lineRule="exact"/>
                          <w:ind w:left="34" w:right="19"/>
                          <w:jc w:val="center"/>
                          <w:rPr>
                            <w:b/>
                            <w:sz w:val="21"/>
                          </w:rPr>
                        </w:pPr>
                        <w:r>
                          <w:rPr>
                            <w:b/>
                            <w:color w:val="0000FF"/>
                            <w:sz w:val="21"/>
                          </w:rPr>
                          <w:t>护规划的通知</w:t>
                        </w:r>
                      </w:p>
                    </w:tc>
                    <w:tc>
                      <w:tcPr>
                        <w:tcW w:w="3079" w:type="dxa"/>
                        <w:gridSpan w:val="2"/>
                        <w:tcBorders>
                          <w:top w:val="single" w:sz="12" w:space="0" w:color="000000"/>
                          <w:left w:val="single" w:sz="4" w:space="0" w:color="000000"/>
                          <w:bottom w:val="single" w:sz="4" w:space="0" w:color="000000"/>
                        </w:tcBorders>
                      </w:tcPr>
                      <w:p>
                        <w:pPr>
                          <w:pStyle w:val="TableParagraph"/>
                          <w:spacing w:before="135"/>
                          <w:ind w:left="1010"/>
                          <w:rPr>
                            <w:b/>
                            <w:sz w:val="21"/>
                          </w:rPr>
                        </w:pPr>
                        <w:r>
                          <w:rPr>
                            <w:b/>
                            <w:color w:val="0000FF"/>
                            <w:sz w:val="21"/>
                          </w:rPr>
                          <w:t>相符性分析</w:t>
                        </w:r>
                      </w:p>
                    </w:tc>
                  </w:tr>
                  <w:tr>
                    <w:tblPrEx>
                      <w:tblW w:w="0" w:type="auto"/>
                      <w:jc w:val="left"/>
                      <w:tblInd w:w="10" w:type="dxa"/>
                      <w:tblLayout w:type="fixed"/>
                      <w:tblCellMar>
                        <w:top w:w="0" w:type="dxa"/>
                        <w:left w:w="0" w:type="dxa"/>
                        <w:bottom w:w="0" w:type="dxa"/>
                        <w:right w:w="0" w:type="dxa"/>
                      </w:tblCellMar>
                      <w:tblLook w:val="01E0"/>
                    </w:tblPrEx>
                    <w:trPr>
                      <w:trHeight w:val="3802"/>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1"/>
                          <w:rPr>
                            <w:sz w:val="28"/>
                          </w:rPr>
                        </w:pPr>
                      </w:p>
                      <w:p>
                        <w:pPr>
                          <w:pStyle w:val="TableParagraph"/>
                          <w:spacing w:before="1"/>
                          <w:ind w:left="35"/>
                          <w:jc w:val="center"/>
                          <w:rPr>
                            <w:rFonts w:ascii="Times New Roman"/>
                            <w:sz w:val="21"/>
                          </w:rPr>
                        </w:pPr>
                        <w:r>
                          <w:rPr>
                            <w:rFonts w:ascii="Times New Roman"/>
                            <w:color w:val="0000FF"/>
                            <w:w w:val="99"/>
                            <w:sz w:val="21"/>
                          </w:rPr>
                          <w:t>1</w:t>
                        </w:r>
                      </w:p>
                    </w:tc>
                    <w:tc>
                      <w:tcPr>
                        <w:tcW w:w="3687"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1" w:right="42" w:firstLine="31"/>
                          <w:jc w:val="center"/>
                          <w:rPr>
                            <w:sz w:val="21"/>
                          </w:rPr>
                        </w:pPr>
                        <w:r>
                          <w:rPr>
                            <w:color w:val="0000FF"/>
                            <w:w w:val="95"/>
                            <w:sz w:val="21"/>
                          </w:rPr>
                          <w:t xml:space="preserve">提升工业废水收集处理水平。开展省级 </w:t>
                        </w:r>
                        <w:r>
                          <w:rPr>
                            <w:color w:val="0000FF"/>
                            <w:sz w:val="21"/>
                          </w:rPr>
                          <w:t>及以上工业园区污水收集系统整治专项行动，完成园区内企业清污分流、雨污分流改造，基本消除污水直排口和管网空白区，开展工业园区水平衡核算管理工作。推进纺织印染、医药、食品、电镀等行业整治提升及提标改造。推行重点行业企业工业废水“分类收集、分质处理、一企一管”。完善工业园区环境基础设施建设，开展省级以上工业园区污水处理设施整治专项行动，推动日排水</w:t>
                        </w:r>
                        <w:r>
                          <w:rPr>
                            <w:rFonts w:ascii="Times New Roman" w:eastAsia="Times New Roman" w:hAnsi="Times New Roman"/>
                            <w:color w:val="0000FF"/>
                            <w:sz w:val="21"/>
                          </w:rPr>
                          <w:t xml:space="preserve">500 </w:t>
                        </w:r>
                        <w:r>
                          <w:rPr>
                            <w:color w:val="0000FF"/>
                            <w:sz w:val="21"/>
                          </w:rPr>
                          <w:t>吨以上污水集中处理设施进水口出水口安装水量、水质自动监控设备及</w:t>
                        </w:r>
                      </w:p>
                      <w:p>
                        <w:pPr>
                          <w:pStyle w:val="TableParagraph"/>
                          <w:spacing w:before="2" w:line="247" w:lineRule="exact"/>
                          <w:ind w:left="34" w:right="16"/>
                          <w:jc w:val="center"/>
                          <w:rPr>
                            <w:sz w:val="21"/>
                          </w:rPr>
                        </w:pPr>
                        <w:r>
                          <w:rPr>
                            <w:color w:val="0000FF"/>
                            <w:sz w:val="21"/>
                          </w:rPr>
                          <w:t>配套设施。</w:t>
                        </w:r>
                      </w:p>
                    </w:tc>
                    <w:tc>
                      <w:tcPr>
                        <w:tcW w:w="3079" w:type="dxa"/>
                        <w:gridSpan w:val="2"/>
                        <w:tcBorders>
                          <w:top w:val="single" w:sz="4"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6"/>
                          <w:rPr>
                            <w:sz w:val="16"/>
                          </w:rPr>
                        </w:pPr>
                      </w:p>
                      <w:p>
                        <w:pPr>
                          <w:pStyle w:val="TableParagraph"/>
                          <w:spacing w:line="242" w:lineRule="auto"/>
                          <w:ind w:left="33" w:right="56" w:firstLine="33"/>
                          <w:jc w:val="both"/>
                          <w:rPr>
                            <w:sz w:val="21"/>
                          </w:rPr>
                        </w:pPr>
                        <w:r>
                          <w:rPr>
                            <w:color w:val="0000FF"/>
                            <w:w w:val="95"/>
                            <w:sz w:val="21"/>
                          </w:rPr>
                          <w:t>项目属于二级公路建设工程，营</w:t>
                        </w:r>
                        <w:r>
                          <w:rPr>
                            <w:color w:val="0000FF"/>
                            <w:sz w:val="21"/>
                          </w:rPr>
                          <w:t>运期正常状态时除汽车尾气呈无组织排放外无其他“三废”排放</w:t>
                        </w:r>
                      </w:p>
                      <w:p>
                        <w:pPr>
                          <w:pStyle w:val="TableParagraph"/>
                          <w:rPr>
                            <w:sz w:val="20"/>
                          </w:rPr>
                        </w:pPr>
                      </w:p>
                      <w:p>
                        <w:pPr>
                          <w:pStyle w:val="TableParagraph"/>
                          <w:rPr>
                            <w:sz w:val="20"/>
                          </w:rPr>
                        </w:pPr>
                      </w:p>
                      <w:p>
                        <w:pPr>
                          <w:pStyle w:val="TableParagraph"/>
                          <w:spacing w:before="170"/>
                          <w:ind w:left="-128"/>
                          <w:rPr>
                            <w:sz w:val="21"/>
                          </w:rPr>
                        </w:pPr>
                        <w:r>
                          <w:rPr>
                            <w:color w:val="0000FF"/>
                            <w:w w:val="99"/>
                            <w:sz w:val="21"/>
                          </w:rPr>
                          <w:t>、</w:t>
                        </w:r>
                      </w:p>
                    </w:tc>
                  </w:tr>
                  <w:tr>
                    <w:tblPrEx>
                      <w:tblW w:w="0" w:type="auto"/>
                      <w:jc w:val="left"/>
                      <w:tblInd w:w="10" w:type="dxa"/>
                      <w:tblLayout w:type="fixed"/>
                      <w:tblCellMar>
                        <w:top w:w="0" w:type="dxa"/>
                        <w:left w:w="0" w:type="dxa"/>
                        <w:bottom w:w="0" w:type="dxa"/>
                        <w:right w:w="0" w:type="dxa"/>
                      </w:tblCellMar>
                      <w:tblLook w:val="01E0"/>
                    </w:tblPrEx>
                    <w:trPr>
                      <w:trHeight w:val="5437"/>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18"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
                          <w:rPr>
                            <w:sz w:val="26"/>
                          </w:rPr>
                        </w:pPr>
                      </w:p>
                      <w:p>
                        <w:pPr>
                          <w:pStyle w:val="TableParagraph"/>
                          <w:ind w:left="35"/>
                          <w:jc w:val="center"/>
                          <w:rPr>
                            <w:rFonts w:ascii="Times New Roman"/>
                            <w:sz w:val="21"/>
                          </w:rPr>
                        </w:pPr>
                        <w:r>
                          <w:rPr>
                            <w:rFonts w:ascii="Times New Roman"/>
                            <w:color w:val="0000FF"/>
                            <w:w w:val="99"/>
                            <w:sz w:val="21"/>
                          </w:rPr>
                          <w:t>2</w:t>
                        </w:r>
                      </w:p>
                    </w:tc>
                    <w:tc>
                      <w:tcPr>
                        <w:tcW w:w="3687" w:type="dxa"/>
                        <w:gridSpan w:val="2"/>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32" w:right="11" w:hanging="1"/>
                          <w:jc w:val="center"/>
                          <w:rPr>
                            <w:sz w:val="21"/>
                          </w:rPr>
                        </w:pPr>
                        <w:r>
                          <w:rPr>
                            <w:color w:val="0000FF"/>
                            <w:spacing w:val="-7"/>
                            <w:sz w:val="21"/>
                          </w:rPr>
                          <w:t xml:space="preserve">大力推进重点行业 </w:t>
                        </w:r>
                        <w:r>
                          <w:rPr>
                            <w:rFonts w:ascii="Times New Roman" w:eastAsia="Times New Roman" w:hAnsi="Times New Roman"/>
                            <w:color w:val="0000FF"/>
                            <w:sz w:val="21"/>
                          </w:rPr>
                          <w:t>VOCs</w:t>
                        </w:r>
                        <w:r>
                          <w:rPr>
                            <w:rFonts w:ascii="Times New Roman" w:eastAsia="Times New Roman" w:hAnsi="Times New Roman"/>
                            <w:color w:val="0000FF"/>
                            <w:spacing w:val="-2"/>
                            <w:sz w:val="21"/>
                          </w:rPr>
                          <w:t xml:space="preserve"> </w:t>
                        </w:r>
                        <w:r>
                          <w:rPr>
                            <w:color w:val="0000FF"/>
                            <w:sz w:val="21"/>
                          </w:rPr>
                          <w:t>治理。完善化</w:t>
                        </w:r>
                        <w:r>
                          <w:rPr>
                            <w:color w:val="0000FF"/>
                            <w:spacing w:val="-14"/>
                            <w:w w:val="95"/>
                            <w:sz w:val="21"/>
                          </w:rPr>
                          <w:t>工、包装印刷、工业涂装等重点行业“源</w:t>
                        </w:r>
                        <w:r>
                          <w:rPr>
                            <w:color w:val="0000FF"/>
                            <w:spacing w:val="-18"/>
                            <w:sz w:val="21"/>
                          </w:rPr>
                          <w:t xml:space="preserve">头—过程—末端”治理模式，实施 </w:t>
                        </w:r>
                        <w:r>
                          <w:rPr>
                            <w:rFonts w:ascii="Times New Roman" w:eastAsia="Times New Roman" w:hAnsi="Times New Roman"/>
                            <w:color w:val="0000FF"/>
                            <w:sz w:val="21"/>
                          </w:rPr>
                          <w:t xml:space="preserve">VOCs </w:t>
                        </w:r>
                        <w:r>
                          <w:rPr>
                            <w:color w:val="0000FF"/>
                            <w:sz w:val="21"/>
                          </w:rPr>
                          <w:t>排放总量控制。加强源头替代和削减， 以减少苯、甲苯、二甲苯等溶剂和助剂</w:t>
                        </w:r>
                        <w:r>
                          <w:rPr>
                            <w:color w:val="0000FF"/>
                            <w:spacing w:val="-4"/>
                            <w:sz w:val="21"/>
                          </w:rPr>
                          <w:t xml:space="preserve">的使用为重点，全面推广使用低 </w:t>
                        </w:r>
                        <w:r>
                          <w:rPr>
                            <w:rFonts w:ascii="Times New Roman" w:eastAsia="Times New Roman" w:hAnsi="Times New Roman"/>
                            <w:color w:val="0000FF"/>
                            <w:sz w:val="21"/>
                          </w:rPr>
                          <w:t xml:space="preserve">VOCs </w:t>
                        </w:r>
                        <w:r>
                          <w:rPr>
                            <w:color w:val="0000FF"/>
                            <w:sz w:val="21"/>
                          </w:rPr>
                          <w:t>含量涂料、油墨、胶粘剂、清洗剂。建</w:t>
                        </w:r>
                        <w:r>
                          <w:rPr>
                            <w:color w:val="0000FF"/>
                            <w:spacing w:val="-19"/>
                            <w:sz w:val="21"/>
                          </w:rPr>
                          <w:t xml:space="preserve">立低 </w:t>
                        </w:r>
                        <w:r>
                          <w:rPr>
                            <w:rFonts w:ascii="Times New Roman" w:eastAsia="Times New Roman" w:hAnsi="Times New Roman"/>
                            <w:color w:val="0000FF"/>
                            <w:sz w:val="21"/>
                          </w:rPr>
                          <w:t>VOCs</w:t>
                        </w:r>
                        <w:r>
                          <w:rPr>
                            <w:rFonts w:ascii="Times New Roman" w:eastAsia="Times New Roman" w:hAnsi="Times New Roman"/>
                            <w:color w:val="0000FF"/>
                            <w:spacing w:val="-2"/>
                            <w:sz w:val="21"/>
                          </w:rPr>
                          <w:t xml:space="preserve"> </w:t>
                        </w:r>
                        <w:r>
                          <w:rPr>
                            <w:color w:val="0000FF"/>
                            <w:sz w:val="21"/>
                          </w:rPr>
                          <w:t>含量产品标志制度，将全面</w:t>
                        </w:r>
                        <w:r>
                          <w:rPr>
                            <w:color w:val="0000FF"/>
                            <w:spacing w:val="-15"/>
                            <w:sz w:val="21"/>
                          </w:rPr>
                          <w:t xml:space="preserve">使用低 </w:t>
                        </w:r>
                        <w:r>
                          <w:rPr>
                            <w:rFonts w:ascii="Times New Roman" w:eastAsia="Times New Roman" w:hAnsi="Times New Roman"/>
                            <w:color w:val="0000FF"/>
                            <w:sz w:val="21"/>
                          </w:rPr>
                          <w:t>VOCs</w:t>
                        </w:r>
                        <w:r>
                          <w:rPr>
                            <w:rFonts w:ascii="Times New Roman" w:eastAsia="Times New Roman" w:hAnsi="Times New Roman"/>
                            <w:color w:val="0000FF"/>
                            <w:spacing w:val="-1"/>
                            <w:sz w:val="21"/>
                          </w:rPr>
                          <w:t xml:space="preserve"> </w:t>
                        </w:r>
                        <w:r>
                          <w:rPr>
                            <w:color w:val="0000FF"/>
                            <w:sz w:val="21"/>
                          </w:rPr>
                          <w:t>含量原辅材料的企业纳入</w:t>
                        </w:r>
                        <w:r>
                          <w:rPr>
                            <w:color w:val="0000FF"/>
                            <w:spacing w:val="-4"/>
                            <w:sz w:val="21"/>
                          </w:rPr>
                          <w:t xml:space="preserve">正面清单和政府绿色采购清单，培育 </w:t>
                        </w:r>
                        <w:r>
                          <w:rPr>
                            <w:rFonts w:ascii="Times New Roman" w:eastAsia="Times New Roman" w:hAnsi="Times New Roman"/>
                            <w:color w:val="0000FF"/>
                            <w:sz w:val="21"/>
                          </w:rPr>
                          <w:t xml:space="preserve">10 </w:t>
                        </w:r>
                        <w:r>
                          <w:rPr>
                            <w:color w:val="0000FF"/>
                            <w:sz w:val="21"/>
                          </w:rPr>
                          <w:t>家以上源头替代示范型企业。严格准入</w:t>
                        </w:r>
                        <w:r>
                          <w:rPr>
                            <w:color w:val="0000FF"/>
                            <w:spacing w:val="-5"/>
                            <w:sz w:val="21"/>
                          </w:rPr>
                          <w:t xml:space="preserve">要求，禁止建设生产和使用高 </w:t>
                        </w:r>
                        <w:r>
                          <w:rPr>
                            <w:rFonts w:ascii="Times New Roman" w:eastAsia="Times New Roman" w:hAnsi="Times New Roman"/>
                            <w:color w:val="0000FF"/>
                            <w:sz w:val="21"/>
                          </w:rPr>
                          <w:t>VOCs</w:t>
                        </w:r>
                        <w:r>
                          <w:rPr>
                            <w:rFonts w:ascii="Times New Roman" w:eastAsia="Times New Roman" w:hAnsi="Times New Roman"/>
                            <w:color w:val="0000FF"/>
                            <w:spacing w:val="-1"/>
                            <w:sz w:val="21"/>
                          </w:rPr>
                          <w:t xml:space="preserve"> </w:t>
                        </w:r>
                        <w:r>
                          <w:rPr>
                            <w:color w:val="0000FF"/>
                            <w:sz w:val="21"/>
                          </w:rPr>
                          <w:t>含</w:t>
                        </w:r>
                        <w:r>
                          <w:rPr>
                            <w:color w:val="0000FF"/>
                            <w:spacing w:val="-5"/>
                            <w:sz w:val="21"/>
                          </w:rPr>
                          <w:t>量的溶剂型涂料、油墨、胶黏剂等项目</w:t>
                        </w:r>
                        <w:r>
                          <w:rPr>
                            <w:color w:val="0000FF"/>
                            <w:spacing w:val="-8"/>
                            <w:sz w:val="21"/>
                          </w:rPr>
                          <w:t>对排放量大、排放物质以芳香烃、烯烃醛类等为主的企业实施“一企一策”精</w:t>
                        </w:r>
                        <w:r>
                          <w:rPr>
                            <w:color w:val="0000FF"/>
                            <w:spacing w:val="-18"/>
                            <w:sz w:val="21"/>
                          </w:rPr>
                          <w:t xml:space="preserve">细化治理。加强 </w:t>
                        </w:r>
                        <w:r>
                          <w:rPr>
                            <w:rFonts w:ascii="Times New Roman" w:eastAsia="Times New Roman" w:hAnsi="Times New Roman"/>
                            <w:color w:val="0000FF"/>
                            <w:sz w:val="21"/>
                          </w:rPr>
                          <w:t>VOCs</w:t>
                        </w:r>
                        <w:r>
                          <w:rPr>
                            <w:rFonts w:ascii="Times New Roman" w:eastAsia="Times New Roman" w:hAnsi="Times New Roman"/>
                            <w:color w:val="0000FF"/>
                            <w:spacing w:val="-2"/>
                            <w:sz w:val="21"/>
                          </w:rPr>
                          <w:t xml:space="preserve"> </w:t>
                        </w:r>
                        <w:r>
                          <w:rPr>
                            <w:color w:val="0000FF"/>
                            <w:sz w:val="21"/>
                          </w:rPr>
                          <w:t>无组织排放控制</w:t>
                        </w:r>
                        <w:r>
                          <w:rPr>
                            <w:color w:val="0000FF"/>
                            <w:spacing w:val="-15"/>
                            <w:sz w:val="21"/>
                          </w:rPr>
                          <w:t xml:space="preserve">实施含 </w:t>
                        </w:r>
                        <w:r>
                          <w:rPr>
                            <w:rFonts w:ascii="Times New Roman" w:eastAsia="Times New Roman" w:hAnsi="Times New Roman"/>
                            <w:color w:val="0000FF"/>
                            <w:sz w:val="21"/>
                          </w:rPr>
                          <w:t>VOCs</w:t>
                        </w:r>
                        <w:r>
                          <w:rPr>
                            <w:rFonts w:ascii="Times New Roman" w:eastAsia="Times New Roman" w:hAnsi="Times New Roman"/>
                            <w:color w:val="0000FF"/>
                            <w:spacing w:val="-1"/>
                            <w:sz w:val="21"/>
                          </w:rPr>
                          <w:t xml:space="preserve"> </w:t>
                        </w:r>
                        <w:r>
                          <w:rPr>
                            <w:color w:val="0000FF"/>
                            <w:sz w:val="21"/>
                          </w:rPr>
                          <w:t>物料全方位、全链条、全</w:t>
                        </w:r>
                        <w:r>
                          <w:rPr>
                            <w:color w:val="0000FF"/>
                            <w:w w:val="95"/>
                            <w:sz w:val="21"/>
                          </w:rPr>
                          <w:t>环节管理，强化储存、转移和输送、设</w:t>
                        </w:r>
                      </w:p>
                      <w:p>
                        <w:pPr>
                          <w:pStyle w:val="TableParagraph"/>
                          <w:spacing w:before="6" w:line="270" w:lineRule="atLeast"/>
                          <w:ind w:left="63" w:right="42"/>
                          <w:jc w:val="center"/>
                          <w:rPr>
                            <w:sz w:val="21"/>
                          </w:rPr>
                        </w:pPr>
                        <w:r>
                          <w:rPr>
                            <w:color w:val="0000FF"/>
                            <w:w w:val="95"/>
                            <w:sz w:val="21"/>
                          </w:rPr>
                          <w:t>备与管线组件泄漏、敞开液面逸散以及工艺过程等无组织排放环节的污染收集</w:t>
                        </w:r>
                      </w:p>
                    </w:tc>
                    <w:tc>
                      <w:tcPr>
                        <w:tcW w:w="3079" w:type="dxa"/>
                        <w:gridSpan w:val="2"/>
                        <w:tcBorders>
                          <w:top w:val="single" w:sz="4" w:space="0" w:color="000000"/>
                          <w:left w:val="single" w:sz="4" w:space="0" w:color="000000"/>
                          <w:bottom w:val="single" w:sz="18"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0"/>
                          </w:rPr>
                        </w:pPr>
                      </w:p>
                      <w:p>
                        <w:pPr>
                          <w:pStyle w:val="TableParagraph"/>
                          <w:spacing w:line="242" w:lineRule="auto"/>
                          <w:ind w:left="67" w:right="56"/>
                          <w:jc w:val="both"/>
                          <w:rPr>
                            <w:sz w:val="21"/>
                          </w:rPr>
                        </w:pPr>
                        <w:r>
                          <w:rPr>
                            <w:color w:val="0000FF"/>
                            <w:sz w:val="21"/>
                          </w:rPr>
                          <w:t>项目属于二级公路建设工程，营运期正常状态时除汽车尾气呈无组织排放外无其他“三废”排放</w:t>
                        </w:r>
                      </w:p>
                      <w:p>
                        <w:pPr>
                          <w:pStyle w:val="TableParagraph"/>
                          <w:spacing w:before="140"/>
                          <w:ind w:left="-128"/>
                          <w:rPr>
                            <w:sz w:val="21"/>
                          </w:rPr>
                        </w:pPr>
                        <w:r>
                          <w:rPr>
                            <w:color w:val="0000FF"/>
                            <w:w w:val="99"/>
                            <w:sz w:val="21"/>
                          </w:rPr>
                          <w:t>。</w:t>
                        </w:r>
                      </w:p>
                      <w:p>
                        <w:pPr>
                          <w:pStyle w:val="TableParagraph"/>
                          <w:spacing w:before="2"/>
                          <w:ind w:left="-128"/>
                          <w:rPr>
                            <w:sz w:val="21"/>
                          </w:rPr>
                        </w:pPr>
                        <w:r>
                          <w:rPr>
                            <w:color w:val="0000FF"/>
                            <w:w w:val="99"/>
                            <w:sz w:val="21"/>
                          </w:rPr>
                          <w:t>、</w:t>
                        </w:r>
                      </w:p>
                      <w:p>
                        <w:pPr>
                          <w:pStyle w:val="TableParagraph"/>
                          <w:spacing w:before="7"/>
                          <w:rPr>
                            <w:sz w:val="21"/>
                          </w:rPr>
                        </w:pPr>
                      </w:p>
                      <w:p>
                        <w:pPr>
                          <w:pStyle w:val="TableParagraph"/>
                          <w:ind w:left="-128"/>
                          <w:rPr>
                            <w:sz w:val="21"/>
                          </w:rPr>
                        </w:pPr>
                        <w:r>
                          <w:rPr>
                            <w:color w:val="0000FF"/>
                            <w:w w:val="99"/>
                            <w:sz w:val="21"/>
                          </w:rPr>
                          <w:t>，</w:t>
                        </w:r>
                      </w:p>
                    </w:tc>
                  </w:tr>
                </w:tbl>
                <w:p>
                  <w:pPr>
                    <w:pStyle w:val="BodyText"/>
                  </w:pPr>
                </w:p>
              </w:txbxContent>
            </v:textbox>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rPr>
      </w:pPr>
    </w:p>
    <w:p>
      <w:pPr>
        <w:pStyle w:val="BodyText"/>
        <w:spacing w:before="11"/>
        <w:rPr>
          <w:rFonts w:ascii="Times New Roman"/>
          <w:sz w:val="17"/>
        </w:rPr>
      </w:pPr>
    </w:p>
    <w:p>
      <w:pPr>
        <w:spacing w:before="0"/>
        <w:ind w:left="0" w:right="174" w:firstLine="0"/>
        <w:jc w:val="right"/>
        <w:rPr>
          <w:sz w:val="21"/>
        </w:rPr>
      </w:pPr>
      <w:r>
        <w:rPr>
          <w:color w:val="0000FF"/>
          <w:w w:val="99"/>
          <w:sz w:val="21"/>
        </w:rPr>
        <w:t>。</w:t>
      </w:r>
    </w:p>
    <w:p>
      <w:pPr>
        <w:spacing w:after="0"/>
        <w:jc w:val="right"/>
        <w:rPr>
          <w:sz w:val="21"/>
        </w:rPr>
        <w:sectPr>
          <w:footerReference w:type="default" r:id="rId22"/>
          <w:pgSz w:w="11910" w:h="16840"/>
          <w:pgMar w:top="1580" w:right="1100" w:bottom="1420" w:left="1180" w:header="0" w:footer="1225"/>
          <w:pgNumType w:start="19"/>
          <w:cols w:space="708"/>
        </w:sectPr>
      </w:pPr>
    </w:p>
    <w:p>
      <w:pPr>
        <w:pStyle w:val="BodyText"/>
        <w:spacing w:before="1"/>
        <w:rPr>
          <w:rFonts w:ascii="Times New Roman"/>
          <w:sz w:val="10"/>
        </w:rPr>
      </w:pPr>
    </w:p>
    <w:tbl>
      <w:tblPr>
        <w:tblStyle w:val="TableNormal8"/>
        <w:tblW w:w="0" w:type="auto"/>
        <w:jc w:val="left"/>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692"/>
        <w:gridCol w:w="3687"/>
        <w:gridCol w:w="3079"/>
      </w:tblGrid>
      <w:tr>
        <w:tblPrEx>
          <w:tblW w:w="0" w:type="auto"/>
          <w:jc w:val="left"/>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525"/>
          <w:jc w:val="left"/>
        </w:trPr>
        <w:tc>
          <w:tcPr>
            <w:tcW w:w="1580" w:type="dxa"/>
            <w:vMerge w:val="restart"/>
            <w:tcBorders>
              <w:right w:val="single" w:sz="4" w:space="0" w:color="000000"/>
            </w:tcBorders>
          </w:tcPr>
          <w:p>
            <w:pPr>
              <w:pStyle w:val="TableParagraph"/>
              <w:rPr>
                <w:rFonts w:ascii="Times New Roman"/>
                <w:sz w:val="20"/>
              </w:rPr>
            </w:pPr>
          </w:p>
        </w:tc>
        <w:tc>
          <w:tcPr>
            <w:tcW w:w="692"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7"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63"/>
              <w:rPr>
                <w:sz w:val="21"/>
              </w:rPr>
            </w:pPr>
            <w:r>
              <w:rPr>
                <w:color w:val="0000FF"/>
                <w:w w:val="95"/>
                <w:sz w:val="21"/>
              </w:rPr>
              <w:t>处理，逐步取消化工、包装印刷、工业</w:t>
            </w:r>
          </w:p>
          <w:p>
            <w:pPr>
              <w:pStyle w:val="TableParagraph"/>
              <w:spacing w:before="4" w:line="246" w:lineRule="exact"/>
              <w:ind w:left="63"/>
              <w:rPr>
                <w:sz w:val="21"/>
              </w:rPr>
            </w:pPr>
            <w:r>
              <w:rPr>
                <w:color w:val="0000FF"/>
                <w:w w:val="95"/>
                <w:sz w:val="21"/>
              </w:rPr>
              <w:t>涂装等企业非必要废气排放系统旁路。</w:t>
            </w:r>
          </w:p>
        </w:tc>
        <w:tc>
          <w:tcPr>
            <w:tcW w:w="3079" w:type="dxa"/>
            <w:tcBorders>
              <w:top w:val="thinThickMediumGap" w:sz="6" w:space="0" w:color="000000"/>
              <w:left w:val="single" w:sz="4" w:space="0" w:color="000000"/>
              <w:bottom w:val="single" w:sz="4" w:space="0" w:color="000000"/>
            </w:tcBorders>
          </w:tcPr>
          <w:p>
            <w:pPr>
              <w:pStyle w:val="TableParagraph"/>
              <w:rPr>
                <w:rFonts w:ascii="Times New Roman"/>
                <w:sz w:val="20"/>
              </w:rPr>
            </w:pPr>
          </w:p>
        </w:tc>
      </w:tr>
      <w:tr>
        <w:tblPrEx>
          <w:tblW w:w="0" w:type="auto"/>
          <w:jc w:val="left"/>
          <w:tblInd w:w="361" w:type="dxa"/>
          <w:tblLayout w:type="fixed"/>
          <w:tblCellMar>
            <w:top w:w="0" w:type="dxa"/>
            <w:left w:w="0" w:type="dxa"/>
            <w:bottom w:w="0" w:type="dxa"/>
            <w:right w:w="0" w:type="dxa"/>
          </w:tblCellMar>
          <w:tblLook w:val="01E0"/>
        </w:tblPrEx>
        <w:trPr>
          <w:trHeight w:val="1623"/>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184"/>
              <w:ind w:left="35"/>
              <w:jc w:val="center"/>
              <w:rPr>
                <w:rFonts w:ascii="Times New Roman"/>
                <w:sz w:val="21"/>
              </w:rPr>
            </w:pPr>
            <w:r>
              <w:rPr>
                <w:rFonts w:ascii="Times New Roman"/>
                <w:color w:val="0000FF"/>
                <w:w w:val="99"/>
                <w:sz w:val="21"/>
              </w:rPr>
              <w:t>3</w:t>
            </w:r>
          </w:p>
        </w:tc>
        <w:tc>
          <w:tcPr>
            <w:tcW w:w="368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63" w:right="42"/>
              <w:jc w:val="both"/>
              <w:rPr>
                <w:sz w:val="21"/>
              </w:rPr>
            </w:pPr>
            <w:r>
              <w:rPr>
                <w:color w:val="0000FF"/>
                <w:w w:val="95"/>
                <w:sz w:val="21"/>
              </w:rPr>
              <w:t>加强地下水环境风险防控。强化地下水污染源头预防，严格执行化工、电镀、农药、钢铁、危险废物利用处置等重点行业企业布局选址要求，新、改、扩建项目应当在开展环境影响评价时开展土</w:t>
            </w:r>
          </w:p>
          <w:p>
            <w:pPr>
              <w:pStyle w:val="TableParagraph"/>
              <w:spacing w:line="248" w:lineRule="exact"/>
              <w:ind w:left="588"/>
              <w:rPr>
                <w:sz w:val="21"/>
              </w:rPr>
            </w:pPr>
            <w:r>
              <w:rPr>
                <w:color w:val="0000FF"/>
                <w:sz w:val="21"/>
              </w:rPr>
              <w:t>壤和地下水环境现状调查。</w:t>
            </w:r>
          </w:p>
        </w:tc>
        <w:tc>
          <w:tcPr>
            <w:tcW w:w="3079"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0"/>
              <w:rPr>
                <w:rFonts w:ascii="Times New Roman"/>
                <w:sz w:val="26"/>
              </w:rPr>
            </w:pPr>
          </w:p>
          <w:p>
            <w:pPr>
              <w:pStyle w:val="TableParagraph"/>
              <w:spacing w:before="1" w:line="242" w:lineRule="auto"/>
              <w:ind w:left="381" w:right="56" w:hanging="315"/>
              <w:rPr>
                <w:sz w:val="21"/>
              </w:rPr>
            </w:pPr>
            <w:r>
              <w:rPr>
                <w:color w:val="0000FF"/>
                <w:w w:val="95"/>
                <w:sz w:val="21"/>
              </w:rPr>
              <w:t>项目为二级公路建设工程，已开</w:t>
            </w:r>
            <w:r>
              <w:rPr>
                <w:color w:val="0000FF"/>
                <w:sz w:val="21"/>
              </w:rPr>
              <w:t>展地下水环境现状调查。</w:t>
            </w:r>
          </w:p>
        </w:tc>
      </w:tr>
      <w:tr>
        <w:tblPrEx>
          <w:tblW w:w="0" w:type="auto"/>
          <w:jc w:val="left"/>
          <w:tblInd w:w="361" w:type="dxa"/>
          <w:tblLayout w:type="fixed"/>
          <w:tblCellMar>
            <w:top w:w="0" w:type="dxa"/>
            <w:left w:w="0" w:type="dxa"/>
            <w:bottom w:w="0" w:type="dxa"/>
            <w:right w:w="0" w:type="dxa"/>
          </w:tblCellMar>
          <w:tblLook w:val="01E0"/>
        </w:tblPrEx>
        <w:trPr>
          <w:trHeight w:val="5985"/>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4"/>
              <w:rPr>
                <w:rFonts w:ascii="Times New Roman"/>
                <w:sz w:val="29"/>
              </w:rPr>
            </w:pPr>
          </w:p>
          <w:p>
            <w:pPr>
              <w:pStyle w:val="TableParagraph"/>
              <w:ind w:left="35"/>
              <w:jc w:val="center"/>
              <w:rPr>
                <w:rFonts w:ascii="Times New Roman"/>
                <w:sz w:val="21"/>
              </w:rPr>
            </w:pPr>
            <w:r>
              <w:rPr>
                <w:rFonts w:ascii="Times New Roman"/>
                <w:color w:val="0000FF"/>
                <w:w w:val="99"/>
                <w:sz w:val="21"/>
              </w:rPr>
              <w:t>4</w:t>
            </w:r>
          </w:p>
        </w:tc>
        <w:tc>
          <w:tcPr>
            <w:tcW w:w="3687"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32" w:right="42" w:firstLine="31"/>
              <w:jc w:val="center"/>
              <w:rPr>
                <w:sz w:val="21"/>
              </w:rPr>
            </w:pPr>
            <w:r>
              <w:rPr>
                <w:color w:val="0000FF"/>
                <w:w w:val="95"/>
                <w:sz w:val="21"/>
              </w:rPr>
              <w:t xml:space="preserve">推动工业固体废物减量化资源化。实施 </w:t>
            </w:r>
            <w:r>
              <w:rPr>
                <w:color w:val="0000FF"/>
                <w:sz w:val="21"/>
              </w:rPr>
              <w:t>工业绿色生产，逐步实现大宗工业固体废物贮存处置总量趋零增长，结合我市静脉产业发展特点，推动大宗工业固体废物综合利用产业规模化、高值化、集约化发展。严格控制新（扩）建固体废物产生量大、区域难以实现有效综合利用和无害化处置的项目。对产废企业开展清洁生产审核，推广应用先进成熟的清洁生产技术工艺。加强危险废物全面安全管控。优化全市危险废物处置利用结构，明确全市禁止建设类、严格控制类、优先鼓励类的危险废物处置能力建设区间，统筹规划危险废物处置与利用基础设施建设，建立市内各县（市、区之间的处置能力资源互助共享和应急处置机制。启用危险废物全生命周期监控系统，将全市所有涉危废单位纳入系统管理。加强危险废物鉴别鉴定，落实危险废物分级分类管理要求。建设危险废物集中收集体系，提升小微企业危险废</w:t>
            </w:r>
          </w:p>
          <w:p>
            <w:pPr>
              <w:pStyle w:val="TableParagraph"/>
              <w:spacing w:before="7" w:line="251" w:lineRule="exact"/>
              <w:ind w:left="34" w:right="16"/>
              <w:jc w:val="center"/>
              <w:rPr>
                <w:sz w:val="21"/>
              </w:rPr>
            </w:pPr>
            <w:r>
              <w:rPr>
                <w:color w:val="0000FF"/>
                <w:sz w:val="21"/>
              </w:rPr>
              <w:t>物收集转运能力。</w:t>
            </w:r>
          </w:p>
        </w:tc>
        <w:tc>
          <w:tcPr>
            <w:tcW w:w="3079" w:type="dxa"/>
            <w:tcBorders>
              <w:top w:val="single" w:sz="4" w:space="0" w:color="000000"/>
              <w:left w:val="single" w:sz="4" w:space="0" w:color="000000"/>
              <w:bottom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45" w:line="242" w:lineRule="auto"/>
              <w:ind w:left="67" w:right="56"/>
              <w:jc w:val="center"/>
              <w:rPr>
                <w:sz w:val="21"/>
              </w:rPr>
            </w:pPr>
            <w:r>
              <w:rPr>
                <w:color w:val="0000FF"/>
                <w:w w:val="95"/>
                <w:sz w:val="21"/>
              </w:rPr>
              <w:t>项目属于二级公路建设工程，营运期正常状态时除汽车尾气呈无</w:t>
            </w:r>
            <w:r>
              <w:rPr>
                <w:color w:val="0000FF"/>
                <w:sz w:val="21"/>
              </w:rPr>
              <w:t>组织排放外无其他</w:t>
            </w:r>
            <w:r>
              <w:rPr>
                <w:rFonts w:ascii="Times New Roman" w:eastAsia="Times New Roman" w:hAnsi="Times New Roman"/>
                <w:color w:val="0000FF"/>
                <w:sz w:val="21"/>
              </w:rPr>
              <w:t>“</w:t>
            </w:r>
            <w:r>
              <w:rPr>
                <w:color w:val="0000FF"/>
                <w:sz w:val="21"/>
              </w:rPr>
              <w:t>三废</w:t>
            </w:r>
            <w:r>
              <w:rPr>
                <w:rFonts w:ascii="Times New Roman" w:eastAsia="Times New Roman" w:hAnsi="Times New Roman"/>
                <w:color w:val="0000FF"/>
                <w:sz w:val="21"/>
              </w:rPr>
              <w:t>”</w:t>
            </w:r>
            <w:r>
              <w:rPr>
                <w:color w:val="0000FF"/>
                <w:sz w:val="21"/>
              </w:rPr>
              <w:t>排放， 生态影响较小。</w:t>
            </w:r>
          </w:p>
          <w:p>
            <w:pPr>
              <w:pStyle w:val="TableParagraph"/>
              <w:spacing w:before="9"/>
              <w:rPr>
                <w:rFonts w:ascii="Times New Roman"/>
                <w:sz w:val="23"/>
              </w:rPr>
            </w:pPr>
          </w:p>
          <w:p>
            <w:pPr>
              <w:pStyle w:val="TableParagraph"/>
              <w:spacing w:before="1"/>
              <w:ind w:left="-130"/>
              <w:rPr>
                <w:sz w:val="21"/>
              </w:rPr>
            </w:pPr>
            <w:r>
              <w:rPr>
                <w:color w:val="0000FF"/>
                <w:w w:val="99"/>
                <w:sz w:val="21"/>
              </w:rPr>
              <w:t>）</w:t>
            </w:r>
          </w:p>
        </w:tc>
      </w:tr>
      <w:tr>
        <w:tblPrEx>
          <w:tblW w:w="0" w:type="auto"/>
          <w:jc w:val="left"/>
          <w:tblInd w:w="361" w:type="dxa"/>
          <w:tblLayout w:type="fixed"/>
          <w:tblCellMar>
            <w:top w:w="0" w:type="dxa"/>
            <w:left w:w="0" w:type="dxa"/>
            <w:bottom w:w="0" w:type="dxa"/>
            <w:right w:w="0" w:type="dxa"/>
          </w:tblCellMar>
          <w:tblLook w:val="01E0"/>
        </w:tblPrEx>
        <w:trPr>
          <w:trHeight w:val="1641"/>
          <w:jc w:val="left"/>
        </w:trPr>
        <w:tc>
          <w:tcPr>
            <w:tcW w:w="1580" w:type="dxa"/>
            <w:vMerge/>
            <w:tcBorders>
              <w:top w:val="nil"/>
              <w:right w:val="single" w:sz="4" w:space="0" w:color="000000"/>
            </w:tcBorders>
          </w:tcPr>
          <w:p>
            <w:pPr>
              <w:rPr>
                <w:sz w:val="2"/>
                <w:szCs w:val="2"/>
              </w:rPr>
            </w:pPr>
          </w:p>
        </w:tc>
        <w:tc>
          <w:tcPr>
            <w:tcW w:w="7458" w:type="dxa"/>
            <w:gridSpan w:val="3"/>
            <w:tcBorders>
              <w:top w:val="single" w:sz="12" w:space="0" w:color="000000"/>
              <w:left w:val="single" w:sz="4" w:space="0" w:color="000000"/>
              <w:bottom w:val="single" w:sz="12" w:space="0" w:color="000000"/>
            </w:tcBorders>
          </w:tcPr>
          <w:p>
            <w:pPr>
              <w:pStyle w:val="TableParagraph"/>
              <w:spacing w:before="2" w:line="364" w:lineRule="auto"/>
              <w:ind w:left="20" w:right="-15" w:firstLine="480"/>
              <w:rPr>
                <w:sz w:val="24"/>
              </w:rPr>
            </w:pPr>
            <w:r>
              <w:rPr>
                <w:color w:val="0000FF"/>
                <w:spacing w:val="-4"/>
                <w:sz w:val="24"/>
              </w:rPr>
              <w:t>由上表可知，项目建设与《关于印发盐城市“十四五”生态环境保护规划的通知》相符。</w:t>
            </w:r>
          </w:p>
          <w:p>
            <w:pPr>
              <w:pStyle w:val="TableParagraph"/>
              <w:spacing w:line="306" w:lineRule="exact"/>
              <w:ind w:left="500"/>
              <w:rPr>
                <w:b/>
                <w:sz w:val="24"/>
              </w:rPr>
            </w:pPr>
            <w:r>
              <w:rPr>
                <w:rFonts w:ascii="Times New Roman" w:eastAsia="Times New Roman"/>
                <w:b/>
                <w:color w:val="0000FF"/>
                <w:sz w:val="24"/>
              </w:rPr>
              <w:t>5</w:t>
            </w:r>
            <w:r>
              <w:rPr>
                <w:b/>
                <w:color w:val="0000FF"/>
                <w:sz w:val="24"/>
              </w:rPr>
              <w:t>、与《盐城市扬尘污染防治条例》相符性分析</w:t>
            </w:r>
          </w:p>
          <w:p>
            <w:pPr>
              <w:pStyle w:val="TableParagraph"/>
              <w:spacing w:before="110" w:line="268" w:lineRule="exact"/>
              <w:ind w:left="863"/>
              <w:rPr>
                <w:b/>
                <w:sz w:val="24"/>
              </w:rPr>
            </w:pPr>
            <w:r>
              <w:rPr>
                <w:b/>
                <w:color w:val="0000FF"/>
                <w:sz w:val="24"/>
              </w:rPr>
              <w:t>表</w:t>
            </w:r>
            <w:r>
              <w:rPr>
                <w:rFonts w:ascii="Times New Roman" w:eastAsia="Times New Roman"/>
                <w:b/>
                <w:color w:val="0000FF"/>
                <w:sz w:val="24"/>
              </w:rPr>
              <w:t>1-7</w:t>
            </w:r>
            <w:r>
              <w:rPr>
                <w:rFonts w:ascii="Times New Roman" w:eastAsia="Times New Roman"/>
                <w:b/>
                <w:color w:val="0000FF"/>
                <w:spacing w:val="59"/>
                <w:sz w:val="24"/>
              </w:rPr>
              <w:t xml:space="preserve"> </w:t>
            </w:r>
            <w:r>
              <w:rPr>
                <w:b/>
                <w:color w:val="0000FF"/>
                <w:sz w:val="24"/>
              </w:rPr>
              <w:t>项目与《盐城市扬尘污染防治条例》相符性分析</w:t>
            </w:r>
          </w:p>
        </w:tc>
      </w:tr>
      <w:tr>
        <w:tblPrEx>
          <w:tblW w:w="0" w:type="auto"/>
          <w:jc w:val="left"/>
          <w:tblInd w:w="361" w:type="dxa"/>
          <w:tblLayout w:type="fixed"/>
          <w:tblCellMar>
            <w:top w:w="0" w:type="dxa"/>
            <w:left w:w="0" w:type="dxa"/>
            <w:bottom w:w="0" w:type="dxa"/>
            <w:right w:w="0" w:type="dxa"/>
          </w:tblCellMar>
          <w:tblLook w:val="01E0"/>
        </w:tblPrEx>
        <w:trPr>
          <w:trHeight w:val="279"/>
          <w:jc w:val="left"/>
        </w:trPr>
        <w:tc>
          <w:tcPr>
            <w:tcW w:w="1580" w:type="dxa"/>
            <w:vMerge/>
            <w:tcBorders>
              <w:top w:val="nil"/>
              <w:right w:val="single" w:sz="4" w:space="0" w:color="000000"/>
            </w:tcBorders>
          </w:tcPr>
          <w:p>
            <w:pPr>
              <w:rPr>
                <w:sz w:val="2"/>
                <w:szCs w:val="2"/>
              </w:rPr>
            </w:pPr>
          </w:p>
        </w:tc>
        <w:tc>
          <w:tcPr>
            <w:tcW w:w="692" w:type="dxa"/>
            <w:tcBorders>
              <w:top w:val="single" w:sz="12" w:space="0" w:color="000000"/>
              <w:left w:val="single" w:sz="4" w:space="0" w:color="000000"/>
              <w:bottom w:val="single" w:sz="4" w:space="0" w:color="000000"/>
              <w:right w:val="single" w:sz="4" w:space="0" w:color="000000"/>
            </w:tcBorders>
          </w:tcPr>
          <w:p>
            <w:pPr>
              <w:pStyle w:val="TableParagraph"/>
              <w:spacing w:before="5" w:line="254" w:lineRule="exact"/>
              <w:ind w:left="127" w:right="93"/>
              <w:jc w:val="center"/>
              <w:rPr>
                <w:b/>
                <w:sz w:val="21"/>
              </w:rPr>
            </w:pPr>
            <w:r>
              <w:rPr>
                <w:b/>
                <w:color w:val="0000FF"/>
                <w:sz w:val="21"/>
              </w:rPr>
              <w:t>序号</w:t>
            </w:r>
          </w:p>
        </w:tc>
        <w:tc>
          <w:tcPr>
            <w:tcW w:w="3687" w:type="dxa"/>
            <w:tcBorders>
              <w:top w:val="single" w:sz="12" w:space="0" w:color="000000"/>
              <w:left w:val="single" w:sz="4" w:space="0" w:color="000000"/>
              <w:bottom w:val="single" w:sz="4" w:space="0" w:color="000000"/>
              <w:right w:val="single" w:sz="4" w:space="0" w:color="000000"/>
            </w:tcBorders>
          </w:tcPr>
          <w:p>
            <w:pPr>
              <w:pStyle w:val="TableParagraph"/>
              <w:spacing w:before="5" w:line="254" w:lineRule="exact"/>
              <w:ind w:left="478"/>
              <w:rPr>
                <w:b/>
                <w:sz w:val="21"/>
              </w:rPr>
            </w:pPr>
            <w:r>
              <w:rPr>
                <w:b/>
                <w:color w:val="0000FF"/>
                <w:sz w:val="21"/>
              </w:rPr>
              <w:t>《盐城市扬尘污染防治条例》</w:t>
            </w:r>
          </w:p>
        </w:tc>
        <w:tc>
          <w:tcPr>
            <w:tcW w:w="3079" w:type="dxa"/>
            <w:tcBorders>
              <w:top w:val="single" w:sz="12" w:space="0" w:color="000000"/>
              <w:left w:val="single" w:sz="4" w:space="0" w:color="000000"/>
              <w:bottom w:val="single" w:sz="4" w:space="0" w:color="000000"/>
            </w:tcBorders>
          </w:tcPr>
          <w:p>
            <w:pPr>
              <w:pStyle w:val="TableParagraph"/>
              <w:spacing w:before="5" w:line="254" w:lineRule="exact"/>
              <w:ind w:left="1010"/>
              <w:rPr>
                <w:b/>
                <w:sz w:val="21"/>
              </w:rPr>
            </w:pPr>
            <w:r>
              <w:rPr>
                <w:b/>
                <w:color w:val="0000FF"/>
                <w:sz w:val="21"/>
              </w:rPr>
              <w:t>相符性分析</w:t>
            </w:r>
          </w:p>
        </w:tc>
      </w:tr>
      <w:tr>
        <w:tblPrEx>
          <w:tblW w:w="0" w:type="auto"/>
          <w:jc w:val="left"/>
          <w:tblInd w:w="361" w:type="dxa"/>
          <w:tblLayout w:type="fixed"/>
          <w:tblCellMar>
            <w:top w:w="0" w:type="dxa"/>
            <w:left w:w="0" w:type="dxa"/>
            <w:bottom w:w="0" w:type="dxa"/>
            <w:right w:w="0" w:type="dxa"/>
          </w:tblCellMar>
          <w:tblLook w:val="01E0"/>
        </w:tblPrEx>
        <w:trPr>
          <w:trHeight w:val="2986"/>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2"/>
              <w:rPr>
                <w:rFonts w:ascii="Times New Roman"/>
                <w:sz w:val="31"/>
              </w:rPr>
            </w:pPr>
          </w:p>
          <w:p>
            <w:pPr>
              <w:pStyle w:val="TableParagraph"/>
              <w:ind w:left="35"/>
              <w:jc w:val="center"/>
              <w:rPr>
                <w:rFonts w:ascii="Times New Roman"/>
                <w:sz w:val="21"/>
              </w:rPr>
            </w:pPr>
            <w:r>
              <w:rPr>
                <w:rFonts w:ascii="Times New Roman"/>
                <w:color w:val="0000FF"/>
                <w:w w:val="99"/>
                <w:sz w:val="21"/>
              </w:rPr>
              <w:t>1</w:t>
            </w:r>
          </w:p>
        </w:tc>
        <w:tc>
          <w:tcPr>
            <w:tcW w:w="3687" w:type="dxa"/>
            <w:tcBorders>
              <w:top w:val="single" w:sz="4" w:space="0" w:color="000000"/>
              <w:left w:val="single" w:sz="4" w:space="0" w:color="000000"/>
              <w:bottom w:val="single" w:sz="18" w:space="0" w:color="000000"/>
              <w:right w:val="single" w:sz="4" w:space="0" w:color="000000"/>
            </w:tcBorders>
          </w:tcPr>
          <w:p>
            <w:pPr>
              <w:pStyle w:val="TableParagraph"/>
              <w:spacing w:line="242" w:lineRule="auto"/>
              <w:ind w:left="32" w:right="74"/>
              <w:rPr>
                <w:sz w:val="21"/>
              </w:rPr>
            </w:pPr>
            <w:r>
              <w:rPr>
                <w:color w:val="0000FF"/>
                <w:sz w:val="21"/>
              </w:rPr>
              <w:t>第十四条一般工程施工应当符合下列扬尘污染防治要求：</w:t>
            </w:r>
          </w:p>
          <w:p>
            <w:pPr>
              <w:pStyle w:val="TableParagraph"/>
              <w:spacing w:line="244" w:lineRule="auto"/>
              <w:ind w:left="32" w:right="74"/>
              <w:rPr>
                <w:sz w:val="21"/>
              </w:rPr>
            </w:pPr>
            <w:r>
              <w:rPr>
                <w:color w:val="0000FF"/>
                <w:sz w:val="21"/>
              </w:rPr>
              <w:t>（一）施工工地周围按照规范要求设置硬质密闭围挡；</w:t>
            </w:r>
          </w:p>
          <w:p>
            <w:pPr>
              <w:pStyle w:val="TableParagraph"/>
              <w:spacing w:line="242" w:lineRule="auto"/>
              <w:ind w:left="32" w:right="-44"/>
              <w:jc w:val="both"/>
              <w:rPr>
                <w:sz w:val="21"/>
              </w:rPr>
            </w:pPr>
            <w:r>
              <w:rPr>
                <w:color w:val="0000FF"/>
                <w:sz w:val="21"/>
              </w:rPr>
              <w:t xml:space="preserve">（二）施工现场的物料装卸、堆放以及建筑垃圾和工程渣土不能及时清运的， </w:t>
            </w:r>
            <w:r>
              <w:rPr>
                <w:color w:val="0000FF"/>
                <w:w w:val="95"/>
                <w:sz w:val="21"/>
              </w:rPr>
              <w:t>应当采取覆盖、密封、洒水等防尘措施；</w:t>
            </w:r>
          </w:p>
          <w:p>
            <w:pPr>
              <w:pStyle w:val="TableParagraph"/>
              <w:spacing w:line="242" w:lineRule="auto"/>
              <w:ind w:left="32" w:right="56"/>
              <w:rPr>
                <w:sz w:val="21"/>
              </w:rPr>
            </w:pPr>
            <w:r>
              <w:rPr>
                <w:color w:val="0000FF"/>
                <w:sz w:val="21"/>
              </w:rPr>
              <w:t>（三）施工工地内的主要道路、作业区生活区应当进行硬化处理；</w:t>
            </w:r>
          </w:p>
          <w:p>
            <w:pPr>
              <w:pStyle w:val="TableParagraph"/>
              <w:ind w:left="32"/>
              <w:rPr>
                <w:sz w:val="21"/>
              </w:rPr>
            </w:pPr>
            <w:r>
              <w:rPr>
                <w:color w:val="0000FF"/>
                <w:w w:val="95"/>
                <w:sz w:val="21"/>
              </w:rPr>
              <w:t>（四）施工工地的出入口通道及其周边</w:t>
            </w:r>
          </w:p>
          <w:p>
            <w:pPr>
              <w:pStyle w:val="TableParagraph"/>
              <w:spacing w:line="248" w:lineRule="exact"/>
              <w:ind w:left="32"/>
              <w:rPr>
                <w:sz w:val="21"/>
              </w:rPr>
            </w:pPr>
            <w:r>
              <w:rPr>
                <w:color w:val="0000FF"/>
                <w:w w:val="95"/>
                <w:sz w:val="21"/>
              </w:rPr>
              <w:t>道路应当保持清洁，施工工地出入口内</w:t>
            </w:r>
          </w:p>
        </w:tc>
        <w:tc>
          <w:tcPr>
            <w:tcW w:w="3079" w:type="dxa"/>
            <w:tcBorders>
              <w:top w:val="single" w:sz="4" w:space="0" w:color="000000"/>
              <w:left w:val="single" w:sz="4" w:space="0" w:color="000000"/>
              <w:bottom w:val="single" w:sz="18" w:space="0" w:color="000000"/>
            </w:tcBorders>
          </w:tcPr>
          <w:p>
            <w:pPr>
              <w:pStyle w:val="TableParagraph"/>
              <w:rPr>
                <w:rFonts w:ascii="Times New Roman"/>
                <w:sz w:val="22"/>
              </w:rPr>
            </w:pPr>
          </w:p>
          <w:p>
            <w:pPr>
              <w:pStyle w:val="TableParagraph"/>
              <w:rPr>
                <w:rFonts w:ascii="Times New Roman"/>
                <w:sz w:val="22"/>
              </w:rPr>
            </w:pPr>
          </w:p>
          <w:p>
            <w:pPr>
              <w:pStyle w:val="TableParagraph"/>
              <w:spacing w:before="7"/>
              <w:rPr>
                <w:rFonts w:ascii="Times New Roman"/>
                <w:sz w:val="26"/>
              </w:rPr>
            </w:pPr>
          </w:p>
          <w:p>
            <w:pPr>
              <w:pStyle w:val="TableParagraph"/>
              <w:spacing w:line="242" w:lineRule="auto"/>
              <w:ind w:left="31" w:right="22" w:firstLine="36"/>
              <w:jc w:val="both"/>
              <w:rPr>
                <w:rFonts w:ascii="Times New Roman" w:eastAsia="Times New Roman"/>
                <w:sz w:val="21"/>
              </w:rPr>
            </w:pPr>
            <w:r>
              <w:rPr>
                <w:color w:val="0000FF"/>
                <w:sz w:val="21"/>
              </w:rPr>
              <w:t>项目属于二级公路建设工程，施工期严格按要求采取防尘措施后达到江苏省《大气污染物综合排</w:t>
            </w:r>
            <w:r>
              <w:rPr>
                <w:color w:val="0000FF"/>
                <w:spacing w:val="-15"/>
                <w:sz w:val="21"/>
              </w:rPr>
              <w:t>放标准》</w:t>
            </w:r>
            <w:r>
              <w:rPr>
                <w:color w:val="0000FF"/>
                <w:sz w:val="21"/>
              </w:rPr>
              <w:t>（</w:t>
            </w:r>
            <w:r>
              <w:rPr>
                <w:rFonts w:ascii="Times New Roman" w:eastAsia="Times New Roman"/>
                <w:color w:val="0000FF"/>
                <w:sz w:val="21"/>
              </w:rPr>
              <w:t>DB32/4041-2021</w:t>
            </w:r>
            <w:r>
              <w:rPr>
                <w:color w:val="0000FF"/>
                <w:sz w:val="21"/>
              </w:rPr>
              <w:t>）</w:t>
            </w:r>
            <w:r>
              <w:rPr>
                <w:color w:val="0000FF"/>
                <w:spacing w:val="-40"/>
                <w:sz w:val="21"/>
              </w:rPr>
              <w:t xml:space="preserve">表 </w:t>
            </w:r>
            <w:r>
              <w:rPr>
                <w:rFonts w:ascii="Times New Roman" w:eastAsia="Times New Roman"/>
                <w:color w:val="0000FF"/>
                <w:spacing w:val="-12"/>
                <w:sz w:val="21"/>
              </w:rPr>
              <w:t>3</w:t>
            </w:r>
          </w:p>
          <w:p>
            <w:pPr>
              <w:pStyle w:val="TableParagraph"/>
              <w:spacing w:before="3"/>
              <w:ind w:left="-130"/>
              <w:jc w:val="both"/>
              <w:rPr>
                <w:sz w:val="21"/>
              </w:rPr>
            </w:pPr>
            <w:r>
              <w:rPr>
                <w:color w:val="0000FF"/>
                <w:sz w:val="21"/>
              </w:rPr>
              <w:t>、 标 准 要 求 。</w:t>
            </w:r>
          </w:p>
        </w:tc>
      </w:tr>
    </w:tbl>
    <w:p>
      <w:pPr>
        <w:spacing w:after="0"/>
        <w:jc w:val="both"/>
        <w:rPr>
          <w:sz w:val="21"/>
        </w:rPr>
        <w:sectPr>
          <w:footerReference w:type="default" r:id="rId23"/>
          <w:pgSz w:w="11910" w:h="16840"/>
          <w:pgMar w:top="1580" w:right="1100" w:bottom="1420" w:left="1180" w:header="0" w:footer="1225"/>
          <w:pgNumType w:start="10"/>
          <w:cols w:space="708"/>
        </w:sectPr>
      </w:pPr>
    </w:p>
    <w:p>
      <w:pPr>
        <w:pStyle w:val="BodyText"/>
        <w:spacing w:before="1"/>
        <w:rPr>
          <w:rFonts w:ascii="Times New Roman"/>
          <w:sz w:val="10"/>
        </w:rPr>
      </w:pPr>
    </w:p>
    <w:tbl>
      <w:tblPr>
        <w:tblStyle w:val="TableNormal9"/>
        <w:tblW w:w="0" w:type="auto"/>
        <w:jc w:val="left"/>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692"/>
        <w:gridCol w:w="3687"/>
        <w:gridCol w:w="3079"/>
      </w:tblGrid>
      <w:tr>
        <w:tblPrEx>
          <w:tblW w:w="0" w:type="auto"/>
          <w:jc w:val="left"/>
          <w:tblInd w:w="3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614"/>
          <w:jc w:val="left"/>
        </w:trPr>
        <w:tc>
          <w:tcPr>
            <w:tcW w:w="1580" w:type="dxa"/>
            <w:vMerge w:val="restart"/>
            <w:tcBorders>
              <w:right w:val="single" w:sz="4" w:space="0" w:color="000000"/>
            </w:tcBorders>
          </w:tcPr>
          <w:p>
            <w:pPr>
              <w:pStyle w:val="TableParagraph"/>
              <w:rPr>
                <w:rFonts w:ascii="Times New Roman"/>
                <w:sz w:val="20"/>
              </w:rPr>
            </w:pPr>
          </w:p>
        </w:tc>
        <w:tc>
          <w:tcPr>
            <w:tcW w:w="692"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7"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32"/>
              <w:rPr>
                <w:sz w:val="21"/>
              </w:rPr>
            </w:pPr>
            <w:r>
              <w:rPr>
                <w:color w:val="0000FF"/>
                <w:sz w:val="21"/>
              </w:rPr>
              <w:t>侧应当安装车辆冲洗设备，车辆冲洗干</w:t>
            </w:r>
          </w:p>
          <w:p>
            <w:pPr>
              <w:pStyle w:val="TableParagraph"/>
              <w:spacing w:before="4"/>
              <w:ind w:left="32"/>
              <w:rPr>
                <w:sz w:val="21"/>
              </w:rPr>
            </w:pPr>
            <w:r>
              <w:rPr>
                <w:color w:val="0000FF"/>
                <w:sz w:val="21"/>
              </w:rPr>
              <w:t>净后方可驶出；</w:t>
            </w:r>
          </w:p>
          <w:p>
            <w:pPr>
              <w:pStyle w:val="TableParagraph"/>
              <w:spacing w:before="2" w:line="242" w:lineRule="auto"/>
              <w:ind w:left="32" w:right="74"/>
              <w:jc w:val="both"/>
              <w:rPr>
                <w:sz w:val="21"/>
              </w:rPr>
            </w:pPr>
            <w:r>
              <w:rPr>
                <w:color w:val="0000FF"/>
                <w:sz w:val="21"/>
              </w:rPr>
              <w:t>（五）施工工地应当使用预拌混凝土、预拌砂浆，因特殊情况需要现场搅拌的应当经批准后采取符合规范的防尘措</w:t>
            </w:r>
          </w:p>
          <w:p>
            <w:pPr>
              <w:pStyle w:val="TableParagraph"/>
              <w:spacing w:before="1" w:line="248" w:lineRule="exact"/>
              <w:ind w:left="32"/>
              <w:rPr>
                <w:sz w:val="21"/>
              </w:rPr>
            </w:pPr>
            <w:r>
              <w:rPr>
                <w:color w:val="0000FF"/>
                <w:sz w:val="21"/>
              </w:rPr>
              <w:t>施。</w:t>
            </w:r>
          </w:p>
        </w:tc>
        <w:tc>
          <w:tcPr>
            <w:tcW w:w="3079" w:type="dxa"/>
            <w:tcBorders>
              <w:top w:val="thinThickMediumGap" w:sz="6" w:space="0" w:color="000000"/>
              <w:left w:val="single" w:sz="4" w:space="0" w:color="000000"/>
              <w:bottom w:val="single" w:sz="4" w:space="0" w:color="000000"/>
            </w:tcBorders>
          </w:tcPr>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29"/>
              </w:rPr>
            </w:pPr>
          </w:p>
          <w:p>
            <w:pPr>
              <w:pStyle w:val="TableParagraph"/>
              <w:ind w:left="-130"/>
              <w:rPr>
                <w:sz w:val="21"/>
              </w:rPr>
            </w:pPr>
            <w:r>
              <w:rPr>
                <w:color w:val="0000FF"/>
                <w:w w:val="99"/>
                <w:sz w:val="21"/>
              </w:rPr>
              <w:t>，</w:t>
            </w:r>
          </w:p>
        </w:tc>
      </w:tr>
      <w:tr>
        <w:tblPrEx>
          <w:tblW w:w="0" w:type="auto"/>
          <w:jc w:val="left"/>
          <w:tblInd w:w="361" w:type="dxa"/>
          <w:tblLayout w:type="fixed"/>
          <w:tblCellMar>
            <w:top w:w="0" w:type="dxa"/>
            <w:left w:w="0" w:type="dxa"/>
            <w:bottom w:w="0" w:type="dxa"/>
            <w:right w:w="0" w:type="dxa"/>
          </w:tblCellMar>
          <w:tblLook w:val="01E0"/>
        </w:tblPrEx>
        <w:trPr>
          <w:trHeight w:val="3807"/>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12"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9"/>
              <w:rPr>
                <w:rFonts w:ascii="Times New Roman"/>
                <w:sz w:val="22"/>
              </w:rPr>
            </w:pPr>
          </w:p>
          <w:p>
            <w:pPr>
              <w:pStyle w:val="TableParagraph"/>
              <w:spacing w:before="1"/>
              <w:ind w:left="35"/>
              <w:jc w:val="center"/>
              <w:rPr>
                <w:rFonts w:ascii="Times New Roman"/>
                <w:sz w:val="21"/>
              </w:rPr>
            </w:pPr>
            <w:r>
              <w:rPr>
                <w:rFonts w:ascii="Times New Roman"/>
                <w:color w:val="0000FF"/>
                <w:w w:val="99"/>
                <w:sz w:val="21"/>
              </w:rPr>
              <w:t>2</w:t>
            </w:r>
          </w:p>
        </w:tc>
        <w:tc>
          <w:tcPr>
            <w:tcW w:w="3687"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32" w:right="74"/>
              <w:jc w:val="both"/>
              <w:rPr>
                <w:sz w:val="21"/>
              </w:rPr>
            </w:pPr>
            <w:r>
              <w:rPr>
                <w:color w:val="0000FF"/>
                <w:sz w:val="21"/>
              </w:rPr>
              <w:t>第十六条市政公用设施、城市道路、地下管线等工程施工除符合本条例第十四条的规定外，还应当符合下列扬尘污染防治要求：</w:t>
            </w:r>
          </w:p>
          <w:p>
            <w:pPr>
              <w:pStyle w:val="TableParagraph"/>
              <w:spacing w:line="242" w:lineRule="auto"/>
              <w:ind w:left="32" w:right="74"/>
              <w:rPr>
                <w:sz w:val="21"/>
              </w:rPr>
            </w:pPr>
            <w:r>
              <w:rPr>
                <w:color w:val="0000FF"/>
                <w:sz w:val="21"/>
              </w:rPr>
              <w:t>（一）实施路面切割、破碎等作业时， 采取洒水、喷淋等防尘措施；</w:t>
            </w:r>
          </w:p>
          <w:p>
            <w:pPr>
              <w:pStyle w:val="TableParagraph"/>
              <w:spacing w:line="242" w:lineRule="auto"/>
              <w:ind w:left="32" w:right="74"/>
              <w:jc w:val="both"/>
              <w:rPr>
                <w:sz w:val="21"/>
              </w:rPr>
            </w:pPr>
            <w:r>
              <w:rPr>
                <w:color w:val="0000FF"/>
                <w:sz w:val="21"/>
              </w:rPr>
              <w:t>（二）采取分段开挖、分段回填的方式施工，回填后的沟槽采取覆盖、洒水等防尘措施；</w:t>
            </w:r>
          </w:p>
          <w:p>
            <w:pPr>
              <w:pStyle w:val="TableParagraph"/>
              <w:spacing w:line="244" w:lineRule="auto"/>
              <w:ind w:left="32" w:right="74"/>
              <w:rPr>
                <w:sz w:val="21"/>
              </w:rPr>
            </w:pPr>
            <w:r>
              <w:rPr>
                <w:color w:val="0000FF"/>
                <w:sz w:val="21"/>
              </w:rPr>
              <w:t>（三）使用风钻挖掘地面和清扫施工现场时，进行洒水防尘；</w:t>
            </w:r>
          </w:p>
          <w:p>
            <w:pPr>
              <w:pStyle w:val="TableParagraph"/>
              <w:spacing w:line="265" w:lineRule="exact"/>
              <w:ind w:left="32"/>
              <w:rPr>
                <w:sz w:val="21"/>
              </w:rPr>
            </w:pPr>
            <w:r>
              <w:rPr>
                <w:color w:val="0000FF"/>
                <w:sz w:val="21"/>
              </w:rPr>
              <w:t>（四）道路路面严重破损的，采取限制</w:t>
            </w:r>
          </w:p>
          <w:p>
            <w:pPr>
              <w:pStyle w:val="TableParagraph"/>
              <w:spacing w:before="4" w:line="270" w:lineRule="atLeast"/>
              <w:ind w:left="32" w:right="74"/>
              <w:rPr>
                <w:sz w:val="21"/>
              </w:rPr>
            </w:pPr>
            <w:r>
              <w:rPr>
                <w:color w:val="0000FF"/>
                <w:sz w:val="21"/>
              </w:rPr>
              <w:t>载重车辆通行或者限制机动车辆通行速度等防尘措施，并且及时修复破损路面</w:t>
            </w:r>
          </w:p>
        </w:tc>
        <w:tc>
          <w:tcPr>
            <w:tcW w:w="3079" w:type="dxa"/>
            <w:tcBorders>
              <w:top w:val="single" w:sz="4" w:space="0" w:color="000000"/>
              <w:left w:val="single" w:sz="4" w:space="0" w:color="000000"/>
              <w:bottom w:val="single" w:sz="12" w:space="0" w:color="000000"/>
            </w:tcBorders>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3"/>
              <w:rPr>
                <w:rFonts w:ascii="Times New Roman"/>
                <w:sz w:val="26"/>
              </w:rPr>
            </w:pPr>
          </w:p>
          <w:p>
            <w:pPr>
              <w:pStyle w:val="TableParagraph"/>
              <w:spacing w:line="242" w:lineRule="auto"/>
              <w:ind w:left="67" w:right="56"/>
              <w:jc w:val="center"/>
              <w:rPr>
                <w:sz w:val="21"/>
              </w:rPr>
            </w:pPr>
            <w:r>
              <w:rPr>
                <w:color w:val="0000FF"/>
                <w:w w:val="95"/>
                <w:sz w:val="21"/>
              </w:rPr>
              <w:t>项目施工期严格按要求采取防尘措施后达到江苏省《大气污染物</w:t>
            </w:r>
            <w:r>
              <w:rPr>
                <w:color w:val="0000FF"/>
                <w:sz w:val="21"/>
              </w:rPr>
              <w:t>综合排放标准》</w:t>
            </w:r>
          </w:p>
          <w:p>
            <w:pPr>
              <w:pStyle w:val="TableParagraph"/>
              <w:spacing w:before="1" w:line="242" w:lineRule="auto"/>
              <w:ind w:left="34" w:right="23"/>
              <w:jc w:val="center"/>
              <w:rPr>
                <w:sz w:val="21"/>
              </w:rPr>
            </w:pPr>
            <w:r>
              <w:rPr>
                <w:color w:val="0000FF"/>
                <w:sz w:val="21"/>
              </w:rPr>
              <w:t>（</w:t>
            </w:r>
            <w:r>
              <w:rPr>
                <w:rFonts w:ascii="Times New Roman" w:eastAsia="Times New Roman"/>
                <w:color w:val="0000FF"/>
                <w:sz w:val="21"/>
              </w:rPr>
              <w:t>DB32/4041-2021</w:t>
            </w:r>
            <w:r>
              <w:rPr>
                <w:color w:val="0000FF"/>
                <w:sz w:val="21"/>
              </w:rPr>
              <w:t xml:space="preserve">）表 </w:t>
            </w:r>
            <w:r>
              <w:rPr>
                <w:rFonts w:ascii="Times New Roman" w:eastAsia="Times New Roman"/>
                <w:color w:val="0000FF"/>
                <w:sz w:val="21"/>
              </w:rPr>
              <w:t xml:space="preserve">3 </w:t>
            </w:r>
            <w:r>
              <w:rPr>
                <w:color w:val="0000FF"/>
                <w:sz w:val="21"/>
              </w:rPr>
              <w:t>标准要求。</w:t>
            </w: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1"/>
              <w:rPr>
                <w:rFonts w:ascii="Times New Roman"/>
                <w:sz w:val="22"/>
              </w:rPr>
            </w:pPr>
          </w:p>
          <w:p>
            <w:pPr>
              <w:pStyle w:val="TableParagraph"/>
              <w:spacing w:line="252" w:lineRule="exact"/>
              <w:ind w:left="-130"/>
              <w:rPr>
                <w:sz w:val="21"/>
              </w:rPr>
            </w:pPr>
            <w:r>
              <w:rPr>
                <w:color w:val="0000FF"/>
                <w:w w:val="99"/>
                <w:sz w:val="21"/>
              </w:rPr>
              <w:t>。</w:t>
            </w:r>
          </w:p>
        </w:tc>
      </w:tr>
      <w:tr>
        <w:tblPrEx>
          <w:tblW w:w="0" w:type="auto"/>
          <w:jc w:val="left"/>
          <w:tblInd w:w="361" w:type="dxa"/>
          <w:tblLayout w:type="fixed"/>
          <w:tblCellMar>
            <w:top w:w="0" w:type="dxa"/>
            <w:left w:w="0" w:type="dxa"/>
            <w:bottom w:w="0" w:type="dxa"/>
            <w:right w:w="0" w:type="dxa"/>
          </w:tblCellMar>
          <w:tblLook w:val="01E0"/>
        </w:tblPrEx>
        <w:trPr>
          <w:trHeight w:val="1881"/>
          <w:jc w:val="left"/>
        </w:trPr>
        <w:tc>
          <w:tcPr>
            <w:tcW w:w="1580" w:type="dxa"/>
            <w:vMerge/>
            <w:tcBorders>
              <w:top w:val="nil"/>
              <w:right w:val="single" w:sz="4" w:space="0" w:color="000000"/>
            </w:tcBorders>
          </w:tcPr>
          <w:p>
            <w:pPr>
              <w:rPr>
                <w:sz w:val="2"/>
                <w:szCs w:val="2"/>
              </w:rPr>
            </w:pPr>
          </w:p>
        </w:tc>
        <w:tc>
          <w:tcPr>
            <w:tcW w:w="7458" w:type="dxa"/>
            <w:gridSpan w:val="3"/>
            <w:tcBorders>
              <w:top w:val="single" w:sz="12" w:space="0" w:color="000000"/>
              <w:left w:val="single" w:sz="4" w:space="0" w:color="000000"/>
              <w:bottom w:val="single" w:sz="12" w:space="0" w:color="000000"/>
            </w:tcBorders>
          </w:tcPr>
          <w:p>
            <w:pPr>
              <w:pStyle w:val="TableParagraph"/>
              <w:spacing w:before="1"/>
              <w:ind w:left="500"/>
              <w:rPr>
                <w:sz w:val="24"/>
              </w:rPr>
            </w:pPr>
            <w:r>
              <w:rPr>
                <w:color w:val="0000FF"/>
                <w:sz w:val="24"/>
              </w:rPr>
              <w:t>由上表可知，项目建设与《盐城市扬尘污染防治条例》相符。</w:t>
            </w:r>
          </w:p>
          <w:p>
            <w:pPr>
              <w:pStyle w:val="TableParagraph"/>
              <w:spacing w:before="161" w:line="362" w:lineRule="auto"/>
              <w:ind w:left="20" w:right="-15" w:firstLine="480"/>
              <w:rPr>
                <w:b/>
                <w:sz w:val="24"/>
              </w:rPr>
            </w:pPr>
            <w:r>
              <w:rPr>
                <w:rFonts w:ascii="Times New Roman" w:eastAsia="Times New Roman"/>
                <w:b/>
                <w:color w:val="0000FF"/>
                <w:sz w:val="24"/>
              </w:rPr>
              <w:t>6</w:t>
            </w:r>
            <w:r>
              <w:rPr>
                <w:b/>
                <w:color w:val="0000FF"/>
                <w:sz w:val="24"/>
              </w:rPr>
              <w:t>、与《省生态环境厅关于印发江苏省重点行业堆场扬尘污染防治指导意见（试行）的通知》（苏环办〔</w:t>
            </w:r>
            <w:r>
              <w:rPr>
                <w:rFonts w:ascii="Times New Roman" w:eastAsia="Times New Roman"/>
                <w:b/>
                <w:color w:val="0000FF"/>
                <w:sz w:val="24"/>
              </w:rPr>
              <w:t>2021</w:t>
            </w:r>
            <w:r>
              <w:rPr>
                <w:b/>
                <w:color w:val="0000FF"/>
                <w:sz w:val="24"/>
              </w:rPr>
              <w:t>〕</w:t>
            </w:r>
            <w:r>
              <w:rPr>
                <w:rFonts w:ascii="Times New Roman" w:eastAsia="Times New Roman"/>
                <w:b/>
                <w:color w:val="0000FF"/>
                <w:sz w:val="24"/>
              </w:rPr>
              <w:t>80</w:t>
            </w:r>
            <w:r>
              <w:rPr>
                <w:rFonts w:ascii="Times New Roman" w:eastAsia="Times New Roman"/>
                <w:b/>
                <w:color w:val="0000FF"/>
                <w:spacing w:val="-1"/>
                <w:sz w:val="24"/>
              </w:rPr>
              <w:t xml:space="preserve"> </w:t>
            </w:r>
            <w:r>
              <w:rPr>
                <w:b/>
                <w:color w:val="0000FF"/>
                <w:sz w:val="24"/>
              </w:rPr>
              <w:t>号）相符性分析</w:t>
            </w:r>
          </w:p>
          <w:p>
            <w:pPr>
              <w:pStyle w:val="TableParagraph"/>
              <w:spacing w:line="228" w:lineRule="exact"/>
              <w:ind w:left="20" w:right="-15"/>
              <w:jc w:val="center"/>
              <w:rPr>
                <w:b/>
                <w:sz w:val="24"/>
              </w:rPr>
            </w:pPr>
            <w:r>
              <w:rPr>
                <w:b/>
                <w:color w:val="0000FF"/>
                <w:sz w:val="24"/>
              </w:rPr>
              <w:t>表</w:t>
            </w:r>
            <w:r>
              <w:rPr>
                <w:rFonts w:ascii="Times New Roman" w:eastAsia="Times New Roman"/>
                <w:b/>
                <w:color w:val="0000FF"/>
                <w:sz w:val="24"/>
              </w:rPr>
              <w:t>1-8</w:t>
            </w:r>
            <w:r>
              <w:rPr>
                <w:rFonts w:ascii="Times New Roman" w:eastAsia="Times New Roman"/>
                <w:b/>
                <w:color w:val="0000FF"/>
                <w:spacing w:val="54"/>
                <w:sz w:val="24"/>
              </w:rPr>
              <w:t xml:space="preserve"> </w:t>
            </w:r>
            <w:r>
              <w:rPr>
                <w:b/>
                <w:color w:val="0000FF"/>
                <w:sz w:val="24"/>
              </w:rPr>
              <w:t>项目与《省生态环境厅关于印发江苏省重点行业堆场扬尘污染防</w:t>
            </w:r>
          </w:p>
          <w:p>
            <w:pPr>
              <w:pStyle w:val="TableParagraph"/>
              <w:spacing w:line="234" w:lineRule="exact"/>
              <w:ind w:left="221" w:right="197"/>
              <w:jc w:val="center"/>
              <w:rPr>
                <w:b/>
                <w:sz w:val="24"/>
              </w:rPr>
            </w:pPr>
            <w:r>
              <w:rPr>
                <w:b/>
                <w:color w:val="0000FF"/>
                <w:sz w:val="24"/>
              </w:rPr>
              <w:t>治指导意见（试行）的通知》（苏环办〔</w:t>
            </w:r>
            <w:r>
              <w:rPr>
                <w:rFonts w:ascii="Times New Roman" w:eastAsia="Times New Roman"/>
                <w:b/>
                <w:color w:val="0000FF"/>
                <w:sz w:val="24"/>
              </w:rPr>
              <w:t>2021</w:t>
            </w:r>
            <w:r>
              <w:rPr>
                <w:b/>
                <w:color w:val="0000FF"/>
                <w:sz w:val="24"/>
              </w:rPr>
              <w:t>〕</w:t>
            </w:r>
            <w:r>
              <w:rPr>
                <w:rFonts w:ascii="Times New Roman" w:eastAsia="Times New Roman"/>
                <w:b/>
                <w:color w:val="0000FF"/>
                <w:sz w:val="24"/>
              </w:rPr>
              <w:t>80</w:t>
            </w:r>
            <w:r>
              <w:rPr>
                <w:b/>
                <w:color w:val="0000FF"/>
                <w:sz w:val="24"/>
              </w:rPr>
              <w:t>号）相符性分析</w:t>
            </w:r>
          </w:p>
        </w:tc>
      </w:tr>
      <w:tr>
        <w:tblPrEx>
          <w:tblW w:w="0" w:type="auto"/>
          <w:jc w:val="left"/>
          <w:tblInd w:w="361" w:type="dxa"/>
          <w:tblLayout w:type="fixed"/>
          <w:tblCellMar>
            <w:top w:w="0" w:type="dxa"/>
            <w:left w:w="0" w:type="dxa"/>
            <w:bottom w:w="0" w:type="dxa"/>
            <w:right w:w="0" w:type="dxa"/>
          </w:tblCellMar>
          <w:tblLook w:val="01E0"/>
        </w:tblPrEx>
        <w:trPr>
          <w:trHeight w:val="812"/>
          <w:jc w:val="left"/>
        </w:trPr>
        <w:tc>
          <w:tcPr>
            <w:tcW w:w="1580" w:type="dxa"/>
            <w:vMerge/>
            <w:tcBorders>
              <w:top w:val="nil"/>
              <w:right w:val="single" w:sz="4" w:space="0" w:color="000000"/>
            </w:tcBorders>
          </w:tcPr>
          <w:p>
            <w:pPr>
              <w:rPr>
                <w:sz w:val="2"/>
                <w:szCs w:val="2"/>
              </w:rPr>
            </w:pPr>
          </w:p>
        </w:tc>
        <w:tc>
          <w:tcPr>
            <w:tcW w:w="692" w:type="dxa"/>
            <w:tcBorders>
              <w:top w:val="single" w:sz="12" w:space="0" w:color="000000"/>
              <w:left w:val="single" w:sz="4" w:space="0" w:color="000000"/>
              <w:bottom w:val="single" w:sz="4" w:space="0" w:color="000000"/>
              <w:right w:val="single" w:sz="4" w:space="0" w:color="000000"/>
            </w:tcBorders>
          </w:tcPr>
          <w:p>
            <w:pPr>
              <w:pStyle w:val="TableParagraph"/>
              <w:spacing w:before="8"/>
              <w:rPr>
                <w:rFonts w:ascii="Times New Roman"/>
                <w:sz w:val="23"/>
              </w:rPr>
            </w:pPr>
          </w:p>
          <w:p>
            <w:pPr>
              <w:pStyle w:val="TableParagraph"/>
              <w:spacing w:before="1"/>
              <w:ind w:left="127" w:right="93"/>
              <w:jc w:val="center"/>
              <w:rPr>
                <w:b/>
                <w:sz w:val="21"/>
              </w:rPr>
            </w:pPr>
            <w:r>
              <w:rPr>
                <w:b/>
                <w:color w:val="0000FF"/>
                <w:sz w:val="21"/>
              </w:rPr>
              <w:t>序号</w:t>
            </w:r>
          </w:p>
        </w:tc>
        <w:tc>
          <w:tcPr>
            <w:tcW w:w="3687" w:type="dxa"/>
            <w:tcBorders>
              <w:top w:val="single" w:sz="12" w:space="0" w:color="000000"/>
              <w:left w:val="single" w:sz="4" w:space="0" w:color="000000"/>
              <w:bottom w:val="single" w:sz="4" w:space="0" w:color="000000"/>
              <w:right w:val="single" w:sz="4" w:space="0" w:color="000000"/>
            </w:tcBorders>
          </w:tcPr>
          <w:p>
            <w:pPr>
              <w:pStyle w:val="TableParagraph"/>
              <w:spacing w:line="269" w:lineRule="exact"/>
              <w:ind w:left="56"/>
              <w:rPr>
                <w:b/>
                <w:sz w:val="21"/>
              </w:rPr>
            </w:pPr>
            <w:r>
              <w:rPr>
                <w:b/>
                <w:color w:val="0000FF"/>
                <w:sz w:val="21"/>
              </w:rPr>
              <w:t>《省生态环境厅关于印发江苏省重点行</w:t>
            </w:r>
          </w:p>
          <w:p>
            <w:pPr>
              <w:pStyle w:val="TableParagraph"/>
              <w:spacing w:before="3" w:line="270" w:lineRule="atLeast"/>
              <w:ind w:left="1426" w:right="38" w:hanging="1371"/>
              <w:rPr>
                <w:b/>
                <w:sz w:val="21"/>
              </w:rPr>
            </w:pPr>
            <w:r>
              <w:rPr>
                <w:b/>
                <w:color w:val="0000FF"/>
                <w:sz w:val="21"/>
              </w:rPr>
              <w:t>业堆场扬尘污染防治指导意见（试行） 的通知》</w:t>
            </w:r>
          </w:p>
        </w:tc>
        <w:tc>
          <w:tcPr>
            <w:tcW w:w="3079" w:type="dxa"/>
            <w:tcBorders>
              <w:top w:val="single" w:sz="12" w:space="0" w:color="000000"/>
              <w:left w:val="single" w:sz="4" w:space="0" w:color="000000"/>
              <w:bottom w:val="single" w:sz="4" w:space="0" w:color="000000"/>
            </w:tcBorders>
          </w:tcPr>
          <w:p>
            <w:pPr>
              <w:pStyle w:val="TableParagraph"/>
              <w:spacing w:before="8"/>
              <w:rPr>
                <w:rFonts w:ascii="Times New Roman"/>
                <w:sz w:val="23"/>
              </w:rPr>
            </w:pPr>
          </w:p>
          <w:p>
            <w:pPr>
              <w:pStyle w:val="TableParagraph"/>
              <w:spacing w:before="1"/>
              <w:ind w:left="1010"/>
              <w:rPr>
                <w:b/>
                <w:sz w:val="21"/>
              </w:rPr>
            </w:pPr>
            <w:r>
              <w:rPr>
                <w:b/>
                <w:color w:val="0000FF"/>
                <w:sz w:val="21"/>
              </w:rPr>
              <w:t>相符性分析</w:t>
            </w:r>
          </w:p>
        </w:tc>
      </w:tr>
      <w:tr>
        <w:tblPrEx>
          <w:tblW w:w="0" w:type="auto"/>
          <w:jc w:val="left"/>
          <w:tblInd w:w="361" w:type="dxa"/>
          <w:tblLayout w:type="fixed"/>
          <w:tblCellMar>
            <w:top w:w="0" w:type="dxa"/>
            <w:left w:w="0" w:type="dxa"/>
            <w:bottom w:w="0" w:type="dxa"/>
            <w:right w:w="0" w:type="dxa"/>
          </w:tblCellMar>
          <w:tblLook w:val="01E0"/>
        </w:tblPrEx>
        <w:trPr>
          <w:trHeight w:val="2985"/>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rPr>
                <w:rFonts w:ascii="Times New Roman"/>
                <w:sz w:val="22"/>
              </w:rPr>
            </w:pPr>
          </w:p>
          <w:p>
            <w:pPr>
              <w:pStyle w:val="TableParagraph"/>
              <w:spacing w:before="1"/>
              <w:rPr>
                <w:rFonts w:ascii="Times New Roman"/>
                <w:sz w:val="31"/>
              </w:rPr>
            </w:pPr>
          </w:p>
          <w:p>
            <w:pPr>
              <w:pStyle w:val="TableParagraph"/>
              <w:ind w:left="35"/>
              <w:jc w:val="center"/>
              <w:rPr>
                <w:rFonts w:ascii="Times New Roman"/>
                <w:sz w:val="21"/>
              </w:rPr>
            </w:pPr>
            <w:r>
              <w:rPr>
                <w:rFonts w:ascii="Times New Roman"/>
                <w:color w:val="0000FF"/>
                <w:w w:val="99"/>
                <w:sz w:val="21"/>
              </w:rPr>
              <w:t>1</w:t>
            </w:r>
          </w:p>
        </w:tc>
        <w:tc>
          <w:tcPr>
            <w:tcW w:w="368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2" w:right="16"/>
              <w:rPr>
                <w:sz w:val="21"/>
              </w:rPr>
            </w:pPr>
            <w:r>
              <w:rPr>
                <w:color w:val="0000FF"/>
                <w:sz w:val="21"/>
              </w:rPr>
              <w:t>物料存储环节：对水泥稳定（级配）碎</w:t>
            </w:r>
            <w:r>
              <w:rPr>
                <w:color w:val="0000FF"/>
                <w:w w:val="95"/>
                <w:sz w:val="21"/>
              </w:rPr>
              <w:t>石</w:t>
            </w:r>
            <w:r>
              <w:rPr>
                <w:rFonts w:ascii="Times New Roman" w:eastAsia="Times New Roman"/>
                <w:color w:val="0000FF"/>
                <w:w w:val="95"/>
                <w:sz w:val="21"/>
              </w:rPr>
              <w:t>/</w:t>
            </w:r>
            <w:r>
              <w:rPr>
                <w:color w:val="0000FF"/>
                <w:w w:val="95"/>
                <w:sz w:val="21"/>
              </w:rPr>
              <w:t>水泥混凝土拌和站、预制场、钢筋加</w:t>
            </w:r>
            <w:r>
              <w:rPr>
                <w:color w:val="0000FF"/>
                <w:sz w:val="21"/>
              </w:rPr>
              <w:t>工厂、沥青混凝土拌和站实施封闭管理混凝土拌和站、预制场应设置自动喷淋设施，鼓励建立水泥拌和、预制一体化封闭厂房。石灰石消解过程必须密闭进行，其他产生扬尘的物料应当密闭贮存不具备密闭贮存条件的，在其周围设置不低于堆放物高度的围挡并有效覆盖。建筑土方、工程渣土、建筑垃圾应及时</w:t>
            </w:r>
          </w:p>
          <w:p>
            <w:pPr>
              <w:pStyle w:val="TableParagraph"/>
              <w:spacing w:line="248" w:lineRule="exact"/>
              <w:ind w:left="32"/>
              <w:rPr>
                <w:sz w:val="21"/>
              </w:rPr>
            </w:pPr>
            <w:r>
              <w:rPr>
                <w:color w:val="0000FF"/>
                <w:sz w:val="21"/>
              </w:rPr>
              <w:t>运输到指定场所进行处置。</w:t>
            </w:r>
          </w:p>
        </w:tc>
        <w:tc>
          <w:tcPr>
            <w:tcW w:w="3079" w:type="dxa"/>
            <w:tcBorders>
              <w:top w:val="single" w:sz="4" w:space="0" w:color="000000"/>
              <w:left w:val="single" w:sz="4" w:space="0" w:color="000000"/>
              <w:bottom w:val="single" w:sz="4" w:space="0" w:color="000000"/>
            </w:tcBorders>
          </w:tcPr>
          <w:p>
            <w:pPr>
              <w:pStyle w:val="TableParagraph"/>
              <w:rPr>
                <w:rFonts w:ascii="Times New Roman"/>
                <w:sz w:val="20"/>
              </w:rPr>
            </w:pPr>
          </w:p>
          <w:p>
            <w:pPr>
              <w:pStyle w:val="TableParagraph"/>
              <w:spacing w:before="11"/>
              <w:rPr>
                <w:rFonts w:ascii="Times New Roman"/>
                <w:sz w:val="26"/>
              </w:rPr>
            </w:pPr>
          </w:p>
          <w:p>
            <w:pPr>
              <w:pStyle w:val="TableParagraph"/>
              <w:ind w:left="-128"/>
              <w:rPr>
                <w:sz w:val="21"/>
              </w:rPr>
            </w:pPr>
            <w:r>
              <w:rPr>
                <w:color w:val="0000FF"/>
                <w:w w:val="99"/>
                <w:sz w:val="21"/>
              </w:rPr>
              <w:t>，</w:t>
            </w:r>
          </w:p>
          <w:p>
            <w:pPr>
              <w:pStyle w:val="TableParagraph"/>
              <w:spacing w:before="2" w:line="242" w:lineRule="auto"/>
              <w:ind w:left="67" w:right="56"/>
              <w:jc w:val="both"/>
              <w:rPr>
                <w:sz w:val="21"/>
              </w:rPr>
            </w:pPr>
            <w:r>
              <w:rPr>
                <w:color w:val="0000FF"/>
                <w:sz w:val="21"/>
              </w:rPr>
              <w:t>本项目施工期物料存储环节实施封闭管理，混凝土拌和站、预制场应设置自动喷淋设施；建筑土</w:t>
            </w:r>
          </w:p>
          <w:p>
            <w:pPr>
              <w:pStyle w:val="TableParagraph"/>
              <w:spacing w:before="3" w:line="242" w:lineRule="auto"/>
              <w:ind w:left="487" w:right="56" w:hanging="615"/>
              <w:rPr>
                <w:sz w:val="21"/>
              </w:rPr>
            </w:pPr>
            <w:r>
              <w:rPr>
                <w:color w:val="0000FF"/>
                <w:w w:val="95"/>
                <w:sz w:val="21"/>
              </w:rPr>
              <w:t>；方、工程渣土、建筑垃圾及时运</w:t>
            </w:r>
            <w:r>
              <w:rPr>
                <w:color w:val="0000FF"/>
                <w:sz w:val="21"/>
              </w:rPr>
              <w:t>输到指定场所进行处置</w:t>
            </w:r>
          </w:p>
        </w:tc>
      </w:tr>
      <w:tr>
        <w:tblPrEx>
          <w:tblW w:w="0" w:type="auto"/>
          <w:jc w:val="left"/>
          <w:tblInd w:w="361" w:type="dxa"/>
          <w:tblLayout w:type="fixed"/>
          <w:tblCellMar>
            <w:top w:w="0" w:type="dxa"/>
            <w:left w:w="0" w:type="dxa"/>
            <w:bottom w:w="0" w:type="dxa"/>
            <w:right w:w="0" w:type="dxa"/>
          </w:tblCellMar>
          <w:tblLook w:val="01E0"/>
        </w:tblPrEx>
        <w:trPr>
          <w:trHeight w:val="1897"/>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18" w:space="0" w:color="000000"/>
              <w:right w:val="single" w:sz="4" w:space="0" w:color="000000"/>
            </w:tcBorders>
          </w:tcPr>
          <w:p>
            <w:pPr>
              <w:pStyle w:val="TableParagraph"/>
              <w:rPr>
                <w:rFonts w:ascii="Times New Roman"/>
                <w:sz w:val="22"/>
              </w:rPr>
            </w:pPr>
          </w:p>
          <w:p>
            <w:pPr>
              <w:pStyle w:val="TableParagraph"/>
              <w:rPr>
                <w:rFonts w:ascii="Times New Roman"/>
                <w:sz w:val="22"/>
              </w:rPr>
            </w:pPr>
          </w:p>
          <w:p>
            <w:pPr>
              <w:pStyle w:val="TableParagraph"/>
              <w:spacing w:before="11"/>
              <w:rPr>
                <w:rFonts w:ascii="Times New Roman"/>
                <w:sz w:val="27"/>
              </w:rPr>
            </w:pPr>
          </w:p>
          <w:p>
            <w:pPr>
              <w:pStyle w:val="TableParagraph"/>
              <w:ind w:left="35"/>
              <w:jc w:val="center"/>
              <w:rPr>
                <w:rFonts w:ascii="Times New Roman"/>
                <w:sz w:val="21"/>
              </w:rPr>
            </w:pPr>
            <w:r>
              <w:rPr>
                <w:rFonts w:ascii="Times New Roman"/>
                <w:color w:val="0000FF"/>
                <w:w w:val="99"/>
                <w:sz w:val="21"/>
              </w:rPr>
              <w:t>2</w:t>
            </w:r>
          </w:p>
        </w:tc>
        <w:tc>
          <w:tcPr>
            <w:tcW w:w="3687" w:type="dxa"/>
            <w:tcBorders>
              <w:top w:val="single" w:sz="4" w:space="0" w:color="000000"/>
              <w:left w:val="single" w:sz="4" w:space="0" w:color="000000"/>
              <w:bottom w:val="single" w:sz="18" w:space="0" w:color="000000"/>
              <w:right w:val="single" w:sz="4" w:space="0" w:color="000000"/>
            </w:tcBorders>
          </w:tcPr>
          <w:p>
            <w:pPr>
              <w:pStyle w:val="TableParagraph"/>
              <w:spacing w:line="244" w:lineRule="auto"/>
              <w:ind w:left="32" w:right="74"/>
              <w:rPr>
                <w:sz w:val="21"/>
              </w:rPr>
            </w:pPr>
            <w:r>
              <w:rPr>
                <w:color w:val="0000FF"/>
                <w:sz w:val="21"/>
              </w:rPr>
              <w:t>施工作业环节：建设工程开工前，建设单位应当在施工现场周边设置不低于</w:t>
            </w:r>
          </w:p>
          <w:p>
            <w:pPr>
              <w:pStyle w:val="TableParagraph"/>
              <w:spacing w:line="242" w:lineRule="auto"/>
              <w:ind w:left="32" w:right="11"/>
              <w:jc w:val="both"/>
              <w:rPr>
                <w:sz w:val="21"/>
              </w:rPr>
            </w:pPr>
            <w:r>
              <w:rPr>
                <w:rFonts w:ascii="Times New Roman" w:eastAsia="Times New Roman"/>
                <w:color w:val="0000FF"/>
                <w:sz w:val="21"/>
              </w:rPr>
              <w:t>2.5</w:t>
            </w:r>
            <w:r>
              <w:rPr>
                <w:rFonts w:ascii="Times New Roman" w:eastAsia="Times New Roman"/>
                <w:color w:val="0000FF"/>
                <w:spacing w:val="-9"/>
                <w:sz w:val="21"/>
              </w:rPr>
              <w:t xml:space="preserve"> </w:t>
            </w:r>
            <w:r>
              <w:rPr>
                <w:color w:val="0000FF"/>
                <w:spacing w:val="-7"/>
                <w:sz w:val="21"/>
              </w:rPr>
              <w:t>米的围挡，施工单位应当对围挡进行维护。围挡底部设有防溢座，围挡拼接处无缝隙且保持围挡及围挡附近整洁； 围挡进行美化，与周边环境相符；密目</w:t>
            </w:r>
          </w:p>
          <w:p>
            <w:pPr>
              <w:pStyle w:val="TableParagraph"/>
              <w:spacing w:line="248" w:lineRule="exact"/>
              <w:ind w:left="32"/>
              <w:rPr>
                <w:sz w:val="21"/>
              </w:rPr>
            </w:pPr>
            <w:r>
              <w:rPr>
                <w:color w:val="0000FF"/>
                <w:w w:val="95"/>
                <w:sz w:val="21"/>
              </w:rPr>
              <w:t>式安全网或防尘布的覆盖率达，并保证</w:t>
            </w:r>
          </w:p>
        </w:tc>
        <w:tc>
          <w:tcPr>
            <w:tcW w:w="3079" w:type="dxa"/>
            <w:tcBorders>
              <w:top w:val="single" w:sz="4" w:space="0" w:color="000000"/>
              <w:left w:val="single" w:sz="4" w:space="0" w:color="000000"/>
              <w:bottom w:val="single" w:sz="18" w:space="0" w:color="000000"/>
            </w:tcBorders>
          </w:tcPr>
          <w:p>
            <w:pPr>
              <w:pStyle w:val="TableParagraph"/>
              <w:spacing w:before="4"/>
              <w:rPr>
                <w:rFonts w:ascii="Times New Roman"/>
                <w:sz w:val="23"/>
              </w:rPr>
            </w:pPr>
          </w:p>
          <w:p>
            <w:pPr>
              <w:pStyle w:val="TableParagraph"/>
              <w:spacing w:line="242" w:lineRule="auto"/>
              <w:ind w:left="67" w:right="56"/>
              <w:jc w:val="center"/>
              <w:rPr>
                <w:sz w:val="21"/>
              </w:rPr>
            </w:pPr>
            <w:r>
              <w:rPr>
                <w:color w:val="0000FF"/>
                <w:w w:val="95"/>
                <w:sz w:val="21"/>
              </w:rPr>
              <w:t>项目施工期严格按要求采取防尘措施后达到江苏省《大气污染物</w:t>
            </w:r>
            <w:r>
              <w:rPr>
                <w:color w:val="0000FF"/>
                <w:sz w:val="21"/>
              </w:rPr>
              <w:t>综合排放标准》</w:t>
            </w:r>
          </w:p>
          <w:p>
            <w:pPr>
              <w:pStyle w:val="TableParagraph"/>
              <w:spacing w:before="1" w:line="242" w:lineRule="auto"/>
              <w:ind w:left="34" w:right="23"/>
              <w:jc w:val="center"/>
              <w:rPr>
                <w:sz w:val="21"/>
              </w:rPr>
            </w:pPr>
            <w:r>
              <w:rPr>
                <w:color w:val="0000FF"/>
                <w:sz w:val="21"/>
              </w:rPr>
              <w:t>（</w:t>
            </w:r>
            <w:r>
              <w:rPr>
                <w:rFonts w:ascii="Times New Roman" w:eastAsia="Times New Roman"/>
                <w:color w:val="0000FF"/>
                <w:sz w:val="21"/>
              </w:rPr>
              <w:t>DB32/4041-2021</w:t>
            </w:r>
            <w:r>
              <w:rPr>
                <w:color w:val="0000FF"/>
                <w:sz w:val="21"/>
              </w:rPr>
              <w:t xml:space="preserve">）表 </w:t>
            </w:r>
            <w:r>
              <w:rPr>
                <w:rFonts w:ascii="Times New Roman" w:eastAsia="Times New Roman"/>
                <w:color w:val="0000FF"/>
                <w:sz w:val="21"/>
              </w:rPr>
              <w:t xml:space="preserve">3 </w:t>
            </w:r>
            <w:r>
              <w:rPr>
                <w:color w:val="0000FF"/>
                <w:sz w:val="21"/>
              </w:rPr>
              <w:t>标准要求。</w:t>
            </w:r>
          </w:p>
        </w:tc>
      </w:tr>
    </w:tbl>
    <w:p>
      <w:pPr>
        <w:spacing w:after="0" w:line="242" w:lineRule="auto"/>
        <w:jc w:val="center"/>
        <w:rPr>
          <w:sz w:val="21"/>
        </w:rPr>
        <w:sectPr>
          <w:footerReference w:type="default" r:id="rId24"/>
          <w:pgSz w:w="11910" w:h="16840"/>
          <w:pgMar w:top="1580" w:right="1100" w:bottom="1420" w:left="1180" w:header="0" w:footer="1225"/>
          <w:pgNumType w:start="11"/>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spacing w:before="76"/>
        <w:ind w:right="176"/>
        <w:jc w:val="right"/>
      </w:pPr>
      <w:r>
        <w:pict>
          <v:shape id="_x0000_s1046" type="#_x0000_t202" style="width:453.4pt;height:604.95pt;margin-top:-513.55pt;margin-left:76.07pt;mso-position-horizontal-relative:page;position:absolute;z-index:251667456" filled="f" stroked="f">
            <v:textbox inset="0,0,0,0">
              <w:txbxContent>
                <w:tbl>
                  <w:tblPr>
                    <w:tblStyle w:val="TableNormal10"/>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580"/>
                    <w:gridCol w:w="692"/>
                    <w:gridCol w:w="3688"/>
                    <w:gridCol w:w="3079"/>
                  </w:tblGrid>
                  <w:tr>
                    <w:tblPrEx>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065"/>
                      <w:jc w:val="left"/>
                    </w:trPr>
                    <w:tc>
                      <w:tcPr>
                        <w:tcW w:w="1580" w:type="dxa"/>
                        <w:vMerge w:val="restart"/>
                        <w:tcBorders>
                          <w:right w:val="single" w:sz="4" w:space="0" w:color="000000"/>
                        </w:tcBorders>
                      </w:tcPr>
                      <w:p>
                        <w:pPr>
                          <w:pStyle w:val="TableParagraph"/>
                          <w:rPr>
                            <w:rFonts w:ascii="Times New Roman"/>
                            <w:sz w:val="20"/>
                          </w:rPr>
                        </w:pPr>
                      </w:p>
                    </w:tc>
                    <w:tc>
                      <w:tcPr>
                        <w:tcW w:w="692" w:type="dxa"/>
                        <w:tcBorders>
                          <w:top w:val="thinThickMediumGap"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8" w:type="dxa"/>
                        <w:tcBorders>
                          <w:top w:val="thinThickMediumGap" w:sz="6" w:space="0" w:color="000000"/>
                          <w:left w:val="single" w:sz="4" w:space="0" w:color="000000"/>
                          <w:bottom w:val="single" w:sz="4" w:space="0" w:color="000000"/>
                          <w:right w:val="single" w:sz="4" w:space="0" w:color="000000"/>
                        </w:tcBorders>
                      </w:tcPr>
                      <w:p>
                        <w:pPr>
                          <w:pStyle w:val="TableParagraph"/>
                          <w:spacing w:line="256" w:lineRule="exact"/>
                          <w:ind w:left="32"/>
                          <w:rPr>
                            <w:sz w:val="21"/>
                          </w:rPr>
                        </w:pPr>
                        <w:r>
                          <w:rPr>
                            <w:color w:val="0000FF"/>
                            <w:sz w:val="21"/>
                          </w:rPr>
                          <w:t>覆盖物清洁。在建筑结构脚手架外侧设</w:t>
                        </w:r>
                      </w:p>
                      <w:p>
                        <w:pPr>
                          <w:pStyle w:val="TableParagraph"/>
                          <w:spacing w:before="4" w:line="242" w:lineRule="auto"/>
                          <w:ind w:left="32" w:right="286"/>
                          <w:rPr>
                            <w:sz w:val="21"/>
                          </w:rPr>
                        </w:pPr>
                        <w:r>
                          <w:rPr>
                            <w:color w:val="0000FF"/>
                            <w:sz w:val="21"/>
                          </w:rPr>
                          <w:t>置有效抑尘的密目式安全立网或防尘布。</w:t>
                        </w:r>
                      </w:p>
                      <w:p>
                        <w:pPr>
                          <w:pStyle w:val="TableParagraph"/>
                          <w:spacing w:before="2" w:line="242" w:lineRule="auto"/>
                          <w:ind w:left="32" w:right="12"/>
                          <w:jc w:val="both"/>
                          <w:rPr>
                            <w:sz w:val="21"/>
                          </w:rPr>
                        </w:pPr>
                        <w:r>
                          <w:rPr>
                            <w:color w:val="0000FF"/>
                            <w:sz w:val="21"/>
                          </w:rPr>
                          <w:t>土方开挖、清运建筑垃圾等作业时，应当采取洒水、喷淋等湿法作业，存放超</w:t>
                        </w:r>
                        <w:r>
                          <w:rPr>
                            <w:color w:val="0000FF"/>
                            <w:spacing w:val="-29"/>
                            <w:sz w:val="21"/>
                          </w:rPr>
                          <w:t xml:space="preserve">过 </w:t>
                        </w:r>
                        <w:r>
                          <w:rPr>
                            <w:rFonts w:ascii="Times New Roman" w:eastAsia="Times New Roman"/>
                            <w:color w:val="0000FF"/>
                            <w:sz w:val="21"/>
                          </w:rPr>
                          <w:t xml:space="preserve">48 </w:t>
                        </w:r>
                        <w:r>
                          <w:rPr>
                            <w:color w:val="0000FF"/>
                            <w:spacing w:val="-4"/>
                            <w:sz w:val="21"/>
                          </w:rPr>
                          <w:t>小时以上的临时存放的土方、建筑</w:t>
                        </w:r>
                      </w:p>
                      <w:p>
                        <w:pPr>
                          <w:pStyle w:val="TableParagraph"/>
                          <w:spacing w:line="242" w:lineRule="auto"/>
                          <w:ind w:left="32" w:right="76"/>
                          <w:jc w:val="both"/>
                          <w:rPr>
                            <w:sz w:val="21"/>
                          </w:rPr>
                        </w:pPr>
                        <w:r>
                          <w:rPr>
                            <w:color w:val="0000FF"/>
                            <w:spacing w:val="-4"/>
                            <w:sz w:val="21"/>
                          </w:rPr>
                          <w:t xml:space="preserve">垃圾应采用防尘网覆盖。风速达到 </w:t>
                        </w:r>
                        <w:r>
                          <w:rPr>
                            <w:rFonts w:ascii="Times New Roman" w:eastAsia="Times New Roman"/>
                            <w:color w:val="0000FF"/>
                            <w:sz w:val="21"/>
                          </w:rPr>
                          <w:t xml:space="preserve">5 </w:t>
                        </w:r>
                        <w:r>
                          <w:rPr>
                            <w:color w:val="0000FF"/>
                            <w:spacing w:val="-11"/>
                            <w:sz w:val="21"/>
                          </w:rPr>
                          <w:t>级</w:t>
                        </w:r>
                        <w:r>
                          <w:rPr>
                            <w:color w:val="0000FF"/>
                            <w:spacing w:val="-6"/>
                            <w:sz w:val="21"/>
                          </w:rPr>
                          <w:t>及以上时，应暂停土方开挖、土方回填</w:t>
                        </w:r>
                        <w:r>
                          <w:rPr>
                            <w:color w:val="0000FF"/>
                            <w:spacing w:val="-7"/>
                            <w:sz w:val="21"/>
                          </w:rPr>
                          <w:t>灰土拌和、摊铺整平、路面基层清理、</w:t>
                        </w:r>
                        <w:r>
                          <w:rPr>
                            <w:color w:val="0000FF"/>
                            <w:spacing w:val="-1"/>
                            <w:sz w:val="21"/>
                          </w:rPr>
                          <w:t>沥青洒布、沥青混凝土摊铺。因大风、空气重污染，按照相关规定停止产生扬尘污染的施工作业后采取定时洒水、覆盖等降尘措施，并对施工现场内可能被</w:t>
                        </w:r>
                        <w:r>
                          <w:rPr>
                            <w:color w:val="0000FF"/>
                            <w:spacing w:val="-6"/>
                            <w:sz w:val="21"/>
                          </w:rPr>
                          <w:t>大风损坏的围挡，覆盖等措施进行巡检</w:t>
                        </w:r>
                      </w:p>
                      <w:p>
                        <w:pPr>
                          <w:pStyle w:val="TableParagraph"/>
                          <w:spacing w:before="5" w:line="246" w:lineRule="exact"/>
                          <w:ind w:left="32"/>
                          <w:rPr>
                            <w:sz w:val="21"/>
                          </w:rPr>
                        </w:pPr>
                        <w:r>
                          <w:rPr>
                            <w:color w:val="0000FF"/>
                            <w:sz w:val="21"/>
                          </w:rPr>
                          <w:t>及时修复。</w:t>
                        </w:r>
                      </w:p>
                    </w:tc>
                    <w:tc>
                      <w:tcPr>
                        <w:tcW w:w="3079" w:type="dxa"/>
                        <w:tcBorders>
                          <w:top w:val="thinThickMediumGap" w:sz="6" w:space="0" w:color="000000"/>
                          <w:left w:val="single" w:sz="4" w:space="0" w:color="000000"/>
                          <w:bottom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7"/>
                          </w:rPr>
                        </w:pPr>
                      </w:p>
                      <w:p>
                        <w:pPr>
                          <w:pStyle w:val="TableParagraph"/>
                          <w:ind w:left="-129"/>
                          <w:rPr>
                            <w:sz w:val="21"/>
                          </w:rPr>
                        </w:pPr>
                        <w:r>
                          <w:rPr>
                            <w:color w:val="0000FF"/>
                            <w:w w:val="99"/>
                            <w:sz w:val="21"/>
                          </w:rPr>
                          <w:t>、</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6"/>
                          </w:rPr>
                        </w:pPr>
                      </w:p>
                      <w:p>
                        <w:pPr>
                          <w:pStyle w:val="TableParagraph"/>
                          <w:spacing w:before="1"/>
                          <w:ind w:left="-129"/>
                          <w:rPr>
                            <w:sz w:val="21"/>
                          </w:rPr>
                        </w:pPr>
                        <w:r>
                          <w:rPr>
                            <w:color w:val="0000FF"/>
                            <w:w w:val="99"/>
                            <w:sz w:val="21"/>
                          </w:rPr>
                          <w:t>，</w:t>
                        </w:r>
                      </w:p>
                    </w:tc>
                  </w:tr>
                  <w:tr>
                    <w:tblPrEx>
                      <w:tblW w:w="0" w:type="auto"/>
                      <w:jc w:val="left"/>
                      <w:tblInd w:w="10" w:type="dxa"/>
                      <w:tblLayout w:type="fixed"/>
                      <w:tblCellMar>
                        <w:top w:w="0" w:type="dxa"/>
                        <w:left w:w="0" w:type="dxa"/>
                        <w:bottom w:w="0" w:type="dxa"/>
                        <w:right w:w="0" w:type="dxa"/>
                      </w:tblCellMar>
                      <w:tblLook w:val="01E0"/>
                    </w:tblPrEx>
                    <w:trPr>
                      <w:trHeight w:val="4348"/>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4" w:space="0" w:color="000000"/>
                          <w:right w:val="single" w:sz="4" w:space="0" w:color="000000"/>
                        </w:tcBorders>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28"/>
                          </w:rPr>
                        </w:pPr>
                      </w:p>
                      <w:p>
                        <w:pPr>
                          <w:pStyle w:val="TableParagraph"/>
                          <w:ind w:left="35"/>
                          <w:jc w:val="center"/>
                          <w:rPr>
                            <w:rFonts w:ascii="Times New Roman"/>
                            <w:sz w:val="21"/>
                          </w:rPr>
                        </w:pPr>
                        <w:r>
                          <w:rPr>
                            <w:rFonts w:ascii="Times New Roman"/>
                            <w:color w:val="0000FF"/>
                            <w:w w:val="99"/>
                            <w:sz w:val="21"/>
                          </w:rPr>
                          <w:t>3</w:t>
                        </w:r>
                      </w:p>
                    </w:tc>
                    <w:tc>
                      <w:tcPr>
                        <w:tcW w:w="368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32" w:right="75"/>
                          <w:jc w:val="both"/>
                          <w:rPr>
                            <w:sz w:val="21"/>
                          </w:rPr>
                        </w:pPr>
                        <w:r>
                          <w:rPr>
                            <w:color w:val="0000FF"/>
                            <w:sz w:val="21"/>
                          </w:rPr>
                          <w:t>物料装卸、运输、输送环节：建筑垃圾土方、砂石浆等流散物料，应当依法使用符合要求的运输车辆。散装建筑材料建筑垃圾、土方、沙石运输车辆必须封闭或苫盖严密，装载物不得超过车厢挡板高度，防止材料沿途泄漏、散落或者飞扬。</w:t>
                        </w:r>
                      </w:p>
                      <w:p>
                        <w:pPr>
                          <w:pStyle w:val="TableParagraph"/>
                          <w:spacing w:line="242" w:lineRule="auto"/>
                          <w:ind w:left="32" w:right="75"/>
                          <w:jc w:val="both"/>
                          <w:rPr>
                            <w:sz w:val="21"/>
                          </w:rPr>
                        </w:pPr>
                        <w:r>
                          <w:rPr>
                            <w:color w:val="0000FF"/>
                            <w:sz w:val="21"/>
                          </w:rPr>
                          <w:t>对施工现场内主要道路和物料堆放场地进行硬化，对其他场地进行覆盖或者临时绿化，对土方集中堆放并采取覆盖或者固化措施。路面清扫时，宜采用人工洒水清扫或高压清洗车冲刷清扫。</w:t>
                        </w:r>
                      </w:p>
                      <w:p>
                        <w:pPr>
                          <w:pStyle w:val="TableParagraph"/>
                          <w:spacing w:before="2" w:line="242" w:lineRule="auto"/>
                          <w:ind w:left="32" w:right="75"/>
                          <w:jc w:val="both"/>
                          <w:rPr>
                            <w:sz w:val="21"/>
                          </w:rPr>
                        </w:pPr>
                        <w:r>
                          <w:rPr>
                            <w:color w:val="0000FF"/>
                            <w:sz w:val="21"/>
                          </w:rPr>
                          <w:t>施工作业大门处应设置自动洗车设施， 施工车辆经除泥、冲洗后驶出工地，禁止车容车貌不洁、车箱未密闭、车轮带</w:t>
                        </w:r>
                      </w:p>
                      <w:p>
                        <w:pPr>
                          <w:pStyle w:val="TableParagraph"/>
                          <w:spacing w:before="4" w:line="246" w:lineRule="exact"/>
                          <w:ind w:left="32"/>
                          <w:rPr>
                            <w:sz w:val="21"/>
                          </w:rPr>
                        </w:pPr>
                        <w:r>
                          <w:rPr>
                            <w:color w:val="0000FF"/>
                            <w:sz w:val="21"/>
                          </w:rPr>
                          <w:t>泥上路行驶。</w:t>
                        </w:r>
                      </w:p>
                    </w:tc>
                    <w:tc>
                      <w:tcPr>
                        <w:tcW w:w="3079" w:type="dxa"/>
                        <w:tcBorders>
                          <w:top w:val="single" w:sz="4" w:space="0" w:color="000000"/>
                          <w:left w:val="single" w:sz="4" w:space="0" w:color="000000"/>
                          <w:bottom w:val="single" w:sz="4" w:space="0" w:color="000000"/>
                        </w:tcBorders>
                      </w:tcPr>
                      <w:p>
                        <w:pPr>
                          <w:pStyle w:val="TableParagraph"/>
                          <w:spacing w:line="264" w:lineRule="exact"/>
                          <w:ind w:left="-131"/>
                          <w:rPr>
                            <w:sz w:val="21"/>
                          </w:rPr>
                        </w:pPr>
                        <w:r>
                          <w:rPr>
                            <w:color w:val="0000FF"/>
                            <w:w w:val="99"/>
                            <w:sz w:val="21"/>
                          </w:rPr>
                          <w:t>、</w:t>
                        </w:r>
                      </w:p>
                      <w:p>
                        <w:pPr>
                          <w:pStyle w:val="TableParagraph"/>
                          <w:spacing w:before="6"/>
                          <w:rPr>
                            <w:sz w:val="21"/>
                          </w:rPr>
                        </w:pPr>
                      </w:p>
                      <w:p>
                        <w:pPr>
                          <w:pStyle w:val="TableParagraph"/>
                          <w:ind w:left="-129"/>
                          <w:rPr>
                            <w:sz w:val="21"/>
                          </w:rPr>
                        </w:pPr>
                        <w:r>
                          <w:rPr>
                            <w:color w:val="0000FF"/>
                            <w:w w:val="99"/>
                            <w:sz w:val="21"/>
                          </w:rPr>
                          <w:t>、</w:t>
                        </w:r>
                      </w:p>
                      <w:p>
                        <w:pPr>
                          <w:pStyle w:val="TableParagraph"/>
                          <w:rPr>
                            <w:sz w:val="20"/>
                          </w:rPr>
                        </w:pPr>
                      </w:p>
                      <w:p>
                        <w:pPr>
                          <w:pStyle w:val="TableParagraph"/>
                          <w:rPr>
                            <w:sz w:val="20"/>
                          </w:rPr>
                        </w:pPr>
                      </w:p>
                      <w:p>
                        <w:pPr>
                          <w:pStyle w:val="TableParagraph"/>
                          <w:spacing w:before="172" w:line="242" w:lineRule="auto"/>
                          <w:ind w:left="66" w:right="57"/>
                          <w:jc w:val="center"/>
                          <w:rPr>
                            <w:sz w:val="21"/>
                          </w:rPr>
                        </w:pPr>
                        <w:r>
                          <w:rPr>
                            <w:color w:val="0000FF"/>
                            <w:w w:val="95"/>
                            <w:sz w:val="21"/>
                          </w:rPr>
                          <w:t>项目施工期严格按要求采取防尘措施后达到江苏省《大气污染物</w:t>
                        </w:r>
                        <w:r>
                          <w:rPr>
                            <w:color w:val="0000FF"/>
                            <w:sz w:val="21"/>
                          </w:rPr>
                          <w:t>综合排放标准》</w:t>
                        </w:r>
                      </w:p>
                      <w:p>
                        <w:pPr>
                          <w:pStyle w:val="TableParagraph"/>
                          <w:spacing w:before="3" w:line="242" w:lineRule="auto"/>
                          <w:ind w:left="33" w:right="24"/>
                          <w:jc w:val="center"/>
                          <w:rPr>
                            <w:sz w:val="21"/>
                          </w:rPr>
                        </w:pPr>
                        <w:r>
                          <w:rPr>
                            <w:color w:val="0000FF"/>
                            <w:sz w:val="21"/>
                          </w:rPr>
                          <w:t>（</w:t>
                        </w:r>
                        <w:r>
                          <w:rPr>
                            <w:rFonts w:ascii="Times New Roman" w:eastAsia="Times New Roman"/>
                            <w:color w:val="0000FF"/>
                            <w:sz w:val="21"/>
                          </w:rPr>
                          <w:t>DB32/4041-2021</w:t>
                        </w:r>
                        <w:r>
                          <w:rPr>
                            <w:color w:val="0000FF"/>
                            <w:sz w:val="21"/>
                          </w:rPr>
                          <w:t xml:space="preserve">）表 </w:t>
                        </w:r>
                        <w:r>
                          <w:rPr>
                            <w:rFonts w:ascii="Times New Roman" w:eastAsia="Times New Roman"/>
                            <w:color w:val="0000FF"/>
                            <w:sz w:val="21"/>
                          </w:rPr>
                          <w:t xml:space="preserve">3 </w:t>
                        </w:r>
                        <w:r>
                          <w:rPr>
                            <w:color w:val="0000FF"/>
                            <w:sz w:val="21"/>
                          </w:rPr>
                          <w:t>标准要求。</w:t>
                        </w:r>
                      </w:p>
                    </w:tc>
                  </w:tr>
                  <w:tr>
                    <w:tblPrEx>
                      <w:tblW w:w="0" w:type="auto"/>
                      <w:jc w:val="left"/>
                      <w:tblInd w:w="10" w:type="dxa"/>
                      <w:tblLayout w:type="fixed"/>
                      <w:tblCellMar>
                        <w:top w:w="0" w:type="dxa"/>
                        <w:left w:w="0" w:type="dxa"/>
                        <w:bottom w:w="0" w:type="dxa"/>
                        <w:right w:w="0" w:type="dxa"/>
                      </w:tblCellMar>
                      <w:tblLook w:val="01E0"/>
                    </w:tblPrEx>
                    <w:trPr>
                      <w:trHeight w:val="1355"/>
                      <w:jc w:val="left"/>
                    </w:trPr>
                    <w:tc>
                      <w:tcPr>
                        <w:tcW w:w="1580" w:type="dxa"/>
                        <w:vMerge/>
                        <w:tcBorders>
                          <w:top w:val="nil"/>
                          <w:right w:val="single" w:sz="4" w:space="0" w:color="000000"/>
                        </w:tcBorders>
                      </w:tcPr>
                      <w:p>
                        <w:pPr>
                          <w:rPr>
                            <w:sz w:val="2"/>
                            <w:szCs w:val="2"/>
                          </w:rPr>
                        </w:pPr>
                      </w:p>
                    </w:tc>
                    <w:tc>
                      <w:tcPr>
                        <w:tcW w:w="692" w:type="dxa"/>
                        <w:tcBorders>
                          <w:top w:val="single" w:sz="4" w:space="0" w:color="000000"/>
                          <w:left w:val="single" w:sz="4" w:space="0" w:color="000000"/>
                          <w:bottom w:val="single" w:sz="12" w:space="0" w:color="000000"/>
                          <w:right w:val="single" w:sz="4" w:space="0" w:color="000000"/>
                        </w:tcBorders>
                      </w:tcPr>
                      <w:p>
                        <w:pPr>
                          <w:pStyle w:val="TableParagraph"/>
                          <w:rPr>
                            <w:sz w:val="22"/>
                          </w:rPr>
                        </w:pPr>
                      </w:p>
                      <w:p>
                        <w:pPr>
                          <w:pStyle w:val="TableParagraph"/>
                          <w:spacing w:before="2"/>
                          <w:rPr>
                            <w:sz w:val="21"/>
                          </w:rPr>
                        </w:pPr>
                      </w:p>
                      <w:p>
                        <w:pPr>
                          <w:pStyle w:val="TableParagraph"/>
                          <w:spacing w:before="1"/>
                          <w:ind w:left="35"/>
                          <w:jc w:val="center"/>
                          <w:rPr>
                            <w:rFonts w:ascii="Times New Roman"/>
                            <w:sz w:val="21"/>
                          </w:rPr>
                        </w:pPr>
                        <w:r>
                          <w:rPr>
                            <w:rFonts w:ascii="Times New Roman"/>
                            <w:color w:val="0000FF"/>
                            <w:w w:val="99"/>
                            <w:sz w:val="21"/>
                          </w:rPr>
                          <w:t>4</w:t>
                        </w:r>
                      </w:p>
                    </w:tc>
                    <w:tc>
                      <w:tcPr>
                        <w:tcW w:w="3688" w:type="dxa"/>
                        <w:tcBorders>
                          <w:top w:val="single" w:sz="4" w:space="0" w:color="000000"/>
                          <w:left w:val="single" w:sz="4" w:space="0" w:color="000000"/>
                          <w:bottom w:val="single" w:sz="12" w:space="0" w:color="000000"/>
                          <w:right w:val="single" w:sz="4" w:space="0" w:color="000000"/>
                        </w:tcBorders>
                      </w:tcPr>
                      <w:p>
                        <w:pPr>
                          <w:pStyle w:val="TableParagraph"/>
                          <w:spacing w:line="242" w:lineRule="auto"/>
                          <w:ind w:left="63" w:right="43"/>
                          <w:jc w:val="both"/>
                          <w:rPr>
                            <w:sz w:val="21"/>
                          </w:rPr>
                        </w:pPr>
                        <w:r>
                          <w:rPr>
                            <w:color w:val="0000FF"/>
                            <w:w w:val="95"/>
                            <w:sz w:val="21"/>
                          </w:rPr>
                          <w:t>监测监控环节：在拌和站、预制场、施工便道主要出入口及易产生扬尘的施工区域，安装环保在线监测、视频监控等智慧工地管理系统，扬尘监测数据传输</w:t>
                        </w:r>
                      </w:p>
                      <w:p>
                        <w:pPr>
                          <w:pStyle w:val="TableParagraph"/>
                          <w:spacing w:line="251" w:lineRule="exact"/>
                          <w:ind w:left="483"/>
                          <w:rPr>
                            <w:sz w:val="21"/>
                          </w:rPr>
                        </w:pPr>
                        <w:r>
                          <w:rPr>
                            <w:color w:val="0000FF"/>
                            <w:sz w:val="21"/>
                          </w:rPr>
                          <w:t>至现场管理机构的监管平台。</w:t>
                        </w:r>
                      </w:p>
                    </w:tc>
                    <w:tc>
                      <w:tcPr>
                        <w:tcW w:w="3079" w:type="dxa"/>
                        <w:tcBorders>
                          <w:top w:val="single" w:sz="4" w:space="0" w:color="000000"/>
                          <w:left w:val="single" w:sz="4" w:space="0" w:color="000000"/>
                          <w:bottom w:val="single" w:sz="12" w:space="0" w:color="000000"/>
                        </w:tcBorders>
                      </w:tcPr>
                      <w:p>
                        <w:pPr>
                          <w:pStyle w:val="TableParagraph"/>
                          <w:spacing w:line="242" w:lineRule="auto"/>
                          <w:ind w:left="66" w:right="57"/>
                          <w:jc w:val="center"/>
                          <w:rPr>
                            <w:sz w:val="21"/>
                          </w:rPr>
                        </w:pPr>
                        <w:r>
                          <w:rPr>
                            <w:color w:val="0000FF"/>
                            <w:w w:val="95"/>
                            <w:sz w:val="21"/>
                          </w:rPr>
                          <w:t>项目施工期严格按要求采取防尘措施后达到江苏省《大气污染物</w:t>
                        </w:r>
                        <w:r>
                          <w:rPr>
                            <w:color w:val="0000FF"/>
                            <w:sz w:val="21"/>
                          </w:rPr>
                          <w:t>综合排放标准》</w:t>
                        </w:r>
                      </w:p>
                      <w:p>
                        <w:pPr>
                          <w:pStyle w:val="TableParagraph"/>
                          <w:ind w:left="18" w:right="12"/>
                          <w:jc w:val="center"/>
                          <w:rPr>
                            <w:sz w:val="21"/>
                          </w:rPr>
                        </w:pPr>
                        <w:r>
                          <w:rPr>
                            <w:color w:val="0000FF"/>
                            <w:sz w:val="21"/>
                          </w:rPr>
                          <w:t>（</w:t>
                        </w:r>
                        <w:r>
                          <w:rPr>
                            <w:rFonts w:ascii="Times New Roman" w:eastAsia="Times New Roman"/>
                            <w:color w:val="0000FF"/>
                            <w:sz w:val="21"/>
                          </w:rPr>
                          <w:t>DB32/4041-2021</w:t>
                        </w:r>
                        <w:r>
                          <w:rPr>
                            <w:color w:val="0000FF"/>
                            <w:sz w:val="21"/>
                          </w:rPr>
                          <w:t xml:space="preserve">）表 </w:t>
                        </w:r>
                        <w:r>
                          <w:rPr>
                            <w:rFonts w:ascii="Times New Roman" w:eastAsia="Times New Roman"/>
                            <w:color w:val="0000FF"/>
                            <w:sz w:val="21"/>
                          </w:rPr>
                          <w:t xml:space="preserve">3 </w:t>
                        </w:r>
                        <w:r>
                          <w:rPr>
                            <w:color w:val="0000FF"/>
                            <w:sz w:val="21"/>
                          </w:rPr>
                          <w:t>标准要</w:t>
                        </w:r>
                      </w:p>
                      <w:p>
                        <w:pPr>
                          <w:pStyle w:val="TableParagraph"/>
                          <w:spacing w:line="251" w:lineRule="exact"/>
                          <w:ind w:left="62" w:right="56"/>
                          <w:jc w:val="center"/>
                          <w:rPr>
                            <w:sz w:val="21"/>
                          </w:rPr>
                        </w:pPr>
                        <w:r>
                          <w:rPr>
                            <w:color w:val="0000FF"/>
                            <w:sz w:val="21"/>
                          </w:rPr>
                          <w:t>求。</w:t>
                        </w:r>
                      </w:p>
                    </w:tc>
                  </w:tr>
                  <w:tr>
                    <w:tblPrEx>
                      <w:tblW w:w="0" w:type="auto"/>
                      <w:jc w:val="left"/>
                      <w:tblInd w:w="10" w:type="dxa"/>
                      <w:tblLayout w:type="fixed"/>
                      <w:tblCellMar>
                        <w:top w:w="0" w:type="dxa"/>
                        <w:left w:w="0" w:type="dxa"/>
                        <w:bottom w:w="0" w:type="dxa"/>
                        <w:right w:w="0" w:type="dxa"/>
                      </w:tblCellMar>
                      <w:tblLook w:val="01E0"/>
                    </w:tblPrEx>
                    <w:trPr>
                      <w:trHeight w:val="2202"/>
                      <w:jc w:val="left"/>
                    </w:trPr>
                    <w:tc>
                      <w:tcPr>
                        <w:tcW w:w="1580" w:type="dxa"/>
                        <w:vMerge/>
                        <w:tcBorders>
                          <w:top w:val="nil"/>
                          <w:right w:val="single" w:sz="4" w:space="0" w:color="000000"/>
                        </w:tcBorders>
                      </w:tcPr>
                      <w:p>
                        <w:pPr>
                          <w:rPr>
                            <w:sz w:val="2"/>
                            <w:szCs w:val="2"/>
                          </w:rPr>
                        </w:pPr>
                      </w:p>
                    </w:tc>
                    <w:tc>
                      <w:tcPr>
                        <w:tcW w:w="7459" w:type="dxa"/>
                        <w:gridSpan w:val="3"/>
                        <w:tcBorders>
                          <w:top w:val="single" w:sz="12" w:space="0" w:color="000000"/>
                          <w:left w:val="single" w:sz="4" w:space="0" w:color="000000"/>
                        </w:tcBorders>
                      </w:tcPr>
                      <w:p>
                        <w:pPr>
                          <w:pStyle w:val="TableParagraph"/>
                          <w:spacing w:before="2" w:line="364" w:lineRule="auto"/>
                          <w:ind w:left="20" w:right="-15" w:firstLine="480"/>
                          <w:rPr>
                            <w:sz w:val="24"/>
                          </w:rPr>
                        </w:pPr>
                        <w:r>
                          <w:rPr>
                            <w:color w:val="0000FF"/>
                            <w:spacing w:val="-3"/>
                            <w:sz w:val="24"/>
                          </w:rPr>
                          <w:t>由上表可知，项目建设与《省生态环境厅关于印发江苏省重点行业堆场扬尘污染防治指导意见（试行）的通知》（苏环办〔</w:t>
                        </w:r>
                        <w:r>
                          <w:rPr>
                            <w:rFonts w:ascii="Times New Roman" w:eastAsia="Times New Roman"/>
                            <w:color w:val="0000FF"/>
                            <w:spacing w:val="-3"/>
                            <w:sz w:val="24"/>
                          </w:rPr>
                          <w:t>2021</w:t>
                        </w:r>
                        <w:r>
                          <w:rPr>
                            <w:color w:val="0000FF"/>
                            <w:spacing w:val="-3"/>
                            <w:sz w:val="24"/>
                          </w:rPr>
                          <w:t>〕</w:t>
                        </w:r>
                        <w:r>
                          <w:rPr>
                            <w:rFonts w:ascii="Times New Roman" w:eastAsia="Times New Roman"/>
                            <w:color w:val="0000FF"/>
                            <w:spacing w:val="-3"/>
                            <w:sz w:val="24"/>
                          </w:rPr>
                          <w:t xml:space="preserve">80 </w:t>
                        </w:r>
                        <w:r>
                          <w:rPr>
                            <w:color w:val="0000FF"/>
                            <w:spacing w:val="-3"/>
                            <w:sz w:val="24"/>
                          </w:rPr>
                          <w:t>号相符。</w:t>
                        </w:r>
                      </w:p>
                    </w:tc>
                  </w:tr>
                </w:tbl>
                <w:p>
                  <w:pPr>
                    <w:pStyle w:val="BodyText"/>
                  </w:pPr>
                </w:p>
              </w:txbxContent>
            </v:textbox>
          </v:shape>
        </w:pict>
      </w:r>
      <w:r>
        <w:rPr>
          <w:color w:val="0000FF"/>
        </w:rPr>
        <w:t>）</w:t>
      </w:r>
    </w:p>
    <w:p>
      <w:pPr>
        <w:spacing w:after="0"/>
        <w:jc w:val="right"/>
        <w:sectPr>
          <w:footerReference w:type="default" r:id="rId25"/>
          <w:pgSz w:w="11910" w:h="16840"/>
          <w:pgMar w:top="1580" w:right="1100" w:bottom="1420" w:left="1180" w:header="0" w:footer="1225"/>
          <w:pgNumType w:start="12"/>
          <w:cols w:space="708"/>
        </w:sectPr>
      </w:pPr>
    </w:p>
    <w:p>
      <w:pPr>
        <w:pStyle w:val="Heading1"/>
      </w:pPr>
      <w:bookmarkStart w:id="2" w:name="二、建设内容"/>
      <w:bookmarkEnd w:id="2"/>
      <w:r>
        <w:t>二、建设内容</w:t>
      </w:r>
    </w:p>
    <w:p>
      <w:pPr>
        <w:pStyle w:val="BodyText"/>
        <w:rPr>
          <w:rFonts w:ascii="黑体"/>
          <w:sz w:val="22"/>
        </w:rPr>
      </w:pPr>
    </w:p>
    <w:tbl>
      <w:tblPr>
        <w:tblStyle w:val="TableNormal11"/>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8826"/>
      </w:tblGrid>
      <w:tr>
        <w:tblPrEx>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245"/>
          <w:jc w:val="left"/>
        </w:trPr>
        <w:tc>
          <w:tcPr>
            <w:tcW w:w="456" w:type="dxa"/>
            <w:tcBorders>
              <w:bottom w:val="single" w:sz="4" w:space="0" w:color="000000"/>
              <w:right w:val="single" w:sz="4" w:space="0" w:color="000000"/>
            </w:tcBorders>
          </w:tcPr>
          <w:p>
            <w:pPr>
              <w:pStyle w:val="TableParagraph"/>
              <w:spacing w:before="2" w:line="242" w:lineRule="auto"/>
              <w:ind w:left="108" w:right="90"/>
              <w:jc w:val="both"/>
              <w:rPr>
                <w:sz w:val="24"/>
              </w:rPr>
            </w:pPr>
            <w:r>
              <w:rPr>
                <w:sz w:val="24"/>
              </w:rPr>
              <w:t>地理位</w:t>
            </w:r>
          </w:p>
          <w:p>
            <w:pPr>
              <w:pStyle w:val="TableParagraph"/>
              <w:spacing w:before="2" w:line="290" w:lineRule="exact"/>
              <w:ind w:left="108"/>
              <w:rPr>
                <w:sz w:val="24"/>
              </w:rPr>
            </w:pPr>
            <w:r>
              <w:rPr>
                <w:sz w:val="24"/>
              </w:rPr>
              <w:t>置</w:t>
            </w:r>
          </w:p>
        </w:tc>
        <w:tc>
          <w:tcPr>
            <w:tcW w:w="8826" w:type="dxa"/>
            <w:tcBorders>
              <w:left w:val="single" w:sz="4" w:space="0" w:color="000000"/>
              <w:bottom w:val="single" w:sz="4" w:space="0" w:color="000000"/>
            </w:tcBorders>
          </w:tcPr>
          <w:p>
            <w:pPr>
              <w:pStyle w:val="TableParagraph"/>
              <w:spacing w:before="158" w:line="362" w:lineRule="auto"/>
              <w:ind w:left="113" w:right="55" w:firstLine="480"/>
              <w:rPr>
                <w:sz w:val="24"/>
              </w:rPr>
            </w:pPr>
            <w:r>
              <w:rPr>
                <w:sz w:val="24"/>
              </w:rPr>
              <w:t>本项目建设地址位于江苏省盐城市阜宁县（阜宁县东站货运场站至射阜线）。项目地理位置见附图一。</w:t>
            </w:r>
          </w:p>
        </w:tc>
      </w:tr>
      <w:tr>
        <w:tblPrEx>
          <w:tblW w:w="0" w:type="auto"/>
          <w:jc w:val="left"/>
          <w:tblInd w:w="142" w:type="dxa"/>
          <w:tblLayout w:type="fixed"/>
          <w:tblCellMar>
            <w:top w:w="0" w:type="dxa"/>
            <w:left w:w="0" w:type="dxa"/>
            <w:bottom w:w="0" w:type="dxa"/>
            <w:right w:w="0" w:type="dxa"/>
          </w:tblCellMar>
          <w:tblLook w:val="01E0"/>
        </w:tblPrEx>
        <w:trPr>
          <w:trHeight w:val="11322"/>
          <w:jc w:val="left"/>
        </w:trPr>
        <w:tc>
          <w:tcPr>
            <w:tcW w:w="456" w:type="dxa"/>
            <w:tcBorders>
              <w:top w:val="single" w:sz="4" w:space="0" w:color="000000"/>
              <w:right w:val="single" w:sz="4" w:space="0" w:color="000000"/>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12"/>
              <w:rPr>
                <w:rFonts w:ascii="黑体"/>
                <w:sz w:val="20"/>
              </w:rPr>
            </w:pPr>
          </w:p>
          <w:p>
            <w:pPr>
              <w:pStyle w:val="TableParagraph"/>
              <w:spacing w:line="242" w:lineRule="auto"/>
              <w:ind w:left="108" w:right="90"/>
              <w:jc w:val="both"/>
              <w:rPr>
                <w:sz w:val="24"/>
              </w:rPr>
            </w:pPr>
            <w:r>
              <w:rPr>
                <w:sz w:val="24"/>
              </w:rPr>
              <w:t>项目组成及规模</w:t>
            </w:r>
          </w:p>
        </w:tc>
        <w:tc>
          <w:tcPr>
            <w:tcW w:w="8826" w:type="dxa"/>
            <w:tcBorders>
              <w:top w:val="single" w:sz="4" w:space="0" w:color="000000"/>
              <w:left w:val="single" w:sz="4" w:space="0" w:color="000000"/>
            </w:tcBorders>
          </w:tcPr>
          <w:p>
            <w:pPr>
              <w:pStyle w:val="TableParagraph"/>
              <w:spacing w:before="122"/>
              <w:ind w:left="624"/>
              <w:rPr>
                <w:b/>
                <w:sz w:val="24"/>
              </w:rPr>
            </w:pPr>
            <w:r>
              <w:rPr>
                <w:rFonts w:ascii="Times New Roman" w:eastAsia="Times New Roman"/>
                <w:b/>
                <w:sz w:val="24"/>
              </w:rPr>
              <w:t>1</w:t>
            </w:r>
            <w:r>
              <w:rPr>
                <w:b/>
                <w:sz w:val="24"/>
              </w:rPr>
              <w:t>、项目由来</w:t>
            </w:r>
          </w:p>
          <w:p>
            <w:pPr>
              <w:pStyle w:val="TableParagraph"/>
              <w:spacing w:before="158" w:line="364" w:lineRule="auto"/>
              <w:ind w:left="113" w:right="86" w:firstLine="480"/>
              <w:jc w:val="both"/>
              <w:rPr>
                <w:sz w:val="24"/>
              </w:rPr>
            </w:pPr>
            <w:r>
              <w:rPr>
                <w:spacing w:val="-6"/>
                <w:sz w:val="24"/>
              </w:rPr>
              <w:t>阜宁东站，位于中国江苏省阜宁县境内，是中国铁路上海局集团有限公司徐州</w:t>
            </w:r>
            <w:r>
              <w:rPr>
                <w:spacing w:val="-4"/>
                <w:sz w:val="24"/>
              </w:rPr>
              <w:t>车务段管辖的二等站；射阜线是阜宁县对外联系的重要县道之一。为了便于阜宁东站货运场站的运营以及货运的通畅，急需修建一条通道，将货运场站和外部道路的</w:t>
            </w:r>
            <w:r>
              <w:rPr>
                <w:spacing w:val="-1"/>
                <w:sz w:val="24"/>
              </w:rPr>
              <w:t>进行有机联通。阜宁东站货运连接线工程</w:t>
            </w:r>
            <w:r>
              <w:rPr>
                <w:color w:val="3188FF"/>
                <w:spacing w:val="16"/>
                <w:sz w:val="21"/>
              </w:rPr>
              <w:t>（</w:t>
            </w:r>
            <w:r>
              <w:rPr>
                <w:sz w:val="24"/>
              </w:rPr>
              <w:t>一期</w:t>
            </w:r>
            <w:r>
              <w:rPr>
                <w:color w:val="3188FF"/>
                <w:spacing w:val="16"/>
                <w:sz w:val="21"/>
              </w:rPr>
              <w:t>）</w:t>
            </w:r>
            <w:r>
              <w:rPr>
                <w:sz w:val="24"/>
              </w:rPr>
              <w:t>路线总体呈南北走向。本项目</w:t>
            </w:r>
            <w:r>
              <w:rPr>
                <w:color w:val="0000FF"/>
                <w:spacing w:val="-15"/>
                <w:sz w:val="24"/>
              </w:rPr>
              <w:t xml:space="preserve">新征土地 </w:t>
            </w:r>
            <w:r>
              <w:rPr>
                <w:rFonts w:ascii="Times New Roman" w:eastAsia="Times New Roman"/>
                <w:color w:val="0000FF"/>
                <w:sz w:val="24"/>
              </w:rPr>
              <w:t xml:space="preserve">74.05 </w:t>
            </w:r>
            <w:r>
              <w:rPr>
                <w:color w:val="0000FF"/>
                <w:spacing w:val="-2"/>
                <w:sz w:val="24"/>
              </w:rPr>
              <w:t xml:space="preserve">亩，起于阜宁县东站货运场站处，路线从场站大门向东引出约 </w:t>
            </w:r>
            <w:r>
              <w:rPr>
                <w:rFonts w:ascii="Times New Roman" w:eastAsia="Times New Roman"/>
                <w:color w:val="0000FF"/>
                <w:sz w:val="24"/>
              </w:rPr>
              <w:t xml:space="preserve">157 </w:t>
            </w:r>
            <w:r>
              <w:rPr>
                <w:color w:val="0000FF"/>
                <w:spacing w:val="-11"/>
                <w:sz w:val="24"/>
              </w:rPr>
              <w:t>米</w:t>
            </w:r>
            <w:r>
              <w:rPr>
                <w:color w:val="0000FF"/>
                <w:spacing w:val="-6"/>
                <w:sz w:val="24"/>
              </w:rPr>
              <w:t>后，路线折向南，依次跨越射沙河、十一中沟、蒋圩河、合兴河、生产河后，与射</w:t>
            </w:r>
            <w:r>
              <w:rPr>
                <w:color w:val="0000FF"/>
                <w:spacing w:val="-7"/>
                <w:sz w:val="24"/>
              </w:rPr>
              <w:t xml:space="preserve">阜线进行平面交叉。按照二级公路标准新建沥青道路长 </w:t>
            </w:r>
            <w:r>
              <w:rPr>
                <w:rFonts w:ascii="Times New Roman" w:eastAsia="Times New Roman"/>
                <w:color w:val="0000FF"/>
                <w:sz w:val="24"/>
              </w:rPr>
              <w:t xml:space="preserve">2.453 </w:t>
            </w:r>
            <w:r>
              <w:rPr>
                <w:color w:val="0000FF"/>
                <w:spacing w:val="-19"/>
                <w:sz w:val="24"/>
              </w:rPr>
              <w:t xml:space="preserve">公里，宽 </w:t>
            </w:r>
            <w:r>
              <w:rPr>
                <w:rFonts w:ascii="Times New Roman" w:eastAsia="Times New Roman"/>
                <w:color w:val="0000FF"/>
                <w:sz w:val="24"/>
              </w:rPr>
              <w:t xml:space="preserve">12 </w:t>
            </w:r>
            <w:r>
              <w:rPr>
                <w:color w:val="0000FF"/>
                <w:spacing w:val="-12"/>
                <w:sz w:val="24"/>
              </w:rPr>
              <w:t>米，全线</w:t>
            </w:r>
          </w:p>
          <w:p>
            <w:pPr>
              <w:pStyle w:val="TableParagraph"/>
              <w:spacing w:line="304" w:lineRule="exact"/>
              <w:ind w:left="113"/>
              <w:jc w:val="both"/>
              <w:rPr>
                <w:sz w:val="24"/>
              </w:rPr>
            </w:pPr>
            <w:r>
              <w:rPr>
                <w:color w:val="0000FF"/>
                <w:sz w:val="24"/>
              </w:rPr>
              <w:t xml:space="preserve">新建桥梁 </w:t>
            </w:r>
            <w:r>
              <w:rPr>
                <w:rFonts w:ascii="Times New Roman" w:eastAsia="Times New Roman"/>
                <w:color w:val="0000FF"/>
                <w:sz w:val="24"/>
              </w:rPr>
              <w:t xml:space="preserve">1 </w:t>
            </w:r>
            <w:r>
              <w:rPr>
                <w:color w:val="0000FF"/>
                <w:sz w:val="24"/>
              </w:rPr>
              <w:t xml:space="preserve">座，拓宽桥梁 </w:t>
            </w:r>
            <w:r>
              <w:rPr>
                <w:rFonts w:ascii="Times New Roman" w:eastAsia="Times New Roman"/>
                <w:color w:val="0000FF"/>
                <w:sz w:val="24"/>
              </w:rPr>
              <w:t xml:space="preserve">1 </w:t>
            </w:r>
            <w:r>
              <w:rPr>
                <w:color w:val="0000FF"/>
                <w:sz w:val="24"/>
              </w:rPr>
              <w:t xml:space="preserve">座，新建箱涵 </w:t>
            </w:r>
            <w:r>
              <w:rPr>
                <w:rFonts w:ascii="Times New Roman" w:eastAsia="Times New Roman"/>
                <w:color w:val="0000FF"/>
                <w:sz w:val="24"/>
              </w:rPr>
              <w:t xml:space="preserve">4 </w:t>
            </w:r>
            <w:r>
              <w:rPr>
                <w:color w:val="0000FF"/>
                <w:sz w:val="24"/>
              </w:rPr>
              <w:t>道。</w:t>
            </w:r>
          </w:p>
          <w:p>
            <w:pPr>
              <w:pStyle w:val="TableParagraph"/>
              <w:spacing w:before="158"/>
              <w:ind w:left="593"/>
              <w:rPr>
                <w:sz w:val="24"/>
              </w:rPr>
            </w:pPr>
            <w:r>
              <w:rPr>
                <w:spacing w:val="3"/>
                <w:sz w:val="24"/>
              </w:rPr>
              <w:t>本项目建成后为货运连接线，根据《建设项目环境影响评价分类管理名录》</w:t>
            </w:r>
          </w:p>
          <w:p>
            <w:pPr>
              <w:pStyle w:val="TableParagraph"/>
              <w:spacing w:before="160"/>
              <w:ind w:left="113"/>
              <w:jc w:val="both"/>
              <w:rPr>
                <w:sz w:val="24"/>
              </w:rPr>
            </w:pPr>
            <w:r>
              <w:rPr>
                <w:color w:val="3188FF"/>
                <w:spacing w:val="3"/>
                <w:sz w:val="21"/>
              </w:rPr>
              <w:t>（</w:t>
            </w:r>
            <w:r>
              <w:rPr>
                <w:rFonts w:ascii="Times New Roman" w:eastAsia="Times New Roman" w:hAnsi="Times New Roman"/>
                <w:spacing w:val="3"/>
                <w:sz w:val="24"/>
              </w:rPr>
              <w:t>2021</w:t>
            </w:r>
            <w:r>
              <w:rPr>
                <w:rFonts w:ascii="Times New Roman" w:eastAsia="Times New Roman" w:hAnsi="Times New Roman"/>
                <w:spacing w:val="17"/>
                <w:sz w:val="24"/>
              </w:rPr>
              <w:t xml:space="preserve"> </w:t>
            </w:r>
            <w:r>
              <w:rPr>
                <w:sz w:val="24"/>
              </w:rPr>
              <w:t>年版</w:t>
            </w:r>
            <w:r>
              <w:rPr>
                <w:color w:val="3188FF"/>
                <w:sz w:val="21"/>
              </w:rPr>
              <w:t>）</w:t>
            </w:r>
            <w:r>
              <w:rPr>
                <w:color w:val="3188FF"/>
                <w:spacing w:val="-81"/>
                <w:sz w:val="21"/>
              </w:rPr>
              <w:t xml:space="preserve"> </w:t>
            </w:r>
            <w:r>
              <w:rPr>
                <w:sz w:val="24"/>
              </w:rPr>
              <w:t>可知，本项目属于</w:t>
            </w:r>
            <w:r>
              <w:rPr>
                <w:rFonts w:ascii="Times New Roman" w:eastAsia="Times New Roman" w:hAnsi="Times New Roman"/>
                <w:sz w:val="24"/>
              </w:rPr>
              <w:t>“</w:t>
            </w:r>
            <w:r>
              <w:rPr>
                <w:sz w:val="24"/>
              </w:rPr>
              <w:t>五十二、交通运输业、管道运输业</w:t>
            </w:r>
            <w:r>
              <w:rPr>
                <w:rFonts w:ascii="Times New Roman" w:eastAsia="Times New Roman" w:hAnsi="Times New Roman"/>
                <w:sz w:val="24"/>
              </w:rPr>
              <w:t>-130</w:t>
            </w:r>
            <w:r>
              <w:rPr>
                <w:rFonts w:ascii="Times New Roman" w:eastAsia="Times New Roman" w:hAnsi="Times New Roman"/>
                <w:spacing w:val="16"/>
                <w:sz w:val="24"/>
              </w:rPr>
              <w:t xml:space="preserve"> </w:t>
            </w:r>
            <w:r>
              <w:rPr>
                <w:sz w:val="24"/>
              </w:rPr>
              <w:t>等级公路</w:t>
            </w:r>
          </w:p>
          <w:p>
            <w:pPr>
              <w:pStyle w:val="TableParagraph"/>
              <w:spacing w:before="161" w:line="364" w:lineRule="auto"/>
              <w:ind w:left="113" w:right="86"/>
              <w:jc w:val="both"/>
              <w:rPr>
                <w:sz w:val="24"/>
              </w:rPr>
            </w:pPr>
            <w:r>
              <w:rPr>
                <w:sz w:val="24"/>
              </w:rPr>
              <w:t>（</w:t>
            </w:r>
            <w:r>
              <w:rPr>
                <w:spacing w:val="-6"/>
                <w:sz w:val="24"/>
              </w:rPr>
              <w:t>不含维护；不含生命救援、应急保通工程以及国防交通保障项目；不含改扩建四</w:t>
            </w:r>
            <w:r>
              <w:rPr>
                <w:sz w:val="24"/>
              </w:rPr>
              <w:t>级公路）中</w:t>
            </w:r>
            <w:r>
              <w:rPr>
                <w:rFonts w:ascii="Times New Roman" w:eastAsia="Times New Roman" w:hAnsi="Times New Roman"/>
                <w:sz w:val="24"/>
              </w:rPr>
              <w:t>-</w:t>
            </w:r>
            <w:r>
              <w:rPr>
                <w:sz w:val="24"/>
              </w:rPr>
              <w:t>其他（配套设施除外；不涉及环境敏感区的三级、四级公路除外</w:t>
            </w:r>
            <w:r>
              <w:rPr>
                <w:spacing w:val="-4"/>
                <w:sz w:val="24"/>
              </w:rPr>
              <w:t>）</w:t>
            </w:r>
            <w:r>
              <w:rPr>
                <w:rFonts w:ascii="Times New Roman" w:eastAsia="Times New Roman" w:hAnsi="Times New Roman"/>
                <w:spacing w:val="-4"/>
                <w:sz w:val="24"/>
              </w:rPr>
              <w:t>”</w:t>
            </w:r>
            <w:r>
              <w:rPr>
                <w:spacing w:val="-4"/>
                <w:sz w:val="24"/>
              </w:rPr>
              <w:t xml:space="preserve">， </w:t>
            </w:r>
            <w:r>
              <w:rPr>
                <w:sz w:val="24"/>
              </w:rPr>
              <w:t>应编制环境影响报告表。</w:t>
            </w:r>
          </w:p>
          <w:p>
            <w:pPr>
              <w:pStyle w:val="TableParagraph"/>
              <w:spacing w:line="304" w:lineRule="exact"/>
              <w:ind w:left="624"/>
              <w:rPr>
                <w:b/>
                <w:sz w:val="24"/>
              </w:rPr>
            </w:pPr>
            <w:r>
              <w:rPr>
                <w:rFonts w:ascii="Times New Roman" w:eastAsia="Times New Roman"/>
                <w:b/>
                <w:sz w:val="24"/>
              </w:rPr>
              <w:t>2</w:t>
            </w:r>
            <w:r>
              <w:rPr>
                <w:b/>
                <w:sz w:val="24"/>
              </w:rPr>
              <w:t>、项目工程内容及规模</w:t>
            </w:r>
          </w:p>
          <w:p>
            <w:pPr>
              <w:pStyle w:val="TableParagraph"/>
              <w:spacing w:before="160"/>
              <w:ind w:left="593"/>
              <w:rPr>
                <w:b/>
                <w:sz w:val="24"/>
              </w:rPr>
            </w:pPr>
            <w:r>
              <w:rPr>
                <w:rFonts w:ascii="Times New Roman" w:eastAsia="Times New Roman"/>
                <w:b/>
                <w:sz w:val="24"/>
              </w:rPr>
              <w:t xml:space="preserve">2.1 </w:t>
            </w:r>
            <w:r>
              <w:rPr>
                <w:b/>
                <w:sz w:val="24"/>
              </w:rPr>
              <w:t>项目概况</w:t>
            </w:r>
          </w:p>
          <w:p>
            <w:pPr>
              <w:pStyle w:val="TableParagraph"/>
              <w:spacing w:before="161" w:line="362" w:lineRule="auto"/>
              <w:ind w:left="593" w:right="2695"/>
              <w:rPr>
                <w:sz w:val="24"/>
              </w:rPr>
            </w:pPr>
            <w:r>
              <w:rPr>
                <w:sz w:val="24"/>
              </w:rPr>
              <w:t>项目名称：阜宁东站货运连接线工程（一期）项目； 单位名称：阜宁县交通运输局；</w:t>
            </w:r>
          </w:p>
          <w:p>
            <w:pPr>
              <w:pStyle w:val="TableParagraph"/>
              <w:spacing w:before="2" w:line="364" w:lineRule="auto"/>
              <w:ind w:left="593" w:right="1015"/>
              <w:rPr>
                <w:sz w:val="24"/>
              </w:rPr>
            </w:pPr>
            <w:r>
              <w:rPr>
                <w:sz w:val="24"/>
              </w:rPr>
              <w:t>建设地点：江苏省盐城市阜宁县（阜宁县东站货运场站至射阜线）； 建设性质：新建；</w:t>
            </w:r>
          </w:p>
          <w:p>
            <w:pPr>
              <w:pStyle w:val="TableParagraph"/>
              <w:spacing w:line="306" w:lineRule="exact"/>
              <w:ind w:left="593"/>
              <w:rPr>
                <w:sz w:val="24"/>
              </w:rPr>
            </w:pPr>
            <w:r>
              <w:rPr>
                <w:sz w:val="24"/>
              </w:rPr>
              <w:t>用地面积（</w:t>
            </w:r>
            <w:r>
              <w:rPr>
                <w:rFonts w:ascii="Times New Roman" w:eastAsia="Times New Roman"/>
                <w:sz w:val="24"/>
              </w:rPr>
              <w:t>m</w:t>
            </w:r>
            <w:r>
              <w:rPr>
                <w:rFonts w:ascii="Times New Roman" w:eastAsia="Times New Roman"/>
                <w:position w:val="8"/>
                <w:sz w:val="15"/>
              </w:rPr>
              <w:t>2</w:t>
            </w:r>
            <w:r>
              <w:rPr>
                <w:sz w:val="24"/>
              </w:rPr>
              <w:t>）</w:t>
            </w:r>
            <w:r>
              <w:rPr>
                <w:rFonts w:ascii="Times New Roman" w:eastAsia="Times New Roman"/>
                <w:sz w:val="24"/>
              </w:rPr>
              <w:t>/</w:t>
            </w:r>
            <w:r>
              <w:rPr>
                <w:sz w:val="24"/>
              </w:rPr>
              <w:t>长度（</w:t>
            </w:r>
            <w:r>
              <w:rPr>
                <w:rFonts w:ascii="Times New Roman" w:eastAsia="Times New Roman"/>
                <w:sz w:val="24"/>
              </w:rPr>
              <w:t>km</w:t>
            </w:r>
            <w:r>
              <w:rPr>
                <w:sz w:val="24"/>
              </w:rPr>
              <w:t>）：</w:t>
            </w:r>
            <w:r>
              <w:rPr>
                <w:rFonts w:ascii="Times New Roman" w:eastAsia="Times New Roman"/>
                <w:sz w:val="24"/>
              </w:rPr>
              <w:t>2.453km</w:t>
            </w:r>
            <w:r>
              <w:rPr>
                <w:sz w:val="24"/>
              </w:rPr>
              <w:t>；</w:t>
            </w:r>
          </w:p>
          <w:p>
            <w:pPr>
              <w:pStyle w:val="TableParagraph"/>
              <w:spacing w:before="161"/>
              <w:ind w:left="593"/>
              <w:rPr>
                <w:sz w:val="24"/>
              </w:rPr>
            </w:pPr>
            <w:r>
              <w:rPr>
                <w:sz w:val="24"/>
              </w:rPr>
              <w:t>总投资：</w:t>
            </w:r>
            <w:r>
              <w:rPr>
                <w:rFonts w:ascii="Times New Roman" w:eastAsia="Times New Roman"/>
                <w:sz w:val="24"/>
              </w:rPr>
              <w:t xml:space="preserve">6000 </w:t>
            </w:r>
            <w:r>
              <w:rPr>
                <w:sz w:val="24"/>
              </w:rPr>
              <w:t xml:space="preserve">万元，其中环保投资 </w:t>
            </w:r>
            <w:r>
              <w:rPr>
                <w:rFonts w:ascii="Times New Roman" w:eastAsia="Times New Roman"/>
                <w:sz w:val="24"/>
              </w:rPr>
              <w:t xml:space="preserve">118 </w:t>
            </w:r>
            <w:r>
              <w:rPr>
                <w:sz w:val="24"/>
              </w:rPr>
              <w:t>万元；</w:t>
            </w:r>
          </w:p>
          <w:p>
            <w:pPr>
              <w:pStyle w:val="TableParagraph"/>
              <w:spacing w:before="8" w:line="460" w:lineRule="atLeast"/>
              <w:ind w:left="113" w:right="86" w:firstLine="480"/>
              <w:jc w:val="both"/>
              <w:rPr>
                <w:sz w:val="24"/>
              </w:rPr>
            </w:pPr>
            <w:r>
              <w:rPr>
                <w:sz w:val="24"/>
              </w:rPr>
              <w:t>项目地理坐标：</w:t>
            </w:r>
            <w:r>
              <w:rPr>
                <w:color w:val="0000FF"/>
                <w:spacing w:val="2"/>
                <w:sz w:val="24"/>
              </w:rPr>
              <w:t>起点</w:t>
            </w:r>
            <w:r>
              <w:rPr>
                <w:color w:val="0000FF"/>
                <w:sz w:val="24"/>
              </w:rPr>
              <w:t>：（</w:t>
            </w:r>
            <w:r>
              <w:rPr>
                <w:color w:val="0000FF"/>
                <w:spacing w:val="-11"/>
                <w:sz w:val="24"/>
              </w:rPr>
              <w:t xml:space="preserve">东经 </w:t>
            </w:r>
            <w:r>
              <w:rPr>
                <w:rFonts w:ascii="Times New Roman" w:eastAsia="Times New Roman" w:hAnsi="Times New Roman"/>
                <w:color w:val="0000FF"/>
                <w:sz w:val="24"/>
              </w:rPr>
              <w:t>119</w:t>
            </w:r>
            <w:r>
              <w:rPr>
                <w:color w:val="0000FF"/>
                <w:sz w:val="24"/>
              </w:rPr>
              <w:t>°</w:t>
            </w:r>
            <w:r>
              <w:rPr>
                <w:rFonts w:ascii="Times New Roman" w:eastAsia="Times New Roman" w:hAnsi="Times New Roman"/>
                <w:color w:val="0000FF"/>
                <w:sz w:val="24"/>
              </w:rPr>
              <w:t>56</w:t>
            </w:r>
            <w:r>
              <w:rPr>
                <w:color w:val="0000FF"/>
                <w:sz w:val="24"/>
              </w:rPr>
              <w:t>′</w:t>
            </w:r>
            <w:r>
              <w:rPr>
                <w:rFonts w:ascii="Times New Roman" w:eastAsia="Times New Roman" w:hAnsi="Times New Roman"/>
                <w:color w:val="0000FF"/>
                <w:sz w:val="24"/>
              </w:rPr>
              <w:t>22.743</w:t>
            </w:r>
            <w:r>
              <w:rPr>
                <w:color w:val="0000FF"/>
                <w:spacing w:val="-8"/>
                <w:sz w:val="24"/>
              </w:rPr>
              <w:t xml:space="preserve">″，北纬 </w:t>
            </w:r>
            <w:r>
              <w:rPr>
                <w:rFonts w:ascii="Times New Roman" w:eastAsia="Times New Roman" w:hAnsi="Times New Roman"/>
                <w:color w:val="0000FF"/>
                <w:sz w:val="24"/>
              </w:rPr>
              <w:t>33</w:t>
            </w:r>
            <w:r>
              <w:rPr>
                <w:color w:val="0000FF"/>
                <w:sz w:val="24"/>
              </w:rPr>
              <w:t>°</w:t>
            </w:r>
            <w:r>
              <w:rPr>
                <w:rFonts w:ascii="Times New Roman" w:eastAsia="Times New Roman" w:hAnsi="Times New Roman"/>
                <w:color w:val="0000FF"/>
                <w:sz w:val="24"/>
              </w:rPr>
              <w:t>47</w:t>
            </w:r>
            <w:r>
              <w:rPr>
                <w:color w:val="0000FF"/>
                <w:sz w:val="24"/>
              </w:rPr>
              <w:t>′</w:t>
            </w:r>
            <w:r>
              <w:rPr>
                <w:rFonts w:ascii="Times New Roman" w:eastAsia="Times New Roman" w:hAnsi="Times New Roman"/>
                <w:color w:val="0000FF"/>
                <w:sz w:val="24"/>
              </w:rPr>
              <w:t>55.918</w:t>
            </w:r>
            <w:r>
              <w:rPr>
                <w:color w:val="0000FF"/>
                <w:sz w:val="24"/>
              </w:rPr>
              <w:t xml:space="preserve">″） </w:t>
            </w:r>
            <w:r>
              <w:rPr>
                <w:color w:val="0000FF"/>
                <w:spacing w:val="20"/>
                <w:sz w:val="24"/>
              </w:rPr>
              <w:t>终点：</w:t>
            </w:r>
            <w:r>
              <w:rPr>
                <w:color w:val="0000FF"/>
                <w:spacing w:val="12"/>
                <w:sz w:val="24"/>
              </w:rPr>
              <w:t>（</w:t>
            </w:r>
            <w:r>
              <w:rPr>
                <w:color w:val="0000FF"/>
                <w:spacing w:val="-28"/>
                <w:sz w:val="24"/>
              </w:rPr>
              <w:t xml:space="preserve"> 东经 </w:t>
            </w:r>
            <w:r>
              <w:rPr>
                <w:rFonts w:ascii="Times New Roman" w:eastAsia="Times New Roman" w:hAnsi="Times New Roman"/>
                <w:color w:val="0000FF"/>
                <w:sz w:val="24"/>
              </w:rPr>
              <w:t>119</w:t>
            </w:r>
            <w:r>
              <w:rPr>
                <w:rFonts w:ascii="Times New Roman" w:eastAsia="Times New Roman" w:hAnsi="Times New Roman"/>
                <w:color w:val="0000FF"/>
                <w:spacing w:val="-36"/>
                <w:sz w:val="24"/>
              </w:rPr>
              <w:t xml:space="preserve"> </w:t>
            </w:r>
            <w:r>
              <w:rPr>
                <w:color w:val="0000FF"/>
                <w:spacing w:val="-47"/>
                <w:sz w:val="24"/>
              </w:rPr>
              <w:t xml:space="preserve">° </w:t>
            </w:r>
            <w:r>
              <w:rPr>
                <w:rFonts w:ascii="Times New Roman" w:eastAsia="Times New Roman" w:hAnsi="Times New Roman"/>
                <w:color w:val="0000FF"/>
                <w:sz w:val="24"/>
              </w:rPr>
              <w:t>56</w:t>
            </w:r>
            <w:r>
              <w:rPr>
                <w:rFonts w:ascii="Times New Roman" w:eastAsia="Times New Roman" w:hAnsi="Times New Roman"/>
                <w:color w:val="0000FF"/>
                <w:spacing w:val="-36"/>
                <w:sz w:val="24"/>
              </w:rPr>
              <w:t xml:space="preserve"> </w:t>
            </w:r>
            <w:r>
              <w:rPr>
                <w:color w:val="0000FF"/>
                <w:spacing w:val="-48"/>
                <w:sz w:val="24"/>
              </w:rPr>
              <w:t xml:space="preserve">′ </w:t>
            </w:r>
            <w:r>
              <w:rPr>
                <w:rFonts w:ascii="Times New Roman" w:eastAsia="Times New Roman" w:hAnsi="Times New Roman"/>
                <w:color w:val="0000FF"/>
                <w:sz w:val="24"/>
              </w:rPr>
              <w:t>39.815</w:t>
            </w:r>
            <w:r>
              <w:rPr>
                <w:rFonts w:ascii="Times New Roman" w:eastAsia="Times New Roman" w:hAnsi="Times New Roman"/>
                <w:color w:val="0000FF"/>
                <w:spacing w:val="-34"/>
                <w:sz w:val="24"/>
              </w:rPr>
              <w:t xml:space="preserve"> </w:t>
            </w:r>
            <w:r>
              <w:rPr>
                <w:color w:val="0000FF"/>
                <w:spacing w:val="-15"/>
                <w:sz w:val="24"/>
              </w:rPr>
              <w:t xml:space="preserve">″， 北纬 </w:t>
            </w:r>
            <w:r>
              <w:rPr>
                <w:rFonts w:ascii="Times New Roman" w:eastAsia="Times New Roman" w:hAnsi="Times New Roman"/>
                <w:color w:val="0000FF"/>
                <w:sz w:val="24"/>
              </w:rPr>
              <w:t>3</w:t>
            </w:r>
            <w:r>
              <w:rPr>
                <w:rFonts w:ascii="Times New Roman" w:eastAsia="Times New Roman" w:hAnsi="Times New Roman"/>
                <w:color w:val="0000FF"/>
                <w:spacing w:val="-34"/>
                <w:sz w:val="24"/>
              </w:rPr>
              <w:t xml:space="preserve"> </w:t>
            </w:r>
            <w:r>
              <w:rPr>
                <w:color w:val="0000FF"/>
                <w:spacing w:val="-48"/>
                <w:sz w:val="24"/>
              </w:rPr>
              <w:t xml:space="preserve">° </w:t>
            </w:r>
            <w:r>
              <w:rPr>
                <w:rFonts w:ascii="Times New Roman" w:eastAsia="Times New Roman" w:hAnsi="Times New Roman"/>
                <w:color w:val="0000FF"/>
                <w:sz w:val="24"/>
              </w:rPr>
              <w:t>46</w:t>
            </w:r>
            <w:r>
              <w:rPr>
                <w:rFonts w:ascii="Times New Roman" w:eastAsia="Times New Roman" w:hAnsi="Times New Roman"/>
                <w:color w:val="0000FF"/>
                <w:spacing w:val="-37"/>
                <w:sz w:val="24"/>
              </w:rPr>
              <w:t xml:space="preserve"> </w:t>
            </w:r>
            <w:r>
              <w:rPr>
                <w:color w:val="0000FF"/>
                <w:spacing w:val="-47"/>
                <w:sz w:val="24"/>
              </w:rPr>
              <w:t xml:space="preserve">′ </w:t>
            </w:r>
            <w:r>
              <w:rPr>
                <w:rFonts w:ascii="Times New Roman" w:eastAsia="Times New Roman" w:hAnsi="Times New Roman"/>
                <w:color w:val="0000FF"/>
                <w:sz w:val="24"/>
              </w:rPr>
              <w:t>47.322</w:t>
            </w:r>
            <w:r>
              <w:rPr>
                <w:rFonts w:ascii="Times New Roman" w:eastAsia="Times New Roman" w:hAnsi="Times New Roman"/>
                <w:color w:val="0000FF"/>
                <w:spacing w:val="-36"/>
                <w:sz w:val="24"/>
              </w:rPr>
              <w:t xml:space="preserve"> </w:t>
            </w:r>
            <w:r>
              <w:rPr>
                <w:color w:val="0000FF"/>
                <w:spacing w:val="24"/>
                <w:sz w:val="24"/>
              </w:rPr>
              <w:t>″）</w:t>
            </w:r>
            <w:r>
              <w:rPr>
                <w:color w:val="0000FF"/>
                <w:spacing w:val="20"/>
                <w:sz w:val="24"/>
              </w:rPr>
              <w:t>。起点桩号为：</w:t>
            </w:r>
          </w:p>
        </w:tc>
      </w:tr>
    </w:tbl>
    <w:p>
      <w:pPr>
        <w:spacing w:after="0" w:line="460" w:lineRule="atLeast"/>
        <w:jc w:val="both"/>
        <w:rPr>
          <w:sz w:val="24"/>
        </w:rPr>
        <w:sectPr>
          <w:footerReference w:type="default" r:id="rId26"/>
          <w:pgSz w:w="11910" w:h="16840"/>
          <w:pgMar w:top="1580" w:right="1100" w:bottom="1180" w:left="1180" w:header="0" w:footer="997"/>
          <w:pgNumType w:start="13"/>
          <w:cols w:space="708"/>
        </w:sectPr>
      </w:pPr>
    </w:p>
    <w:p>
      <w:pPr>
        <w:pStyle w:val="BodyText"/>
        <w:spacing w:before="55"/>
        <w:ind w:left="696"/>
      </w:pPr>
      <w:r>
        <w:pict>
          <v:group id="_x0000_s1047" style="width:465.1pt;height:692.05pt;margin-top:72pt;margin-left:65.12pt;mso-position-horizontal-relative:page;mso-position-vertical-relative:page;position:absolute;z-index:-251648000" coordorigin="1302,1440" coordsize="9302,13841">
            <v:shape id="_x0000_s1048" style="width:9302;height:13841;left:1302;position:absolute;top:1557" coordorigin="1302,1558" coordsize="9302,13841" path="m1302,1450l10604,1450m1302,15271l10604,15271m1312,1440l1312,15280m10594,1459l10594,15280e" filled="f" stroked="t" strokecolor="black" strokeweight="0.96pt">
              <v:stroke dashstyle="solid"/>
              <v:path arrowok="t"/>
            </v:shape>
            <v:line id="_x0000_s1049" style="position:absolute" from="1768,1459" to="1768,15261" stroked="t" strokecolor="black" strokeweight="0.48pt">
              <v:stroke dashstyle="solid"/>
            </v:line>
          </v:group>
        </w:pict>
      </w:r>
      <w:r>
        <w:rPr>
          <w:rFonts w:ascii="Times New Roman" w:eastAsia="Times New Roman"/>
          <w:color w:val="0000FF"/>
        </w:rPr>
        <w:t>AK0+000.000</w:t>
      </w:r>
      <w:r>
        <w:rPr>
          <w:color w:val="0000FF"/>
        </w:rPr>
        <w:t>；终点桩号为：</w:t>
      </w:r>
      <w:r>
        <w:rPr>
          <w:rFonts w:ascii="Times New Roman" w:eastAsia="Times New Roman"/>
          <w:color w:val="0000FF"/>
        </w:rPr>
        <w:t>BK2+296.149</w:t>
      </w:r>
      <w:r>
        <w:rPr>
          <w:color w:val="0000FF"/>
        </w:rPr>
        <w:t>。</w:t>
      </w:r>
    </w:p>
    <w:p>
      <w:pPr>
        <w:pStyle w:val="Heading2"/>
        <w:numPr>
          <w:ilvl w:val="1"/>
          <w:numId w:val="37"/>
        </w:numPr>
        <w:tabs>
          <w:tab w:val="left" w:pos="1537"/>
        </w:tabs>
        <w:spacing w:before="158" w:after="0" w:line="240" w:lineRule="auto"/>
        <w:ind w:left="1536" w:right="0" w:hanging="361"/>
        <w:jc w:val="left"/>
        <w:rPr>
          <w:rFonts w:ascii="Times New Roman" w:eastAsia="Times New Roman"/>
        </w:rPr>
      </w:pPr>
      <w:r>
        <w:t>工程内容及规模</w:t>
      </w:r>
    </w:p>
    <w:p>
      <w:pPr>
        <w:pStyle w:val="BodyText"/>
        <w:spacing w:before="158" w:line="364" w:lineRule="auto"/>
        <w:ind w:left="696" w:right="318" w:firstLine="480"/>
        <w:rPr>
          <w:sz w:val="21"/>
        </w:rPr>
      </w:pPr>
      <w:r>
        <w:rPr>
          <w:color w:val="0000FF"/>
          <w:spacing w:val="-6"/>
        </w:rPr>
        <w:t xml:space="preserve">拟建项目路线全长约为 </w:t>
      </w:r>
      <w:r>
        <w:rPr>
          <w:rFonts w:ascii="Times New Roman" w:eastAsia="Times New Roman"/>
          <w:color w:val="0000FF"/>
        </w:rPr>
        <w:t xml:space="preserve">2.453 </w:t>
      </w:r>
      <w:r>
        <w:rPr>
          <w:color w:val="0000FF"/>
          <w:spacing w:val="-13"/>
        </w:rPr>
        <w:t xml:space="preserve">公里，路面宽度 </w:t>
      </w:r>
      <w:r>
        <w:rPr>
          <w:rFonts w:ascii="Times New Roman" w:eastAsia="Times New Roman"/>
          <w:color w:val="0000FF"/>
          <w:spacing w:val="-6"/>
        </w:rPr>
        <w:t>12.0m</w:t>
      </w:r>
      <w:r>
        <w:rPr>
          <w:color w:val="0000FF"/>
          <w:spacing w:val="-12"/>
        </w:rPr>
        <w:t xml:space="preserve">，路基宽度 </w:t>
      </w:r>
      <w:r>
        <w:rPr>
          <w:rFonts w:ascii="Times New Roman" w:eastAsia="Times New Roman"/>
          <w:color w:val="0000FF"/>
          <w:spacing w:val="-6"/>
        </w:rPr>
        <w:t>13.5m</w:t>
      </w:r>
      <w:r>
        <w:rPr>
          <w:color w:val="0000FF"/>
          <w:spacing w:val="-6"/>
        </w:rPr>
        <w:t>，双向两</w:t>
      </w:r>
      <w:r>
        <w:rPr>
          <w:color w:val="0000FF"/>
          <w:spacing w:val="-7"/>
        </w:rPr>
        <w:t xml:space="preserve">个车道，设计速度 </w:t>
      </w:r>
      <w:r>
        <w:rPr>
          <w:rFonts w:ascii="Times New Roman" w:eastAsia="Times New Roman"/>
          <w:color w:val="0000FF"/>
        </w:rPr>
        <w:t>40km/h</w:t>
      </w:r>
      <w:r>
        <w:rPr>
          <w:color w:val="0000FF"/>
          <w:spacing w:val="-11"/>
        </w:rPr>
        <w:t xml:space="preserve">，红线宽度 </w:t>
      </w:r>
      <w:r>
        <w:rPr>
          <w:rFonts w:ascii="Times New Roman" w:eastAsia="Times New Roman"/>
          <w:color w:val="0000FF"/>
        </w:rPr>
        <w:t>20m</w:t>
      </w:r>
      <w:r>
        <w:rPr>
          <w:color w:val="0000FF"/>
          <w:spacing w:val="-6"/>
        </w:rPr>
        <w:t xml:space="preserve">。正常路段断面形式为 </w:t>
      </w:r>
      <w:r>
        <w:rPr>
          <w:rFonts w:ascii="Times New Roman" w:eastAsia="Times New Roman"/>
          <w:color w:val="0000FF"/>
        </w:rPr>
        <w:t>0.75m</w:t>
      </w:r>
      <w:r>
        <w:rPr>
          <w:color w:val="999999"/>
          <w:sz w:val="21"/>
        </w:rPr>
        <w:t>（</w:t>
      </w:r>
      <w:r>
        <w:rPr>
          <w:color w:val="0000FF"/>
        </w:rPr>
        <w:t>土路肩</w:t>
      </w:r>
      <w:r>
        <w:rPr>
          <w:color w:val="3188FF"/>
          <w:sz w:val="21"/>
        </w:rPr>
        <w:t>）</w:t>
      </w:r>
    </w:p>
    <w:p>
      <w:pPr>
        <w:pStyle w:val="BodyText"/>
        <w:spacing w:line="306" w:lineRule="exact"/>
        <w:ind w:left="696"/>
      </w:pPr>
      <w:r>
        <w:rPr>
          <w:rFonts w:ascii="Times New Roman" w:eastAsia="Times New Roman"/>
          <w:color w:val="0000FF"/>
        </w:rPr>
        <w:t>+12.00m</w:t>
      </w:r>
      <w:r>
        <w:rPr>
          <w:color w:val="999999"/>
          <w:sz w:val="21"/>
        </w:rPr>
        <w:t>（</w:t>
      </w:r>
      <w:r>
        <w:rPr>
          <w:color w:val="0000FF"/>
        </w:rPr>
        <w:t>路面</w:t>
      </w:r>
      <w:r>
        <w:rPr>
          <w:color w:val="3188FF"/>
          <w:sz w:val="21"/>
        </w:rPr>
        <w:t>）</w:t>
      </w:r>
      <w:r>
        <w:rPr>
          <w:rFonts w:ascii="Times New Roman" w:eastAsia="Times New Roman"/>
          <w:color w:val="0000FF"/>
        </w:rPr>
        <w:t>+0.75m</w:t>
      </w:r>
      <w:r>
        <w:rPr>
          <w:color w:val="999999"/>
          <w:sz w:val="21"/>
        </w:rPr>
        <w:t>（</w:t>
      </w:r>
      <w:r>
        <w:rPr>
          <w:color w:val="0000FF"/>
        </w:rPr>
        <w:t>土路肩</w:t>
      </w:r>
      <w:r>
        <w:rPr>
          <w:color w:val="3188FF"/>
          <w:sz w:val="21"/>
        </w:rPr>
        <w:t>）</w:t>
      </w:r>
      <w:r>
        <w:rPr>
          <w:color w:val="0000FF"/>
        </w:rPr>
        <w:t>，项目不涉及基本农田。</w:t>
      </w:r>
    </w:p>
    <w:p>
      <w:pPr>
        <w:pStyle w:val="Heading2"/>
        <w:spacing w:before="112"/>
        <w:ind w:left="3816"/>
      </w:pPr>
      <w:r>
        <w:rPr>
          <w:color w:val="0000FF"/>
        </w:rPr>
        <w:t>表</w:t>
      </w:r>
      <w:r>
        <w:rPr>
          <w:rFonts w:ascii="Times New Roman" w:eastAsia="Times New Roman"/>
          <w:color w:val="0000FF"/>
        </w:rPr>
        <w:t>2-1</w:t>
      </w:r>
      <w:r>
        <w:rPr>
          <w:rFonts w:ascii="Times New Roman" w:eastAsia="Times New Roman"/>
          <w:color w:val="0000FF"/>
          <w:spacing w:val="59"/>
        </w:rPr>
        <w:t xml:space="preserve"> </w:t>
      </w:r>
      <w:r>
        <w:rPr>
          <w:color w:val="0000FF"/>
        </w:rPr>
        <w:t>项目组成一览表</w:t>
      </w:r>
    </w:p>
    <w:tbl>
      <w:tblPr>
        <w:tblStyle w:val="TableNormal12"/>
        <w:tblW w:w="0" w:type="auto"/>
        <w:jc w:val="left"/>
        <w:tblInd w:w="7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837"/>
        <w:gridCol w:w="697"/>
        <w:gridCol w:w="3878"/>
        <w:gridCol w:w="1704"/>
        <w:gridCol w:w="1316"/>
      </w:tblGrid>
      <w:tr>
        <w:tblPrEx>
          <w:tblW w:w="0" w:type="auto"/>
          <w:jc w:val="left"/>
          <w:tblInd w:w="7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73"/>
          <w:jc w:val="left"/>
        </w:trPr>
        <w:tc>
          <w:tcPr>
            <w:tcW w:w="837" w:type="dxa"/>
            <w:vMerge w:val="restart"/>
            <w:tcBorders>
              <w:left w:val="nil"/>
              <w:bottom w:val="single" w:sz="4" w:space="0" w:color="000000"/>
              <w:right w:val="single" w:sz="4" w:space="0" w:color="000000"/>
            </w:tcBorders>
          </w:tcPr>
          <w:p>
            <w:pPr>
              <w:pStyle w:val="TableParagraph"/>
              <w:spacing w:line="253" w:lineRule="exact"/>
              <w:ind w:left="221"/>
              <w:rPr>
                <w:b/>
                <w:sz w:val="21"/>
              </w:rPr>
            </w:pPr>
            <w:r>
              <w:rPr>
                <w:b/>
                <w:color w:val="0000FF"/>
                <w:w w:val="95"/>
                <w:sz w:val="21"/>
              </w:rPr>
              <w:t>项目</w:t>
            </w:r>
          </w:p>
          <w:p>
            <w:pPr>
              <w:pStyle w:val="TableParagraph"/>
              <w:spacing w:before="4"/>
              <w:ind w:left="221"/>
              <w:rPr>
                <w:b/>
                <w:sz w:val="21"/>
              </w:rPr>
            </w:pPr>
            <w:r>
              <w:rPr>
                <w:b/>
                <w:color w:val="0000FF"/>
                <w:w w:val="95"/>
                <w:sz w:val="21"/>
              </w:rPr>
              <w:t>组成</w:t>
            </w:r>
          </w:p>
        </w:tc>
        <w:tc>
          <w:tcPr>
            <w:tcW w:w="4575" w:type="dxa"/>
            <w:gridSpan w:val="2"/>
            <w:vMerge w:val="restart"/>
            <w:tcBorders>
              <w:left w:val="single" w:sz="4" w:space="0" w:color="000000"/>
              <w:bottom w:val="single" w:sz="4" w:space="0" w:color="000000"/>
              <w:right w:val="single" w:sz="4" w:space="0" w:color="000000"/>
            </w:tcBorders>
          </w:tcPr>
          <w:p>
            <w:pPr>
              <w:pStyle w:val="TableParagraph"/>
              <w:spacing w:before="121"/>
              <w:ind w:left="1537" w:right="1512"/>
              <w:jc w:val="center"/>
              <w:rPr>
                <w:b/>
                <w:sz w:val="21"/>
              </w:rPr>
            </w:pPr>
            <w:r>
              <w:rPr>
                <w:b/>
                <w:color w:val="0000FF"/>
                <w:sz w:val="21"/>
              </w:rPr>
              <w:t>工程内容及规模</w:t>
            </w:r>
          </w:p>
        </w:tc>
        <w:tc>
          <w:tcPr>
            <w:tcW w:w="3020" w:type="dxa"/>
            <w:gridSpan w:val="2"/>
            <w:tcBorders>
              <w:left w:val="single" w:sz="4" w:space="0" w:color="000000"/>
              <w:bottom w:val="single" w:sz="4" w:space="0" w:color="000000"/>
              <w:right w:val="nil"/>
            </w:tcBorders>
          </w:tcPr>
          <w:p>
            <w:pPr>
              <w:pStyle w:val="TableParagraph"/>
              <w:spacing w:line="251" w:lineRule="exact"/>
              <w:ind w:left="569"/>
              <w:rPr>
                <w:b/>
                <w:sz w:val="21"/>
              </w:rPr>
            </w:pPr>
            <w:r>
              <w:rPr>
                <w:b/>
                <w:color w:val="0000FF"/>
                <w:sz w:val="21"/>
              </w:rPr>
              <w:t>可能产生的环境问题</w:t>
            </w:r>
          </w:p>
        </w:tc>
      </w:tr>
      <w:tr>
        <w:tblPrEx>
          <w:tblW w:w="0" w:type="auto"/>
          <w:jc w:val="left"/>
          <w:tblInd w:w="778" w:type="dxa"/>
          <w:tblLayout w:type="fixed"/>
          <w:tblCellMar>
            <w:top w:w="0" w:type="dxa"/>
            <w:left w:w="0" w:type="dxa"/>
            <w:bottom w:w="0" w:type="dxa"/>
            <w:right w:w="0" w:type="dxa"/>
          </w:tblCellMar>
          <w:tblLook w:val="01E0"/>
        </w:tblPrEx>
        <w:trPr>
          <w:trHeight w:val="271"/>
          <w:jc w:val="left"/>
        </w:trPr>
        <w:tc>
          <w:tcPr>
            <w:tcW w:w="837" w:type="dxa"/>
            <w:vMerge/>
            <w:tcBorders>
              <w:top w:val="nil"/>
              <w:left w:val="nil"/>
              <w:bottom w:val="single" w:sz="4" w:space="0" w:color="000000"/>
              <w:right w:val="single" w:sz="4" w:space="0" w:color="000000"/>
            </w:tcBorders>
          </w:tcPr>
          <w:p>
            <w:pPr>
              <w:rPr>
                <w:sz w:val="2"/>
                <w:szCs w:val="2"/>
              </w:rPr>
            </w:pPr>
          </w:p>
        </w:tc>
        <w:tc>
          <w:tcPr>
            <w:tcW w:w="4575" w:type="dxa"/>
            <w:gridSpan w:val="2"/>
            <w:vMerge/>
            <w:tcBorders>
              <w:top w:val="nil"/>
              <w:left w:val="single" w:sz="4" w:space="0" w:color="000000"/>
              <w:bottom w:val="single" w:sz="4" w:space="0" w:color="000000"/>
              <w:right w:val="single" w:sz="4" w:space="0" w:color="000000"/>
            </w:tcBorders>
          </w:tcPr>
          <w:p>
            <w:pPr>
              <w:rPr>
                <w:sz w:val="2"/>
                <w:szCs w:val="2"/>
              </w:rPr>
            </w:pPr>
          </w:p>
        </w:tc>
        <w:tc>
          <w:tcPr>
            <w:tcW w:w="1704"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18" w:right="91"/>
              <w:jc w:val="center"/>
              <w:rPr>
                <w:b/>
                <w:sz w:val="21"/>
              </w:rPr>
            </w:pPr>
            <w:r>
              <w:rPr>
                <w:b/>
                <w:color w:val="0000FF"/>
                <w:sz w:val="21"/>
              </w:rPr>
              <w:t>施工期</w:t>
            </w:r>
          </w:p>
        </w:tc>
        <w:tc>
          <w:tcPr>
            <w:tcW w:w="1316" w:type="dxa"/>
            <w:tcBorders>
              <w:top w:val="single" w:sz="4" w:space="0" w:color="000000"/>
              <w:left w:val="single" w:sz="4" w:space="0" w:color="000000"/>
              <w:bottom w:val="single" w:sz="4" w:space="0" w:color="000000"/>
              <w:right w:val="nil"/>
            </w:tcBorders>
          </w:tcPr>
          <w:p>
            <w:pPr>
              <w:pStyle w:val="TableParagraph"/>
              <w:spacing w:line="248" w:lineRule="exact"/>
              <w:ind w:left="139" w:right="118"/>
              <w:jc w:val="center"/>
              <w:rPr>
                <w:b/>
                <w:sz w:val="21"/>
              </w:rPr>
            </w:pPr>
            <w:r>
              <w:rPr>
                <w:b/>
                <w:color w:val="0000FF"/>
                <w:sz w:val="21"/>
              </w:rPr>
              <w:t>营运期</w:t>
            </w:r>
          </w:p>
        </w:tc>
      </w:tr>
      <w:tr>
        <w:tblPrEx>
          <w:tblW w:w="0" w:type="auto"/>
          <w:jc w:val="left"/>
          <w:tblInd w:w="778" w:type="dxa"/>
          <w:tblLayout w:type="fixed"/>
          <w:tblCellMar>
            <w:top w:w="0" w:type="dxa"/>
            <w:left w:w="0" w:type="dxa"/>
            <w:bottom w:w="0" w:type="dxa"/>
            <w:right w:w="0" w:type="dxa"/>
          </w:tblCellMar>
          <w:tblLook w:val="01E0"/>
        </w:tblPrEx>
        <w:trPr>
          <w:trHeight w:val="2724"/>
          <w:jc w:val="left"/>
        </w:trPr>
        <w:tc>
          <w:tcPr>
            <w:tcW w:w="837" w:type="dxa"/>
            <w:vMerge w:val="restart"/>
            <w:tcBorders>
              <w:top w:val="single" w:sz="4" w:space="0" w:color="000000"/>
              <w:left w:val="nil"/>
              <w:bottom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5"/>
              <w:rPr>
                <w:b/>
                <w:sz w:val="17"/>
              </w:rPr>
            </w:pPr>
          </w:p>
          <w:p>
            <w:pPr>
              <w:pStyle w:val="TableParagraph"/>
              <w:spacing w:before="1" w:line="242" w:lineRule="auto"/>
              <w:ind w:left="221" w:right="190"/>
              <w:rPr>
                <w:sz w:val="21"/>
              </w:rPr>
            </w:pPr>
            <w:r>
              <w:rPr>
                <w:color w:val="0000FF"/>
                <w:sz w:val="21"/>
              </w:rPr>
              <w:t>主体工程</w:t>
            </w:r>
          </w:p>
        </w:tc>
        <w:tc>
          <w:tcPr>
            <w:tcW w:w="697"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spacing w:before="6"/>
              <w:rPr>
                <w:b/>
                <w:sz w:val="23"/>
              </w:rPr>
            </w:pPr>
          </w:p>
          <w:p>
            <w:pPr>
              <w:pStyle w:val="TableParagraph"/>
              <w:spacing w:line="242" w:lineRule="auto"/>
              <w:ind w:left="147" w:right="119"/>
              <w:rPr>
                <w:sz w:val="21"/>
              </w:rPr>
            </w:pPr>
            <w:r>
              <w:rPr>
                <w:color w:val="0000FF"/>
                <w:sz w:val="21"/>
              </w:rPr>
              <w:t>道路工程</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17"/>
              <w:rPr>
                <w:sz w:val="21"/>
              </w:rPr>
            </w:pPr>
            <w:r>
              <w:rPr>
                <w:color w:val="0000FF"/>
                <w:spacing w:val="15"/>
                <w:sz w:val="21"/>
              </w:rPr>
              <w:t xml:space="preserve">道路规划路面宽度 </w:t>
            </w:r>
            <w:r>
              <w:rPr>
                <w:rFonts w:ascii="Times New Roman" w:eastAsia="Times New Roman"/>
                <w:color w:val="0000FF"/>
                <w:spacing w:val="4"/>
                <w:sz w:val="21"/>
              </w:rPr>
              <w:t>12.0m</w:t>
            </w:r>
            <w:r>
              <w:rPr>
                <w:color w:val="0000FF"/>
                <w:sz w:val="21"/>
              </w:rPr>
              <w:t>， 路基宽度</w:t>
            </w:r>
          </w:p>
          <w:p>
            <w:pPr>
              <w:pStyle w:val="TableParagraph"/>
              <w:spacing w:before="2" w:line="242" w:lineRule="auto"/>
              <w:ind w:left="117" w:right="-29"/>
              <w:rPr>
                <w:rFonts w:ascii="Times New Roman" w:eastAsia="Times New Roman"/>
                <w:sz w:val="21"/>
              </w:rPr>
            </w:pPr>
            <w:r>
              <w:rPr>
                <w:rFonts w:ascii="Times New Roman" w:eastAsia="Times New Roman"/>
                <w:color w:val="0000FF"/>
                <w:spacing w:val="1"/>
                <w:w w:val="99"/>
                <w:sz w:val="21"/>
              </w:rPr>
              <w:t>13</w:t>
            </w:r>
            <w:r>
              <w:rPr>
                <w:rFonts w:ascii="Times New Roman" w:eastAsia="Times New Roman"/>
                <w:color w:val="0000FF"/>
                <w:w w:val="99"/>
                <w:sz w:val="21"/>
              </w:rPr>
              <w:t>.</w:t>
            </w:r>
            <w:r>
              <w:rPr>
                <w:rFonts w:ascii="Times New Roman" w:eastAsia="Times New Roman"/>
                <w:color w:val="0000FF"/>
                <w:spacing w:val="1"/>
                <w:w w:val="99"/>
                <w:sz w:val="21"/>
              </w:rPr>
              <w:t>5</w:t>
            </w:r>
            <w:r>
              <w:rPr>
                <w:rFonts w:ascii="Times New Roman" w:eastAsia="Times New Roman"/>
                <w:color w:val="0000FF"/>
                <w:spacing w:val="-2"/>
                <w:w w:val="99"/>
                <w:sz w:val="21"/>
              </w:rPr>
              <w:t>m</w:t>
            </w:r>
            <w:r>
              <w:rPr>
                <w:color w:val="0000FF"/>
                <w:spacing w:val="-19"/>
                <w:w w:val="99"/>
                <w:sz w:val="21"/>
              </w:rPr>
              <w:t>，双向两个车道，设计速度</w:t>
            </w:r>
            <w:r>
              <w:rPr>
                <w:color w:val="0000FF"/>
                <w:spacing w:val="-50"/>
                <w:sz w:val="21"/>
              </w:rPr>
              <w:t xml:space="preserve"> </w:t>
            </w:r>
            <w:r>
              <w:rPr>
                <w:rFonts w:ascii="Times New Roman" w:eastAsia="Times New Roman"/>
                <w:color w:val="0000FF"/>
                <w:spacing w:val="1"/>
                <w:w w:val="99"/>
                <w:sz w:val="21"/>
              </w:rPr>
              <w:t>40</w:t>
            </w:r>
            <w:r>
              <w:rPr>
                <w:rFonts w:ascii="Times New Roman" w:eastAsia="Times New Roman"/>
                <w:color w:val="0000FF"/>
                <w:spacing w:val="-2"/>
                <w:w w:val="99"/>
                <w:sz w:val="21"/>
              </w:rPr>
              <w:t>k</w:t>
            </w:r>
            <w:r>
              <w:rPr>
                <w:rFonts w:ascii="Times New Roman" w:eastAsia="Times New Roman"/>
                <w:color w:val="0000FF"/>
                <w:w w:val="99"/>
                <w:sz w:val="21"/>
              </w:rPr>
              <w:t>m</w:t>
            </w:r>
            <w:r>
              <w:rPr>
                <w:rFonts w:ascii="Times New Roman" w:eastAsia="Times New Roman"/>
                <w:color w:val="0000FF"/>
                <w:spacing w:val="-1"/>
                <w:w w:val="99"/>
                <w:sz w:val="21"/>
              </w:rPr>
              <w:t>/</w:t>
            </w:r>
            <w:r>
              <w:rPr>
                <w:rFonts w:ascii="Times New Roman" w:eastAsia="Times New Roman"/>
                <w:color w:val="0000FF"/>
                <w:spacing w:val="3"/>
                <w:w w:val="99"/>
                <w:sz w:val="21"/>
              </w:rPr>
              <w:t>h</w:t>
            </w:r>
            <w:r>
              <w:rPr>
                <w:color w:val="0000FF"/>
                <w:w w:val="99"/>
                <w:sz w:val="21"/>
              </w:rPr>
              <w:t>，</w:t>
            </w:r>
            <w:r>
              <w:rPr>
                <w:color w:val="0000FF"/>
                <w:spacing w:val="4"/>
                <w:sz w:val="21"/>
              </w:rPr>
              <w:t xml:space="preserve">红线宽度 </w:t>
            </w:r>
            <w:r>
              <w:rPr>
                <w:rFonts w:ascii="Times New Roman" w:eastAsia="Times New Roman"/>
                <w:color w:val="0000FF"/>
                <w:spacing w:val="7"/>
                <w:sz w:val="21"/>
              </w:rPr>
              <w:t>20m</w:t>
            </w:r>
            <w:r>
              <w:rPr>
                <w:color w:val="0000FF"/>
                <w:spacing w:val="18"/>
                <w:sz w:val="21"/>
              </w:rPr>
              <w:t>。正常路段断面形式为</w:t>
            </w:r>
            <w:r>
              <w:rPr>
                <w:rFonts w:ascii="Times New Roman" w:eastAsia="Times New Roman"/>
                <w:color w:val="0000FF"/>
                <w:spacing w:val="-7"/>
                <w:sz w:val="21"/>
              </w:rPr>
              <w:t>0.75m</w:t>
            </w:r>
            <w:r>
              <w:rPr>
                <w:color w:val="999999"/>
                <w:spacing w:val="-7"/>
                <w:sz w:val="21"/>
              </w:rPr>
              <w:t>（</w:t>
            </w:r>
            <w:r>
              <w:rPr>
                <w:color w:val="0000FF"/>
                <w:sz w:val="21"/>
              </w:rPr>
              <w:t>土路肩</w:t>
            </w:r>
            <w:r>
              <w:rPr>
                <w:color w:val="999999"/>
                <w:spacing w:val="-9"/>
                <w:sz w:val="21"/>
              </w:rPr>
              <w:t>）</w:t>
            </w:r>
            <w:r>
              <w:rPr>
                <w:rFonts w:ascii="Times New Roman" w:eastAsia="Times New Roman"/>
                <w:color w:val="0000FF"/>
                <w:spacing w:val="-9"/>
                <w:sz w:val="21"/>
              </w:rPr>
              <w:t>+12.00m</w:t>
            </w:r>
            <w:r>
              <w:rPr>
                <w:color w:val="999999"/>
                <w:spacing w:val="-9"/>
                <w:sz w:val="21"/>
              </w:rPr>
              <w:t>（</w:t>
            </w:r>
            <w:r>
              <w:rPr>
                <w:color w:val="0000FF"/>
                <w:sz w:val="21"/>
              </w:rPr>
              <w:t>路面</w:t>
            </w:r>
            <w:r>
              <w:rPr>
                <w:color w:val="999999"/>
                <w:spacing w:val="-6"/>
                <w:sz w:val="21"/>
              </w:rPr>
              <w:t>）</w:t>
            </w:r>
            <w:r>
              <w:rPr>
                <w:rFonts w:ascii="Times New Roman" w:eastAsia="Times New Roman"/>
                <w:color w:val="0000FF"/>
                <w:spacing w:val="-6"/>
                <w:sz w:val="21"/>
              </w:rPr>
              <w:t>+0.75m</w:t>
            </w:r>
          </w:p>
          <w:p>
            <w:pPr>
              <w:pStyle w:val="TableParagraph"/>
              <w:spacing w:before="3" w:line="242" w:lineRule="auto"/>
              <w:ind w:left="117" w:right="-29"/>
              <w:rPr>
                <w:sz w:val="21"/>
              </w:rPr>
            </w:pPr>
            <w:r>
              <w:rPr>
                <w:color w:val="999999"/>
                <w:spacing w:val="4"/>
                <w:sz w:val="21"/>
              </w:rPr>
              <w:t>（</w:t>
            </w:r>
            <w:r>
              <w:rPr>
                <w:color w:val="0000FF"/>
                <w:spacing w:val="4"/>
                <w:sz w:val="21"/>
              </w:rPr>
              <w:t>土路肩</w:t>
            </w:r>
            <w:r>
              <w:rPr>
                <w:color w:val="999999"/>
                <w:sz w:val="21"/>
              </w:rPr>
              <w:t>）</w:t>
            </w:r>
            <w:r>
              <w:rPr>
                <w:color w:val="0000FF"/>
                <w:sz w:val="21"/>
              </w:rPr>
              <w:t>，</w:t>
            </w:r>
            <w:r>
              <w:rPr>
                <w:rFonts w:ascii="Times New Roman" w:eastAsia="Times New Roman"/>
                <w:color w:val="0000FF"/>
                <w:sz w:val="21"/>
              </w:rPr>
              <w:t>4cmSMA-13</w:t>
            </w:r>
            <w:r>
              <w:rPr>
                <w:color w:val="999999"/>
                <w:sz w:val="21"/>
              </w:rPr>
              <w:t>（</w:t>
            </w:r>
            <w:r>
              <w:rPr>
                <w:color w:val="0000FF"/>
                <w:spacing w:val="4"/>
                <w:sz w:val="21"/>
              </w:rPr>
              <w:t>改性</w:t>
            </w:r>
            <w:r>
              <w:rPr>
                <w:color w:val="999999"/>
                <w:spacing w:val="4"/>
                <w:sz w:val="21"/>
              </w:rPr>
              <w:t>）</w:t>
            </w:r>
            <w:r>
              <w:rPr>
                <w:color w:val="0000FF"/>
                <w:spacing w:val="2"/>
                <w:sz w:val="21"/>
              </w:rPr>
              <w:t>上面</w:t>
            </w:r>
            <w:r>
              <w:rPr>
                <w:color w:val="0000FF"/>
                <w:spacing w:val="-20"/>
                <w:sz w:val="21"/>
              </w:rPr>
              <w:t>层、</w:t>
            </w:r>
            <w:r>
              <w:rPr>
                <w:rFonts w:ascii="Times New Roman" w:eastAsia="Times New Roman"/>
                <w:color w:val="0000FF"/>
                <w:sz w:val="21"/>
              </w:rPr>
              <w:t>8cmSup-20</w:t>
            </w:r>
            <w:r>
              <w:rPr>
                <w:rFonts w:ascii="Times New Roman" w:eastAsia="Times New Roman"/>
                <w:color w:val="0000FF"/>
                <w:spacing w:val="-4"/>
                <w:sz w:val="21"/>
              </w:rPr>
              <w:t xml:space="preserve"> </w:t>
            </w:r>
            <w:r>
              <w:rPr>
                <w:color w:val="0000FF"/>
                <w:spacing w:val="-11"/>
                <w:sz w:val="21"/>
              </w:rPr>
              <w:t>下面层、</w:t>
            </w:r>
            <w:r>
              <w:rPr>
                <w:rFonts w:ascii="Times New Roman" w:eastAsia="Times New Roman"/>
                <w:color w:val="0000FF"/>
                <w:sz w:val="21"/>
              </w:rPr>
              <w:t>36cm</w:t>
            </w:r>
            <w:r>
              <w:rPr>
                <w:rFonts w:ascii="Times New Roman" w:eastAsia="Times New Roman"/>
                <w:color w:val="0000FF"/>
                <w:spacing w:val="-6"/>
                <w:sz w:val="21"/>
              </w:rPr>
              <w:t xml:space="preserve"> </w:t>
            </w:r>
            <w:r>
              <w:rPr>
                <w:color w:val="0000FF"/>
                <w:sz w:val="21"/>
              </w:rPr>
              <w:t>水稳基层、</w:t>
            </w:r>
            <w:r>
              <w:rPr>
                <w:rFonts w:ascii="Times New Roman" w:eastAsia="Times New Roman"/>
                <w:color w:val="0000FF"/>
                <w:sz w:val="21"/>
              </w:rPr>
              <w:t>20cm12%</w:t>
            </w:r>
            <w:r>
              <w:rPr>
                <w:color w:val="0000FF"/>
                <w:spacing w:val="-1"/>
                <w:sz w:val="21"/>
              </w:rPr>
              <w:t>石灰土底基层，</w:t>
            </w:r>
            <w:r>
              <w:rPr>
                <w:rFonts w:ascii="Times New Roman" w:eastAsia="Times New Roman"/>
                <w:color w:val="0000FF"/>
                <w:spacing w:val="-3"/>
                <w:sz w:val="21"/>
              </w:rPr>
              <w:t>60cm</w:t>
            </w:r>
            <w:r>
              <w:rPr>
                <w:rFonts w:ascii="Times New Roman" w:eastAsia="Times New Roman"/>
                <w:color w:val="0000FF"/>
                <w:spacing w:val="-5"/>
                <w:sz w:val="21"/>
              </w:rPr>
              <w:t xml:space="preserve"> </w:t>
            </w:r>
            <w:r>
              <w:rPr>
                <w:color w:val="0000FF"/>
                <w:sz w:val="21"/>
              </w:rPr>
              <w:t>路床处理</w:t>
            </w:r>
          </w:p>
          <w:p>
            <w:pPr>
              <w:pStyle w:val="TableParagraph"/>
              <w:spacing w:before="1" w:line="242" w:lineRule="auto"/>
              <w:ind w:left="117" w:right="87"/>
              <w:jc w:val="both"/>
              <w:rPr>
                <w:sz w:val="21"/>
              </w:rPr>
            </w:pPr>
            <w:r>
              <w:rPr>
                <w:color w:val="999999"/>
                <w:spacing w:val="4"/>
                <w:sz w:val="21"/>
              </w:rPr>
              <w:t>（</w:t>
            </w:r>
            <w:r>
              <w:rPr>
                <w:color w:val="0000FF"/>
                <w:spacing w:val="-26"/>
                <w:sz w:val="21"/>
              </w:rPr>
              <w:t xml:space="preserve">掺 </w:t>
            </w:r>
            <w:r>
              <w:rPr>
                <w:rFonts w:ascii="Times New Roman" w:eastAsia="Times New Roman"/>
                <w:color w:val="0000FF"/>
                <w:sz w:val="21"/>
              </w:rPr>
              <w:t>5%</w:t>
            </w:r>
            <w:r>
              <w:rPr>
                <w:color w:val="0000FF"/>
                <w:spacing w:val="4"/>
                <w:sz w:val="21"/>
              </w:rPr>
              <w:t>石灰</w:t>
            </w:r>
            <w:r>
              <w:rPr>
                <w:color w:val="999999"/>
                <w:sz w:val="21"/>
              </w:rPr>
              <w:t>）</w:t>
            </w:r>
            <w:r>
              <w:rPr>
                <w:rFonts w:ascii="Times New Roman" w:eastAsia="Times New Roman"/>
                <w:color w:val="0000FF"/>
                <w:sz w:val="21"/>
              </w:rPr>
              <w:t xml:space="preserve">+20cm </w:t>
            </w:r>
            <w:r>
              <w:rPr>
                <w:color w:val="0000FF"/>
                <w:spacing w:val="4"/>
                <w:sz w:val="21"/>
              </w:rPr>
              <w:t>中部填料</w:t>
            </w:r>
            <w:r>
              <w:rPr>
                <w:color w:val="999999"/>
                <w:spacing w:val="4"/>
                <w:sz w:val="21"/>
              </w:rPr>
              <w:t>（</w:t>
            </w:r>
            <w:r>
              <w:rPr>
                <w:color w:val="0000FF"/>
                <w:spacing w:val="-25"/>
                <w:sz w:val="21"/>
              </w:rPr>
              <w:t xml:space="preserve">掺 </w:t>
            </w:r>
            <w:r>
              <w:rPr>
                <w:rFonts w:ascii="Times New Roman" w:eastAsia="Times New Roman"/>
                <w:color w:val="0000FF"/>
                <w:sz w:val="21"/>
              </w:rPr>
              <w:t xml:space="preserve">5% </w:t>
            </w:r>
            <w:r>
              <w:rPr>
                <w:color w:val="0000FF"/>
                <w:spacing w:val="4"/>
                <w:sz w:val="21"/>
              </w:rPr>
              <w:t>石灰</w:t>
            </w:r>
            <w:r>
              <w:rPr>
                <w:color w:val="999999"/>
                <w:sz w:val="21"/>
              </w:rPr>
              <w:t>）</w:t>
            </w:r>
            <w:r>
              <w:rPr>
                <w:rFonts w:ascii="Times New Roman" w:eastAsia="Times New Roman"/>
                <w:color w:val="0000FF"/>
                <w:sz w:val="21"/>
              </w:rPr>
              <w:t xml:space="preserve">+20cm </w:t>
            </w:r>
            <w:r>
              <w:rPr>
                <w:color w:val="0000FF"/>
                <w:spacing w:val="4"/>
                <w:sz w:val="21"/>
              </w:rPr>
              <w:t>基底处理</w:t>
            </w:r>
            <w:r>
              <w:rPr>
                <w:color w:val="999999"/>
                <w:spacing w:val="4"/>
                <w:sz w:val="21"/>
              </w:rPr>
              <w:t>（</w:t>
            </w:r>
            <w:r>
              <w:rPr>
                <w:color w:val="0000FF"/>
                <w:spacing w:val="-25"/>
                <w:sz w:val="21"/>
              </w:rPr>
              <w:t xml:space="preserve">掺 </w:t>
            </w:r>
            <w:r>
              <w:rPr>
                <w:rFonts w:ascii="Times New Roman" w:eastAsia="Times New Roman"/>
                <w:color w:val="0000FF"/>
                <w:sz w:val="21"/>
              </w:rPr>
              <w:t>5%</w:t>
            </w:r>
            <w:r>
              <w:rPr>
                <w:color w:val="0000FF"/>
                <w:spacing w:val="4"/>
                <w:sz w:val="21"/>
              </w:rPr>
              <w:t>石灰</w:t>
            </w:r>
            <w:r>
              <w:rPr>
                <w:color w:val="999999"/>
                <w:sz w:val="21"/>
              </w:rPr>
              <w:t>）</w:t>
            </w:r>
            <w:r>
              <w:rPr>
                <w:rFonts w:ascii="Times New Roman" w:eastAsia="Times New Roman"/>
                <w:color w:val="0000FF"/>
                <w:sz w:val="21"/>
              </w:rPr>
              <w:t xml:space="preserve">+ </w:t>
            </w:r>
            <w:r>
              <w:rPr>
                <w:color w:val="0000FF"/>
                <w:sz w:val="21"/>
              </w:rPr>
              <w:t>沟塘</w:t>
            </w:r>
            <w:r>
              <w:rPr>
                <w:rFonts w:ascii="Times New Roman" w:eastAsia="Times New Roman"/>
                <w:color w:val="0000FF"/>
                <w:sz w:val="21"/>
              </w:rPr>
              <w:t>+</w:t>
            </w:r>
            <w:r>
              <w:rPr>
                <w:color w:val="0000FF"/>
                <w:sz w:val="21"/>
              </w:rPr>
              <w:t>台背回填</w:t>
            </w:r>
          </w:p>
        </w:tc>
        <w:tc>
          <w:tcPr>
            <w:tcW w:w="1704" w:type="dxa"/>
            <w:vMerge w:val="restart"/>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
              <w:rPr>
                <w:b/>
                <w:sz w:val="21"/>
              </w:rPr>
            </w:pPr>
          </w:p>
          <w:p>
            <w:pPr>
              <w:pStyle w:val="TableParagraph"/>
              <w:spacing w:line="242" w:lineRule="auto"/>
              <w:ind w:left="118" w:right="-29"/>
              <w:jc w:val="center"/>
              <w:rPr>
                <w:sz w:val="21"/>
              </w:rPr>
            </w:pPr>
            <w:r>
              <w:rPr>
                <w:color w:val="0000FF"/>
                <w:spacing w:val="-12"/>
                <w:sz w:val="21"/>
              </w:rPr>
              <w:t>植被破坏，占地， 水土流失，施工扬尘、噪声、废水</w:t>
            </w:r>
          </w:p>
        </w:tc>
        <w:tc>
          <w:tcPr>
            <w:tcW w:w="1316" w:type="dxa"/>
            <w:vMerge w:val="restart"/>
            <w:tcBorders>
              <w:top w:val="single" w:sz="4" w:space="0" w:color="000000"/>
              <w:left w:val="single" w:sz="4" w:space="0" w:color="000000"/>
              <w:bottom w:val="single" w:sz="4" w:space="0" w:color="000000"/>
              <w:right w:val="nil"/>
            </w:tcBorders>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148" w:line="242" w:lineRule="auto"/>
              <w:ind w:left="142" w:right="118"/>
              <w:jc w:val="center"/>
              <w:rPr>
                <w:sz w:val="21"/>
              </w:rPr>
            </w:pPr>
            <w:r>
              <w:rPr>
                <w:color w:val="0000FF"/>
                <w:sz w:val="21"/>
              </w:rPr>
              <w:t>废气、噪声存在事故风险</w:t>
            </w:r>
          </w:p>
        </w:tc>
      </w:tr>
      <w:tr>
        <w:tblPrEx>
          <w:tblW w:w="0" w:type="auto"/>
          <w:jc w:val="left"/>
          <w:tblInd w:w="778" w:type="dxa"/>
          <w:tblLayout w:type="fixed"/>
          <w:tblCellMar>
            <w:top w:w="0" w:type="dxa"/>
            <w:left w:w="0" w:type="dxa"/>
            <w:bottom w:w="0" w:type="dxa"/>
            <w:right w:w="0" w:type="dxa"/>
          </w:tblCellMar>
          <w:tblLook w:val="01E0"/>
        </w:tblPrEx>
        <w:trPr>
          <w:trHeight w:val="817"/>
          <w:jc w:val="left"/>
        </w:trPr>
        <w:tc>
          <w:tcPr>
            <w:tcW w:w="837" w:type="dxa"/>
            <w:vMerge/>
            <w:tcBorders>
              <w:top w:val="nil"/>
              <w:left w:val="nil"/>
              <w:bottom w:val="single" w:sz="4" w:space="0" w:color="000000"/>
              <w:right w:val="single" w:sz="4" w:space="0" w:color="000000"/>
            </w:tcBorders>
          </w:tcPr>
          <w:p>
            <w:pPr>
              <w:rPr>
                <w:sz w:val="2"/>
                <w:szCs w:val="2"/>
              </w:rPr>
            </w:pPr>
          </w:p>
        </w:tc>
        <w:tc>
          <w:tcPr>
            <w:tcW w:w="697"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47"/>
              <w:rPr>
                <w:sz w:val="21"/>
              </w:rPr>
            </w:pPr>
            <w:r>
              <w:rPr>
                <w:color w:val="0000FF"/>
                <w:spacing w:val="-1"/>
                <w:w w:val="95"/>
                <w:sz w:val="21"/>
              </w:rPr>
              <w:t>桥梁</w:t>
            </w:r>
          </w:p>
          <w:p>
            <w:pPr>
              <w:pStyle w:val="TableParagraph"/>
              <w:spacing w:before="2" w:line="242" w:lineRule="auto"/>
              <w:ind w:left="147" w:right="119"/>
              <w:rPr>
                <w:sz w:val="21"/>
              </w:rPr>
            </w:pPr>
            <w:r>
              <w:rPr>
                <w:color w:val="0000FF"/>
                <w:spacing w:val="-8"/>
                <w:sz w:val="21"/>
              </w:rPr>
              <w:t>涵洞</w:t>
            </w:r>
            <w:r>
              <w:rPr>
                <w:color w:val="0000FF"/>
                <w:spacing w:val="-9"/>
                <w:w w:val="95"/>
                <w:sz w:val="21"/>
              </w:rPr>
              <w:t>工程</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31" w:right="4"/>
              <w:jc w:val="center"/>
              <w:rPr>
                <w:sz w:val="21"/>
              </w:rPr>
            </w:pPr>
            <w:r>
              <w:rPr>
                <w:color w:val="0000FF"/>
                <w:sz w:val="21"/>
              </w:rPr>
              <w:t xml:space="preserve">全线设计预制空心板桥 </w:t>
            </w:r>
            <w:r>
              <w:rPr>
                <w:rFonts w:ascii="Times New Roman" w:eastAsia="Times New Roman"/>
                <w:color w:val="0000FF"/>
                <w:sz w:val="21"/>
              </w:rPr>
              <w:t xml:space="preserve">13.5m/2 </w:t>
            </w:r>
            <w:r>
              <w:rPr>
                <w:color w:val="0000FF"/>
                <w:sz w:val="21"/>
              </w:rPr>
              <w:t>座，分别</w:t>
            </w:r>
          </w:p>
          <w:p>
            <w:pPr>
              <w:pStyle w:val="TableParagraph"/>
              <w:spacing w:before="2"/>
              <w:ind w:left="31" w:right="4"/>
              <w:jc w:val="center"/>
              <w:rPr>
                <w:sz w:val="21"/>
              </w:rPr>
            </w:pPr>
            <w:r>
              <w:rPr>
                <w:color w:val="0000FF"/>
                <w:sz w:val="21"/>
              </w:rPr>
              <w:t>为射沙河桥和蒋圩河桥，桩号分别为</w:t>
            </w:r>
          </w:p>
          <w:p>
            <w:pPr>
              <w:pStyle w:val="TableParagraph"/>
              <w:spacing w:before="2"/>
              <w:ind w:left="31" w:right="3"/>
              <w:jc w:val="center"/>
              <w:rPr>
                <w:rFonts w:ascii="Times New Roman" w:eastAsia="Times New Roman"/>
                <w:sz w:val="21"/>
              </w:rPr>
            </w:pPr>
            <w:r>
              <w:rPr>
                <w:rFonts w:ascii="Times New Roman" w:eastAsia="Times New Roman"/>
                <w:color w:val="0000FF"/>
                <w:sz w:val="21"/>
              </w:rPr>
              <w:t xml:space="preserve">BKD+134.8 </w:t>
            </w:r>
            <w:r>
              <w:rPr>
                <w:color w:val="0000FF"/>
                <w:sz w:val="21"/>
              </w:rPr>
              <w:t xml:space="preserve">和 </w:t>
            </w:r>
            <w:r>
              <w:rPr>
                <w:rFonts w:ascii="Times New Roman" w:eastAsia="Times New Roman"/>
                <w:color w:val="0000FF"/>
                <w:sz w:val="21"/>
              </w:rPr>
              <w:t>BK1+2000</w:t>
            </w:r>
          </w:p>
        </w:tc>
        <w:tc>
          <w:tcPr>
            <w:tcW w:w="1704" w:type="dxa"/>
            <w:vMerge/>
            <w:tcBorders>
              <w:top w:val="nil"/>
              <w:left w:val="single" w:sz="4" w:space="0" w:color="000000"/>
              <w:bottom w:val="single" w:sz="4" w:space="0" w:color="000000"/>
              <w:right w:val="single" w:sz="4" w:space="0" w:color="000000"/>
            </w:tcBorders>
          </w:tcPr>
          <w:p>
            <w:pPr>
              <w:rPr>
                <w:sz w:val="2"/>
                <w:szCs w:val="2"/>
              </w:rPr>
            </w:pPr>
          </w:p>
        </w:tc>
        <w:tc>
          <w:tcPr>
            <w:tcW w:w="1316" w:type="dxa"/>
            <w:vMerge/>
            <w:tcBorders>
              <w:top w:val="nil"/>
              <w:left w:val="single" w:sz="4" w:space="0" w:color="000000"/>
              <w:bottom w:val="single" w:sz="4" w:space="0" w:color="000000"/>
              <w:right w:val="nil"/>
            </w:tcBorders>
          </w:tcPr>
          <w:p>
            <w:pPr>
              <w:rPr>
                <w:sz w:val="2"/>
                <w:szCs w:val="2"/>
              </w:rPr>
            </w:pPr>
          </w:p>
        </w:tc>
      </w:tr>
      <w:tr>
        <w:tblPrEx>
          <w:tblW w:w="0" w:type="auto"/>
          <w:jc w:val="left"/>
          <w:tblInd w:w="778" w:type="dxa"/>
          <w:tblLayout w:type="fixed"/>
          <w:tblCellMar>
            <w:top w:w="0" w:type="dxa"/>
            <w:left w:w="0" w:type="dxa"/>
            <w:bottom w:w="0" w:type="dxa"/>
            <w:right w:w="0" w:type="dxa"/>
          </w:tblCellMar>
          <w:tblLook w:val="01E0"/>
        </w:tblPrEx>
        <w:trPr>
          <w:trHeight w:val="543"/>
          <w:jc w:val="left"/>
        </w:trPr>
        <w:tc>
          <w:tcPr>
            <w:tcW w:w="837" w:type="dxa"/>
            <w:vMerge/>
            <w:tcBorders>
              <w:top w:val="nil"/>
              <w:left w:val="nil"/>
              <w:bottom w:val="single" w:sz="4" w:space="0" w:color="000000"/>
              <w:right w:val="single" w:sz="4" w:space="0" w:color="000000"/>
            </w:tcBorders>
          </w:tcPr>
          <w:p>
            <w:pPr>
              <w:rPr>
                <w:sz w:val="2"/>
                <w:szCs w:val="2"/>
              </w:rPr>
            </w:pPr>
          </w:p>
        </w:tc>
        <w:tc>
          <w:tcPr>
            <w:tcW w:w="697" w:type="dxa"/>
            <w:tcBorders>
              <w:top w:val="single" w:sz="4" w:space="0" w:color="000000"/>
              <w:left w:val="single" w:sz="4" w:space="0" w:color="000000"/>
              <w:bottom w:val="single" w:sz="4" w:space="0" w:color="000000"/>
              <w:right w:val="single" w:sz="4" w:space="0" w:color="000000"/>
            </w:tcBorders>
          </w:tcPr>
          <w:p>
            <w:pPr>
              <w:pStyle w:val="TableParagraph"/>
              <w:spacing w:line="248" w:lineRule="exact"/>
              <w:ind w:left="147"/>
              <w:rPr>
                <w:sz w:val="21"/>
              </w:rPr>
            </w:pPr>
            <w:r>
              <w:rPr>
                <w:color w:val="0000FF"/>
                <w:spacing w:val="-1"/>
                <w:w w:val="95"/>
                <w:sz w:val="21"/>
              </w:rPr>
              <w:t>路面</w:t>
            </w:r>
          </w:p>
          <w:p>
            <w:pPr>
              <w:pStyle w:val="TableParagraph"/>
              <w:spacing w:before="4"/>
              <w:ind w:left="147"/>
              <w:rPr>
                <w:sz w:val="21"/>
              </w:rPr>
            </w:pPr>
            <w:r>
              <w:rPr>
                <w:color w:val="0000FF"/>
                <w:spacing w:val="-1"/>
                <w:w w:val="95"/>
                <w:sz w:val="21"/>
              </w:rPr>
              <w:t>工程</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before="115"/>
              <w:ind w:left="1003"/>
              <w:rPr>
                <w:sz w:val="21"/>
              </w:rPr>
            </w:pPr>
            <w:r>
              <w:rPr>
                <w:color w:val="0000FF"/>
                <w:sz w:val="21"/>
              </w:rPr>
              <w:t>采用沥青混凝土路面</w:t>
            </w:r>
          </w:p>
        </w:tc>
        <w:tc>
          <w:tcPr>
            <w:tcW w:w="1704" w:type="dxa"/>
            <w:vMerge/>
            <w:tcBorders>
              <w:top w:val="nil"/>
              <w:left w:val="single" w:sz="4" w:space="0" w:color="000000"/>
              <w:bottom w:val="single" w:sz="4" w:space="0" w:color="000000"/>
              <w:right w:val="single" w:sz="4" w:space="0" w:color="000000"/>
            </w:tcBorders>
          </w:tcPr>
          <w:p>
            <w:pPr>
              <w:rPr>
                <w:sz w:val="2"/>
                <w:szCs w:val="2"/>
              </w:rPr>
            </w:pPr>
          </w:p>
        </w:tc>
        <w:tc>
          <w:tcPr>
            <w:tcW w:w="1316" w:type="dxa"/>
            <w:vMerge/>
            <w:tcBorders>
              <w:top w:val="nil"/>
              <w:left w:val="single" w:sz="4" w:space="0" w:color="000000"/>
              <w:bottom w:val="single" w:sz="4" w:space="0" w:color="000000"/>
              <w:right w:val="nil"/>
            </w:tcBorders>
          </w:tcPr>
          <w:p>
            <w:pPr>
              <w:rPr>
                <w:sz w:val="2"/>
                <w:szCs w:val="2"/>
              </w:rPr>
            </w:pPr>
          </w:p>
        </w:tc>
      </w:tr>
      <w:tr>
        <w:tblPrEx>
          <w:tblW w:w="0" w:type="auto"/>
          <w:jc w:val="left"/>
          <w:tblInd w:w="778" w:type="dxa"/>
          <w:tblLayout w:type="fixed"/>
          <w:tblCellMar>
            <w:top w:w="0" w:type="dxa"/>
            <w:left w:w="0" w:type="dxa"/>
            <w:bottom w:w="0" w:type="dxa"/>
            <w:right w:w="0" w:type="dxa"/>
          </w:tblCellMar>
          <w:tblLook w:val="01E0"/>
        </w:tblPrEx>
        <w:trPr>
          <w:trHeight w:val="545"/>
          <w:jc w:val="left"/>
        </w:trPr>
        <w:tc>
          <w:tcPr>
            <w:tcW w:w="837" w:type="dxa"/>
            <w:vMerge w:val="restart"/>
            <w:tcBorders>
              <w:top w:val="single" w:sz="4" w:space="0" w:color="000000"/>
              <w:left w:val="nil"/>
              <w:bottom w:val="single" w:sz="4" w:space="0" w:color="000000"/>
              <w:right w:val="single" w:sz="4" w:space="0" w:color="000000"/>
            </w:tcBorders>
          </w:tcPr>
          <w:p>
            <w:pPr>
              <w:pStyle w:val="TableParagraph"/>
              <w:rPr>
                <w:b/>
                <w:sz w:val="20"/>
              </w:rPr>
            </w:pPr>
          </w:p>
          <w:p>
            <w:pPr>
              <w:pStyle w:val="TableParagraph"/>
              <w:spacing w:before="8"/>
              <w:rPr>
                <w:b/>
                <w:sz w:val="21"/>
              </w:rPr>
            </w:pPr>
          </w:p>
          <w:p>
            <w:pPr>
              <w:pStyle w:val="TableParagraph"/>
              <w:spacing w:line="244" w:lineRule="auto"/>
              <w:ind w:left="221" w:right="190"/>
              <w:rPr>
                <w:sz w:val="21"/>
              </w:rPr>
            </w:pPr>
            <w:r>
              <w:rPr>
                <w:color w:val="0000FF"/>
                <w:sz w:val="21"/>
              </w:rPr>
              <w:t>配套工程</w:t>
            </w:r>
          </w:p>
        </w:tc>
        <w:tc>
          <w:tcPr>
            <w:tcW w:w="697"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ind w:left="147"/>
              <w:rPr>
                <w:sz w:val="21"/>
              </w:rPr>
            </w:pPr>
            <w:r>
              <w:rPr>
                <w:color w:val="0000FF"/>
                <w:spacing w:val="-1"/>
                <w:w w:val="95"/>
                <w:sz w:val="21"/>
              </w:rPr>
              <w:t>交通</w:t>
            </w:r>
          </w:p>
          <w:p>
            <w:pPr>
              <w:pStyle w:val="TableParagraph"/>
              <w:spacing w:before="2"/>
              <w:ind w:left="147"/>
              <w:rPr>
                <w:sz w:val="21"/>
              </w:rPr>
            </w:pPr>
            <w:r>
              <w:rPr>
                <w:color w:val="0000FF"/>
                <w:spacing w:val="-1"/>
                <w:w w:val="95"/>
                <w:sz w:val="21"/>
              </w:rPr>
              <w:t>工程</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ind w:left="31" w:right="4"/>
              <w:jc w:val="center"/>
              <w:rPr>
                <w:sz w:val="21"/>
              </w:rPr>
            </w:pPr>
            <w:r>
              <w:rPr>
                <w:color w:val="0000FF"/>
                <w:sz w:val="21"/>
              </w:rPr>
              <w:t>本项目交通工程包括交通标志、交通标</w:t>
            </w:r>
          </w:p>
          <w:p>
            <w:pPr>
              <w:pStyle w:val="TableParagraph"/>
              <w:spacing w:before="2"/>
              <w:ind w:left="31" w:right="4"/>
              <w:jc w:val="center"/>
              <w:rPr>
                <w:sz w:val="21"/>
              </w:rPr>
            </w:pPr>
            <w:r>
              <w:rPr>
                <w:color w:val="0000FF"/>
                <w:sz w:val="21"/>
              </w:rPr>
              <w:t>线、交通信号控制、交通监控系统等</w:t>
            </w:r>
          </w:p>
        </w:tc>
        <w:tc>
          <w:tcPr>
            <w:tcW w:w="1704" w:type="dxa"/>
            <w:vMerge/>
            <w:tcBorders>
              <w:top w:val="nil"/>
              <w:left w:val="single" w:sz="4" w:space="0" w:color="000000"/>
              <w:bottom w:val="single" w:sz="4" w:space="0" w:color="000000"/>
              <w:right w:val="single" w:sz="4" w:space="0" w:color="000000"/>
            </w:tcBorders>
          </w:tcPr>
          <w:p>
            <w:pPr>
              <w:rPr>
                <w:sz w:val="2"/>
                <w:szCs w:val="2"/>
              </w:rPr>
            </w:pPr>
          </w:p>
        </w:tc>
        <w:tc>
          <w:tcPr>
            <w:tcW w:w="1316" w:type="dxa"/>
            <w:vMerge/>
            <w:tcBorders>
              <w:top w:val="nil"/>
              <w:left w:val="single" w:sz="4" w:space="0" w:color="000000"/>
              <w:bottom w:val="single" w:sz="4" w:space="0" w:color="000000"/>
              <w:right w:val="nil"/>
            </w:tcBorders>
          </w:tcPr>
          <w:p>
            <w:pPr>
              <w:rPr>
                <w:sz w:val="2"/>
                <w:szCs w:val="2"/>
              </w:rPr>
            </w:pPr>
          </w:p>
        </w:tc>
      </w:tr>
      <w:tr>
        <w:tblPrEx>
          <w:tblW w:w="0" w:type="auto"/>
          <w:jc w:val="left"/>
          <w:tblInd w:w="778" w:type="dxa"/>
          <w:tblLayout w:type="fixed"/>
          <w:tblCellMar>
            <w:top w:w="0" w:type="dxa"/>
            <w:left w:w="0" w:type="dxa"/>
            <w:bottom w:w="0" w:type="dxa"/>
            <w:right w:w="0" w:type="dxa"/>
          </w:tblCellMar>
          <w:tblLook w:val="01E0"/>
        </w:tblPrEx>
        <w:trPr>
          <w:trHeight w:val="545"/>
          <w:jc w:val="left"/>
        </w:trPr>
        <w:tc>
          <w:tcPr>
            <w:tcW w:w="837" w:type="dxa"/>
            <w:vMerge/>
            <w:tcBorders>
              <w:top w:val="nil"/>
              <w:left w:val="nil"/>
              <w:bottom w:val="single" w:sz="4" w:space="0" w:color="000000"/>
              <w:right w:val="single" w:sz="4" w:space="0" w:color="000000"/>
            </w:tcBorders>
          </w:tcPr>
          <w:p>
            <w:pPr>
              <w:rPr>
                <w:sz w:val="2"/>
                <w:szCs w:val="2"/>
              </w:rPr>
            </w:pPr>
          </w:p>
        </w:tc>
        <w:tc>
          <w:tcPr>
            <w:tcW w:w="697"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147"/>
              <w:rPr>
                <w:sz w:val="21"/>
              </w:rPr>
            </w:pPr>
            <w:r>
              <w:rPr>
                <w:color w:val="0000FF"/>
                <w:spacing w:val="-1"/>
                <w:w w:val="95"/>
                <w:sz w:val="21"/>
              </w:rPr>
              <w:t>照明</w:t>
            </w:r>
          </w:p>
          <w:p>
            <w:pPr>
              <w:pStyle w:val="TableParagraph"/>
              <w:spacing w:before="4"/>
              <w:ind w:left="147"/>
              <w:rPr>
                <w:sz w:val="21"/>
              </w:rPr>
            </w:pPr>
            <w:r>
              <w:rPr>
                <w:color w:val="0000FF"/>
                <w:spacing w:val="-1"/>
                <w:w w:val="95"/>
                <w:sz w:val="21"/>
              </w:rPr>
              <w:t>工程</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line="247" w:lineRule="exact"/>
              <w:ind w:left="268"/>
              <w:rPr>
                <w:sz w:val="21"/>
              </w:rPr>
            </w:pPr>
            <w:r>
              <w:rPr>
                <w:color w:val="0000FF"/>
                <w:w w:val="95"/>
                <w:sz w:val="21"/>
              </w:rPr>
              <w:t>本项目路灯布置方式采用双侧对称布</w:t>
            </w:r>
          </w:p>
          <w:p>
            <w:pPr>
              <w:pStyle w:val="TableParagraph"/>
              <w:spacing w:before="4"/>
              <w:ind w:left="268"/>
              <w:rPr>
                <w:sz w:val="21"/>
              </w:rPr>
            </w:pPr>
            <w:r>
              <w:rPr>
                <w:color w:val="0000FF"/>
                <w:w w:val="95"/>
                <w:sz w:val="21"/>
              </w:rPr>
              <w:t>置，布置在人行道与机动车道交叉处</w:t>
            </w:r>
          </w:p>
        </w:tc>
        <w:tc>
          <w:tcPr>
            <w:tcW w:w="1704" w:type="dxa"/>
            <w:vMerge/>
            <w:tcBorders>
              <w:top w:val="nil"/>
              <w:left w:val="single" w:sz="4" w:space="0" w:color="000000"/>
              <w:bottom w:val="single" w:sz="4" w:space="0" w:color="000000"/>
              <w:right w:val="single" w:sz="4" w:space="0" w:color="000000"/>
            </w:tcBorders>
          </w:tcPr>
          <w:p>
            <w:pPr>
              <w:rPr>
                <w:sz w:val="2"/>
                <w:szCs w:val="2"/>
              </w:rPr>
            </w:pPr>
          </w:p>
        </w:tc>
        <w:tc>
          <w:tcPr>
            <w:tcW w:w="1316" w:type="dxa"/>
            <w:vMerge/>
            <w:tcBorders>
              <w:top w:val="nil"/>
              <w:left w:val="single" w:sz="4" w:space="0" w:color="000000"/>
              <w:bottom w:val="single" w:sz="4" w:space="0" w:color="000000"/>
              <w:right w:val="nil"/>
            </w:tcBorders>
          </w:tcPr>
          <w:p>
            <w:pPr>
              <w:rPr>
                <w:sz w:val="2"/>
                <w:szCs w:val="2"/>
              </w:rPr>
            </w:pPr>
          </w:p>
        </w:tc>
      </w:tr>
      <w:tr>
        <w:tblPrEx>
          <w:tblW w:w="0" w:type="auto"/>
          <w:jc w:val="left"/>
          <w:tblInd w:w="778" w:type="dxa"/>
          <w:tblLayout w:type="fixed"/>
          <w:tblCellMar>
            <w:top w:w="0" w:type="dxa"/>
            <w:left w:w="0" w:type="dxa"/>
            <w:bottom w:w="0" w:type="dxa"/>
            <w:right w:w="0" w:type="dxa"/>
          </w:tblCellMar>
          <w:tblLook w:val="01E0"/>
        </w:tblPrEx>
        <w:trPr>
          <w:trHeight w:val="543"/>
          <w:jc w:val="left"/>
        </w:trPr>
        <w:tc>
          <w:tcPr>
            <w:tcW w:w="837" w:type="dxa"/>
            <w:vMerge/>
            <w:tcBorders>
              <w:top w:val="nil"/>
              <w:left w:val="nil"/>
              <w:bottom w:val="single" w:sz="4" w:space="0" w:color="000000"/>
              <w:right w:val="single" w:sz="4" w:space="0" w:color="000000"/>
            </w:tcBorders>
          </w:tcPr>
          <w:p>
            <w:pPr>
              <w:rPr>
                <w:sz w:val="2"/>
                <w:szCs w:val="2"/>
              </w:rPr>
            </w:pPr>
          </w:p>
        </w:tc>
        <w:tc>
          <w:tcPr>
            <w:tcW w:w="697"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47"/>
              <w:rPr>
                <w:sz w:val="21"/>
              </w:rPr>
            </w:pPr>
            <w:r>
              <w:rPr>
                <w:color w:val="0000FF"/>
                <w:spacing w:val="-1"/>
                <w:w w:val="95"/>
                <w:sz w:val="21"/>
              </w:rPr>
              <w:t>排水</w:t>
            </w:r>
          </w:p>
          <w:p>
            <w:pPr>
              <w:pStyle w:val="TableParagraph"/>
              <w:spacing w:before="2"/>
              <w:ind w:left="147"/>
              <w:rPr>
                <w:sz w:val="21"/>
              </w:rPr>
            </w:pPr>
            <w:r>
              <w:rPr>
                <w:color w:val="0000FF"/>
                <w:spacing w:val="-1"/>
                <w:w w:val="95"/>
                <w:sz w:val="21"/>
              </w:rPr>
              <w:t>工程</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line="249" w:lineRule="exact"/>
              <w:ind w:left="150" w:right="4"/>
              <w:jc w:val="center"/>
              <w:rPr>
                <w:sz w:val="21"/>
              </w:rPr>
            </w:pPr>
            <w:r>
              <w:rPr>
                <w:color w:val="0000FF"/>
                <w:spacing w:val="-1"/>
                <w:w w:val="95"/>
                <w:sz w:val="21"/>
              </w:rPr>
              <w:t>本项目排水工程主要包括边沟、截水沟、</w:t>
            </w:r>
          </w:p>
          <w:p>
            <w:pPr>
              <w:pStyle w:val="TableParagraph"/>
              <w:spacing w:before="2"/>
              <w:ind w:left="31" w:right="4"/>
              <w:jc w:val="center"/>
              <w:rPr>
                <w:sz w:val="21"/>
              </w:rPr>
            </w:pPr>
            <w:r>
              <w:rPr>
                <w:color w:val="0000FF"/>
                <w:sz w:val="21"/>
              </w:rPr>
              <w:t>排水沟等</w:t>
            </w:r>
          </w:p>
        </w:tc>
        <w:tc>
          <w:tcPr>
            <w:tcW w:w="1704" w:type="dxa"/>
            <w:vMerge/>
            <w:tcBorders>
              <w:top w:val="nil"/>
              <w:left w:val="single" w:sz="4" w:space="0" w:color="000000"/>
              <w:bottom w:val="single" w:sz="4" w:space="0" w:color="000000"/>
              <w:right w:val="single" w:sz="4" w:space="0" w:color="000000"/>
            </w:tcBorders>
          </w:tcPr>
          <w:p>
            <w:pPr>
              <w:rPr>
                <w:sz w:val="2"/>
                <w:szCs w:val="2"/>
              </w:rPr>
            </w:pPr>
          </w:p>
        </w:tc>
        <w:tc>
          <w:tcPr>
            <w:tcW w:w="1316" w:type="dxa"/>
            <w:vMerge/>
            <w:tcBorders>
              <w:top w:val="nil"/>
              <w:left w:val="single" w:sz="4" w:space="0" w:color="000000"/>
              <w:bottom w:val="single" w:sz="4" w:space="0" w:color="000000"/>
              <w:right w:val="nil"/>
            </w:tcBorders>
          </w:tcPr>
          <w:p>
            <w:pPr>
              <w:rPr>
                <w:sz w:val="2"/>
                <w:szCs w:val="2"/>
              </w:rPr>
            </w:pPr>
          </w:p>
        </w:tc>
      </w:tr>
      <w:tr>
        <w:tblPrEx>
          <w:tblW w:w="0" w:type="auto"/>
          <w:jc w:val="left"/>
          <w:tblInd w:w="778" w:type="dxa"/>
          <w:tblLayout w:type="fixed"/>
          <w:tblCellMar>
            <w:top w:w="0" w:type="dxa"/>
            <w:left w:w="0" w:type="dxa"/>
            <w:bottom w:w="0" w:type="dxa"/>
            <w:right w:w="0" w:type="dxa"/>
          </w:tblCellMar>
          <w:tblLook w:val="01E0"/>
        </w:tblPrEx>
        <w:trPr>
          <w:trHeight w:val="535"/>
          <w:jc w:val="left"/>
        </w:trPr>
        <w:tc>
          <w:tcPr>
            <w:tcW w:w="837" w:type="dxa"/>
            <w:vMerge w:val="restart"/>
            <w:tcBorders>
              <w:top w:val="single" w:sz="4" w:space="0" w:color="000000"/>
              <w:left w:val="nil"/>
              <w:right w:val="single" w:sz="4" w:space="0" w:color="000000"/>
            </w:tcBorders>
          </w:tcPr>
          <w:p>
            <w:pPr>
              <w:pStyle w:val="TableParagraph"/>
              <w:rPr>
                <w:b/>
                <w:sz w:val="20"/>
              </w:rPr>
            </w:pPr>
          </w:p>
          <w:p>
            <w:pPr>
              <w:pStyle w:val="TableParagraph"/>
              <w:spacing w:line="244" w:lineRule="auto"/>
              <w:ind w:left="221" w:right="190"/>
              <w:rPr>
                <w:sz w:val="21"/>
              </w:rPr>
            </w:pPr>
            <w:r>
              <w:rPr>
                <w:color w:val="0000FF"/>
                <w:sz w:val="21"/>
              </w:rPr>
              <w:t>环保工程</w:t>
            </w:r>
          </w:p>
        </w:tc>
        <w:tc>
          <w:tcPr>
            <w:tcW w:w="697" w:type="dxa"/>
            <w:tcBorders>
              <w:top w:val="single" w:sz="4" w:space="0" w:color="000000"/>
              <w:left w:val="single" w:sz="4" w:space="0" w:color="000000"/>
              <w:bottom w:val="single" w:sz="4" w:space="0" w:color="000000"/>
              <w:right w:val="single" w:sz="4" w:space="0" w:color="000000"/>
            </w:tcBorders>
          </w:tcPr>
          <w:p>
            <w:pPr>
              <w:pStyle w:val="TableParagraph"/>
              <w:spacing w:before="115"/>
              <w:ind w:left="126" w:right="101"/>
              <w:jc w:val="center"/>
              <w:rPr>
                <w:sz w:val="21"/>
              </w:rPr>
            </w:pPr>
            <w:r>
              <w:rPr>
                <w:color w:val="0000FF"/>
                <w:sz w:val="21"/>
              </w:rPr>
              <w:t>固废</w:t>
            </w:r>
          </w:p>
        </w:tc>
        <w:tc>
          <w:tcPr>
            <w:tcW w:w="3878" w:type="dxa"/>
            <w:tcBorders>
              <w:top w:val="single" w:sz="4" w:space="0" w:color="000000"/>
              <w:left w:val="single" w:sz="4" w:space="0" w:color="000000"/>
              <w:bottom w:val="single" w:sz="4" w:space="0" w:color="000000"/>
              <w:right w:val="single" w:sz="4" w:space="0" w:color="000000"/>
            </w:tcBorders>
          </w:tcPr>
          <w:p>
            <w:pPr>
              <w:pStyle w:val="TableParagraph"/>
              <w:spacing w:line="250" w:lineRule="exact"/>
              <w:ind w:left="31" w:right="4"/>
              <w:jc w:val="center"/>
              <w:rPr>
                <w:sz w:val="21"/>
              </w:rPr>
            </w:pPr>
            <w:r>
              <w:rPr>
                <w:color w:val="0000FF"/>
                <w:sz w:val="21"/>
              </w:rPr>
              <w:t>生活垃圾设置垃圾桶收集，委托环卫部</w:t>
            </w:r>
          </w:p>
          <w:p>
            <w:pPr>
              <w:pStyle w:val="TableParagraph"/>
              <w:spacing w:before="2" w:line="263" w:lineRule="exact"/>
              <w:ind w:left="31" w:right="4"/>
              <w:jc w:val="center"/>
              <w:rPr>
                <w:sz w:val="21"/>
              </w:rPr>
            </w:pPr>
            <w:r>
              <w:rPr>
                <w:color w:val="0000FF"/>
                <w:sz w:val="21"/>
              </w:rPr>
              <w:t>门定期清运</w:t>
            </w:r>
          </w:p>
        </w:tc>
        <w:tc>
          <w:tcPr>
            <w:tcW w:w="1704" w:type="dxa"/>
            <w:tcBorders>
              <w:top w:val="single" w:sz="4" w:space="0" w:color="000000"/>
              <w:left w:val="single" w:sz="4" w:space="0" w:color="000000"/>
              <w:bottom w:val="single" w:sz="4" w:space="0" w:color="000000"/>
              <w:right w:val="single" w:sz="4" w:space="0" w:color="000000"/>
            </w:tcBorders>
          </w:tcPr>
          <w:p>
            <w:pPr>
              <w:pStyle w:val="TableParagraph"/>
              <w:spacing w:before="131"/>
              <w:ind w:left="30"/>
              <w:jc w:val="center"/>
              <w:rPr>
                <w:rFonts w:ascii="Times New Roman"/>
                <w:sz w:val="21"/>
              </w:rPr>
            </w:pPr>
            <w:r>
              <w:rPr>
                <w:rFonts w:ascii="Times New Roman"/>
                <w:color w:val="0000FF"/>
                <w:w w:val="99"/>
                <w:sz w:val="21"/>
              </w:rPr>
              <w:t>/</w:t>
            </w:r>
          </w:p>
        </w:tc>
        <w:tc>
          <w:tcPr>
            <w:tcW w:w="1316" w:type="dxa"/>
            <w:tcBorders>
              <w:top w:val="single" w:sz="4" w:space="0" w:color="000000"/>
              <w:left w:val="single" w:sz="4" w:space="0" w:color="000000"/>
              <w:bottom w:val="single" w:sz="4" w:space="0" w:color="000000"/>
              <w:right w:val="nil"/>
            </w:tcBorders>
          </w:tcPr>
          <w:p>
            <w:pPr>
              <w:pStyle w:val="TableParagraph"/>
              <w:spacing w:before="131"/>
              <w:ind w:left="24"/>
              <w:jc w:val="center"/>
              <w:rPr>
                <w:rFonts w:ascii="Times New Roman"/>
                <w:sz w:val="21"/>
              </w:rPr>
            </w:pPr>
            <w:r>
              <w:rPr>
                <w:rFonts w:ascii="Times New Roman"/>
                <w:color w:val="0000FF"/>
                <w:w w:val="99"/>
                <w:sz w:val="21"/>
              </w:rPr>
              <w:t>/</w:t>
            </w:r>
          </w:p>
        </w:tc>
      </w:tr>
      <w:tr>
        <w:tblPrEx>
          <w:tblW w:w="0" w:type="auto"/>
          <w:jc w:val="left"/>
          <w:tblInd w:w="778" w:type="dxa"/>
          <w:tblLayout w:type="fixed"/>
          <w:tblCellMar>
            <w:top w:w="0" w:type="dxa"/>
            <w:left w:w="0" w:type="dxa"/>
            <w:bottom w:w="0" w:type="dxa"/>
            <w:right w:w="0" w:type="dxa"/>
          </w:tblCellMar>
          <w:tblLook w:val="01E0"/>
        </w:tblPrEx>
        <w:trPr>
          <w:trHeight w:val="534"/>
          <w:jc w:val="left"/>
        </w:trPr>
        <w:tc>
          <w:tcPr>
            <w:tcW w:w="837" w:type="dxa"/>
            <w:vMerge/>
            <w:tcBorders>
              <w:top w:val="nil"/>
              <w:left w:val="nil"/>
              <w:right w:val="single" w:sz="4" w:space="0" w:color="000000"/>
            </w:tcBorders>
          </w:tcPr>
          <w:p>
            <w:pPr>
              <w:rPr>
                <w:sz w:val="2"/>
                <w:szCs w:val="2"/>
              </w:rPr>
            </w:pPr>
          </w:p>
        </w:tc>
        <w:tc>
          <w:tcPr>
            <w:tcW w:w="697" w:type="dxa"/>
            <w:tcBorders>
              <w:top w:val="single" w:sz="4" w:space="0" w:color="000000"/>
              <w:left w:val="single" w:sz="4" w:space="0" w:color="000000"/>
              <w:right w:val="single" w:sz="4" w:space="0" w:color="000000"/>
            </w:tcBorders>
          </w:tcPr>
          <w:p>
            <w:pPr>
              <w:pStyle w:val="TableParagraph"/>
              <w:spacing w:before="104"/>
              <w:ind w:left="126" w:right="101"/>
              <w:jc w:val="center"/>
              <w:rPr>
                <w:sz w:val="21"/>
              </w:rPr>
            </w:pPr>
            <w:r>
              <w:rPr>
                <w:color w:val="0000FF"/>
                <w:sz w:val="21"/>
              </w:rPr>
              <w:t>废水</w:t>
            </w:r>
          </w:p>
        </w:tc>
        <w:tc>
          <w:tcPr>
            <w:tcW w:w="3878" w:type="dxa"/>
            <w:tcBorders>
              <w:top w:val="single" w:sz="4" w:space="0" w:color="000000"/>
              <w:left w:val="single" w:sz="4" w:space="0" w:color="000000"/>
              <w:right w:val="single" w:sz="4" w:space="0" w:color="000000"/>
            </w:tcBorders>
          </w:tcPr>
          <w:p>
            <w:pPr>
              <w:pStyle w:val="TableParagraph"/>
              <w:spacing w:line="239" w:lineRule="exact"/>
              <w:ind w:left="31" w:right="4"/>
              <w:jc w:val="center"/>
              <w:rPr>
                <w:sz w:val="21"/>
              </w:rPr>
            </w:pPr>
            <w:r>
              <w:rPr>
                <w:color w:val="0000FF"/>
                <w:sz w:val="21"/>
              </w:rPr>
              <w:t>机械冲洗废水，设置沉淀池、隔油池收</w:t>
            </w:r>
          </w:p>
          <w:p>
            <w:pPr>
              <w:pStyle w:val="TableParagraph"/>
              <w:spacing w:before="2"/>
              <w:ind w:left="31" w:right="4"/>
              <w:jc w:val="center"/>
              <w:rPr>
                <w:sz w:val="21"/>
              </w:rPr>
            </w:pPr>
            <w:r>
              <w:rPr>
                <w:color w:val="0000FF"/>
                <w:sz w:val="21"/>
              </w:rPr>
              <w:t>集生活污水利用防渗旱厕收集</w:t>
            </w:r>
          </w:p>
        </w:tc>
        <w:tc>
          <w:tcPr>
            <w:tcW w:w="1704" w:type="dxa"/>
            <w:tcBorders>
              <w:top w:val="single" w:sz="4" w:space="0" w:color="000000"/>
              <w:left w:val="single" w:sz="4" w:space="0" w:color="000000"/>
              <w:right w:val="single" w:sz="4" w:space="0" w:color="000000"/>
            </w:tcBorders>
          </w:tcPr>
          <w:p>
            <w:pPr>
              <w:pStyle w:val="TableParagraph"/>
              <w:spacing w:before="118"/>
              <w:ind w:left="30"/>
              <w:jc w:val="center"/>
              <w:rPr>
                <w:rFonts w:ascii="Times New Roman"/>
                <w:sz w:val="21"/>
              </w:rPr>
            </w:pPr>
            <w:r>
              <w:rPr>
                <w:rFonts w:ascii="Times New Roman"/>
                <w:color w:val="0000FF"/>
                <w:w w:val="99"/>
                <w:sz w:val="21"/>
              </w:rPr>
              <w:t>/</w:t>
            </w:r>
          </w:p>
        </w:tc>
        <w:tc>
          <w:tcPr>
            <w:tcW w:w="1316" w:type="dxa"/>
            <w:tcBorders>
              <w:top w:val="single" w:sz="4" w:space="0" w:color="000000"/>
              <w:left w:val="single" w:sz="4" w:space="0" w:color="000000"/>
              <w:right w:val="nil"/>
            </w:tcBorders>
          </w:tcPr>
          <w:p>
            <w:pPr>
              <w:pStyle w:val="TableParagraph"/>
              <w:spacing w:before="118"/>
              <w:ind w:left="24"/>
              <w:jc w:val="center"/>
              <w:rPr>
                <w:rFonts w:ascii="Times New Roman"/>
                <w:sz w:val="21"/>
              </w:rPr>
            </w:pPr>
            <w:r>
              <w:rPr>
                <w:rFonts w:ascii="Times New Roman"/>
                <w:color w:val="0000FF"/>
                <w:w w:val="99"/>
                <w:sz w:val="21"/>
              </w:rPr>
              <w:t>/</w:t>
            </w:r>
          </w:p>
        </w:tc>
      </w:tr>
    </w:tbl>
    <w:p>
      <w:pPr>
        <w:pStyle w:val="ListParagraph"/>
        <w:numPr>
          <w:ilvl w:val="2"/>
          <w:numId w:val="37"/>
        </w:numPr>
        <w:tabs>
          <w:tab w:val="left" w:pos="1717"/>
        </w:tabs>
        <w:spacing w:before="0" w:after="0" w:line="240" w:lineRule="auto"/>
        <w:ind w:left="1716" w:right="0" w:hanging="541"/>
        <w:jc w:val="left"/>
        <w:rPr>
          <w:rFonts w:ascii="Times New Roman" w:eastAsia="Times New Roman"/>
          <w:b/>
          <w:color w:val="0000FF"/>
          <w:sz w:val="24"/>
        </w:rPr>
      </w:pPr>
      <w:r>
        <w:rPr>
          <w:b/>
          <w:color w:val="0000FF"/>
          <w:sz w:val="24"/>
        </w:rPr>
        <w:t>临时工程</w:t>
      </w:r>
    </w:p>
    <w:p>
      <w:pPr>
        <w:pStyle w:val="BodyText"/>
        <w:spacing w:before="160" w:line="364" w:lineRule="auto"/>
        <w:ind w:left="696" w:right="318" w:firstLine="480"/>
        <w:jc w:val="both"/>
      </w:pPr>
      <w:r>
        <w:rPr>
          <w:color w:val="0000FF"/>
          <w:spacing w:val="-4"/>
        </w:rPr>
        <w:t>本工程临时占地主要包括施工便道、临时堆场等。施工便道结合具体区域情况</w:t>
      </w:r>
      <w:r>
        <w:rPr>
          <w:color w:val="0000FF"/>
          <w:spacing w:val="-5"/>
        </w:rPr>
        <w:t>尽量利用项目永久占地，不新增红线外土地。本项目所需混凝土、沥青混合料采用外购方式解决，临时占地不设沥青拌合站、混凝土拌合站。临时堆场占地面积约为</w:t>
      </w:r>
      <w:r>
        <w:rPr>
          <w:rFonts w:ascii="Times New Roman" w:eastAsia="Times New Roman"/>
          <w:color w:val="0000FF"/>
        </w:rPr>
        <w:t>1000m</w:t>
      </w:r>
      <w:r>
        <w:rPr>
          <w:rFonts w:ascii="Times New Roman" w:eastAsia="Times New Roman"/>
          <w:color w:val="0000FF"/>
          <w:position w:val="8"/>
          <w:sz w:val="15"/>
        </w:rPr>
        <w:t>2</w:t>
      </w:r>
      <w:r>
        <w:rPr>
          <w:color w:val="0000FF"/>
        </w:rPr>
        <w:t>。</w:t>
      </w:r>
    </w:p>
    <w:p>
      <w:pPr>
        <w:pStyle w:val="BodyText"/>
        <w:spacing w:line="364" w:lineRule="auto"/>
        <w:ind w:left="696" w:right="318" w:firstLine="480"/>
        <w:jc w:val="both"/>
      </w:pPr>
      <w:r>
        <w:rPr>
          <w:color w:val="0000FF"/>
          <w:spacing w:val="-3"/>
        </w:rPr>
        <w:t>根据本项目施工特点和沿线环境特征，临时堆场为建设用地，恢复方向为建设</w:t>
      </w:r>
      <w:r>
        <w:rPr>
          <w:color w:val="0000FF"/>
          <w:spacing w:val="-6"/>
        </w:rPr>
        <w:t>用地。施工便道利用道路红线内占地。临时用地在主体工程施工完毕后做好植被恢复、防止水土流失，可逐步恢复至原有功能。临时占地不涉及基本农田以及生态红</w:t>
      </w:r>
    </w:p>
    <w:p>
      <w:pPr>
        <w:spacing w:after="0" w:line="364" w:lineRule="auto"/>
        <w:jc w:val="both"/>
        <w:sectPr>
          <w:footerReference w:type="default" r:id="rId27"/>
          <w:pgSz w:w="11910" w:h="16840"/>
          <w:pgMar w:top="1380" w:right="1100" w:bottom="1260" w:left="1180" w:header="0" w:footer="997"/>
          <w:pgNumType w:start="14"/>
          <w:cols w:space="708"/>
        </w:sectPr>
      </w:pPr>
    </w:p>
    <w:p>
      <w:pPr>
        <w:pStyle w:val="BodyText"/>
        <w:spacing w:before="55"/>
        <w:ind w:left="696"/>
      </w:pPr>
      <w:r>
        <w:pict>
          <v:group id="_x0000_s1050" style="width:465.1pt;height:684.4pt;margin-top:72pt;margin-left:65.12pt;mso-position-horizontal-relative:page;mso-position-vertical-relative:page;position:absolute;z-index:-251646976" coordorigin="1302,1440" coordsize="9302,13688">
            <v:shape id="_x0000_s1051" style="width:9302;height:13688;left:1302;position:absolute;top:1710" coordorigin="1302,1711" coordsize="9302,13688" path="m1302,1450l10604,1450m1302,15118l10604,15118m1312,1440l1312,15127m10594,1459l10594,15127e" filled="f" stroked="t" strokecolor="black" strokeweight="0.96pt">
              <v:stroke dashstyle="solid"/>
              <v:path arrowok="t"/>
            </v:shape>
            <v:line id="_x0000_s1052" style="position:absolute" from="1768,1459" to="1768,15108" stroked="t" strokecolor="black" strokeweight="0.48pt">
              <v:stroke dashstyle="solid"/>
            </v:line>
          </v:group>
        </w:pict>
      </w:r>
      <w:r>
        <w:rPr>
          <w:color w:val="0000FF"/>
        </w:rPr>
        <w:t>线管控区域。</w:t>
      </w:r>
    </w:p>
    <w:p>
      <w:pPr>
        <w:pStyle w:val="Heading2"/>
        <w:numPr>
          <w:ilvl w:val="2"/>
          <w:numId w:val="38"/>
        </w:numPr>
        <w:tabs>
          <w:tab w:val="left" w:pos="1717"/>
        </w:tabs>
        <w:spacing w:before="158" w:after="0" w:line="240" w:lineRule="auto"/>
        <w:ind w:left="1716" w:right="0" w:hanging="541"/>
        <w:jc w:val="left"/>
        <w:rPr>
          <w:rFonts w:ascii="Times New Roman" w:eastAsia="Times New Roman"/>
        </w:rPr>
      </w:pPr>
      <w:r>
        <w:t>拆迁工程</w:t>
      </w:r>
    </w:p>
    <w:p>
      <w:pPr>
        <w:pStyle w:val="BodyText"/>
        <w:spacing w:before="158" w:line="364" w:lineRule="auto"/>
        <w:ind w:left="696" w:right="318" w:firstLine="480"/>
      </w:pPr>
      <w:r>
        <w:rPr>
          <w:color w:val="0000FF"/>
          <w:spacing w:val="-6"/>
        </w:rPr>
        <w:t xml:space="preserve">本项目全线需拆迁约 </w:t>
      </w:r>
      <w:r>
        <w:rPr>
          <w:rFonts w:ascii="Times New Roman" w:eastAsia="Times New Roman"/>
          <w:color w:val="0000FF"/>
        </w:rPr>
        <w:t xml:space="preserve">8 </w:t>
      </w:r>
      <w:r>
        <w:rPr>
          <w:color w:val="0000FF"/>
          <w:spacing w:val="-6"/>
        </w:rPr>
        <w:t>户住房，征地拆迁住户分布于项目沿线，项目不涉及工</w:t>
      </w:r>
      <w:r>
        <w:rPr>
          <w:color w:val="0000FF"/>
        </w:rPr>
        <w:t>业企业的拆迁。</w:t>
      </w:r>
    </w:p>
    <w:p>
      <w:pPr>
        <w:pStyle w:val="Heading2"/>
        <w:numPr>
          <w:ilvl w:val="2"/>
          <w:numId w:val="38"/>
        </w:numPr>
        <w:tabs>
          <w:tab w:val="left" w:pos="1717"/>
        </w:tabs>
        <w:spacing w:before="0" w:after="0" w:line="306" w:lineRule="exact"/>
        <w:ind w:left="1716" w:right="0" w:hanging="541"/>
        <w:jc w:val="left"/>
        <w:rPr>
          <w:rFonts w:ascii="Times New Roman" w:eastAsia="Times New Roman"/>
          <w:color w:val="0000FF"/>
        </w:rPr>
      </w:pPr>
      <w:r>
        <w:rPr>
          <w:color w:val="0000FF"/>
        </w:rPr>
        <w:t>土石方平衡</w:t>
      </w:r>
    </w:p>
    <w:p>
      <w:pPr>
        <w:pStyle w:val="BodyText"/>
        <w:spacing w:before="160" w:line="364" w:lineRule="auto"/>
        <w:ind w:left="696" w:right="198" w:firstLine="480"/>
      </w:pPr>
      <w:r>
        <w:rPr>
          <w:color w:val="0000FF"/>
          <w:spacing w:val="-5"/>
        </w:rPr>
        <w:t xml:space="preserve">根据本项目施工图设计文件，拟建项目挖方 </w:t>
      </w:r>
      <w:r>
        <w:rPr>
          <w:rFonts w:ascii="Times New Roman" w:eastAsia="Times New Roman"/>
          <w:color w:val="0000FF"/>
        </w:rPr>
        <w:t xml:space="preserve">4.1 </w:t>
      </w:r>
      <w:r>
        <w:rPr>
          <w:color w:val="0000FF"/>
          <w:spacing w:val="-30"/>
        </w:rPr>
        <w:t xml:space="preserve">万 </w:t>
      </w:r>
      <w:r>
        <w:rPr>
          <w:rFonts w:ascii="Times New Roman" w:eastAsia="Times New Roman"/>
          <w:color w:val="0000FF"/>
          <w:spacing w:val="-6"/>
        </w:rPr>
        <w:t>m</w:t>
      </w:r>
      <w:r>
        <w:rPr>
          <w:rFonts w:ascii="Times New Roman" w:eastAsia="Times New Roman"/>
          <w:color w:val="0000FF"/>
          <w:spacing w:val="-6"/>
          <w:position w:val="8"/>
          <w:sz w:val="15"/>
        </w:rPr>
        <w:t>3</w:t>
      </w:r>
      <w:r>
        <w:rPr>
          <w:color w:val="0000FF"/>
          <w:spacing w:val="-6"/>
        </w:rPr>
        <w:t>（</w:t>
      </w:r>
      <w:r>
        <w:rPr>
          <w:color w:val="0000FF"/>
        </w:rPr>
        <w:t>不含表土剥离</w:t>
      </w:r>
      <w:r>
        <w:rPr>
          <w:color w:val="0000FF"/>
          <w:spacing w:val="-14"/>
        </w:rPr>
        <w:t>）</w:t>
      </w:r>
      <w:r>
        <w:rPr>
          <w:color w:val="0000FF"/>
          <w:spacing w:val="-5"/>
        </w:rPr>
        <w:t>，挖方</w:t>
      </w:r>
      <w:r>
        <w:rPr>
          <w:color w:val="0000FF"/>
          <w:spacing w:val="-16"/>
        </w:rPr>
        <w:t xml:space="preserve">回填利用 </w:t>
      </w:r>
      <w:r>
        <w:rPr>
          <w:rFonts w:ascii="Times New Roman" w:eastAsia="Times New Roman"/>
          <w:color w:val="0000FF"/>
        </w:rPr>
        <w:t xml:space="preserve">4.5 </w:t>
      </w:r>
      <w:r>
        <w:rPr>
          <w:color w:val="0000FF"/>
          <w:spacing w:val="-30"/>
        </w:rPr>
        <w:t xml:space="preserve">万 </w:t>
      </w:r>
      <w:r>
        <w:rPr>
          <w:rFonts w:ascii="Times New Roman" w:eastAsia="Times New Roman"/>
          <w:color w:val="0000FF"/>
          <w:spacing w:val="-6"/>
        </w:rPr>
        <w:t>m</w:t>
      </w:r>
      <w:r>
        <w:rPr>
          <w:rFonts w:ascii="Times New Roman" w:eastAsia="Times New Roman"/>
          <w:color w:val="0000FF"/>
          <w:spacing w:val="-6"/>
          <w:position w:val="8"/>
          <w:sz w:val="15"/>
        </w:rPr>
        <w:t>3</w:t>
      </w:r>
      <w:r>
        <w:rPr>
          <w:color w:val="0000FF"/>
          <w:spacing w:val="-16"/>
        </w:rPr>
        <w:t xml:space="preserve">，弃方 </w:t>
      </w:r>
      <w:r>
        <w:rPr>
          <w:rFonts w:ascii="Times New Roman" w:eastAsia="Times New Roman"/>
          <w:color w:val="0000FF"/>
        </w:rPr>
        <w:t xml:space="preserve">0.09 </w:t>
      </w:r>
      <w:r>
        <w:rPr>
          <w:color w:val="0000FF"/>
          <w:spacing w:val="-30"/>
        </w:rPr>
        <w:t xml:space="preserve">万 </w:t>
      </w:r>
      <w:r>
        <w:rPr>
          <w:rFonts w:ascii="Times New Roman" w:eastAsia="Times New Roman"/>
          <w:color w:val="0000FF"/>
          <w:spacing w:val="-6"/>
        </w:rPr>
        <w:t>m</w:t>
      </w:r>
      <w:r>
        <w:rPr>
          <w:rFonts w:ascii="Times New Roman" w:eastAsia="Times New Roman"/>
          <w:color w:val="0000FF"/>
          <w:spacing w:val="-6"/>
          <w:position w:val="8"/>
          <w:sz w:val="15"/>
        </w:rPr>
        <w:t>3</w:t>
      </w:r>
      <w:r>
        <w:rPr>
          <w:color w:val="0000FF"/>
          <w:spacing w:val="-16"/>
        </w:rPr>
        <w:t xml:space="preserve">；填方 </w:t>
      </w:r>
      <w:r>
        <w:rPr>
          <w:rFonts w:ascii="Times New Roman" w:eastAsia="Times New Roman"/>
          <w:color w:val="0000FF"/>
        </w:rPr>
        <w:t xml:space="preserve">4.01 </w:t>
      </w:r>
      <w:r>
        <w:rPr>
          <w:color w:val="0000FF"/>
          <w:spacing w:val="-29"/>
        </w:rPr>
        <w:t xml:space="preserve">万 </w:t>
      </w:r>
      <w:r>
        <w:rPr>
          <w:rFonts w:ascii="Times New Roman" w:eastAsia="Times New Roman"/>
          <w:color w:val="0000FF"/>
          <w:spacing w:val="-5"/>
        </w:rPr>
        <w:t>m</w:t>
      </w:r>
      <w:r>
        <w:rPr>
          <w:rFonts w:ascii="Times New Roman" w:eastAsia="Times New Roman"/>
          <w:color w:val="0000FF"/>
          <w:spacing w:val="-5"/>
          <w:position w:val="8"/>
          <w:sz w:val="15"/>
        </w:rPr>
        <w:t>3</w:t>
      </w:r>
      <w:r>
        <w:rPr>
          <w:color w:val="0000FF"/>
          <w:spacing w:val="-5"/>
        </w:rPr>
        <w:t>，需借方</w:t>
      </w:r>
      <w:r>
        <w:rPr>
          <w:color w:val="0000FF"/>
        </w:rPr>
        <w:t>（碎石</w:t>
      </w:r>
      <w:r>
        <w:rPr>
          <w:color w:val="0000FF"/>
          <w:spacing w:val="-3"/>
        </w:rPr>
        <w:t>）</w:t>
      </w:r>
      <w:r>
        <w:rPr>
          <w:rFonts w:ascii="Times New Roman" w:eastAsia="Times New Roman"/>
          <w:color w:val="0000FF"/>
          <w:spacing w:val="-3"/>
        </w:rPr>
        <w:t xml:space="preserve">0.49 </w:t>
      </w:r>
      <w:r>
        <w:rPr>
          <w:color w:val="0000FF"/>
          <w:spacing w:val="-30"/>
        </w:rPr>
        <w:t xml:space="preserve">万 </w:t>
      </w:r>
      <w:r>
        <w:rPr>
          <w:rFonts w:ascii="Times New Roman" w:eastAsia="Times New Roman"/>
          <w:color w:val="0000FF"/>
          <w:spacing w:val="-5"/>
        </w:rPr>
        <w:t>m</w:t>
      </w:r>
      <w:r>
        <w:rPr>
          <w:rFonts w:ascii="Times New Roman" w:eastAsia="Times New Roman"/>
          <w:color w:val="0000FF"/>
          <w:spacing w:val="-5"/>
          <w:position w:val="8"/>
          <w:sz w:val="15"/>
        </w:rPr>
        <w:t>3</w:t>
      </w:r>
      <w:r>
        <w:rPr>
          <w:color w:val="0000FF"/>
          <w:spacing w:val="-5"/>
        </w:rPr>
        <w:t xml:space="preserve">， </w:t>
      </w:r>
      <w:r>
        <w:rPr>
          <w:color w:val="0000FF"/>
        </w:rPr>
        <w:t>借方全部外购，无需设置取土（料）场。</w:t>
      </w:r>
    </w:p>
    <w:p>
      <w:pPr>
        <w:pStyle w:val="Heading2"/>
        <w:spacing w:line="256" w:lineRule="exact"/>
        <w:ind w:left="3075"/>
      </w:pPr>
      <w:r>
        <w:rPr>
          <w:color w:val="0000FF"/>
        </w:rPr>
        <w:t>表</w:t>
      </w:r>
      <w:r>
        <w:rPr>
          <w:rFonts w:ascii="Times New Roman" w:eastAsia="Times New Roman"/>
          <w:color w:val="0000FF"/>
        </w:rPr>
        <w:t>2-2</w:t>
      </w:r>
      <w:r>
        <w:rPr>
          <w:rFonts w:ascii="Times New Roman" w:eastAsia="Times New Roman"/>
          <w:color w:val="0000FF"/>
          <w:spacing w:val="59"/>
        </w:rPr>
        <w:t xml:space="preserve"> </w:t>
      </w:r>
      <w:r>
        <w:rPr>
          <w:color w:val="0000FF"/>
        </w:rPr>
        <w:t>本项目土石方平衡表（万</w:t>
      </w:r>
      <w:r>
        <w:rPr>
          <w:rFonts w:ascii="Times New Roman" w:eastAsia="Times New Roman"/>
          <w:color w:val="0000FF"/>
        </w:rPr>
        <w:t>m</w:t>
      </w:r>
      <w:r>
        <w:rPr>
          <w:rFonts w:ascii="Times New Roman" w:eastAsia="Times New Roman"/>
          <w:color w:val="0000FF"/>
          <w:position w:val="8"/>
          <w:sz w:val="15"/>
        </w:rPr>
        <w:t>3</w:t>
      </w:r>
      <w:r>
        <w:rPr>
          <w:color w:val="0000FF"/>
        </w:rPr>
        <w:t>）</w:t>
      </w:r>
    </w:p>
    <w:tbl>
      <w:tblPr>
        <w:tblStyle w:val="TableNormal13"/>
        <w:tblW w:w="0" w:type="auto"/>
        <w:jc w:val="left"/>
        <w:tblInd w:w="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31"/>
        <w:gridCol w:w="1691"/>
        <w:gridCol w:w="1643"/>
        <w:gridCol w:w="1043"/>
        <w:gridCol w:w="1574"/>
        <w:gridCol w:w="1225"/>
      </w:tblGrid>
      <w:tr>
        <w:tblPrEx>
          <w:tblW w:w="0" w:type="auto"/>
          <w:jc w:val="left"/>
          <w:tblInd w:w="6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61"/>
          <w:jc w:val="left"/>
        </w:trPr>
        <w:tc>
          <w:tcPr>
            <w:tcW w:w="1431" w:type="dxa"/>
            <w:vMerge w:val="restart"/>
            <w:tcBorders>
              <w:left w:val="nil"/>
              <w:bottom w:val="single" w:sz="4" w:space="0" w:color="000000"/>
              <w:right w:val="single" w:sz="4" w:space="0" w:color="000000"/>
            </w:tcBorders>
          </w:tcPr>
          <w:p>
            <w:pPr>
              <w:pStyle w:val="TableParagraph"/>
              <w:spacing w:before="11"/>
              <w:rPr>
                <w:b/>
                <w:sz w:val="16"/>
              </w:rPr>
            </w:pPr>
          </w:p>
          <w:p>
            <w:pPr>
              <w:pStyle w:val="TableParagraph"/>
              <w:spacing w:before="1"/>
              <w:ind w:left="309"/>
              <w:rPr>
                <w:b/>
                <w:sz w:val="21"/>
              </w:rPr>
            </w:pPr>
            <w:r>
              <w:rPr>
                <w:b/>
                <w:color w:val="0000FF"/>
                <w:sz w:val="21"/>
              </w:rPr>
              <w:t>工程单元</w:t>
            </w:r>
          </w:p>
        </w:tc>
        <w:tc>
          <w:tcPr>
            <w:tcW w:w="1691" w:type="dxa"/>
            <w:vMerge w:val="restart"/>
            <w:tcBorders>
              <w:left w:val="single" w:sz="4" w:space="0" w:color="000000"/>
              <w:bottom w:val="single" w:sz="4" w:space="0" w:color="000000"/>
              <w:right w:val="single" w:sz="4" w:space="0" w:color="000000"/>
            </w:tcBorders>
          </w:tcPr>
          <w:p>
            <w:pPr>
              <w:pStyle w:val="TableParagraph"/>
              <w:spacing w:before="11"/>
              <w:rPr>
                <w:b/>
                <w:sz w:val="16"/>
              </w:rPr>
            </w:pPr>
          </w:p>
          <w:p>
            <w:pPr>
              <w:pStyle w:val="TableParagraph"/>
              <w:spacing w:before="1"/>
              <w:ind w:left="433"/>
              <w:rPr>
                <w:b/>
                <w:sz w:val="21"/>
              </w:rPr>
            </w:pPr>
            <w:r>
              <w:rPr>
                <w:b/>
                <w:color w:val="0000FF"/>
                <w:sz w:val="21"/>
              </w:rPr>
              <w:t>表土剥离</w:t>
            </w:r>
          </w:p>
        </w:tc>
        <w:tc>
          <w:tcPr>
            <w:tcW w:w="4260" w:type="dxa"/>
            <w:gridSpan w:val="3"/>
            <w:tcBorders>
              <w:left w:val="single" w:sz="4" w:space="0" w:color="000000"/>
              <w:bottom w:val="single" w:sz="4" w:space="0" w:color="000000"/>
              <w:right w:val="single" w:sz="4" w:space="0" w:color="000000"/>
            </w:tcBorders>
          </w:tcPr>
          <w:p>
            <w:pPr>
              <w:pStyle w:val="TableParagraph"/>
              <w:spacing w:before="77"/>
              <w:ind w:left="1401"/>
              <w:rPr>
                <w:b/>
                <w:sz w:val="21"/>
              </w:rPr>
            </w:pPr>
            <w:r>
              <w:rPr>
                <w:b/>
                <w:color w:val="0000FF"/>
                <w:sz w:val="21"/>
              </w:rPr>
              <w:t>工程内容及规模</w:t>
            </w:r>
          </w:p>
        </w:tc>
        <w:tc>
          <w:tcPr>
            <w:tcW w:w="1225" w:type="dxa"/>
            <w:vMerge w:val="restart"/>
            <w:tcBorders>
              <w:left w:val="single" w:sz="4" w:space="0" w:color="000000"/>
              <w:bottom w:val="single" w:sz="4" w:space="0" w:color="000000"/>
              <w:right w:val="nil"/>
            </w:tcBorders>
          </w:tcPr>
          <w:p>
            <w:pPr>
              <w:pStyle w:val="TableParagraph"/>
              <w:spacing w:before="11"/>
              <w:rPr>
                <w:b/>
                <w:sz w:val="16"/>
              </w:rPr>
            </w:pPr>
          </w:p>
          <w:p>
            <w:pPr>
              <w:pStyle w:val="TableParagraph"/>
              <w:spacing w:before="1"/>
              <w:ind w:left="199"/>
              <w:rPr>
                <w:b/>
                <w:sz w:val="21"/>
              </w:rPr>
            </w:pPr>
            <w:r>
              <w:rPr>
                <w:b/>
                <w:color w:val="0000FF"/>
                <w:sz w:val="21"/>
              </w:rPr>
              <w:t>调出利用</w:t>
            </w:r>
          </w:p>
        </w:tc>
      </w:tr>
      <w:tr>
        <w:tblPrEx>
          <w:tblW w:w="0" w:type="auto"/>
          <w:jc w:val="left"/>
          <w:tblInd w:w="690" w:type="dxa"/>
          <w:tblLayout w:type="fixed"/>
          <w:tblCellMar>
            <w:top w:w="0" w:type="dxa"/>
            <w:left w:w="0" w:type="dxa"/>
            <w:bottom w:w="0" w:type="dxa"/>
            <w:right w:w="0" w:type="dxa"/>
          </w:tblCellMar>
          <w:tblLook w:val="01E0"/>
        </w:tblPrEx>
        <w:trPr>
          <w:trHeight w:val="271"/>
          <w:jc w:val="left"/>
        </w:trPr>
        <w:tc>
          <w:tcPr>
            <w:tcW w:w="1431" w:type="dxa"/>
            <w:vMerge/>
            <w:tcBorders>
              <w:top w:val="nil"/>
              <w:left w:val="nil"/>
              <w:bottom w:val="single" w:sz="4" w:space="0" w:color="000000"/>
              <w:right w:val="single" w:sz="4" w:space="0" w:color="000000"/>
            </w:tcBorders>
          </w:tcPr>
          <w:p>
            <w:pPr>
              <w:rPr>
                <w:sz w:val="2"/>
                <w:szCs w:val="2"/>
              </w:rPr>
            </w:pPr>
          </w:p>
        </w:tc>
        <w:tc>
          <w:tcPr>
            <w:tcW w:w="1691" w:type="dxa"/>
            <w:vMerge/>
            <w:tcBorders>
              <w:top w:val="nil"/>
              <w:left w:val="single" w:sz="4" w:space="0" w:color="000000"/>
              <w:bottom w:val="single" w:sz="4" w:space="0" w:color="000000"/>
              <w:right w:val="single" w:sz="4" w:space="0" w:color="000000"/>
            </w:tcBorders>
          </w:tcPr>
          <w:p>
            <w:pPr>
              <w:rPr>
                <w:sz w:val="2"/>
                <w:szCs w:val="2"/>
              </w:rPr>
            </w:pPr>
          </w:p>
        </w:tc>
        <w:tc>
          <w:tcPr>
            <w:tcW w:w="164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74" w:right="151"/>
              <w:jc w:val="center"/>
              <w:rPr>
                <w:sz w:val="21"/>
              </w:rPr>
            </w:pPr>
            <w:r>
              <w:rPr>
                <w:color w:val="0000FF"/>
                <w:sz w:val="21"/>
              </w:rPr>
              <w:t>总量</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194" w:right="169"/>
              <w:jc w:val="center"/>
              <w:rPr>
                <w:sz w:val="21"/>
              </w:rPr>
            </w:pPr>
            <w:r>
              <w:rPr>
                <w:color w:val="0000FF"/>
                <w:sz w:val="21"/>
              </w:rPr>
              <w:t>利用方</w:t>
            </w:r>
          </w:p>
        </w:tc>
        <w:tc>
          <w:tcPr>
            <w:tcW w:w="1574" w:type="dxa"/>
            <w:tcBorders>
              <w:top w:val="single" w:sz="4" w:space="0" w:color="000000"/>
              <w:left w:val="single" w:sz="4" w:space="0" w:color="000000"/>
              <w:bottom w:val="single" w:sz="4" w:space="0" w:color="000000"/>
              <w:right w:val="single" w:sz="4" w:space="0" w:color="000000"/>
            </w:tcBorders>
          </w:tcPr>
          <w:p>
            <w:pPr>
              <w:pStyle w:val="TableParagraph"/>
              <w:spacing w:line="252" w:lineRule="exact"/>
              <w:ind w:left="461" w:right="433"/>
              <w:jc w:val="center"/>
              <w:rPr>
                <w:sz w:val="21"/>
              </w:rPr>
            </w:pPr>
            <w:r>
              <w:rPr>
                <w:color w:val="0000FF"/>
                <w:sz w:val="21"/>
              </w:rPr>
              <w:t>调入方</w:t>
            </w:r>
          </w:p>
        </w:tc>
        <w:tc>
          <w:tcPr>
            <w:tcW w:w="1225" w:type="dxa"/>
            <w:vMerge/>
            <w:tcBorders>
              <w:top w:val="nil"/>
              <w:left w:val="single" w:sz="4" w:space="0" w:color="000000"/>
              <w:bottom w:val="single" w:sz="4" w:space="0" w:color="000000"/>
              <w:right w:val="nil"/>
            </w:tcBorders>
          </w:tcPr>
          <w:p>
            <w:pPr>
              <w:rPr>
                <w:sz w:val="2"/>
                <w:szCs w:val="2"/>
              </w:rPr>
            </w:pPr>
          </w:p>
        </w:tc>
      </w:tr>
      <w:tr>
        <w:tblPrEx>
          <w:tblW w:w="0" w:type="auto"/>
          <w:jc w:val="left"/>
          <w:tblInd w:w="690" w:type="dxa"/>
          <w:tblLayout w:type="fixed"/>
          <w:tblCellMar>
            <w:top w:w="0" w:type="dxa"/>
            <w:left w:w="0" w:type="dxa"/>
            <w:bottom w:w="0" w:type="dxa"/>
            <w:right w:w="0" w:type="dxa"/>
          </w:tblCellMar>
          <w:tblLook w:val="01E0"/>
        </w:tblPrEx>
        <w:trPr>
          <w:trHeight w:val="273"/>
          <w:jc w:val="left"/>
        </w:trPr>
        <w:tc>
          <w:tcPr>
            <w:tcW w:w="1431" w:type="dxa"/>
            <w:tcBorders>
              <w:top w:val="single" w:sz="4" w:space="0" w:color="000000"/>
              <w:left w:val="nil"/>
              <w:bottom w:val="single" w:sz="4" w:space="0" w:color="000000"/>
              <w:right w:val="single" w:sz="4" w:space="0" w:color="000000"/>
            </w:tcBorders>
          </w:tcPr>
          <w:p>
            <w:pPr>
              <w:pStyle w:val="TableParagraph"/>
              <w:spacing w:line="251" w:lineRule="exact"/>
              <w:ind w:left="288" w:right="258"/>
              <w:jc w:val="center"/>
              <w:rPr>
                <w:sz w:val="21"/>
              </w:rPr>
            </w:pPr>
            <w:r>
              <w:rPr>
                <w:color w:val="0000FF"/>
                <w:sz w:val="21"/>
              </w:rPr>
              <w:t>路基工程</w:t>
            </w:r>
          </w:p>
        </w:tc>
        <w:tc>
          <w:tcPr>
            <w:tcW w:w="1691"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right="639"/>
              <w:jc w:val="right"/>
              <w:rPr>
                <w:rFonts w:ascii="Times New Roman"/>
                <w:sz w:val="21"/>
              </w:rPr>
            </w:pPr>
            <w:r>
              <w:rPr>
                <w:rFonts w:ascii="Times New Roman"/>
                <w:color w:val="0000FF"/>
                <w:sz w:val="21"/>
              </w:rPr>
              <w:t>3.11</w:t>
            </w:r>
          </w:p>
        </w:tc>
        <w:tc>
          <w:tcPr>
            <w:tcW w:w="1643"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174" w:right="148"/>
              <w:jc w:val="center"/>
              <w:rPr>
                <w:rFonts w:ascii="Times New Roman"/>
                <w:sz w:val="21"/>
              </w:rPr>
            </w:pPr>
            <w:r>
              <w:rPr>
                <w:rFonts w:ascii="Times New Roman"/>
                <w:color w:val="0000FF"/>
                <w:sz w:val="21"/>
              </w:rPr>
              <w:t>3.02</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37" w:lineRule="exact"/>
              <w:ind w:left="194" w:right="166"/>
              <w:jc w:val="center"/>
              <w:rPr>
                <w:rFonts w:ascii="Times New Roman"/>
                <w:sz w:val="21"/>
              </w:rPr>
            </w:pPr>
            <w:r>
              <w:rPr>
                <w:rFonts w:ascii="Times New Roman"/>
                <w:color w:val="0000FF"/>
                <w:sz w:val="21"/>
              </w:rPr>
              <w:t>3.02</w:t>
            </w:r>
          </w:p>
        </w:tc>
        <w:tc>
          <w:tcPr>
            <w:tcW w:w="15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5" w:type="dxa"/>
            <w:tcBorders>
              <w:top w:val="single" w:sz="4" w:space="0" w:color="000000"/>
              <w:left w:val="single" w:sz="4" w:space="0" w:color="000000"/>
              <w:bottom w:val="single" w:sz="4" w:space="0" w:color="000000"/>
              <w:right w:val="nil"/>
            </w:tcBorders>
          </w:tcPr>
          <w:p>
            <w:pPr>
              <w:pStyle w:val="TableParagraph"/>
              <w:spacing w:line="237" w:lineRule="exact"/>
              <w:ind w:left="417" w:right="395"/>
              <w:jc w:val="center"/>
              <w:rPr>
                <w:rFonts w:ascii="Times New Roman"/>
                <w:sz w:val="21"/>
              </w:rPr>
            </w:pPr>
            <w:r>
              <w:rPr>
                <w:rFonts w:ascii="Times New Roman"/>
                <w:color w:val="0000FF"/>
                <w:sz w:val="21"/>
              </w:rPr>
              <w:t>0.09</w:t>
            </w:r>
          </w:p>
        </w:tc>
      </w:tr>
      <w:tr>
        <w:tblPrEx>
          <w:tblW w:w="0" w:type="auto"/>
          <w:jc w:val="left"/>
          <w:tblInd w:w="690" w:type="dxa"/>
          <w:tblLayout w:type="fixed"/>
          <w:tblCellMar>
            <w:top w:w="0" w:type="dxa"/>
            <w:left w:w="0" w:type="dxa"/>
            <w:bottom w:w="0" w:type="dxa"/>
            <w:right w:w="0" w:type="dxa"/>
          </w:tblCellMar>
          <w:tblLook w:val="01E0"/>
        </w:tblPrEx>
        <w:trPr>
          <w:trHeight w:val="271"/>
          <w:jc w:val="left"/>
        </w:trPr>
        <w:tc>
          <w:tcPr>
            <w:tcW w:w="1431" w:type="dxa"/>
            <w:tcBorders>
              <w:top w:val="single" w:sz="4" w:space="0" w:color="000000"/>
              <w:left w:val="nil"/>
              <w:bottom w:val="single" w:sz="4" w:space="0" w:color="000000"/>
              <w:right w:val="single" w:sz="4" w:space="0" w:color="000000"/>
            </w:tcBorders>
          </w:tcPr>
          <w:p>
            <w:pPr>
              <w:pStyle w:val="TableParagraph"/>
              <w:spacing w:line="251" w:lineRule="exact"/>
              <w:ind w:left="288" w:right="258"/>
              <w:jc w:val="center"/>
              <w:rPr>
                <w:sz w:val="21"/>
              </w:rPr>
            </w:pPr>
            <w:r>
              <w:rPr>
                <w:color w:val="0000FF"/>
                <w:sz w:val="21"/>
              </w:rPr>
              <w:t>桥梁工程</w:t>
            </w:r>
          </w:p>
        </w:tc>
        <w:tc>
          <w:tcPr>
            <w:tcW w:w="169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right="639"/>
              <w:jc w:val="right"/>
              <w:rPr>
                <w:rFonts w:ascii="Times New Roman"/>
                <w:sz w:val="21"/>
              </w:rPr>
            </w:pPr>
            <w:r>
              <w:rPr>
                <w:rFonts w:ascii="Times New Roman"/>
                <w:color w:val="0000FF"/>
                <w:sz w:val="21"/>
              </w:rPr>
              <w:t>0.58</w:t>
            </w:r>
          </w:p>
        </w:tc>
        <w:tc>
          <w:tcPr>
            <w:tcW w:w="1643"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174" w:right="148"/>
              <w:jc w:val="center"/>
              <w:rPr>
                <w:rFonts w:ascii="Times New Roman"/>
                <w:sz w:val="21"/>
              </w:rPr>
            </w:pPr>
            <w:r>
              <w:rPr>
                <w:rFonts w:ascii="Times New Roman"/>
                <w:color w:val="0000FF"/>
                <w:sz w:val="21"/>
              </w:rPr>
              <w:t>0.83</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194" w:right="166"/>
              <w:jc w:val="center"/>
              <w:rPr>
                <w:rFonts w:ascii="Times New Roman"/>
                <w:sz w:val="21"/>
              </w:rPr>
            </w:pPr>
            <w:r>
              <w:rPr>
                <w:rFonts w:ascii="Times New Roman"/>
                <w:color w:val="0000FF"/>
                <w:sz w:val="21"/>
              </w:rPr>
              <w:t>0.58</w:t>
            </w:r>
          </w:p>
        </w:tc>
        <w:tc>
          <w:tcPr>
            <w:tcW w:w="1574"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460" w:right="433"/>
              <w:jc w:val="center"/>
              <w:rPr>
                <w:rFonts w:ascii="Times New Roman"/>
                <w:sz w:val="21"/>
              </w:rPr>
            </w:pPr>
            <w:r>
              <w:rPr>
                <w:rFonts w:ascii="Times New Roman"/>
                <w:color w:val="0000FF"/>
                <w:sz w:val="21"/>
              </w:rPr>
              <w:t>0.25</w:t>
            </w:r>
          </w:p>
        </w:tc>
        <w:tc>
          <w:tcPr>
            <w:tcW w:w="1225" w:type="dxa"/>
            <w:tcBorders>
              <w:top w:val="single" w:sz="4" w:space="0" w:color="000000"/>
              <w:left w:val="single" w:sz="4" w:space="0" w:color="000000"/>
              <w:bottom w:val="single" w:sz="4" w:space="0" w:color="000000"/>
              <w:right w:val="nil"/>
            </w:tcBorders>
          </w:tcPr>
          <w:p>
            <w:pPr>
              <w:pStyle w:val="TableParagraph"/>
              <w:spacing w:line="238" w:lineRule="exact"/>
              <w:ind w:left="22"/>
              <w:jc w:val="center"/>
              <w:rPr>
                <w:rFonts w:ascii="Times New Roman"/>
                <w:sz w:val="21"/>
              </w:rPr>
            </w:pPr>
            <w:r>
              <w:rPr>
                <w:rFonts w:ascii="Times New Roman"/>
                <w:color w:val="0000FF"/>
                <w:w w:val="99"/>
                <w:sz w:val="21"/>
              </w:rPr>
              <w:t>0</w:t>
            </w:r>
          </w:p>
        </w:tc>
      </w:tr>
      <w:tr>
        <w:tblPrEx>
          <w:tblW w:w="0" w:type="auto"/>
          <w:jc w:val="left"/>
          <w:tblInd w:w="690" w:type="dxa"/>
          <w:tblLayout w:type="fixed"/>
          <w:tblCellMar>
            <w:top w:w="0" w:type="dxa"/>
            <w:left w:w="0" w:type="dxa"/>
            <w:bottom w:w="0" w:type="dxa"/>
            <w:right w:w="0" w:type="dxa"/>
          </w:tblCellMar>
          <w:tblLook w:val="01E0"/>
        </w:tblPrEx>
        <w:trPr>
          <w:trHeight w:val="272"/>
          <w:jc w:val="left"/>
        </w:trPr>
        <w:tc>
          <w:tcPr>
            <w:tcW w:w="1431" w:type="dxa"/>
            <w:tcBorders>
              <w:top w:val="single" w:sz="4" w:space="0" w:color="000000"/>
              <w:left w:val="nil"/>
              <w:bottom w:val="single" w:sz="4" w:space="0" w:color="000000"/>
              <w:right w:val="single" w:sz="4" w:space="0" w:color="000000"/>
            </w:tcBorders>
          </w:tcPr>
          <w:p>
            <w:pPr>
              <w:pStyle w:val="TableParagraph"/>
              <w:spacing w:line="252" w:lineRule="exact"/>
              <w:ind w:left="288" w:right="258"/>
              <w:jc w:val="center"/>
              <w:rPr>
                <w:sz w:val="21"/>
              </w:rPr>
            </w:pPr>
            <w:r>
              <w:rPr>
                <w:color w:val="0000FF"/>
                <w:sz w:val="21"/>
              </w:rPr>
              <w:t>施工便道</w:t>
            </w:r>
          </w:p>
        </w:tc>
        <w:tc>
          <w:tcPr>
            <w:tcW w:w="1691"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right="639"/>
              <w:jc w:val="right"/>
              <w:rPr>
                <w:rFonts w:ascii="Times New Roman"/>
                <w:sz w:val="21"/>
              </w:rPr>
            </w:pPr>
            <w:r>
              <w:rPr>
                <w:rFonts w:ascii="Times New Roman"/>
                <w:color w:val="0000FF"/>
                <w:sz w:val="21"/>
              </w:rPr>
              <w:t>0.24</w:t>
            </w:r>
          </w:p>
        </w:tc>
        <w:tc>
          <w:tcPr>
            <w:tcW w:w="1643"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74" w:right="148"/>
              <w:jc w:val="center"/>
              <w:rPr>
                <w:rFonts w:ascii="Times New Roman"/>
                <w:sz w:val="21"/>
              </w:rPr>
            </w:pPr>
            <w:r>
              <w:rPr>
                <w:rFonts w:ascii="Times New Roman"/>
                <w:color w:val="0000FF"/>
                <w:sz w:val="21"/>
              </w:rPr>
              <w:t>0.24</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194" w:right="166"/>
              <w:jc w:val="center"/>
              <w:rPr>
                <w:rFonts w:ascii="Times New Roman"/>
                <w:sz w:val="21"/>
              </w:rPr>
            </w:pPr>
            <w:r>
              <w:rPr>
                <w:rFonts w:ascii="Times New Roman"/>
                <w:color w:val="0000FF"/>
                <w:sz w:val="21"/>
              </w:rPr>
              <w:t>0.24</w:t>
            </w:r>
          </w:p>
        </w:tc>
        <w:tc>
          <w:tcPr>
            <w:tcW w:w="1574" w:type="dxa"/>
            <w:tcBorders>
              <w:top w:val="single" w:sz="4" w:space="0" w:color="000000"/>
              <w:left w:val="single" w:sz="4" w:space="0" w:color="000000"/>
              <w:bottom w:val="single" w:sz="4" w:space="0" w:color="000000"/>
              <w:right w:val="single" w:sz="4" w:space="0" w:color="000000"/>
            </w:tcBorders>
          </w:tcPr>
          <w:p>
            <w:pPr>
              <w:pStyle w:val="TableParagraph"/>
              <w:spacing w:line="239" w:lineRule="exact"/>
              <w:ind w:left="27"/>
              <w:jc w:val="center"/>
              <w:rPr>
                <w:rFonts w:ascii="Times New Roman"/>
                <w:sz w:val="21"/>
              </w:rPr>
            </w:pPr>
            <w:r>
              <w:rPr>
                <w:rFonts w:ascii="Times New Roman"/>
                <w:color w:val="0000FF"/>
                <w:w w:val="99"/>
                <w:sz w:val="21"/>
              </w:rPr>
              <w:t>0</w:t>
            </w:r>
          </w:p>
        </w:tc>
        <w:tc>
          <w:tcPr>
            <w:tcW w:w="1225" w:type="dxa"/>
            <w:tcBorders>
              <w:top w:val="single" w:sz="4" w:space="0" w:color="000000"/>
              <w:left w:val="single" w:sz="4" w:space="0" w:color="000000"/>
              <w:bottom w:val="single" w:sz="4" w:space="0" w:color="000000"/>
              <w:right w:val="nil"/>
            </w:tcBorders>
          </w:tcPr>
          <w:p>
            <w:pPr>
              <w:pStyle w:val="TableParagraph"/>
              <w:spacing w:line="239" w:lineRule="exact"/>
              <w:ind w:left="22"/>
              <w:jc w:val="center"/>
              <w:rPr>
                <w:rFonts w:ascii="Times New Roman"/>
                <w:sz w:val="21"/>
              </w:rPr>
            </w:pPr>
            <w:r>
              <w:rPr>
                <w:rFonts w:ascii="Times New Roman"/>
                <w:color w:val="0000FF"/>
                <w:w w:val="99"/>
                <w:sz w:val="21"/>
              </w:rPr>
              <w:t>0</w:t>
            </w:r>
          </w:p>
        </w:tc>
      </w:tr>
      <w:tr>
        <w:tblPrEx>
          <w:tblW w:w="0" w:type="auto"/>
          <w:jc w:val="left"/>
          <w:tblInd w:w="690" w:type="dxa"/>
          <w:tblLayout w:type="fixed"/>
          <w:tblCellMar>
            <w:top w:w="0" w:type="dxa"/>
            <w:left w:w="0" w:type="dxa"/>
            <w:bottom w:w="0" w:type="dxa"/>
            <w:right w:w="0" w:type="dxa"/>
          </w:tblCellMar>
          <w:tblLook w:val="01E0"/>
        </w:tblPrEx>
        <w:trPr>
          <w:trHeight w:val="272"/>
          <w:jc w:val="left"/>
        </w:trPr>
        <w:tc>
          <w:tcPr>
            <w:tcW w:w="1431" w:type="dxa"/>
            <w:tcBorders>
              <w:top w:val="single" w:sz="4" w:space="0" w:color="000000"/>
              <w:left w:val="nil"/>
              <w:bottom w:val="single" w:sz="4" w:space="0" w:color="000000"/>
              <w:right w:val="single" w:sz="4" w:space="0" w:color="000000"/>
            </w:tcBorders>
          </w:tcPr>
          <w:p>
            <w:pPr>
              <w:pStyle w:val="TableParagraph"/>
              <w:spacing w:line="251" w:lineRule="exact"/>
              <w:ind w:left="288" w:right="256"/>
              <w:jc w:val="center"/>
              <w:rPr>
                <w:sz w:val="21"/>
              </w:rPr>
            </w:pPr>
            <w:r>
              <w:rPr>
                <w:color w:val="0000FF"/>
                <w:sz w:val="21"/>
              </w:rPr>
              <w:t>弃渣场</w:t>
            </w:r>
          </w:p>
        </w:tc>
        <w:tc>
          <w:tcPr>
            <w:tcW w:w="1691"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right="639"/>
              <w:jc w:val="right"/>
              <w:rPr>
                <w:rFonts w:ascii="Times New Roman"/>
                <w:sz w:val="21"/>
              </w:rPr>
            </w:pPr>
            <w:r>
              <w:rPr>
                <w:rFonts w:ascii="Times New Roman"/>
                <w:color w:val="0000FF"/>
                <w:sz w:val="21"/>
              </w:rPr>
              <w:t>0.17</w:t>
            </w:r>
          </w:p>
        </w:tc>
        <w:tc>
          <w:tcPr>
            <w:tcW w:w="1643"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174" w:right="148"/>
              <w:jc w:val="center"/>
              <w:rPr>
                <w:rFonts w:ascii="Times New Roman"/>
                <w:sz w:val="21"/>
              </w:rPr>
            </w:pPr>
            <w:r>
              <w:rPr>
                <w:rFonts w:ascii="Times New Roman"/>
                <w:color w:val="0000FF"/>
                <w:sz w:val="21"/>
              </w:rPr>
              <w:t>0.41</w:t>
            </w:r>
          </w:p>
        </w:tc>
        <w:tc>
          <w:tcPr>
            <w:tcW w:w="1043"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194" w:right="166"/>
              <w:jc w:val="center"/>
              <w:rPr>
                <w:rFonts w:ascii="Times New Roman"/>
                <w:sz w:val="21"/>
              </w:rPr>
            </w:pPr>
            <w:r>
              <w:rPr>
                <w:rFonts w:ascii="Times New Roman"/>
                <w:color w:val="0000FF"/>
                <w:sz w:val="21"/>
              </w:rPr>
              <w:t>0.17</w:t>
            </w:r>
          </w:p>
        </w:tc>
        <w:tc>
          <w:tcPr>
            <w:tcW w:w="1574" w:type="dxa"/>
            <w:tcBorders>
              <w:top w:val="single" w:sz="4" w:space="0" w:color="000000"/>
              <w:left w:val="single" w:sz="4" w:space="0" w:color="000000"/>
              <w:bottom w:val="single" w:sz="4" w:space="0" w:color="000000"/>
              <w:right w:val="single" w:sz="4" w:space="0" w:color="000000"/>
            </w:tcBorders>
          </w:tcPr>
          <w:p>
            <w:pPr>
              <w:pStyle w:val="TableParagraph"/>
              <w:spacing w:line="238" w:lineRule="exact"/>
              <w:ind w:left="460" w:right="433"/>
              <w:jc w:val="center"/>
              <w:rPr>
                <w:rFonts w:ascii="Times New Roman"/>
                <w:sz w:val="21"/>
              </w:rPr>
            </w:pPr>
            <w:r>
              <w:rPr>
                <w:rFonts w:ascii="Times New Roman"/>
                <w:color w:val="0000FF"/>
                <w:sz w:val="21"/>
              </w:rPr>
              <w:t>0.24</w:t>
            </w:r>
          </w:p>
        </w:tc>
        <w:tc>
          <w:tcPr>
            <w:tcW w:w="1225" w:type="dxa"/>
            <w:tcBorders>
              <w:top w:val="single" w:sz="4" w:space="0" w:color="000000"/>
              <w:left w:val="single" w:sz="4" w:space="0" w:color="000000"/>
              <w:bottom w:val="single" w:sz="4" w:space="0" w:color="000000"/>
              <w:right w:val="nil"/>
            </w:tcBorders>
          </w:tcPr>
          <w:p>
            <w:pPr>
              <w:pStyle w:val="TableParagraph"/>
              <w:spacing w:line="238" w:lineRule="exact"/>
              <w:ind w:left="22"/>
              <w:jc w:val="center"/>
              <w:rPr>
                <w:rFonts w:ascii="Times New Roman"/>
                <w:sz w:val="21"/>
              </w:rPr>
            </w:pPr>
            <w:r>
              <w:rPr>
                <w:rFonts w:ascii="Times New Roman"/>
                <w:color w:val="0000FF"/>
                <w:w w:val="99"/>
                <w:sz w:val="21"/>
              </w:rPr>
              <w:t>0</w:t>
            </w:r>
          </w:p>
        </w:tc>
      </w:tr>
      <w:tr>
        <w:tblPrEx>
          <w:tblW w:w="0" w:type="auto"/>
          <w:jc w:val="left"/>
          <w:tblInd w:w="690" w:type="dxa"/>
          <w:tblLayout w:type="fixed"/>
          <w:tblCellMar>
            <w:top w:w="0" w:type="dxa"/>
            <w:left w:w="0" w:type="dxa"/>
            <w:bottom w:w="0" w:type="dxa"/>
            <w:right w:w="0" w:type="dxa"/>
          </w:tblCellMar>
          <w:tblLook w:val="01E0"/>
        </w:tblPrEx>
        <w:trPr>
          <w:trHeight w:val="271"/>
          <w:jc w:val="left"/>
        </w:trPr>
        <w:tc>
          <w:tcPr>
            <w:tcW w:w="1431" w:type="dxa"/>
            <w:tcBorders>
              <w:top w:val="single" w:sz="4" w:space="0" w:color="000000"/>
              <w:left w:val="nil"/>
              <w:right w:val="single" w:sz="4" w:space="0" w:color="000000"/>
            </w:tcBorders>
          </w:tcPr>
          <w:p>
            <w:pPr>
              <w:pStyle w:val="TableParagraph"/>
              <w:spacing w:line="251" w:lineRule="exact"/>
              <w:ind w:left="286" w:right="258"/>
              <w:jc w:val="center"/>
              <w:rPr>
                <w:sz w:val="21"/>
              </w:rPr>
            </w:pPr>
            <w:r>
              <w:rPr>
                <w:color w:val="0000FF"/>
                <w:sz w:val="21"/>
              </w:rPr>
              <w:t>合计</w:t>
            </w:r>
          </w:p>
        </w:tc>
        <w:tc>
          <w:tcPr>
            <w:tcW w:w="1691" w:type="dxa"/>
            <w:tcBorders>
              <w:top w:val="single" w:sz="4" w:space="0" w:color="000000"/>
              <w:left w:val="single" w:sz="4" w:space="0" w:color="000000"/>
              <w:right w:val="single" w:sz="4" w:space="0" w:color="000000"/>
            </w:tcBorders>
          </w:tcPr>
          <w:p>
            <w:pPr>
              <w:pStyle w:val="TableParagraph"/>
              <w:spacing w:line="238" w:lineRule="exact"/>
              <w:ind w:right="692"/>
              <w:jc w:val="right"/>
              <w:rPr>
                <w:rFonts w:ascii="Times New Roman"/>
                <w:sz w:val="21"/>
              </w:rPr>
            </w:pPr>
            <w:r>
              <w:rPr>
                <w:rFonts w:ascii="Times New Roman"/>
                <w:color w:val="0000FF"/>
                <w:w w:val="95"/>
                <w:sz w:val="21"/>
              </w:rPr>
              <w:t>4.1</w:t>
            </w:r>
          </w:p>
        </w:tc>
        <w:tc>
          <w:tcPr>
            <w:tcW w:w="1643" w:type="dxa"/>
            <w:tcBorders>
              <w:top w:val="single" w:sz="4" w:space="0" w:color="000000"/>
              <w:left w:val="single" w:sz="4" w:space="0" w:color="000000"/>
              <w:right w:val="single" w:sz="4" w:space="0" w:color="000000"/>
            </w:tcBorders>
          </w:tcPr>
          <w:p>
            <w:pPr>
              <w:pStyle w:val="TableParagraph"/>
              <w:spacing w:line="238" w:lineRule="exact"/>
              <w:ind w:left="174" w:right="148"/>
              <w:jc w:val="center"/>
              <w:rPr>
                <w:rFonts w:ascii="Times New Roman"/>
                <w:sz w:val="21"/>
              </w:rPr>
            </w:pPr>
            <w:r>
              <w:rPr>
                <w:rFonts w:ascii="Times New Roman"/>
                <w:color w:val="0000FF"/>
                <w:sz w:val="21"/>
              </w:rPr>
              <w:t>4.5</w:t>
            </w:r>
          </w:p>
        </w:tc>
        <w:tc>
          <w:tcPr>
            <w:tcW w:w="1043" w:type="dxa"/>
            <w:tcBorders>
              <w:top w:val="single" w:sz="4" w:space="0" w:color="000000"/>
              <w:left w:val="single" w:sz="4" w:space="0" w:color="000000"/>
              <w:right w:val="single" w:sz="4" w:space="0" w:color="000000"/>
            </w:tcBorders>
          </w:tcPr>
          <w:p>
            <w:pPr>
              <w:pStyle w:val="TableParagraph"/>
              <w:spacing w:line="238" w:lineRule="exact"/>
              <w:ind w:left="194" w:right="166"/>
              <w:jc w:val="center"/>
              <w:rPr>
                <w:rFonts w:ascii="Times New Roman"/>
                <w:sz w:val="21"/>
              </w:rPr>
            </w:pPr>
            <w:r>
              <w:rPr>
                <w:rFonts w:ascii="Times New Roman"/>
                <w:color w:val="0000FF"/>
                <w:sz w:val="21"/>
              </w:rPr>
              <w:t>4.01</w:t>
            </w:r>
          </w:p>
        </w:tc>
        <w:tc>
          <w:tcPr>
            <w:tcW w:w="1574" w:type="dxa"/>
            <w:tcBorders>
              <w:top w:val="single" w:sz="4" w:space="0" w:color="000000"/>
              <w:left w:val="single" w:sz="4" w:space="0" w:color="000000"/>
              <w:right w:val="single" w:sz="4" w:space="0" w:color="000000"/>
            </w:tcBorders>
          </w:tcPr>
          <w:p>
            <w:pPr>
              <w:pStyle w:val="TableParagraph"/>
              <w:spacing w:line="238" w:lineRule="exact"/>
              <w:ind w:left="460" w:right="433"/>
              <w:jc w:val="center"/>
              <w:rPr>
                <w:rFonts w:ascii="Times New Roman"/>
                <w:sz w:val="21"/>
              </w:rPr>
            </w:pPr>
            <w:r>
              <w:rPr>
                <w:rFonts w:ascii="Times New Roman"/>
                <w:color w:val="0000FF"/>
                <w:sz w:val="21"/>
              </w:rPr>
              <w:t>0.49</w:t>
            </w:r>
          </w:p>
        </w:tc>
        <w:tc>
          <w:tcPr>
            <w:tcW w:w="1225" w:type="dxa"/>
            <w:tcBorders>
              <w:top w:val="single" w:sz="4" w:space="0" w:color="000000"/>
              <w:left w:val="single" w:sz="4" w:space="0" w:color="000000"/>
              <w:right w:val="nil"/>
            </w:tcBorders>
          </w:tcPr>
          <w:p>
            <w:pPr>
              <w:pStyle w:val="TableParagraph"/>
              <w:spacing w:line="238" w:lineRule="exact"/>
              <w:ind w:left="417" w:right="395"/>
              <w:jc w:val="center"/>
              <w:rPr>
                <w:rFonts w:ascii="Times New Roman"/>
                <w:sz w:val="21"/>
              </w:rPr>
            </w:pPr>
            <w:r>
              <w:rPr>
                <w:rFonts w:ascii="Times New Roman"/>
                <w:color w:val="0000FF"/>
                <w:sz w:val="21"/>
              </w:rPr>
              <w:t>0.09</w:t>
            </w:r>
          </w:p>
        </w:tc>
      </w:tr>
    </w:tbl>
    <w:p>
      <w:pPr>
        <w:pStyle w:val="ListParagraph"/>
        <w:numPr>
          <w:ilvl w:val="1"/>
          <w:numId w:val="38"/>
        </w:numPr>
        <w:tabs>
          <w:tab w:val="left" w:pos="1537"/>
        </w:tabs>
        <w:spacing w:before="0" w:after="0" w:line="240" w:lineRule="auto"/>
        <w:ind w:left="1536" w:right="0" w:hanging="361"/>
        <w:jc w:val="left"/>
        <w:rPr>
          <w:rFonts w:ascii="Times New Roman" w:eastAsia="Times New Roman"/>
          <w:b/>
          <w:color w:val="0000FF"/>
          <w:sz w:val="24"/>
        </w:rPr>
      </w:pPr>
      <w:r>
        <w:rPr>
          <w:b/>
          <w:color w:val="0000FF"/>
          <w:sz w:val="24"/>
        </w:rPr>
        <w:t>施工营地和场地布置</w:t>
      </w:r>
    </w:p>
    <w:p>
      <w:pPr>
        <w:pStyle w:val="BodyText"/>
        <w:spacing w:before="158" w:line="362" w:lineRule="auto"/>
        <w:ind w:left="696" w:right="266" w:firstLine="480"/>
      </w:pPr>
      <w:r>
        <w:rPr>
          <w:color w:val="0000FF"/>
        </w:rPr>
        <w:t>项目不设置施工生活区，在当地餐馆就餐，施工人员为当地居民，在当地民房内住宿。施工场地用于施工材料和施工设备的临时堆放。</w:t>
      </w:r>
    </w:p>
    <w:p>
      <w:pPr>
        <w:pStyle w:val="BodyText"/>
        <w:spacing w:before="5"/>
        <w:ind w:left="1176"/>
      </w:pPr>
      <w:r>
        <w:rPr>
          <w:color w:val="0000FF"/>
        </w:rPr>
        <w:t>本项目不设生活营地、预制场及拌和场。</w:t>
      </w:r>
    </w:p>
    <w:p>
      <w:pPr>
        <w:pStyle w:val="Heading2"/>
        <w:numPr>
          <w:ilvl w:val="1"/>
          <w:numId w:val="38"/>
        </w:numPr>
        <w:tabs>
          <w:tab w:val="left" w:pos="1537"/>
        </w:tabs>
        <w:spacing w:before="160" w:after="0" w:line="240" w:lineRule="auto"/>
        <w:ind w:left="1536" w:right="0" w:hanging="361"/>
        <w:jc w:val="left"/>
        <w:rPr>
          <w:rFonts w:ascii="Times New Roman" w:eastAsia="Times New Roman"/>
          <w:color w:val="0000FF"/>
        </w:rPr>
      </w:pPr>
      <w:r>
        <w:rPr>
          <w:color w:val="0000FF"/>
        </w:rPr>
        <w:t>施工供水、供电</w:t>
      </w:r>
    </w:p>
    <w:p>
      <w:pPr>
        <w:pStyle w:val="BodyText"/>
        <w:spacing w:before="158"/>
        <w:ind w:left="1176"/>
      </w:pPr>
      <w:r>
        <w:rPr>
          <w:color w:val="0000FF"/>
        </w:rPr>
        <w:t>①供水</w:t>
      </w:r>
    </w:p>
    <w:p>
      <w:pPr>
        <w:pStyle w:val="BodyText"/>
        <w:spacing w:before="161"/>
        <w:ind w:left="1176"/>
      </w:pPr>
      <w:r>
        <w:rPr>
          <w:color w:val="0000FF"/>
        </w:rPr>
        <w:t>项目区周边水电配套完善，施工用水就近从附近供水管网分接。</w:t>
      </w:r>
    </w:p>
    <w:p>
      <w:pPr>
        <w:pStyle w:val="BodyText"/>
        <w:spacing w:before="158"/>
        <w:ind w:left="1176"/>
      </w:pPr>
      <w:r>
        <w:rPr>
          <w:color w:val="0000FF"/>
        </w:rPr>
        <w:t>②供电</w:t>
      </w:r>
    </w:p>
    <w:p>
      <w:pPr>
        <w:pStyle w:val="BodyText"/>
        <w:spacing w:before="160"/>
        <w:ind w:left="1176"/>
      </w:pPr>
      <w:r>
        <w:rPr>
          <w:color w:val="0000FF"/>
        </w:rPr>
        <w:t>项目周围分布电网较广，电力供应充足，工程用电可以考虑就近接入市政电网。</w:t>
      </w:r>
    </w:p>
    <w:p>
      <w:pPr>
        <w:pStyle w:val="Heading2"/>
        <w:numPr>
          <w:ilvl w:val="1"/>
          <w:numId w:val="38"/>
        </w:numPr>
        <w:tabs>
          <w:tab w:val="left" w:pos="1537"/>
        </w:tabs>
        <w:spacing w:before="159" w:after="0" w:line="240" w:lineRule="auto"/>
        <w:ind w:left="1536" w:right="0" w:hanging="361"/>
        <w:jc w:val="left"/>
        <w:rPr>
          <w:rFonts w:ascii="Times New Roman" w:eastAsia="Times New Roman"/>
        </w:rPr>
      </w:pPr>
      <w:r>
        <w:t>技术标准</w:t>
      </w:r>
    </w:p>
    <w:p>
      <w:pPr>
        <w:pStyle w:val="ListParagraph"/>
        <w:numPr>
          <w:ilvl w:val="0"/>
          <w:numId w:val="34"/>
        </w:numPr>
        <w:tabs>
          <w:tab w:val="left" w:pos="1357"/>
        </w:tabs>
        <w:spacing w:before="160" w:after="0" w:line="240" w:lineRule="auto"/>
        <w:ind w:left="1356" w:right="0" w:hanging="181"/>
        <w:jc w:val="left"/>
        <w:rPr>
          <w:sz w:val="24"/>
        </w:rPr>
      </w:pPr>
      <w:r>
        <w:rPr>
          <w:sz w:val="24"/>
        </w:rPr>
        <w:t>道路等级及设计速度</w:t>
      </w:r>
    </w:p>
    <w:p>
      <w:pPr>
        <w:pStyle w:val="BodyText"/>
        <w:spacing w:before="158" w:line="364" w:lineRule="auto"/>
        <w:ind w:left="696" w:right="266" w:firstLine="480"/>
      </w:pPr>
      <w:r>
        <w:t>根据项目在路网中的地位、交通功能以及沿线服务功能分析，本项道路等级应采用二级公路标准。</w:t>
      </w:r>
    </w:p>
    <w:p>
      <w:pPr>
        <w:pStyle w:val="ListParagraph"/>
        <w:numPr>
          <w:ilvl w:val="0"/>
          <w:numId w:val="34"/>
        </w:numPr>
        <w:tabs>
          <w:tab w:val="left" w:pos="1357"/>
        </w:tabs>
        <w:spacing w:before="0" w:after="0" w:line="306" w:lineRule="exact"/>
        <w:ind w:left="1356" w:right="0" w:hanging="181"/>
        <w:jc w:val="left"/>
        <w:rPr>
          <w:sz w:val="24"/>
        </w:rPr>
      </w:pPr>
      <w:r>
        <w:rPr>
          <w:sz w:val="24"/>
        </w:rPr>
        <w:t>道路设计标准</w:t>
      </w:r>
    </w:p>
    <w:p>
      <w:pPr>
        <w:pStyle w:val="ListParagraph"/>
        <w:numPr>
          <w:ilvl w:val="0"/>
          <w:numId w:val="33"/>
        </w:numPr>
        <w:tabs>
          <w:tab w:val="left" w:pos="1778"/>
        </w:tabs>
        <w:spacing w:before="161" w:after="0" w:line="240" w:lineRule="auto"/>
        <w:ind w:left="1777" w:right="0" w:hanging="602"/>
        <w:jc w:val="left"/>
        <w:rPr>
          <w:sz w:val="24"/>
        </w:rPr>
      </w:pPr>
      <w:r>
        <w:rPr>
          <w:sz w:val="24"/>
        </w:rPr>
        <w:t>道路线形标准</w:t>
      </w:r>
    </w:p>
    <w:p>
      <w:pPr>
        <w:pStyle w:val="BodyText"/>
        <w:spacing w:before="160"/>
        <w:ind w:left="1176"/>
      </w:pPr>
      <w:r>
        <w:t>本项目线形设计标准执行《公路工程技术标准》</w:t>
      </w:r>
      <w:r>
        <w:rPr>
          <w:color w:val="999999"/>
          <w:sz w:val="21"/>
        </w:rPr>
        <w:t>（</w:t>
      </w:r>
      <w:r>
        <w:rPr>
          <w:rFonts w:ascii="Times New Roman" w:eastAsia="Times New Roman"/>
        </w:rPr>
        <w:t>CTGB01-2014</w:t>
      </w:r>
      <w:r>
        <w:rPr>
          <w:color w:val="999999"/>
          <w:sz w:val="21"/>
        </w:rPr>
        <w:t>）</w:t>
      </w:r>
      <w:r>
        <w:t>规定值。</w:t>
      </w:r>
    </w:p>
    <w:p>
      <w:pPr>
        <w:spacing w:after="0"/>
        <w:sectPr>
          <w:footerReference w:type="default" r:id="rId28"/>
          <w:pgSz w:w="11910" w:h="16840"/>
          <w:pgMar w:top="1380" w:right="1100" w:bottom="1260" w:left="1180" w:header="0" w:footer="997"/>
          <w:pgNumType w:start="15"/>
          <w:cols w:space="708"/>
        </w:sectPr>
      </w:pPr>
    </w:p>
    <w:p>
      <w:pPr>
        <w:pStyle w:val="ListParagraph"/>
        <w:numPr>
          <w:ilvl w:val="0"/>
          <w:numId w:val="33"/>
        </w:numPr>
        <w:tabs>
          <w:tab w:val="left" w:pos="1778"/>
        </w:tabs>
        <w:spacing w:before="55" w:after="0" w:line="240" w:lineRule="auto"/>
        <w:ind w:left="1777" w:right="0" w:hanging="602"/>
        <w:jc w:val="left"/>
        <w:rPr>
          <w:sz w:val="24"/>
        </w:rPr>
      </w:pPr>
      <w:r>
        <w:pict>
          <v:group id="_x0000_s1053" style="width:465.1pt;height:678.35pt;margin-top:72pt;margin-left:65.12pt;mso-position-horizontal-relative:page;mso-position-vertical-relative:page;position:absolute;z-index:-251645952" coordorigin="1302,1440" coordsize="9302,13567">
            <v:shape id="_x0000_s1054" style="width:9302;height:13567;left:1302;position:absolute;top:1831" coordorigin="1302,1832" coordsize="9302,13567" path="m1302,1450l10604,1450m1302,14997l10604,14997m1312,1440l1312,15006m10594,1459l10594,15006e" filled="f" stroked="t" strokecolor="black" strokeweight="0.96pt">
              <v:stroke dashstyle="solid"/>
              <v:path arrowok="t"/>
            </v:shape>
            <v:line id="_x0000_s1055" style="position:absolute" from="1768,1459" to="1768,14987" stroked="t" strokecolor="black" strokeweight="0.48pt">
              <v:stroke dashstyle="solid"/>
            </v:line>
          </v:group>
        </w:pict>
      </w:r>
      <w:r>
        <w:rPr>
          <w:sz w:val="24"/>
        </w:rPr>
        <w:t>路面结构层</w:t>
      </w:r>
    </w:p>
    <w:p>
      <w:pPr>
        <w:pStyle w:val="BodyText"/>
        <w:spacing w:before="158"/>
        <w:ind w:left="1176"/>
        <w:rPr>
          <w:sz w:val="21"/>
        </w:rPr>
      </w:pPr>
      <w:r>
        <w:t>根据本项目特点</w:t>
      </w:r>
      <w:r>
        <w:rPr>
          <w:color w:val="999999"/>
          <w:sz w:val="21"/>
        </w:rPr>
        <w:t>，</w:t>
      </w:r>
      <w:r>
        <w:t>拟定行车道结构层如下</w:t>
      </w:r>
      <w:r>
        <w:rPr>
          <w:color w:val="999999"/>
          <w:sz w:val="21"/>
        </w:rPr>
        <w:t>：</w:t>
      </w:r>
    </w:p>
    <w:p>
      <w:pPr>
        <w:pStyle w:val="BodyText"/>
        <w:spacing w:before="158"/>
        <w:ind w:left="2136"/>
      </w:pPr>
      <w:r>
        <w:rPr>
          <w:rFonts w:ascii="Times New Roman" w:eastAsia="Times New Roman"/>
        </w:rPr>
        <w:t>4cmSMA-13</w:t>
      </w:r>
      <w:r>
        <w:rPr>
          <w:color w:val="999999"/>
          <w:sz w:val="21"/>
        </w:rPr>
        <w:t>（</w:t>
      </w:r>
      <w:r>
        <w:t>改性</w:t>
      </w:r>
      <w:r>
        <w:rPr>
          <w:color w:val="999999"/>
          <w:sz w:val="21"/>
        </w:rPr>
        <w:t>）</w:t>
      </w:r>
      <w:r>
        <w:t>沥青混凝土面层</w:t>
      </w:r>
    </w:p>
    <w:p>
      <w:pPr>
        <w:pStyle w:val="BodyText"/>
        <w:tabs>
          <w:tab w:val="left" w:pos="4200"/>
        </w:tabs>
        <w:spacing w:before="160" w:line="362" w:lineRule="auto"/>
        <w:ind w:left="2136" w:right="3743"/>
      </w:pPr>
      <w:r>
        <w:rPr>
          <w:rFonts w:ascii="Times New Roman" w:eastAsia="Times New Roman"/>
        </w:rPr>
        <w:t>8cmSup-20</w:t>
        <w:tab/>
      </w:r>
      <w:r>
        <w:rPr>
          <w:spacing w:val="-3"/>
        </w:rPr>
        <w:t>沥青混凝土面层</w:t>
      </w:r>
      <w:r>
        <w:t>沥青下封层</w:t>
      </w:r>
    </w:p>
    <w:p>
      <w:pPr>
        <w:pStyle w:val="BodyText"/>
        <w:spacing w:before="5"/>
        <w:ind w:left="2136"/>
      </w:pPr>
      <w:r>
        <w:rPr>
          <w:rFonts w:ascii="Times New Roman" w:eastAsia="Times New Roman"/>
        </w:rPr>
        <w:t xml:space="preserve">36cm </w:t>
      </w:r>
      <w:r>
        <w:t>水泥稳定碎石基层</w:t>
      </w:r>
    </w:p>
    <w:p>
      <w:pPr>
        <w:pStyle w:val="BodyText"/>
        <w:spacing w:before="161"/>
        <w:ind w:left="2136"/>
      </w:pPr>
      <w:r>
        <w:rPr>
          <w:rFonts w:ascii="Times New Roman" w:eastAsia="Times New Roman"/>
        </w:rPr>
        <w:t>20cm12%</w:t>
      </w:r>
      <w:r>
        <w:t>石灰土底基层</w:t>
      </w:r>
    </w:p>
    <w:p>
      <w:pPr>
        <w:pStyle w:val="BodyText"/>
        <w:spacing w:before="158"/>
        <w:ind w:left="2136"/>
        <w:rPr>
          <w:sz w:val="21"/>
        </w:rPr>
      </w:pPr>
      <w:r>
        <w:rPr>
          <w:rFonts w:ascii="Times New Roman" w:eastAsia="Times New Roman"/>
        </w:rPr>
        <w:t xml:space="preserve">80cm </w:t>
      </w:r>
      <w:r>
        <w:t>路床</w:t>
      </w:r>
      <w:r>
        <w:rPr>
          <w:color w:val="999999"/>
          <w:sz w:val="21"/>
        </w:rPr>
        <w:t>（</w:t>
      </w:r>
      <w:r>
        <w:t xml:space="preserve">掺 </w:t>
      </w:r>
      <w:r>
        <w:rPr>
          <w:rFonts w:ascii="Times New Roman" w:eastAsia="Times New Roman"/>
        </w:rPr>
        <w:t>5%</w:t>
      </w:r>
      <w:r>
        <w:t>石灰</w:t>
      </w:r>
      <w:r>
        <w:rPr>
          <w:color w:val="999999"/>
          <w:sz w:val="21"/>
        </w:rPr>
        <w:t>）</w:t>
      </w:r>
    </w:p>
    <w:p>
      <w:pPr>
        <w:pStyle w:val="BodyText"/>
        <w:spacing w:before="160"/>
        <w:ind w:left="2136"/>
        <w:rPr>
          <w:sz w:val="21"/>
        </w:rPr>
      </w:pPr>
      <w:r>
        <w:rPr>
          <w:rFonts w:ascii="Times New Roman" w:eastAsia="Times New Roman"/>
        </w:rPr>
        <w:t xml:space="preserve">20cm </w:t>
      </w:r>
      <w:r>
        <w:t>槽底处理</w:t>
      </w:r>
      <w:r>
        <w:rPr>
          <w:color w:val="999999"/>
          <w:sz w:val="21"/>
        </w:rPr>
        <w:t>（</w:t>
      </w:r>
      <w:r>
        <w:t xml:space="preserve">掺 </w:t>
      </w:r>
      <w:r>
        <w:rPr>
          <w:rFonts w:ascii="Times New Roman" w:eastAsia="Times New Roman"/>
        </w:rPr>
        <w:t>5%</w:t>
      </w:r>
      <w:r>
        <w:t>石灰</w:t>
      </w:r>
      <w:r>
        <w:rPr>
          <w:color w:val="999999"/>
          <w:sz w:val="21"/>
        </w:rPr>
        <w:t>）</w:t>
      </w:r>
    </w:p>
    <w:p>
      <w:pPr>
        <w:pStyle w:val="ListParagraph"/>
        <w:numPr>
          <w:ilvl w:val="0"/>
          <w:numId w:val="33"/>
        </w:numPr>
        <w:tabs>
          <w:tab w:val="left" w:pos="1778"/>
        </w:tabs>
        <w:spacing w:before="159" w:after="0" w:line="364" w:lineRule="auto"/>
        <w:ind w:left="1176" w:right="6647" w:firstLine="0"/>
        <w:jc w:val="left"/>
        <w:rPr>
          <w:sz w:val="24"/>
        </w:rPr>
      </w:pPr>
      <w:r>
        <w:rPr>
          <w:spacing w:val="-4"/>
          <w:sz w:val="24"/>
        </w:rPr>
        <w:t>构造物标准</w:t>
      </w:r>
      <w:r>
        <w:rPr>
          <w:spacing w:val="-15"/>
          <w:sz w:val="24"/>
        </w:rPr>
        <w:t xml:space="preserve">公路一 </w:t>
      </w:r>
      <w:r>
        <w:rPr>
          <w:rFonts w:ascii="Times New Roman" w:eastAsia="Times New Roman"/>
          <w:sz w:val="24"/>
        </w:rPr>
        <w:t xml:space="preserve">1 </w:t>
      </w:r>
      <w:r>
        <w:rPr>
          <w:sz w:val="24"/>
        </w:rPr>
        <w:t>级。</w:t>
      </w:r>
    </w:p>
    <w:p>
      <w:pPr>
        <w:pStyle w:val="ListParagraph"/>
        <w:numPr>
          <w:ilvl w:val="0"/>
          <w:numId w:val="33"/>
        </w:numPr>
        <w:tabs>
          <w:tab w:val="left" w:pos="1778"/>
        </w:tabs>
        <w:spacing w:before="0" w:after="0" w:line="306" w:lineRule="exact"/>
        <w:ind w:left="1777" w:right="0" w:hanging="602"/>
        <w:jc w:val="left"/>
        <w:rPr>
          <w:sz w:val="24"/>
        </w:rPr>
      </w:pPr>
      <w:r>
        <w:rPr>
          <w:sz w:val="24"/>
        </w:rPr>
        <w:t>设计洪水频率：</w:t>
      </w:r>
    </w:p>
    <w:p>
      <w:pPr>
        <w:pStyle w:val="BodyText"/>
        <w:spacing w:before="160"/>
        <w:ind w:left="1176"/>
      </w:pPr>
      <w:r>
        <w:t xml:space="preserve">二级公路：中桥 </w:t>
      </w:r>
      <w:r>
        <w:rPr>
          <w:rFonts w:ascii="Times New Roman" w:eastAsia="Times New Roman"/>
        </w:rPr>
        <w:t>1/100</w:t>
      </w:r>
      <w:r>
        <w:t xml:space="preserve">，小桥 </w:t>
      </w:r>
      <w:r>
        <w:rPr>
          <w:rFonts w:ascii="Times New Roman" w:eastAsia="Times New Roman"/>
        </w:rPr>
        <w:t>1/50</w:t>
      </w:r>
      <w:r>
        <w:t>。</w:t>
      </w:r>
    </w:p>
    <w:p>
      <w:pPr>
        <w:pStyle w:val="ListParagraph"/>
        <w:numPr>
          <w:ilvl w:val="0"/>
          <w:numId w:val="33"/>
        </w:numPr>
        <w:tabs>
          <w:tab w:val="left" w:pos="1778"/>
        </w:tabs>
        <w:spacing w:before="158" w:after="0" w:line="240" w:lineRule="auto"/>
        <w:ind w:left="1777" w:right="0" w:hanging="602"/>
        <w:jc w:val="left"/>
        <w:rPr>
          <w:sz w:val="24"/>
        </w:rPr>
      </w:pPr>
      <w:r>
        <w:rPr>
          <w:sz w:val="24"/>
        </w:rPr>
        <w:t>地震设防</w:t>
      </w:r>
    </w:p>
    <w:p>
      <w:pPr>
        <w:pStyle w:val="BodyText"/>
        <w:spacing w:before="161"/>
        <w:ind w:left="1176"/>
      </w:pPr>
      <w:r>
        <w:t xml:space="preserve">地区地震动峰值加速度系数为 </w:t>
      </w:r>
      <w:r>
        <w:rPr>
          <w:rFonts w:ascii="Times New Roman" w:eastAsia="Times New Roman"/>
        </w:rPr>
        <w:t>0.05g</w:t>
      </w:r>
      <w:r>
        <w:t xml:space="preserve">，考虑抗震设计按 </w:t>
      </w:r>
      <w:r>
        <w:rPr>
          <w:rFonts w:ascii="Times New Roman" w:eastAsia="Times New Roman"/>
        </w:rPr>
        <w:t xml:space="preserve">6 </w:t>
      </w:r>
      <w:r>
        <w:t>度进行设防。</w:t>
      </w:r>
    </w:p>
    <w:p>
      <w:pPr>
        <w:pStyle w:val="Heading2"/>
        <w:numPr>
          <w:ilvl w:val="1"/>
          <w:numId w:val="35"/>
        </w:numPr>
        <w:tabs>
          <w:tab w:val="left" w:pos="1537"/>
        </w:tabs>
        <w:spacing w:before="158" w:after="0" w:line="240" w:lineRule="auto"/>
        <w:ind w:left="1536" w:right="0" w:hanging="361"/>
        <w:jc w:val="left"/>
        <w:rPr>
          <w:rFonts w:ascii="Times New Roman" w:eastAsia="Times New Roman"/>
        </w:rPr>
      </w:pPr>
      <w:r>
        <w:t>设计方案</w:t>
      </w:r>
    </w:p>
    <w:p>
      <w:pPr>
        <w:pStyle w:val="BodyText"/>
        <w:spacing w:before="160"/>
        <w:ind w:left="1176"/>
      </w:pPr>
      <w:r>
        <w:rPr>
          <w:rFonts w:ascii="Times New Roman" w:eastAsia="Times New Roman"/>
        </w:rPr>
        <w:t>1</w:t>
      </w:r>
      <w:r>
        <w:t>、主要控制点</w:t>
      </w:r>
    </w:p>
    <w:p>
      <w:pPr>
        <w:pStyle w:val="BodyText"/>
        <w:spacing w:before="158" w:line="364" w:lineRule="auto"/>
        <w:ind w:left="696" w:right="266" w:firstLine="480"/>
      </w:pPr>
      <w:r>
        <w:t>本项目的路线选址在连盐铁路管控区范围以外，其它主要的控制点为项目起点货场场站、沿线水系、大型沟塘、项目终点与射阜线平面交叉及相关规划文件。</w:t>
      </w:r>
    </w:p>
    <w:p>
      <w:pPr>
        <w:pStyle w:val="BodyText"/>
        <w:spacing w:line="306" w:lineRule="exact"/>
        <w:ind w:left="1176"/>
      </w:pPr>
      <w:r>
        <w:rPr>
          <w:rFonts w:ascii="Times New Roman" w:eastAsia="Times New Roman"/>
        </w:rPr>
        <w:t>2</w:t>
      </w:r>
      <w:r>
        <w:t>、路线布设</w:t>
      </w:r>
    </w:p>
    <w:p>
      <w:pPr>
        <w:pStyle w:val="BodyText"/>
        <w:spacing w:before="161" w:line="364" w:lineRule="auto"/>
        <w:ind w:left="696" w:right="318" w:firstLine="480"/>
        <w:jc w:val="both"/>
      </w:pPr>
      <w:r>
        <w:rPr>
          <w:spacing w:val="-4"/>
        </w:rPr>
        <w:t>路线布设主要从项目功能、与连盐铁路区位关系等角度进行，本次选取的路线在连盐铁路管控区范围以外，以合理利用土地，减少征地规模、降低主石方工程量</w:t>
      </w:r>
      <w:r>
        <w:t>为基本原则进行布线。</w:t>
      </w:r>
    </w:p>
    <w:p>
      <w:pPr>
        <w:pStyle w:val="BodyText"/>
        <w:spacing w:line="307" w:lineRule="exact"/>
        <w:ind w:left="1176"/>
      </w:pPr>
      <w:r>
        <w:rPr>
          <w:rFonts w:ascii="Times New Roman" w:eastAsia="Times New Roman"/>
        </w:rPr>
        <w:t>3</w:t>
      </w:r>
      <w:r>
        <w:t>、路线走向</w:t>
      </w:r>
    </w:p>
    <w:p>
      <w:pPr>
        <w:pStyle w:val="BodyText"/>
        <w:spacing w:before="158" w:line="364" w:lineRule="auto"/>
        <w:ind w:left="696" w:right="318" w:firstLine="480"/>
        <w:jc w:val="both"/>
      </w:pPr>
      <w:r>
        <w:rPr>
          <w:color w:val="0000FF"/>
        </w:rPr>
        <w:t>阜宁东站货运连接线工程</w:t>
      </w:r>
      <w:r>
        <w:rPr>
          <w:color w:val="999999"/>
          <w:sz w:val="21"/>
        </w:rPr>
        <w:t>（</w:t>
      </w:r>
      <w:r>
        <w:rPr>
          <w:color w:val="0000FF"/>
        </w:rPr>
        <w:t>一期</w:t>
      </w:r>
      <w:r>
        <w:rPr>
          <w:color w:val="3188FF"/>
          <w:sz w:val="21"/>
        </w:rPr>
        <w:t>）</w:t>
      </w:r>
      <w:r>
        <w:rPr>
          <w:color w:val="0000FF"/>
          <w:spacing w:val="-1"/>
        </w:rPr>
        <w:t>路线总体呈南北走向。本项目起于阜宁县东</w:t>
      </w:r>
      <w:r>
        <w:rPr>
          <w:color w:val="0000FF"/>
          <w:spacing w:val="-5"/>
        </w:rPr>
        <w:t xml:space="preserve">站货运场站处，路线从场站大门向东引出约 </w:t>
      </w:r>
      <w:r>
        <w:rPr>
          <w:rFonts w:ascii="Times New Roman" w:eastAsia="Times New Roman"/>
          <w:color w:val="0000FF"/>
        </w:rPr>
        <w:t xml:space="preserve">157 </w:t>
      </w:r>
      <w:r>
        <w:rPr>
          <w:color w:val="0000FF"/>
          <w:spacing w:val="-5"/>
        </w:rPr>
        <w:t>米后，路线折向南，依次跨越射沙</w:t>
      </w:r>
      <w:r>
        <w:rPr>
          <w:color w:val="0000FF"/>
          <w:spacing w:val="-6"/>
        </w:rPr>
        <w:t xml:space="preserve">河、十一中沟、蒋圩河、合兴河、生产河后，与射阜线进行平面交叉。按照二级公路标准新建沥青道路长 </w:t>
      </w:r>
      <w:r>
        <w:rPr>
          <w:rFonts w:ascii="Times New Roman" w:eastAsia="Times New Roman"/>
          <w:color w:val="0000FF"/>
        </w:rPr>
        <w:t xml:space="preserve">2.453 </w:t>
      </w:r>
      <w:r>
        <w:rPr>
          <w:color w:val="0000FF"/>
        </w:rPr>
        <w:t>公里。</w:t>
      </w:r>
    </w:p>
    <w:p>
      <w:pPr>
        <w:pStyle w:val="BodyText"/>
        <w:spacing w:line="305" w:lineRule="exact"/>
        <w:ind w:left="1176"/>
      </w:pPr>
      <w:r>
        <w:rPr>
          <w:rFonts w:ascii="Times New Roman" w:eastAsia="Times New Roman"/>
          <w:color w:val="0000FF"/>
        </w:rPr>
        <w:t>4</w:t>
      </w:r>
      <w:r>
        <w:rPr>
          <w:color w:val="0000FF"/>
        </w:rPr>
        <w:t>、临时道路</w:t>
      </w:r>
    </w:p>
    <w:p>
      <w:pPr>
        <w:spacing w:after="0" w:line="305" w:lineRule="exact"/>
        <w:sectPr>
          <w:footerReference w:type="default" r:id="rId29"/>
          <w:pgSz w:w="11910" w:h="16840"/>
          <w:pgMar w:top="1380" w:right="1100" w:bottom="1260" w:left="1180" w:header="0" w:footer="997"/>
          <w:pgNumType w:start="16"/>
          <w:cols w:space="708"/>
        </w:sectPr>
      </w:pPr>
    </w:p>
    <w:p>
      <w:pPr>
        <w:pStyle w:val="BodyText"/>
        <w:spacing w:before="55" w:line="362" w:lineRule="auto"/>
        <w:ind w:left="696" w:right="318" w:firstLine="480"/>
        <w:jc w:val="both"/>
      </w:pPr>
      <w:r>
        <w:pict>
          <v:group id="_x0000_s1056" style="width:465.1pt;height:678.35pt;margin-top:72pt;margin-left:65.12pt;mso-position-horizontal-relative:page;mso-position-vertical-relative:page;position:absolute;z-index:-251644928" coordorigin="1302,1440" coordsize="9302,13567">
            <v:shape id="_x0000_s1057" style="width:9302;height:13567;left:1302;position:absolute;top:1831" coordorigin="1302,1832" coordsize="9302,13567" path="m1302,1450l10604,1450m1302,14997l10604,14997m1312,1440l1312,15006m10594,1459l10594,15006e" filled="f" stroked="t" strokecolor="black" strokeweight="0.96pt">
              <v:stroke dashstyle="solid"/>
              <v:path arrowok="t"/>
            </v:shape>
            <v:line id="_x0000_s1058" style="position:absolute" from="1768,1459" to="1768,14987" stroked="t" strokecolor="black" strokeweight="0.48pt">
              <v:stroke dashstyle="solid"/>
            </v:line>
          </v:group>
        </w:pict>
      </w:r>
      <w:r>
        <w:rPr>
          <w:color w:val="0000FF"/>
          <w:spacing w:val="-5"/>
        </w:rPr>
        <w:t>在建设过程中，可利用现有周边道路运送建筑材料和土石方。项目区内施工便</w:t>
      </w:r>
      <w:r>
        <w:rPr>
          <w:color w:val="0000FF"/>
          <w:spacing w:val="-3"/>
        </w:rPr>
        <w:t>道主要利用现有道路和临时占用项目道路用地，施工结束后修建为永久道路，无需</w:t>
      </w:r>
      <w:r>
        <w:rPr>
          <w:color w:val="0000FF"/>
        </w:rPr>
        <w:t>在建设区外设置临时道路，避免新增占地。</w:t>
      </w:r>
    </w:p>
    <w:p>
      <w:pPr>
        <w:pStyle w:val="BodyText"/>
        <w:spacing w:before="6"/>
        <w:ind w:left="1176"/>
      </w:pPr>
      <w:r>
        <w:rPr>
          <w:rFonts w:ascii="Times New Roman" w:eastAsia="Times New Roman"/>
        </w:rPr>
        <w:t>5</w:t>
      </w:r>
      <w:r>
        <w:t>、建设方案</w:t>
      </w:r>
    </w:p>
    <w:p>
      <w:pPr>
        <w:pStyle w:val="ListParagraph"/>
        <w:numPr>
          <w:ilvl w:val="0"/>
          <w:numId w:val="32"/>
        </w:numPr>
        <w:tabs>
          <w:tab w:val="left" w:pos="1778"/>
        </w:tabs>
        <w:spacing w:before="158" w:after="0" w:line="240" w:lineRule="auto"/>
        <w:ind w:left="1777" w:right="0" w:hanging="602"/>
        <w:jc w:val="left"/>
        <w:rPr>
          <w:sz w:val="24"/>
        </w:rPr>
      </w:pPr>
      <w:r>
        <w:rPr>
          <w:sz w:val="24"/>
        </w:rPr>
        <w:t>路线设计</w:t>
      </w:r>
    </w:p>
    <w:p>
      <w:pPr>
        <w:pStyle w:val="BodyText"/>
        <w:spacing w:before="161" w:line="364" w:lineRule="auto"/>
        <w:ind w:left="696" w:right="318" w:firstLine="480"/>
        <w:jc w:val="both"/>
      </w:pPr>
      <w:r>
        <w:rPr>
          <w:spacing w:val="-3"/>
        </w:rPr>
        <w:t>平面线形设计应遵照利用与建设方案相结合的原则，按规定公路等级的技术指</w:t>
      </w:r>
      <w:r>
        <w:rPr>
          <w:spacing w:val="-7"/>
        </w:rPr>
        <w:t>标，合理、充分地利用土地，减少征迁规模，降低土石方量。纵面线形设计在考虑</w:t>
      </w:r>
      <w:r>
        <w:rPr>
          <w:spacing w:val="-6"/>
        </w:rPr>
        <w:t>当地防洪要求、最小填土高度、规划要求、项目起终点高程等因素的基础上，应满</w:t>
      </w:r>
      <w:r>
        <w:rPr>
          <w:spacing w:val="-5"/>
        </w:rPr>
        <w:t>足设计规范规定的要求，按照设计方案进行控制，在满足线形指标的前提下，尽可</w:t>
      </w:r>
      <w:r>
        <w:t>能降低道路纵面，减少主石方工程数量。</w:t>
      </w:r>
    </w:p>
    <w:p>
      <w:pPr>
        <w:pStyle w:val="BodyText"/>
        <w:spacing w:line="306" w:lineRule="exact"/>
        <w:ind w:left="1176"/>
      </w:pPr>
      <w:r>
        <w:t>制定以下路线布设原则：</w:t>
      </w:r>
    </w:p>
    <w:p>
      <w:pPr>
        <w:pStyle w:val="BodyText"/>
        <w:spacing w:before="158"/>
        <w:ind w:left="1116"/>
      </w:pPr>
      <w:r>
        <w:rPr>
          <w:rFonts w:ascii="Calibri" w:eastAsia="Calibri" w:hAnsi="Calibri"/>
          <w:color w:val="999999"/>
          <w:sz w:val="21"/>
        </w:rPr>
        <w:t>①</w:t>
      </w:r>
      <w:r>
        <w:t>路线布设应与相关规划相协调；</w:t>
      </w:r>
    </w:p>
    <w:p>
      <w:pPr>
        <w:pStyle w:val="BodyText"/>
        <w:spacing w:before="160" w:line="362" w:lineRule="auto"/>
        <w:ind w:left="696" w:right="276" w:firstLine="420"/>
      </w:pPr>
      <w:r>
        <w:rPr>
          <w:rFonts w:ascii="Calibri" w:eastAsia="Calibri" w:hAnsi="Calibri"/>
          <w:color w:val="999999"/>
          <w:sz w:val="21"/>
        </w:rPr>
        <w:t>②</w:t>
      </w:r>
      <w:r>
        <w:t>尽量避开不良工程地质、水文地质区域，减少地基处理工程数量；尽可能顺应地形地物，避免较大拆迁，少占良田；</w:t>
      </w:r>
    </w:p>
    <w:p>
      <w:pPr>
        <w:pStyle w:val="BodyText"/>
        <w:spacing w:before="5"/>
        <w:ind w:left="1116"/>
      </w:pPr>
      <w:r>
        <w:rPr>
          <w:rFonts w:ascii="Calibri" w:eastAsia="Calibri" w:hAnsi="Calibri"/>
          <w:color w:val="999999"/>
          <w:sz w:val="21"/>
        </w:rPr>
        <w:t>③</w:t>
      </w:r>
      <w:r>
        <w:t>处理好路线与水利设施、农林设施的关系；</w:t>
      </w:r>
    </w:p>
    <w:p>
      <w:pPr>
        <w:pStyle w:val="BodyText"/>
        <w:spacing w:before="158" w:line="364" w:lineRule="auto"/>
        <w:ind w:left="696" w:right="276" w:firstLine="420"/>
      </w:pPr>
      <w:r>
        <w:rPr>
          <w:rFonts w:ascii="Calibri" w:eastAsia="Calibri" w:hAnsi="Calibri"/>
          <w:color w:val="999999"/>
          <w:sz w:val="21"/>
        </w:rPr>
        <w:t>④</w:t>
      </w:r>
      <w:r>
        <w:t>尽可能满足线形顺捷的原则，还应因地制宜、因势利导、灵活设计，保证指标间的均衡连续；</w:t>
      </w:r>
    </w:p>
    <w:p>
      <w:pPr>
        <w:pStyle w:val="BodyText"/>
        <w:spacing w:line="364" w:lineRule="auto"/>
        <w:ind w:left="696" w:right="276" w:firstLine="420"/>
      </w:pPr>
      <w:r>
        <w:rPr>
          <w:rFonts w:ascii="Calibri" w:eastAsia="Calibri" w:hAnsi="Calibri"/>
          <w:color w:val="999999"/>
          <w:sz w:val="21"/>
        </w:rPr>
        <w:t>⑤</w:t>
      </w:r>
      <w:r>
        <w:t>坚持总体设计，充分考虑与项目起终点、地方路网的关系，合理降低填土高度，节约土地资源，为沿线地区可持续发展留下空间。</w:t>
      </w:r>
    </w:p>
    <w:p>
      <w:pPr>
        <w:pStyle w:val="ListParagraph"/>
        <w:numPr>
          <w:ilvl w:val="0"/>
          <w:numId w:val="32"/>
        </w:numPr>
        <w:tabs>
          <w:tab w:val="left" w:pos="1778"/>
        </w:tabs>
        <w:spacing w:before="0" w:after="0" w:line="306" w:lineRule="exact"/>
        <w:ind w:left="1777" w:right="0" w:hanging="602"/>
        <w:jc w:val="left"/>
        <w:rPr>
          <w:sz w:val="24"/>
        </w:rPr>
      </w:pPr>
      <w:r>
        <w:rPr>
          <w:sz w:val="24"/>
        </w:rPr>
        <w:t>纵断面设计</w:t>
      </w:r>
    </w:p>
    <w:p>
      <w:pPr>
        <w:pStyle w:val="BodyText"/>
        <w:spacing w:before="159"/>
        <w:ind w:left="1176"/>
      </w:pPr>
      <w:r>
        <w:rPr>
          <w:rFonts w:ascii="Times New Roman" w:eastAsia="Times New Roman"/>
        </w:rPr>
        <w:t>1</w:t>
      </w:r>
      <w:r>
        <w:t>、设计原则</w:t>
      </w:r>
    </w:p>
    <w:p>
      <w:pPr>
        <w:pStyle w:val="BodyText"/>
        <w:spacing w:before="161"/>
        <w:ind w:left="1176"/>
      </w:pPr>
      <w:r>
        <w:t>①根据本项目区域防洪要求、起终点标高以及最小填土高度进行纵断面设计；</w:t>
      </w:r>
    </w:p>
    <w:p>
      <w:pPr>
        <w:pStyle w:val="BodyText"/>
        <w:spacing w:before="158" w:line="364" w:lineRule="auto"/>
        <w:ind w:left="696" w:right="266" w:firstLine="480"/>
      </w:pPr>
      <w:r>
        <w:t>②满足等级公路的纵断面线形标准，并在增加工程量不大的情况下尽量采用较高技术指标；</w:t>
      </w:r>
    </w:p>
    <w:p>
      <w:pPr>
        <w:pStyle w:val="BodyText"/>
        <w:spacing w:line="362" w:lineRule="auto"/>
        <w:ind w:left="696" w:right="266" w:firstLine="480"/>
      </w:pPr>
      <w:r>
        <w:t>③与被交干线公路、支线道路平顺衔接，结合开发区规划要求，适当降低老路标高便于后期道路搭接；</w:t>
      </w:r>
    </w:p>
    <w:p>
      <w:pPr>
        <w:pStyle w:val="BodyText"/>
        <w:spacing w:before="4"/>
        <w:ind w:left="1176"/>
      </w:pPr>
      <w:r>
        <w:t>④满足平纵组合要求；</w:t>
      </w:r>
    </w:p>
    <w:p>
      <w:pPr>
        <w:pStyle w:val="BodyText"/>
        <w:spacing w:before="160"/>
        <w:ind w:left="1176"/>
      </w:pPr>
      <w:r>
        <w:t>⑤满足路基的最小填土高度要求；</w:t>
      </w:r>
    </w:p>
    <w:p>
      <w:pPr>
        <w:pStyle w:val="BodyText"/>
        <w:spacing w:before="158"/>
        <w:ind w:left="1176"/>
      </w:pPr>
      <w:r>
        <w:rPr>
          <w:rFonts w:ascii="Times New Roman" w:eastAsia="Times New Roman"/>
        </w:rPr>
        <w:t>2</w:t>
      </w:r>
      <w:r>
        <w:t>、纵断面线形设计及平纵面综合设计</w:t>
      </w:r>
    </w:p>
    <w:p>
      <w:pPr>
        <w:spacing w:after="0"/>
        <w:sectPr>
          <w:footerReference w:type="default" r:id="rId30"/>
          <w:pgSz w:w="11910" w:h="16840"/>
          <w:pgMar w:top="1380" w:right="1100" w:bottom="1260" w:left="1180" w:header="0" w:footer="997"/>
          <w:pgNumType w:start="17"/>
          <w:cols w:space="708"/>
        </w:sectPr>
      </w:pPr>
    </w:p>
    <w:p>
      <w:pPr>
        <w:pStyle w:val="BodyText"/>
        <w:spacing w:before="55" w:line="364" w:lineRule="auto"/>
        <w:ind w:left="696" w:right="198" w:firstLine="480"/>
      </w:pPr>
      <w:r>
        <w:pict>
          <v:group id="_x0000_s1059" style="width:465.1pt;height:686.05pt;margin-top:72pt;margin-left:65.12pt;mso-position-horizontal-relative:page;mso-position-vertical-relative:page;position:absolute;z-index:-251643904" coordorigin="1302,1440" coordsize="9302,13721">
            <v:shape id="_x0000_s1060" style="width:9302;height:13721;left:1302;position:absolute;top:1677" coordorigin="1302,1678" coordsize="9302,13721" path="m1302,1450l10604,1450m1302,15151l10604,15151m1312,1440l1312,15160m10594,1459l10594,15160e" filled="f" stroked="t" strokecolor="black" strokeweight="0.96pt">
              <v:stroke dashstyle="solid"/>
              <v:path arrowok="t"/>
            </v:shape>
            <v:line id="_x0000_s1061" style="position:absolute" from="1768,1459" to="1768,15141" stroked="t" strokecolor="black" strokeweight="0.48pt">
              <v:stroke dashstyle="solid"/>
            </v:line>
          </v:group>
        </w:pict>
      </w:r>
      <w:r>
        <w:rPr>
          <w:spacing w:val="-12"/>
        </w:rPr>
        <w:t xml:space="preserve">纵断面线形设计时，在综合考虑改造方案、桥梁、水文、地质等因素的基础上， </w:t>
      </w:r>
      <w:r>
        <w:rPr>
          <w:spacing w:val="-2"/>
        </w:rPr>
        <w:t>在具体的纵断面线形要素的采用上，尽量采用部颁规范所规定的一般值以上的竖曲</w:t>
      </w:r>
      <w:r>
        <w:rPr>
          <w:spacing w:val="-6"/>
        </w:rPr>
        <w:t>线半径，同时注重平纵面线形的组合设计，力求平面线形指标与纵断面线形指标间的均衡。</w:t>
      </w:r>
    </w:p>
    <w:p>
      <w:pPr>
        <w:pStyle w:val="Heading2"/>
        <w:numPr>
          <w:ilvl w:val="1"/>
          <w:numId w:val="35"/>
        </w:numPr>
        <w:tabs>
          <w:tab w:val="left" w:pos="1597"/>
        </w:tabs>
        <w:spacing w:before="0" w:after="0" w:line="303" w:lineRule="exact"/>
        <w:ind w:left="1596" w:right="0" w:hanging="421"/>
        <w:jc w:val="left"/>
        <w:rPr>
          <w:rFonts w:ascii="Times New Roman" w:eastAsia="Times New Roman"/>
        </w:rPr>
      </w:pPr>
      <w:r>
        <w:t>筑路材料及运输条件</w:t>
      </w:r>
    </w:p>
    <w:p>
      <w:pPr>
        <w:pStyle w:val="BodyText"/>
        <w:spacing w:before="160"/>
        <w:ind w:left="1176"/>
      </w:pPr>
      <w:r>
        <w:rPr>
          <w:rFonts w:ascii="Times New Roman" w:eastAsia="Times New Roman"/>
        </w:rPr>
        <w:t>1</w:t>
      </w:r>
      <w:r>
        <w:t>、路基填料</w:t>
      </w:r>
    </w:p>
    <w:p>
      <w:pPr>
        <w:pStyle w:val="BodyText"/>
        <w:spacing w:before="161" w:line="362" w:lineRule="auto"/>
        <w:ind w:left="696" w:right="266" w:firstLine="480"/>
      </w:pPr>
      <w:r>
        <w:t>路线所经区域为平原地区，工程用土紧张。路基填料主要采用外购土，极少部分结合地方农田水利建设，利用河道改造和开挖鱼塘等方式争取。</w:t>
      </w:r>
    </w:p>
    <w:p>
      <w:pPr>
        <w:pStyle w:val="BodyText"/>
        <w:spacing w:before="5"/>
        <w:ind w:left="1176"/>
      </w:pPr>
      <w:r>
        <w:rPr>
          <w:rFonts w:ascii="Times New Roman" w:eastAsia="Times New Roman"/>
        </w:rPr>
        <w:t>2</w:t>
      </w:r>
      <w:r>
        <w:t>、砂石料</w:t>
      </w:r>
    </w:p>
    <w:p>
      <w:pPr>
        <w:pStyle w:val="BodyText"/>
        <w:spacing w:before="158"/>
        <w:ind w:left="1176"/>
      </w:pPr>
      <w:r>
        <w:rPr>
          <w:color w:val="FF0000"/>
        </w:rPr>
        <w:t>砂料可由阜宁县及周边各地采购各种规格的片、块石。</w:t>
      </w:r>
    </w:p>
    <w:p>
      <w:pPr>
        <w:pStyle w:val="ListParagraph"/>
        <w:numPr>
          <w:ilvl w:val="1"/>
          <w:numId w:val="35"/>
        </w:numPr>
        <w:tabs>
          <w:tab w:val="left" w:pos="1537"/>
        </w:tabs>
        <w:spacing w:before="160" w:after="0" w:line="362" w:lineRule="auto"/>
        <w:ind w:left="1176" w:right="6882" w:firstLine="0"/>
        <w:jc w:val="left"/>
        <w:rPr>
          <w:rFonts w:ascii="Times New Roman" w:eastAsia="Times New Roman"/>
          <w:sz w:val="24"/>
        </w:rPr>
      </w:pPr>
      <w:r>
        <w:rPr>
          <w:b/>
          <w:spacing w:val="-4"/>
          <w:sz w:val="24"/>
        </w:rPr>
        <w:t>交通预测量</w:t>
      </w:r>
      <w:r>
        <w:rPr>
          <w:sz w:val="24"/>
        </w:rPr>
        <w:t>评价时段</w:t>
      </w:r>
    </w:p>
    <w:p>
      <w:pPr>
        <w:pStyle w:val="BodyText"/>
        <w:spacing w:before="5" w:line="362" w:lineRule="auto"/>
        <w:ind w:left="696" w:right="262" w:firstLine="480"/>
      </w:pPr>
      <w:r>
        <w:t>根据《城市道路工程设计规范（</w:t>
      </w:r>
      <w:r>
        <w:rPr>
          <w:rFonts w:ascii="Times New Roman" w:eastAsia="Times New Roman"/>
        </w:rPr>
        <w:t>CJJ37-2012</w:t>
      </w:r>
      <w:r>
        <w:t>）》（</w:t>
      </w:r>
      <w:r>
        <w:rPr>
          <w:rFonts w:ascii="Times New Roman" w:eastAsia="Times New Roman"/>
        </w:rPr>
        <w:t xml:space="preserve">2016 </w:t>
      </w:r>
      <w:r>
        <w:t>年版），本次评价的评价时段包括项目施工期与运营期，具体评价年限如下所示：</w:t>
      </w:r>
    </w:p>
    <w:p>
      <w:pPr>
        <w:pStyle w:val="BodyText"/>
        <w:spacing w:before="5"/>
        <w:ind w:left="1176"/>
      </w:pPr>
      <w:r>
        <w:t>施工期：</w:t>
      </w:r>
      <w:r>
        <w:rPr>
          <w:rFonts w:ascii="Times New Roman" w:eastAsia="Times New Roman"/>
        </w:rPr>
        <w:t xml:space="preserve">2023 </w:t>
      </w:r>
      <w:r>
        <w:t xml:space="preserve">年 </w:t>
      </w:r>
      <w:r>
        <w:rPr>
          <w:rFonts w:ascii="Times New Roman" w:eastAsia="Times New Roman"/>
        </w:rPr>
        <w:t xml:space="preserve">12 </w:t>
      </w:r>
      <w:r>
        <w:t xml:space="preserve">月至 </w:t>
      </w:r>
      <w:r>
        <w:rPr>
          <w:rFonts w:ascii="Times New Roman" w:eastAsia="Times New Roman"/>
        </w:rPr>
        <w:t xml:space="preserve">2024 </w:t>
      </w:r>
      <w:r>
        <w:t xml:space="preserve">年 </w:t>
      </w:r>
      <w:r>
        <w:rPr>
          <w:rFonts w:ascii="Times New Roman" w:eastAsia="Times New Roman"/>
        </w:rPr>
        <w:t xml:space="preserve">2 </w:t>
      </w:r>
      <w:r>
        <w:t>月；</w:t>
      </w:r>
    </w:p>
    <w:p>
      <w:pPr>
        <w:pStyle w:val="BodyText"/>
        <w:spacing w:before="158"/>
        <w:ind w:left="1176"/>
        <w:jc w:val="both"/>
      </w:pPr>
      <w:r>
        <w:t xml:space="preserve">运营期：运营近期 </w:t>
      </w:r>
      <w:r>
        <w:rPr>
          <w:rFonts w:ascii="Times New Roman" w:eastAsia="Times New Roman"/>
        </w:rPr>
        <w:t xml:space="preserve">2024 </w:t>
      </w:r>
      <w:r>
        <w:t xml:space="preserve">年、运营中期 </w:t>
      </w:r>
      <w:r>
        <w:rPr>
          <w:rFonts w:ascii="Times New Roman" w:eastAsia="Times New Roman"/>
        </w:rPr>
        <w:t xml:space="preserve">2026 </w:t>
      </w:r>
      <w:r>
        <w:t xml:space="preserve">年、运营远期 </w:t>
      </w:r>
      <w:r>
        <w:rPr>
          <w:rFonts w:ascii="Times New Roman" w:eastAsia="Times New Roman"/>
        </w:rPr>
        <w:t xml:space="preserve">2032 </w:t>
      </w:r>
      <w:r>
        <w:t>年。</w:t>
      </w:r>
    </w:p>
    <w:p>
      <w:pPr>
        <w:pStyle w:val="BodyText"/>
        <w:spacing w:before="161" w:line="364" w:lineRule="auto"/>
        <w:ind w:left="696" w:right="318" w:firstLine="480"/>
        <w:jc w:val="both"/>
      </w:pPr>
      <w:r>
        <w:rPr>
          <w:spacing w:val="-5"/>
        </w:rPr>
        <w:t xml:space="preserve">为掌握项目道路的交通量具体情况，项目组于 </w:t>
      </w:r>
      <w:r>
        <w:rPr>
          <w:rFonts w:ascii="Times New Roman" w:eastAsia="Times New Roman"/>
        </w:rPr>
        <w:t xml:space="preserve">2022 </w:t>
      </w:r>
      <w:r>
        <w:rPr>
          <w:spacing w:val="-30"/>
        </w:rPr>
        <w:t xml:space="preserve">年 </w:t>
      </w:r>
      <w:r>
        <w:rPr>
          <w:rFonts w:ascii="Times New Roman" w:eastAsia="Times New Roman"/>
        </w:rPr>
        <w:t xml:space="preserve">12 </w:t>
      </w:r>
      <w:r>
        <w:rPr>
          <w:spacing w:val="-2"/>
        </w:rPr>
        <w:t>月初对本项目与射阜</w:t>
      </w:r>
      <w:r>
        <w:rPr>
          <w:spacing w:val="-3"/>
        </w:rPr>
        <w:t>线交叉口进行了交通量现场观测。</w:t>
      </w:r>
      <w:r>
        <w:rPr>
          <w:color w:val="0000FF"/>
          <w:spacing w:val="-1"/>
        </w:rPr>
        <w:t>根据盐城地区公路昼夜率情况确定区域月变系数</w:t>
      </w:r>
      <w:r>
        <w:rPr>
          <w:color w:val="0000FF"/>
          <w:spacing w:val="-5"/>
        </w:rPr>
        <w:t>与周变系数，并将所调查数据扩样至全日交通量。通过研究社会经济与交通运输发</w:t>
      </w:r>
      <w:r>
        <w:rPr>
          <w:color w:val="0000FF"/>
          <w:spacing w:val="-4"/>
        </w:rPr>
        <w:t>展两者之间的相关关系，把握未来交通量的增长趋势，研究区域未来的交通生成和</w:t>
      </w:r>
      <w:r>
        <w:rPr>
          <w:color w:val="0000FF"/>
          <w:spacing w:val="-3"/>
        </w:rPr>
        <w:t>交通分布情况及客货流量的特点，按四阶段预测方法进行交通量分析和预测。</w:t>
      </w:r>
      <w:r>
        <w:rPr>
          <w:spacing w:val="-8"/>
        </w:rPr>
        <w:t>预测</w:t>
      </w:r>
      <w:r>
        <w:rPr>
          <w:spacing w:val="-12"/>
        </w:rPr>
        <w:t xml:space="preserve">起始年为 </w:t>
      </w:r>
      <w:r>
        <w:rPr>
          <w:rFonts w:ascii="Times New Roman" w:eastAsia="Times New Roman"/>
        </w:rPr>
        <w:t xml:space="preserve">2024 </w:t>
      </w:r>
      <w:r>
        <w:rPr>
          <w:spacing w:val="-12"/>
        </w:rPr>
        <w:t xml:space="preserve">年，预测特征年为 </w:t>
      </w:r>
      <w:r>
        <w:rPr>
          <w:rFonts w:ascii="Times New Roman" w:eastAsia="Times New Roman"/>
        </w:rPr>
        <w:t xml:space="preserve">2026 </w:t>
      </w:r>
      <w:r>
        <w:rPr>
          <w:spacing w:val="-15"/>
        </w:rPr>
        <w:t>年、</w:t>
      </w:r>
      <w:r>
        <w:rPr>
          <w:rFonts w:ascii="Times New Roman" w:eastAsia="Times New Roman"/>
        </w:rPr>
        <w:t xml:space="preserve">2032 </w:t>
      </w:r>
      <w:r>
        <w:rPr>
          <w:spacing w:val="-7"/>
        </w:rPr>
        <w:t>年，本项目的交通量预测结果见下</w:t>
      </w:r>
      <w:r>
        <w:t>表：</w:t>
      </w:r>
    </w:p>
    <w:p>
      <w:pPr>
        <w:pStyle w:val="Heading2"/>
        <w:spacing w:line="305" w:lineRule="exact"/>
        <w:ind w:left="2928"/>
        <w:rPr>
          <w:b w:val="0"/>
          <w:sz w:val="21"/>
        </w:rPr>
      </w:pPr>
      <w:r>
        <w:t xml:space="preserve">表 </w:t>
      </w:r>
      <w:r>
        <w:rPr>
          <w:rFonts w:ascii="Times New Roman" w:eastAsia="Times New Roman"/>
        </w:rPr>
        <w:t xml:space="preserve">2-3  </w:t>
      </w:r>
      <w:r>
        <w:t>各特征年路段交通量预测表</w:t>
      </w:r>
      <w:r>
        <w:rPr>
          <w:b w:val="0"/>
          <w:color w:val="999999"/>
          <w:sz w:val="21"/>
        </w:rPr>
        <w:t>（</w:t>
      </w:r>
      <w:r>
        <w:rPr>
          <w:rFonts w:ascii="Times New Roman" w:eastAsia="Times New Roman"/>
        </w:rPr>
        <w:t>pcu/d</w:t>
      </w:r>
      <w:r>
        <w:rPr>
          <w:b w:val="0"/>
          <w:color w:val="999999"/>
          <w:sz w:val="21"/>
        </w:rPr>
        <w:t>）</w:t>
      </w:r>
    </w:p>
    <w:tbl>
      <w:tblPr>
        <w:tblStyle w:val="TableNormal14"/>
        <w:tblW w:w="0" w:type="auto"/>
        <w:jc w:val="left"/>
        <w:tblInd w:w="6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103"/>
        <w:gridCol w:w="1810"/>
        <w:gridCol w:w="1798"/>
        <w:gridCol w:w="1899"/>
      </w:tblGrid>
      <w:tr>
        <w:tblPrEx>
          <w:tblW w:w="0" w:type="auto"/>
          <w:jc w:val="left"/>
          <w:tblInd w:w="6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284"/>
          <w:jc w:val="left"/>
        </w:trPr>
        <w:tc>
          <w:tcPr>
            <w:tcW w:w="3103" w:type="dxa"/>
            <w:vMerge w:val="restart"/>
            <w:tcBorders>
              <w:left w:val="nil"/>
              <w:bottom w:val="single" w:sz="4" w:space="0" w:color="000000"/>
              <w:right w:val="single" w:sz="4" w:space="0" w:color="000000"/>
            </w:tcBorders>
          </w:tcPr>
          <w:p>
            <w:pPr>
              <w:pStyle w:val="TableParagraph"/>
              <w:spacing w:before="153"/>
              <w:ind w:left="1323" w:right="1312"/>
              <w:jc w:val="center"/>
              <w:rPr>
                <w:b/>
                <w:sz w:val="21"/>
              </w:rPr>
            </w:pPr>
            <w:r>
              <w:rPr>
                <w:b/>
                <w:sz w:val="21"/>
              </w:rPr>
              <w:t>路段</w:t>
            </w:r>
          </w:p>
        </w:tc>
        <w:tc>
          <w:tcPr>
            <w:tcW w:w="5507" w:type="dxa"/>
            <w:gridSpan w:val="3"/>
            <w:tcBorders>
              <w:left w:val="single" w:sz="4" w:space="0" w:color="000000"/>
              <w:bottom w:val="single" w:sz="4" w:space="0" w:color="000000"/>
              <w:right w:val="nil"/>
            </w:tcBorders>
          </w:tcPr>
          <w:p>
            <w:pPr>
              <w:pStyle w:val="TableParagraph"/>
              <w:spacing w:before="6" w:line="258" w:lineRule="exact"/>
              <w:ind w:left="2213" w:right="2194"/>
              <w:jc w:val="center"/>
              <w:rPr>
                <w:b/>
                <w:sz w:val="21"/>
              </w:rPr>
            </w:pPr>
            <w:r>
              <w:rPr>
                <w:b/>
                <w:sz w:val="21"/>
              </w:rPr>
              <w:t>设计车流量</w:t>
            </w:r>
          </w:p>
        </w:tc>
      </w:tr>
      <w:tr>
        <w:tblPrEx>
          <w:tblW w:w="0" w:type="auto"/>
          <w:jc w:val="left"/>
          <w:tblInd w:w="689" w:type="dxa"/>
          <w:tblLayout w:type="fixed"/>
          <w:tblCellMar>
            <w:top w:w="0" w:type="dxa"/>
            <w:left w:w="0" w:type="dxa"/>
            <w:bottom w:w="0" w:type="dxa"/>
            <w:right w:w="0" w:type="dxa"/>
          </w:tblCellMar>
          <w:tblLook w:val="01E0"/>
        </w:tblPrEx>
        <w:trPr>
          <w:trHeight w:val="284"/>
          <w:jc w:val="left"/>
        </w:trPr>
        <w:tc>
          <w:tcPr>
            <w:tcW w:w="3103" w:type="dxa"/>
            <w:vMerge/>
            <w:tcBorders>
              <w:top w:val="nil"/>
              <w:left w:val="nil"/>
              <w:bottom w:val="single" w:sz="4" w:space="0" w:color="000000"/>
              <w:right w:val="single" w:sz="4" w:space="0" w:color="000000"/>
            </w:tcBorders>
          </w:tcPr>
          <w:p>
            <w:pPr>
              <w:rPr>
                <w:sz w:val="2"/>
                <w:szCs w:val="2"/>
              </w:rPr>
            </w:pPr>
          </w:p>
        </w:tc>
        <w:tc>
          <w:tcPr>
            <w:tcW w:w="1810" w:type="dxa"/>
            <w:tcBorders>
              <w:top w:val="single" w:sz="4" w:space="0" w:color="000000"/>
              <w:left w:val="single" w:sz="4" w:space="0" w:color="000000"/>
              <w:bottom w:val="single" w:sz="4" w:space="0" w:color="000000"/>
              <w:right w:val="single" w:sz="4" w:space="0" w:color="000000"/>
            </w:tcBorders>
          </w:tcPr>
          <w:p>
            <w:pPr>
              <w:pStyle w:val="TableParagraph"/>
              <w:spacing w:before="5" w:line="259" w:lineRule="exact"/>
              <w:ind w:left="550" w:right="525"/>
              <w:jc w:val="center"/>
              <w:rPr>
                <w:b/>
                <w:sz w:val="21"/>
              </w:rPr>
            </w:pPr>
            <w:r>
              <w:rPr>
                <w:rFonts w:ascii="Times New Roman" w:eastAsia="Times New Roman"/>
                <w:b/>
                <w:sz w:val="21"/>
              </w:rPr>
              <w:t xml:space="preserve">2024 </w:t>
            </w:r>
            <w:r>
              <w:rPr>
                <w:b/>
                <w:sz w:val="21"/>
              </w:rPr>
              <w:t>年</w:t>
            </w:r>
          </w:p>
        </w:tc>
        <w:tc>
          <w:tcPr>
            <w:tcW w:w="1798" w:type="dxa"/>
            <w:tcBorders>
              <w:top w:val="single" w:sz="4" w:space="0" w:color="000000"/>
              <w:left w:val="single" w:sz="4" w:space="0" w:color="000000"/>
              <w:bottom w:val="single" w:sz="4" w:space="0" w:color="000000"/>
              <w:right w:val="single" w:sz="4" w:space="0" w:color="000000"/>
            </w:tcBorders>
          </w:tcPr>
          <w:p>
            <w:pPr>
              <w:pStyle w:val="TableParagraph"/>
              <w:spacing w:before="5" w:line="259" w:lineRule="exact"/>
              <w:ind w:left="544" w:right="519"/>
              <w:jc w:val="center"/>
              <w:rPr>
                <w:b/>
                <w:sz w:val="21"/>
              </w:rPr>
            </w:pPr>
            <w:r>
              <w:rPr>
                <w:rFonts w:ascii="Times New Roman" w:eastAsia="Times New Roman"/>
                <w:b/>
                <w:sz w:val="21"/>
              </w:rPr>
              <w:t xml:space="preserve">2026 </w:t>
            </w:r>
            <w:r>
              <w:rPr>
                <w:b/>
                <w:sz w:val="21"/>
              </w:rPr>
              <w:t>年</w:t>
            </w:r>
          </w:p>
        </w:tc>
        <w:tc>
          <w:tcPr>
            <w:tcW w:w="1899" w:type="dxa"/>
            <w:tcBorders>
              <w:top w:val="single" w:sz="4" w:space="0" w:color="000000"/>
              <w:left w:val="single" w:sz="4" w:space="0" w:color="000000"/>
              <w:bottom w:val="single" w:sz="4" w:space="0" w:color="000000"/>
              <w:right w:val="nil"/>
            </w:tcBorders>
          </w:tcPr>
          <w:p>
            <w:pPr>
              <w:pStyle w:val="TableParagraph"/>
              <w:spacing w:before="5" w:line="259" w:lineRule="exact"/>
              <w:ind w:left="595" w:right="574"/>
              <w:jc w:val="center"/>
              <w:rPr>
                <w:b/>
                <w:sz w:val="21"/>
              </w:rPr>
            </w:pPr>
            <w:r>
              <w:rPr>
                <w:rFonts w:ascii="Times New Roman" w:eastAsia="Times New Roman"/>
                <w:b/>
                <w:sz w:val="21"/>
              </w:rPr>
              <w:t xml:space="preserve">2032 </w:t>
            </w:r>
            <w:r>
              <w:rPr>
                <w:b/>
                <w:sz w:val="21"/>
              </w:rPr>
              <w:t>年</w:t>
            </w:r>
          </w:p>
        </w:tc>
      </w:tr>
      <w:tr>
        <w:tblPrEx>
          <w:tblW w:w="0" w:type="auto"/>
          <w:jc w:val="left"/>
          <w:tblInd w:w="689" w:type="dxa"/>
          <w:tblLayout w:type="fixed"/>
          <w:tblCellMar>
            <w:top w:w="0" w:type="dxa"/>
            <w:left w:w="0" w:type="dxa"/>
            <w:bottom w:w="0" w:type="dxa"/>
            <w:right w:w="0" w:type="dxa"/>
          </w:tblCellMar>
          <w:tblLook w:val="01E0"/>
        </w:tblPrEx>
        <w:trPr>
          <w:trHeight w:val="283"/>
          <w:jc w:val="left"/>
        </w:trPr>
        <w:tc>
          <w:tcPr>
            <w:tcW w:w="3103" w:type="dxa"/>
            <w:tcBorders>
              <w:top w:val="single" w:sz="4" w:space="0" w:color="000000"/>
              <w:left w:val="nil"/>
              <w:right w:val="single" w:sz="4" w:space="0" w:color="000000"/>
            </w:tcBorders>
          </w:tcPr>
          <w:p>
            <w:pPr>
              <w:pStyle w:val="TableParagraph"/>
              <w:spacing w:before="6" w:line="257" w:lineRule="exact"/>
              <w:ind w:left="807"/>
              <w:rPr>
                <w:sz w:val="21"/>
              </w:rPr>
            </w:pPr>
            <w:r>
              <w:rPr>
                <w:sz w:val="21"/>
              </w:rPr>
              <w:t>射阜线（</w:t>
            </w:r>
            <w:r>
              <w:rPr>
                <w:rFonts w:ascii="Times New Roman" w:eastAsia="Times New Roman"/>
                <w:sz w:val="21"/>
              </w:rPr>
              <w:t>X302</w:t>
            </w:r>
            <w:r>
              <w:rPr>
                <w:sz w:val="21"/>
              </w:rPr>
              <w:t>）</w:t>
            </w:r>
          </w:p>
        </w:tc>
        <w:tc>
          <w:tcPr>
            <w:tcW w:w="1810" w:type="dxa"/>
            <w:tcBorders>
              <w:top w:val="single" w:sz="4" w:space="0" w:color="000000"/>
              <w:left w:val="single" w:sz="4" w:space="0" w:color="000000"/>
              <w:right w:val="single" w:sz="4" w:space="0" w:color="000000"/>
            </w:tcBorders>
          </w:tcPr>
          <w:p>
            <w:pPr>
              <w:pStyle w:val="TableParagraph"/>
              <w:spacing w:before="20"/>
              <w:ind w:left="550" w:right="521"/>
              <w:jc w:val="center"/>
              <w:rPr>
                <w:rFonts w:ascii="Times New Roman"/>
                <w:sz w:val="21"/>
              </w:rPr>
            </w:pPr>
            <w:r>
              <w:rPr>
                <w:rFonts w:ascii="Times New Roman"/>
                <w:sz w:val="21"/>
              </w:rPr>
              <w:t>6360</w:t>
            </w:r>
          </w:p>
        </w:tc>
        <w:tc>
          <w:tcPr>
            <w:tcW w:w="1798" w:type="dxa"/>
            <w:tcBorders>
              <w:top w:val="single" w:sz="4" w:space="0" w:color="000000"/>
              <w:left w:val="single" w:sz="4" w:space="0" w:color="000000"/>
              <w:right w:val="single" w:sz="4" w:space="0" w:color="000000"/>
            </w:tcBorders>
          </w:tcPr>
          <w:p>
            <w:pPr>
              <w:pStyle w:val="TableParagraph"/>
              <w:spacing w:before="20"/>
              <w:ind w:left="544" w:right="514"/>
              <w:jc w:val="center"/>
              <w:rPr>
                <w:rFonts w:ascii="Times New Roman"/>
                <w:sz w:val="21"/>
              </w:rPr>
            </w:pPr>
            <w:r>
              <w:rPr>
                <w:rFonts w:ascii="Times New Roman"/>
                <w:sz w:val="21"/>
              </w:rPr>
              <w:t>6835</w:t>
            </w:r>
          </w:p>
        </w:tc>
        <w:tc>
          <w:tcPr>
            <w:tcW w:w="1899" w:type="dxa"/>
            <w:tcBorders>
              <w:top w:val="single" w:sz="4" w:space="0" w:color="000000"/>
              <w:left w:val="single" w:sz="4" w:space="0" w:color="000000"/>
              <w:right w:val="nil"/>
            </w:tcBorders>
          </w:tcPr>
          <w:p>
            <w:pPr>
              <w:pStyle w:val="TableParagraph"/>
              <w:spacing w:before="20"/>
              <w:ind w:left="595" w:right="571"/>
              <w:jc w:val="center"/>
              <w:rPr>
                <w:rFonts w:ascii="Times New Roman"/>
                <w:sz w:val="21"/>
              </w:rPr>
            </w:pPr>
            <w:r>
              <w:rPr>
                <w:rFonts w:ascii="Times New Roman"/>
                <w:sz w:val="21"/>
              </w:rPr>
              <w:t>7173</w:t>
            </w:r>
          </w:p>
        </w:tc>
      </w:tr>
    </w:tbl>
    <w:p>
      <w:pPr>
        <w:pStyle w:val="BodyText"/>
        <w:spacing w:before="4" w:line="362" w:lineRule="auto"/>
        <w:ind w:left="696" w:right="318" w:firstLine="480"/>
      </w:pPr>
      <w:r>
        <w:rPr>
          <w:spacing w:val="-29"/>
        </w:rPr>
        <w:t xml:space="preserve">到 </w:t>
      </w:r>
      <w:r>
        <w:rPr>
          <w:rFonts w:ascii="Times New Roman" w:eastAsia="Times New Roman"/>
        </w:rPr>
        <w:t xml:space="preserve">2026 </w:t>
      </w:r>
      <w:r>
        <w:rPr>
          <w:spacing w:val="-6"/>
        </w:rPr>
        <w:t xml:space="preserve">年末该段交通量为 </w:t>
      </w:r>
      <w:r>
        <w:rPr>
          <w:rFonts w:ascii="Times New Roman" w:eastAsia="Times New Roman"/>
        </w:rPr>
        <w:t>6835pcu/d</w:t>
      </w:r>
      <w:r>
        <w:t>，</w:t>
      </w:r>
      <w:r>
        <w:rPr>
          <w:rFonts w:ascii="Times New Roman" w:eastAsia="Times New Roman"/>
        </w:rPr>
        <w:t xml:space="preserve">2026 </w:t>
      </w:r>
      <w:r>
        <w:rPr>
          <w:spacing w:val="-19"/>
        </w:rPr>
        <w:t xml:space="preserve">年至 </w:t>
      </w:r>
      <w:r>
        <w:rPr>
          <w:rFonts w:ascii="Times New Roman" w:eastAsia="Times New Roman"/>
        </w:rPr>
        <w:t xml:space="preserve">2032 </w:t>
      </w:r>
      <w:r>
        <w:t>年随着周边道路快速化</w:t>
      </w:r>
      <w:r>
        <w:rPr>
          <w:spacing w:val="-3"/>
        </w:rPr>
        <w:t xml:space="preserve">建成通车预计交通量维持较低的增长率，预计到 </w:t>
      </w:r>
      <w:r>
        <w:rPr>
          <w:rFonts w:ascii="Times New Roman" w:eastAsia="Times New Roman"/>
        </w:rPr>
        <w:t xml:space="preserve">2032 </w:t>
      </w:r>
      <w:r>
        <w:rPr>
          <w:spacing w:val="-9"/>
        </w:rPr>
        <w:t xml:space="preserve">年末交通量为 </w:t>
      </w:r>
      <w:r>
        <w:rPr>
          <w:rFonts w:ascii="Times New Roman" w:eastAsia="Times New Roman"/>
        </w:rPr>
        <w:t>7173pcu/d</w:t>
      </w:r>
      <w:r>
        <w:t>。</w:t>
      </w:r>
    </w:p>
    <w:p>
      <w:pPr>
        <w:pStyle w:val="BodyText"/>
        <w:spacing w:before="5"/>
        <w:ind w:left="1176"/>
      </w:pPr>
      <w:r>
        <w:t xml:space="preserve">本项目特征年预测交通量和车型比分别详见表 </w:t>
      </w:r>
      <w:r>
        <w:rPr>
          <w:rFonts w:ascii="Times New Roman" w:eastAsia="Times New Roman"/>
        </w:rPr>
        <w:t>2-4</w:t>
      </w:r>
      <w:r>
        <w:t xml:space="preserve">、表 </w:t>
      </w:r>
      <w:r>
        <w:rPr>
          <w:rFonts w:ascii="Times New Roman" w:eastAsia="Times New Roman"/>
        </w:rPr>
        <w:t>2-5</w:t>
      </w:r>
      <w:r>
        <w:t>。</w:t>
      </w:r>
    </w:p>
    <w:p>
      <w:pPr>
        <w:pStyle w:val="Heading2"/>
        <w:tabs>
          <w:tab w:val="left" w:pos="1235"/>
        </w:tabs>
        <w:spacing w:before="158"/>
        <w:ind w:left="376"/>
        <w:jc w:val="center"/>
      </w:pPr>
      <w:r>
        <w:t>表</w:t>
      </w:r>
      <w:r>
        <w:rPr>
          <w:spacing w:val="-62"/>
        </w:rPr>
        <w:t xml:space="preserve"> </w:t>
      </w:r>
      <w:r>
        <w:rPr>
          <w:rFonts w:ascii="Times New Roman" w:eastAsia="Times New Roman"/>
        </w:rPr>
        <w:t>2-4</w:t>
        <w:tab/>
      </w:r>
      <w:r>
        <w:t>预计车流量统计表</w:t>
      </w:r>
    </w:p>
    <w:p>
      <w:pPr>
        <w:spacing w:after="0"/>
        <w:jc w:val="center"/>
        <w:sectPr>
          <w:footerReference w:type="default" r:id="rId31"/>
          <w:pgSz w:w="11910" w:h="16840"/>
          <w:pgMar w:top="1380" w:right="1100" w:bottom="1260" w:left="1180" w:header="0" w:footer="997"/>
          <w:pgNumType w:start="18"/>
          <w:cols w:space="708"/>
        </w:sectPr>
      </w:pPr>
    </w:p>
    <w:tbl>
      <w:tblPr>
        <w:tblStyle w:val="TableNormal15"/>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08"/>
        <w:gridCol w:w="1071"/>
        <w:gridCol w:w="1014"/>
        <w:gridCol w:w="197"/>
        <w:gridCol w:w="1189"/>
        <w:gridCol w:w="1280"/>
        <w:gridCol w:w="162"/>
        <w:gridCol w:w="1179"/>
        <w:gridCol w:w="1117"/>
        <w:gridCol w:w="127"/>
        <w:gridCol w:w="1106"/>
        <w:gridCol w:w="276"/>
      </w:tblGrid>
      <w:tr>
        <w:tblPrEx>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81"/>
          <w:jc w:val="left"/>
        </w:trPr>
        <w:tc>
          <w:tcPr>
            <w:tcW w:w="456" w:type="dxa"/>
            <w:vMerge w:val="restart"/>
            <w:tcBorders>
              <w:bottom w:val="single" w:sz="4" w:space="0" w:color="000000"/>
              <w:right w:val="single" w:sz="4" w:space="0" w:color="000000"/>
            </w:tcBorders>
          </w:tcPr>
          <w:p>
            <w:pPr>
              <w:pStyle w:val="TableParagraph"/>
              <w:rPr>
                <w:rFonts w:ascii="Times New Roman"/>
                <w:sz w:val="22"/>
              </w:rPr>
            </w:pPr>
          </w:p>
        </w:tc>
        <w:tc>
          <w:tcPr>
            <w:tcW w:w="108" w:type="dxa"/>
            <w:vMerge w:val="restart"/>
            <w:tcBorders>
              <w:left w:val="single" w:sz="4" w:space="0" w:color="000000"/>
              <w:bottom w:val="single" w:sz="4" w:space="0" w:color="000000"/>
              <w:right w:val="nil"/>
            </w:tcBorders>
          </w:tcPr>
          <w:p>
            <w:pPr>
              <w:pStyle w:val="TableParagraph"/>
              <w:rPr>
                <w:rFonts w:ascii="Times New Roman"/>
                <w:sz w:val="22"/>
              </w:rPr>
            </w:pPr>
          </w:p>
        </w:tc>
        <w:tc>
          <w:tcPr>
            <w:tcW w:w="2085" w:type="dxa"/>
            <w:gridSpan w:val="2"/>
            <w:vMerge w:val="restart"/>
            <w:tcBorders>
              <w:top w:val="single" w:sz="18" w:space="0" w:color="000000"/>
              <w:left w:val="nil"/>
              <w:bottom w:val="single" w:sz="4" w:space="0" w:color="000000"/>
              <w:right w:val="single" w:sz="4" w:space="0" w:color="000000"/>
            </w:tcBorders>
          </w:tcPr>
          <w:p>
            <w:pPr>
              <w:pStyle w:val="TableParagraph"/>
              <w:spacing w:before="145"/>
              <w:ind w:left="810" w:right="808"/>
              <w:jc w:val="center"/>
              <w:rPr>
                <w:b/>
                <w:sz w:val="21"/>
              </w:rPr>
            </w:pPr>
            <w:r>
              <w:rPr>
                <w:b/>
                <w:sz w:val="21"/>
              </w:rPr>
              <w:t>道路</w:t>
            </w:r>
          </w:p>
        </w:tc>
        <w:tc>
          <w:tcPr>
            <w:tcW w:w="2828" w:type="dxa"/>
            <w:gridSpan w:val="4"/>
            <w:vMerge w:val="restart"/>
            <w:tcBorders>
              <w:top w:val="single" w:sz="18" w:space="0" w:color="000000"/>
              <w:left w:val="single" w:sz="4" w:space="0" w:color="000000"/>
              <w:bottom w:val="single" w:sz="4" w:space="0" w:color="000000"/>
              <w:right w:val="single" w:sz="4" w:space="0" w:color="000000"/>
            </w:tcBorders>
          </w:tcPr>
          <w:p>
            <w:pPr>
              <w:pStyle w:val="TableParagraph"/>
              <w:spacing w:before="145"/>
              <w:ind w:left="976" w:right="958"/>
              <w:jc w:val="center"/>
              <w:rPr>
                <w:b/>
                <w:sz w:val="21"/>
              </w:rPr>
            </w:pPr>
            <w:r>
              <w:rPr>
                <w:b/>
                <w:sz w:val="21"/>
              </w:rPr>
              <w:t>运行状态</w:t>
            </w:r>
          </w:p>
        </w:tc>
        <w:tc>
          <w:tcPr>
            <w:tcW w:w="3805" w:type="dxa"/>
            <w:gridSpan w:val="5"/>
            <w:tcBorders>
              <w:top w:val="single" w:sz="18" w:space="0" w:color="000000"/>
              <w:left w:val="single" w:sz="4" w:space="0" w:color="000000"/>
              <w:bottom w:val="single" w:sz="4" w:space="0" w:color="000000"/>
            </w:tcBorders>
          </w:tcPr>
          <w:p>
            <w:pPr>
              <w:pStyle w:val="TableParagraph"/>
              <w:spacing w:before="3" w:line="258" w:lineRule="exact"/>
              <w:ind w:left="1304" w:right="1390"/>
              <w:jc w:val="center"/>
              <w:rPr>
                <w:b/>
                <w:sz w:val="21"/>
              </w:rPr>
            </w:pPr>
            <w:r>
              <w:rPr>
                <w:b/>
                <w:sz w:val="21"/>
              </w:rPr>
              <w:t>设计车流量</w:t>
            </w:r>
          </w:p>
        </w:tc>
      </w:tr>
      <w:tr>
        <w:tblPrEx>
          <w:tblW w:w="0" w:type="auto"/>
          <w:jc w:val="left"/>
          <w:tblInd w:w="142" w:type="dxa"/>
          <w:tblLayout w:type="fixed"/>
          <w:tblCellMar>
            <w:top w:w="0" w:type="dxa"/>
            <w:left w:w="0" w:type="dxa"/>
            <w:bottom w:w="0" w:type="dxa"/>
            <w:right w:w="0" w:type="dxa"/>
          </w:tblCellMar>
          <w:tblLook w:val="01E0"/>
        </w:tblPrEx>
        <w:trPr>
          <w:trHeight w:val="272"/>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2085" w:type="dxa"/>
            <w:gridSpan w:val="2"/>
            <w:vMerge/>
            <w:tcBorders>
              <w:top w:val="nil"/>
              <w:left w:val="nil"/>
              <w:bottom w:val="single" w:sz="4" w:space="0" w:color="000000"/>
              <w:right w:val="single" w:sz="4" w:space="0" w:color="000000"/>
            </w:tcBorders>
          </w:tcPr>
          <w:p>
            <w:pPr>
              <w:rPr>
                <w:sz w:val="2"/>
                <w:szCs w:val="2"/>
              </w:rPr>
            </w:pPr>
          </w:p>
        </w:tc>
        <w:tc>
          <w:tcPr>
            <w:tcW w:w="2828" w:type="dxa"/>
            <w:gridSpan w:val="4"/>
            <w:vMerge/>
            <w:tcBorders>
              <w:top w:val="nil"/>
              <w:left w:val="single" w:sz="4" w:space="0" w:color="000000"/>
              <w:bottom w:val="single" w:sz="4" w:space="0" w:color="000000"/>
              <w:right w:val="single" w:sz="4" w:space="0" w:color="000000"/>
            </w:tcBorders>
          </w:tcPr>
          <w:p>
            <w:pPr>
              <w:rPr>
                <w:sz w:val="2"/>
                <w:szCs w:val="2"/>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spacing w:before="2" w:line="250" w:lineRule="exact"/>
              <w:ind w:left="249" w:right="196"/>
              <w:jc w:val="center"/>
              <w:rPr>
                <w:b/>
                <w:sz w:val="21"/>
              </w:rPr>
            </w:pPr>
            <w:r>
              <w:rPr>
                <w:rFonts w:ascii="Times New Roman" w:eastAsia="Times New Roman"/>
                <w:b/>
                <w:sz w:val="21"/>
              </w:rPr>
              <w:t xml:space="preserve">2024 </w:t>
            </w:r>
            <w:r>
              <w:rPr>
                <w:b/>
                <w:sz w:val="21"/>
              </w:rPr>
              <w:t>年</w:t>
            </w:r>
          </w:p>
        </w:tc>
        <w:tc>
          <w:tcPr>
            <w:tcW w:w="12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line="250" w:lineRule="exact"/>
              <w:ind w:left="304"/>
              <w:rPr>
                <w:b/>
                <w:sz w:val="21"/>
              </w:rPr>
            </w:pPr>
            <w:r>
              <w:rPr>
                <w:rFonts w:ascii="Times New Roman" w:eastAsia="Times New Roman"/>
                <w:b/>
                <w:sz w:val="21"/>
              </w:rPr>
              <w:t xml:space="preserve">2026 </w:t>
            </w:r>
            <w:r>
              <w:rPr>
                <w:b/>
                <w:sz w:val="21"/>
              </w:rPr>
              <w:t>年</w:t>
            </w:r>
          </w:p>
        </w:tc>
        <w:tc>
          <w:tcPr>
            <w:tcW w:w="1382" w:type="dxa"/>
            <w:gridSpan w:val="2"/>
            <w:tcBorders>
              <w:top w:val="single" w:sz="4" w:space="0" w:color="000000"/>
              <w:left w:val="single" w:sz="4" w:space="0" w:color="000000"/>
              <w:bottom w:val="single" w:sz="4" w:space="0" w:color="000000"/>
            </w:tcBorders>
          </w:tcPr>
          <w:p>
            <w:pPr>
              <w:pStyle w:val="TableParagraph"/>
              <w:spacing w:before="2" w:line="250" w:lineRule="exact"/>
              <w:ind w:left="298"/>
              <w:rPr>
                <w:b/>
                <w:sz w:val="21"/>
              </w:rPr>
            </w:pPr>
            <w:r>
              <w:rPr>
                <w:rFonts w:ascii="Times New Roman" w:eastAsia="Times New Roman"/>
                <w:b/>
                <w:sz w:val="21"/>
              </w:rPr>
              <w:t xml:space="preserve">2032 </w:t>
            </w:r>
            <w:r>
              <w:rPr>
                <w:b/>
                <w:sz w:val="21"/>
              </w:rPr>
              <w:t>年</w:t>
            </w:r>
          </w:p>
        </w:tc>
      </w:tr>
      <w:tr>
        <w:tblPrEx>
          <w:tblW w:w="0" w:type="auto"/>
          <w:jc w:val="left"/>
          <w:tblInd w:w="142" w:type="dxa"/>
          <w:tblLayout w:type="fixed"/>
          <w:tblCellMar>
            <w:top w:w="0" w:type="dxa"/>
            <w:left w:w="0" w:type="dxa"/>
            <w:bottom w:w="0" w:type="dxa"/>
            <w:right w:w="0" w:type="dxa"/>
          </w:tblCellMar>
          <w:tblLook w:val="01E0"/>
        </w:tblPrEx>
        <w:trPr>
          <w:trHeight w:val="274"/>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2085" w:type="dxa"/>
            <w:gridSpan w:val="2"/>
            <w:vMerge w:val="restart"/>
            <w:tcBorders>
              <w:top w:val="single" w:sz="4" w:space="0" w:color="000000"/>
              <w:left w:val="nil"/>
              <w:bottom w:val="single" w:sz="12" w:space="0" w:color="000000"/>
              <w:right w:val="single" w:sz="4" w:space="0" w:color="000000"/>
            </w:tcBorders>
          </w:tcPr>
          <w:p>
            <w:pPr>
              <w:pStyle w:val="TableParagraph"/>
              <w:spacing w:before="152"/>
              <w:ind w:left="293"/>
              <w:rPr>
                <w:sz w:val="21"/>
              </w:rPr>
            </w:pPr>
            <w:r>
              <w:rPr>
                <w:sz w:val="21"/>
              </w:rPr>
              <w:t>射阜线（</w:t>
            </w:r>
            <w:r>
              <w:rPr>
                <w:rFonts w:ascii="Times New Roman" w:eastAsia="Times New Roman"/>
                <w:sz w:val="21"/>
              </w:rPr>
              <w:t>X302</w:t>
            </w:r>
            <w:r>
              <w:rPr>
                <w:sz w:val="21"/>
              </w:rPr>
              <w:t>）</w:t>
            </w:r>
          </w:p>
        </w:tc>
        <w:tc>
          <w:tcPr>
            <w:tcW w:w="2828"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line="248" w:lineRule="exact"/>
              <w:ind w:left="392"/>
              <w:rPr>
                <w:sz w:val="21"/>
              </w:rPr>
            </w:pPr>
            <w:r>
              <w:rPr>
                <w:sz w:val="21"/>
              </w:rPr>
              <w:t>昼间小时平均（辆</w:t>
            </w:r>
            <w:r>
              <w:rPr>
                <w:rFonts w:ascii="Times New Roman" w:eastAsia="Times New Roman"/>
                <w:sz w:val="21"/>
              </w:rPr>
              <w:t>/h</w:t>
            </w:r>
            <w:r>
              <w:rPr>
                <w:sz w:val="21"/>
              </w:rPr>
              <w:t>）</w:t>
            </w:r>
          </w:p>
        </w:tc>
        <w:tc>
          <w:tcPr>
            <w:tcW w:w="1179" w:type="dxa"/>
            <w:tcBorders>
              <w:top w:val="single" w:sz="4" w:space="0" w:color="000000"/>
              <w:left w:val="single" w:sz="4" w:space="0" w:color="000000"/>
              <w:bottom w:val="single" w:sz="4" w:space="0" w:color="000000"/>
              <w:right w:val="single" w:sz="4" w:space="0" w:color="000000"/>
            </w:tcBorders>
          </w:tcPr>
          <w:p>
            <w:pPr>
              <w:pStyle w:val="TableParagraph"/>
              <w:spacing w:before="41" w:line="213" w:lineRule="exact"/>
              <w:ind w:left="249" w:right="195"/>
              <w:jc w:val="center"/>
              <w:rPr>
                <w:rFonts w:ascii="Times New Roman"/>
                <w:sz w:val="21"/>
              </w:rPr>
            </w:pPr>
            <w:r>
              <w:rPr>
                <w:rFonts w:ascii="Times New Roman"/>
                <w:sz w:val="21"/>
              </w:rPr>
              <w:t>451</w:t>
            </w:r>
          </w:p>
        </w:tc>
        <w:tc>
          <w:tcPr>
            <w:tcW w:w="12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1" w:line="213" w:lineRule="exact"/>
              <w:ind w:left="467" w:right="412"/>
              <w:jc w:val="center"/>
              <w:rPr>
                <w:rFonts w:ascii="Times New Roman"/>
                <w:sz w:val="21"/>
              </w:rPr>
            </w:pPr>
            <w:r>
              <w:rPr>
                <w:rFonts w:ascii="Times New Roman"/>
                <w:sz w:val="21"/>
              </w:rPr>
              <w:t>484</w:t>
            </w:r>
          </w:p>
        </w:tc>
        <w:tc>
          <w:tcPr>
            <w:tcW w:w="1382" w:type="dxa"/>
            <w:gridSpan w:val="2"/>
            <w:tcBorders>
              <w:top w:val="single" w:sz="4" w:space="0" w:color="000000"/>
              <w:left w:val="single" w:sz="4" w:space="0" w:color="000000"/>
              <w:bottom w:val="single" w:sz="4" w:space="0" w:color="000000"/>
            </w:tcBorders>
          </w:tcPr>
          <w:p>
            <w:pPr>
              <w:pStyle w:val="TableParagraph"/>
              <w:spacing w:before="41" w:line="213" w:lineRule="exact"/>
              <w:ind w:left="465" w:right="546"/>
              <w:jc w:val="center"/>
              <w:rPr>
                <w:rFonts w:ascii="Times New Roman"/>
                <w:sz w:val="21"/>
              </w:rPr>
            </w:pPr>
            <w:r>
              <w:rPr>
                <w:rFonts w:ascii="Times New Roman"/>
                <w:sz w:val="21"/>
              </w:rPr>
              <w:t>508</w:t>
            </w:r>
          </w:p>
        </w:tc>
      </w:tr>
      <w:tr>
        <w:tblPrEx>
          <w:tblW w:w="0" w:type="auto"/>
          <w:jc w:val="left"/>
          <w:tblInd w:w="142" w:type="dxa"/>
          <w:tblLayout w:type="fixed"/>
          <w:tblCellMar>
            <w:top w:w="0" w:type="dxa"/>
            <w:left w:w="0" w:type="dxa"/>
            <w:bottom w:w="0" w:type="dxa"/>
            <w:right w:w="0" w:type="dxa"/>
          </w:tblCellMar>
          <w:tblLook w:val="01E0"/>
        </w:tblPrEx>
        <w:trPr>
          <w:trHeight w:val="273"/>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2085" w:type="dxa"/>
            <w:gridSpan w:val="2"/>
            <w:vMerge/>
            <w:tcBorders>
              <w:top w:val="nil"/>
              <w:left w:val="nil"/>
              <w:bottom w:val="single" w:sz="12" w:space="0" w:color="000000"/>
              <w:right w:val="single" w:sz="4" w:space="0" w:color="000000"/>
            </w:tcBorders>
          </w:tcPr>
          <w:p>
            <w:pPr>
              <w:rPr>
                <w:sz w:val="2"/>
                <w:szCs w:val="2"/>
              </w:rPr>
            </w:pPr>
          </w:p>
        </w:tc>
        <w:tc>
          <w:tcPr>
            <w:tcW w:w="2828" w:type="dxa"/>
            <w:gridSpan w:val="4"/>
            <w:tcBorders>
              <w:top w:val="single" w:sz="4" w:space="0" w:color="000000"/>
              <w:left w:val="single" w:sz="4" w:space="0" w:color="000000"/>
              <w:bottom w:val="single" w:sz="12" w:space="0" w:color="000000"/>
              <w:right w:val="single" w:sz="4" w:space="0" w:color="000000"/>
            </w:tcBorders>
          </w:tcPr>
          <w:p>
            <w:pPr>
              <w:pStyle w:val="TableParagraph"/>
              <w:spacing w:line="254" w:lineRule="exact"/>
              <w:ind w:left="392"/>
              <w:rPr>
                <w:sz w:val="21"/>
              </w:rPr>
            </w:pPr>
            <w:r>
              <w:rPr>
                <w:sz w:val="21"/>
              </w:rPr>
              <w:t>夜间小时平均（辆</w:t>
            </w:r>
            <w:r>
              <w:rPr>
                <w:rFonts w:ascii="Times New Roman" w:eastAsia="Times New Roman"/>
                <w:sz w:val="21"/>
              </w:rPr>
              <w:t>/h</w:t>
            </w:r>
            <w:r>
              <w:rPr>
                <w:sz w:val="21"/>
              </w:rPr>
              <w:t>）</w:t>
            </w:r>
          </w:p>
        </w:tc>
        <w:tc>
          <w:tcPr>
            <w:tcW w:w="1179" w:type="dxa"/>
            <w:tcBorders>
              <w:top w:val="single" w:sz="4" w:space="0" w:color="000000"/>
              <w:left w:val="single" w:sz="4" w:space="0" w:color="000000"/>
              <w:bottom w:val="single" w:sz="12" w:space="0" w:color="000000"/>
              <w:right w:val="single" w:sz="4" w:space="0" w:color="000000"/>
            </w:tcBorders>
          </w:tcPr>
          <w:p>
            <w:pPr>
              <w:pStyle w:val="TableParagraph"/>
              <w:spacing w:before="32" w:line="221" w:lineRule="exact"/>
              <w:ind w:left="249" w:right="195"/>
              <w:jc w:val="center"/>
              <w:rPr>
                <w:rFonts w:ascii="Times New Roman"/>
                <w:sz w:val="21"/>
              </w:rPr>
            </w:pPr>
            <w:r>
              <w:rPr>
                <w:rFonts w:ascii="Times New Roman"/>
                <w:sz w:val="21"/>
              </w:rPr>
              <w:t>80</w:t>
            </w:r>
          </w:p>
        </w:tc>
        <w:tc>
          <w:tcPr>
            <w:tcW w:w="1244" w:type="dxa"/>
            <w:gridSpan w:val="2"/>
            <w:tcBorders>
              <w:top w:val="single" w:sz="4" w:space="0" w:color="000000"/>
              <w:left w:val="single" w:sz="4" w:space="0" w:color="000000"/>
              <w:bottom w:val="single" w:sz="12" w:space="0" w:color="000000"/>
              <w:right w:val="single" w:sz="4" w:space="0" w:color="000000"/>
            </w:tcBorders>
          </w:tcPr>
          <w:p>
            <w:pPr>
              <w:pStyle w:val="TableParagraph"/>
              <w:spacing w:before="32" w:line="221" w:lineRule="exact"/>
              <w:ind w:left="467" w:right="412"/>
              <w:jc w:val="center"/>
              <w:rPr>
                <w:rFonts w:ascii="Times New Roman"/>
                <w:sz w:val="21"/>
              </w:rPr>
            </w:pPr>
            <w:r>
              <w:rPr>
                <w:rFonts w:ascii="Times New Roman"/>
                <w:sz w:val="21"/>
              </w:rPr>
              <w:t>85</w:t>
            </w:r>
          </w:p>
        </w:tc>
        <w:tc>
          <w:tcPr>
            <w:tcW w:w="1382" w:type="dxa"/>
            <w:gridSpan w:val="2"/>
            <w:tcBorders>
              <w:top w:val="single" w:sz="4" w:space="0" w:color="000000"/>
              <w:left w:val="single" w:sz="4" w:space="0" w:color="000000"/>
              <w:bottom w:val="single" w:sz="12" w:space="0" w:color="000000"/>
            </w:tcBorders>
          </w:tcPr>
          <w:p>
            <w:pPr>
              <w:pStyle w:val="TableParagraph"/>
              <w:spacing w:before="32" w:line="221" w:lineRule="exact"/>
              <w:ind w:left="465" w:right="546"/>
              <w:jc w:val="center"/>
              <w:rPr>
                <w:rFonts w:ascii="Times New Roman"/>
                <w:sz w:val="21"/>
              </w:rPr>
            </w:pPr>
            <w:r>
              <w:rPr>
                <w:rFonts w:ascii="Times New Roman"/>
                <w:sz w:val="21"/>
              </w:rPr>
              <w:t>90</w:t>
            </w:r>
          </w:p>
        </w:tc>
      </w:tr>
      <w:tr>
        <w:tblPrEx>
          <w:tblW w:w="0" w:type="auto"/>
          <w:jc w:val="left"/>
          <w:tblInd w:w="142" w:type="dxa"/>
          <w:tblLayout w:type="fixed"/>
          <w:tblCellMar>
            <w:top w:w="0" w:type="dxa"/>
            <w:left w:w="0" w:type="dxa"/>
            <w:bottom w:w="0" w:type="dxa"/>
            <w:right w:w="0" w:type="dxa"/>
          </w:tblCellMar>
          <w:tblLook w:val="01E0"/>
        </w:tblPrEx>
        <w:trPr>
          <w:trHeight w:val="832"/>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8442" w:type="dxa"/>
            <w:gridSpan w:val="10"/>
            <w:tcBorders>
              <w:top w:val="single" w:sz="12" w:space="0" w:color="000000"/>
              <w:left w:val="nil"/>
              <w:bottom w:val="single" w:sz="12" w:space="0" w:color="000000"/>
              <w:right w:val="nil"/>
            </w:tcBorders>
          </w:tcPr>
          <w:p>
            <w:pPr>
              <w:pStyle w:val="TableParagraph"/>
              <w:spacing w:before="176"/>
              <w:ind w:left="10"/>
              <w:rPr>
                <w:sz w:val="24"/>
              </w:rPr>
            </w:pPr>
            <w:r>
              <w:rPr>
                <w:sz w:val="24"/>
              </w:rPr>
              <w:t>车型比例见下表所示：</w:t>
            </w:r>
          </w:p>
          <w:p>
            <w:pPr>
              <w:pStyle w:val="TableParagraph"/>
              <w:tabs>
                <w:tab w:val="left" w:pos="4140"/>
              </w:tabs>
              <w:spacing w:before="39" w:line="290" w:lineRule="exact"/>
              <w:ind w:left="3281"/>
              <w:rPr>
                <w:b/>
                <w:sz w:val="24"/>
              </w:rPr>
            </w:pPr>
            <w:r>
              <w:rPr>
                <w:b/>
                <w:sz w:val="24"/>
              </w:rPr>
              <w:t>表</w:t>
            </w:r>
            <w:r>
              <w:rPr>
                <w:b/>
                <w:spacing w:val="-62"/>
                <w:sz w:val="24"/>
              </w:rPr>
              <w:t xml:space="preserve"> </w:t>
            </w:r>
            <w:r>
              <w:rPr>
                <w:rFonts w:ascii="Times New Roman" w:eastAsia="Times New Roman"/>
                <w:b/>
                <w:sz w:val="24"/>
              </w:rPr>
              <w:t>2-5</w:t>
              <w:tab/>
            </w:r>
            <w:r>
              <w:rPr>
                <w:b/>
                <w:sz w:val="24"/>
              </w:rPr>
              <w:t>车型比例表</w:t>
            </w:r>
          </w:p>
        </w:tc>
        <w:tc>
          <w:tcPr>
            <w:tcW w:w="276" w:type="dxa"/>
            <w:vMerge w:val="restart"/>
            <w:tcBorders>
              <w:top w:val="single" w:sz="12" w:space="0" w:color="000000"/>
              <w:left w:val="nil"/>
              <w:bottom w:val="single" w:sz="4" w:space="0" w:color="000000"/>
            </w:tcBorders>
          </w:tcPr>
          <w:p>
            <w:pPr>
              <w:pStyle w:val="TableParagraph"/>
              <w:rPr>
                <w:rFonts w:ascii="Times New Roman"/>
                <w:sz w:val="22"/>
              </w:rPr>
            </w:pPr>
          </w:p>
        </w:tc>
      </w:tr>
      <w:tr>
        <w:tblPrEx>
          <w:tblW w:w="0" w:type="auto"/>
          <w:jc w:val="left"/>
          <w:tblInd w:w="142" w:type="dxa"/>
          <w:tblLayout w:type="fixed"/>
          <w:tblCellMar>
            <w:top w:w="0" w:type="dxa"/>
            <w:left w:w="0" w:type="dxa"/>
            <w:bottom w:w="0" w:type="dxa"/>
            <w:right w:w="0" w:type="dxa"/>
          </w:tblCellMar>
          <w:tblLook w:val="01E0"/>
        </w:tblPrEx>
        <w:trPr>
          <w:trHeight w:val="328"/>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071" w:type="dxa"/>
            <w:tcBorders>
              <w:top w:val="single" w:sz="12" w:space="0" w:color="000000"/>
              <w:left w:val="nil"/>
              <w:bottom w:val="single" w:sz="4" w:space="0" w:color="000000"/>
              <w:right w:val="single" w:sz="4" w:space="0" w:color="000000"/>
            </w:tcBorders>
          </w:tcPr>
          <w:p>
            <w:pPr>
              <w:pStyle w:val="TableParagraph"/>
              <w:spacing w:before="26"/>
              <w:ind w:left="184" w:right="157"/>
              <w:jc w:val="center"/>
              <w:rPr>
                <w:b/>
                <w:sz w:val="21"/>
              </w:rPr>
            </w:pPr>
            <w:r>
              <w:rPr>
                <w:b/>
                <w:sz w:val="21"/>
              </w:rPr>
              <w:t>特征年</w:t>
            </w:r>
          </w:p>
        </w:tc>
        <w:tc>
          <w:tcPr>
            <w:tcW w:w="1211"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26"/>
              <w:ind w:left="292"/>
              <w:rPr>
                <w:b/>
                <w:sz w:val="21"/>
              </w:rPr>
            </w:pPr>
            <w:r>
              <w:rPr>
                <w:b/>
                <w:sz w:val="21"/>
              </w:rPr>
              <w:t>小客车</w:t>
            </w:r>
          </w:p>
        </w:tc>
        <w:tc>
          <w:tcPr>
            <w:tcW w:w="1189" w:type="dxa"/>
            <w:tcBorders>
              <w:top w:val="single" w:sz="12" w:space="0" w:color="000000"/>
              <w:left w:val="single" w:sz="4" w:space="0" w:color="000000"/>
              <w:bottom w:val="single" w:sz="4" w:space="0" w:color="000000"/>
              <w:right w:val="single" w:sz="4" w:space="0" w:color="000000"/>
            </w:tcBorders>
          </w:tcPr>
          <w:p>
            <w:pPr>
              <w:pStyle w:val="TableParagraph"/>
              <w:spacing w:before="26"/>
              <w:ind w:right="263"/>
              <w:jc w:val="right"/>
              <w:rPr>
                <w:b/>
                <w:sz w:val="21"/>
              </w:rPr>
            </w:pPr>
            <w:r>
              <w:rPr>
                <w:b/>
                <w:w w:val="95"/>
                <w:sz w:val="21"/>
              </w:rPr>
              <w:t>大客车</w:t>
            </w:r>
          </w:p>
        </w:tc>
        <w:tc>
          <w:tcPr>
            <w:tcW w:w="1280" w:type="dxa"/>
            <w:tcBorders>
              <w:top w:val="single" w:sz="12" w:space="0" w:color="000000"/>
              <w:left w:val="single" w:sz="4" w:space="0" w:color="000000"/>
              <w:bottom w:val="single" w:sz="4" w:space="0" w:color="000000"/>
              <w:right w:val="single" w:sz="4" w:space="0" w:color="000000"/>
            </w:tcBorders>
          </w:tcPr>
          <w:p>
            <w:pPr>
              <w:pStyle w:val="TableParagraph"/>
              <w:spacing w:before="26"/>
              <w:ind w:left="328"/>
              <w:rPr>
                <w:b/>
                <w:sz w:val="21"/>
              </w:rPr>
            </w:pPr>
            <w:r>
              <w:rPr>
                <w:b/>
                <w:sz w:val="21"/>
              </w:rPr>
              <w:t>小货车</w:t>
            </w:r>
          </w:p>
        </w:tc>
        <w:tc>
          <w:tcPr>
            <w:tcW w:w="1341"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26"/>
              <w:ind w:left="340"/>
              <w:rPr>
                <w:b/>
                <w:sz w:val="21"/>
              </w:rPr>
            </w:pPr>
            <w:r>
              <w:rPr>
                <w:b/>
                <w:sz w:val="21"/>
              </w:rPr>
              <w:t>中货车</w:t>
            </w:r>
          </w:p>
        </w:tc>
        <w:tc>
          <w:tcPr>
            <w:tcW w:w="1117" w:type="dxa"/>
            <w:tcBorders>
              <w:top w:val="single" w:sz="12" w:space="0" w:color="000000"/>
              <w:left w:val="single" w:sz="4" w:space="0" w:color="000000"/>
              <w:bottom w:val="single" w:sz="4" w:space="0" w:color="000000"/>
              <w:right w:val="single" w:sz="4" w:space="0" w:color="000000"/>
            </w:tcBorders>
          </w:tcPr>
          <w:p>
            <w:pPr>
              <w:pStyle w:val="TableParagraph"/>
              <w:spacing w:before="26"/>
              <w:ind w:left="227"/>
              <w:rPr>
                <w:b/>
                <w:sz w:val="21"/>
              </w:rPr>
            </w:pPr>
            <w:r>
              <w:rPr>
                <w:b/>
                <w:sz w:val="21"/>
              </w:rPr>
              <w:t>大型车</w:t>
            </w:r>
          </w:p>
        </w:tc>
        <w:tc>
          <w:tcPr>
            <w:tcW w:w="1233" w:type="dxa"/>
            <w:gridSpan w:val="2"/>
            <w:tcBorders>
              <w:top w:val="single" w:sz="12" w:space="0" w:color="000000"/>
              <w:left w:val="single" w:sz="4" w:space="0" w:color="000000"/>
              <w:bottom w:val="single" w:sz="4" w:space="0" w:color="000000"/>
              <w:right w:val="nil"/>
            </w:tcBorders>
          </w:tcPr>
          <w:p>
            <w:pPr>
              <w:pStyle w:val="TableParagraph"/>
              <w:spacing w:before="26"/>
              <w:ind w:left="303"/>
              <w:rPr>
                <w:b/>
                <w:sz w:val="21"/>
              </w:rPr>
            </w:pPr>
            <w:r>
              <w:rPr>
                <w:b/>
                <w:sz w:val="21"/>
              </w:rPr>
              <w:t>拖挂车</w:t>
            </w:r>
          </w:p>
        </w:tc>
        <w:tc>
          <w:tcPr>
            <w:tcW w:w="276" w:type="dxa"/>
            <w:vMerge/>
            <w:tcBorders>
              <w:top w:val="nil"/>
              <w:left w:val="nil"/>
              <w:bottom w:val="single" w:sz="4" w:space="0" w:color="000000"/>
            </w:tcBorders>
          </w:tcPr>
          <w:p>
            <w:pPr>
              <w:rPr>
                <w:sz w:val="2"/>
                <w:szCs w:val="2"/>
              </w:rPr>
            </w:pPr>
          </w:p>
        </w:tc>
      </w:tr>
      <w:tr>
        <w:tblPrEx>
          <w:tblW w:w="0" w:type="auto"/>
          <w:jc w:val="left"/>
          <w:tblInd w:w="142" w:type="dxa"/>
          <w:tblLayout w:type="fixed"/>
          <w:tblCellMar>
            <w:top w:w="0" w:type="dxa"/>
            <w:left w:w="0" w:type="dxa"/>
            <w:bottom w:w="0" w:type="dxa"/>
            <w:right w:w="0" w:type="dxa"/>
          </w:tblCellMar>
          <w:tblLook w:val="01E0"/>
        </w:tblPrEx>
        <w:trPr>
          <w:trHeight w:val="303"/>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071" w:type="dxa"/>
            <w:tcBorders>
              <w:top w:val="single" w:sz="4" w:space="0" w:color="000000"/>
              <w:left w:val="nil"/>
              <w:bottom w:val="single" w:sz="4" w:space="0" w:color="000000"/>
              <w:right w:val="single" w:sz="4" w:space="0" w:color="000000"/>
            </w:tcBorders>
          </w:tcPr>
          <w:p>
            <w:pPr>
              <w:pStyle w:val="TableParagraph"/>
              <w:spacing w:before="14" w:line="269" w:lineRule="exact"/>
              <w:ind w:left="184" w:right="159"/>
              <w:jc w:val="center"/>
              <w:rPr>
                <w:sz w:val="21"/>
              </w:rPr>
            </w:pPr>
            <w:r>
              <w:rPr>
                <w:rFonts w:ascii="Times New Roman" w:eastAsia="Times New Roman"/>
                <w:sz w:val="21"/>
              </w:rPr>
              <w:t xml:space="preserve">2024 </w:t>
            </w:r>
            <w:r>
              <w:rPr>
                <w:sz w:val="21"/>
              </w:rPr>
              <w:t>年</w:t>
            </w:r>
          </w:p>
        </w:tc>
        <w:tc>
          <w:tcPr>
            <w:tcW w:w="121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285"/>
              <w:rPr>
                <w:rFonts w:ascii="Times New Roman"/>
                <w:sz w:val="21"/>
              </w:rPr>
            </w:pPr>
            <w:r>
              <w:rPr>
                <w:rFonts w:ascii="Times New Roman"/>
                <w:sz w:val="21"/>
              </w:rPr>
              <w:t>57.38%</w:t>
            </w:r>
          </w:p>
        </w:tc>
        <w:tc>
          <w:tcPr>
            <w:tcW w:w="1189" w:type="dxa"/>
            <w:tcBorders>
              <w:top w:val="single" w:sz="4" w:space="0" w:color="000000"/>
              <w:left w:val="single" w:sz="4" w:space="0" w:color="000000"/>
              <w:bottom w:val="single" w:sz="4" w:space="0" w:color="000000"/>
              <w:right w:val="single" w:sz="4" w:space="0" w:color="000000"/>
            </w:tcBorders>
          </w:tcPr>
          <w:p>
            <w:pPr>
              <w:pStyle w:val="TableParagraph"/>
              <w:spacing w:before="28"/>
              <w:ind w:right="305"/>
              <w:jc w:val="right"/>
              <w:rPr>
                <w:rFonts w:ascii="Times New Roman"/>
                <w:sz w:val="21"/>
              </w:rPr>
            </w:pPr>
            <w:r>
              <w:rPr>
                <w:rFonts w:ascii="Times New Roman"/>
                <w:sz w:val="21"/>
              </w:rPr>
              <w:t>4.03%</w:t>
            </w:r>
          </w:p>
        </w:tc>
        <w:tc>
          <w:tcPr>
            <w:tcW w:w="1280" w:type="dxa"/>
            <w:tcBorders>
              <w:top w:val="single" w:sz="4" w:space="0" w:color="000000"/>
              <w:left w:val="single" w:sz="4" w:space="0" w:color="000000"/>
              <w:bottom w:val="single" w:sz="4" w:space="0" w:color="000000"/>
              <w:right w:val="single" w:sz="4" w:space="0" w:color="000000"/>
            </w:tcBorders>
          </w:tcPr>
          <w:p>
            <w:pPr>
              <w:pStyle w:val="TableParagraph"/>
              <w:spacing w:before="28"/>
              <w:ind w:left="321"/>
              <w:rPr>
                <w:rFonts w:ascii="Times New Roman"/>
                <w:sz w:val="21"/>
              </w:rPr>
            </w:pPr>
            <w:r>
              <w:rPr>
                <w:rFonts w:ascii="Times New Roman"/>
                <w:sz w:val="21"/>
              </w:rPr>
              <w:t>12.30%</w:t>
            </w:r>
          </w:p>
        </w:tc>
        <w:tc>
          <w:tcPr>
            <w:tcW w:w="13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8"/>
              <w:ind w:left="332"/>
              <w:rPr>
                <w:rFonts w:ascii="Times New Roman"/>
                <w:sz w:val="21"/>
              </w:rPr>
            </w:pPr>
            <w:r>
              <w:rPr>
                <w:rFonts w:ascii="Times New Roman"/>
                <w:sz w:val="21"/>
              </w:rPr>
              <w:t>16.43%</w:t>
            </w:r>
          </w:p>
        </w:tc>
        <w:tc>
          <w:tcPr>
            <w:tcW w:w="1117" w:type="dxa"/>
            <w:tcBorders>
              <w:top w:val="single" w:sz="4" w:space="0" w:color="000000"/>
              <w:left w:val="single" w:sz="4" w:space="0" w:color="000000"/>
              <w:bottom w:val="single" w:sz="4" w:space="0" w:color="000000"/>
              <w:right w:val="single" w:sz="4" w:space="0" w:color="000000"/>
            </w:tcBorders>
          </w:tcPr>
          <w:p>
            <w:pPr>
              <w:pStyle w:val="TableParagraph"/>
              <w:spacing w:before="28"/>
              <w:ind w:left="273"/>
              <w:rPr>
                <w:rFonts w:ascii="Times New Roman"/>
                <w:sz w:val="21"/>
              </w:rPr>
            </w:pPr>
            <w:r>
              <w:rPr>
                <w:rFonts w:ascii="Times New Roman"/>
                <w:sz w:val="21"/>
              </w:rPr>
              <w:t>7.51%</w:t>
            </w:r>
          </w:p>
        </w:tc>
        <w:tc>
          <w:tcPr>
            <w:tcW w:w="1233" w:type="dxa"/>
            <w:gridSpan w:val="2"/>
            <w:tcBorders>
              <w:top w:val="single" w:sz="4" w:space="0" w:color="000000"/>
              <w:left w:val="single" w:sz="4" w:space="0" w:color="000000"/>
              <w:bottom w:val="single" w:sz="4" w:space="0" w:color="000000"/>
              <w:right w:val="nil"/>
            </w:tcBorders>
          </w:tcPr>
          <w:p>
            <w:pPr>
              <w:pStyle w:val="TableParagraph"/>
              <w:spacing w:before="28"/>
              <w:ind w:left="349"/>
              <w:rPr>
                <w:rFonts w:ascii="Times New Roman"/>
                <w:sz w:val="21"/>
              </w:rPr>
            </w:pPr>
            <w:r>
              <w:rPr>
                <w:rFonts w:ascii="Times New Roman"/>
                <w:sz w:val="21"/>
              </w:rPr>
              <w:t>2.35%</w:t>
            </w:r>
          </w:p>
        </w:tc>
        <w:tc>
          <w:tcPr>
            <w:tcW w:w="276" w:type="dxa"/>
            <w:vMerge/>
            <w:tcBorders>
              <w:top w:val="nil"/>
              <w:left w:val="nil"/>
              <w:bottom w:val="single" w:sz="4" w:space="0" w:color="000000"/>
            </w:tcBorders>
          </w:tcPr>
          <w:p>
            <w:pPr>
              <w:rPr>
                <w:sz w:val="2"/>
                <w:szCs w:val="2"/>
              </w:rPr>
            </w:pPr>
          </w:p>
        </w:tc>
      </w:tr>
      <w:tr>
        <w:tblPrEx>
          <w:tblW w:w="0" w:type="auto"/>
          <w:jc w:val="left"/>
          <w:tblInd w:w="142" w:type="dxa"/>
          <w:tblLayout w:type="fixed"/>
          <w:tblCellMar>
            <w:top w:w="0" w:type="dxa"/>
            <w:left w:w="0" w:type="dxa"/>
            <w:bottom w:w="0" w:type="dxa"/>
            <w:right w:w="0" w:type="dxa"/>
          </w:tblCellMar>
          <w:tblLook w:val="01E0"/>
        </w:tblPrEx>
        <w:trPr>
          <w:trHeight w:val="302"/>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071" w:type="dxa"/>
            <w:tcBorders>
              <w:top w:val="single" w:sz="4" w:space="0" w:color="000000"/>
              <w:left w:val="nil"/>
              <w:bottom w:val="single" w:sz="4" w:space="0" w:color="000000"/>
              <w:right w:val="single" w:sz="4" w:space="0" w:color="000000"/>
            </w:tcBorders>
          </w:tcPr>
          <w:p>
            <w:pPr>
              <w:pStyle w:val="TableParagraph"/>
              <w:spacing w:before="15" w:line="267" w:lineRule="exact"/>
              <w:ind w:left="184" w:right="159"/>
              <w:jc w:val="center"/>
              <w:rPr>
                <w:sz w:val="21"/>
              </w:rPr>
            </w:pPr>
            <w:r>
              <w:rPr>
                <w:rFonts w:ascii="Times New Roman" w:eastAsia="Times New Roman"/>
                <w:sz w:val="21"/>
              </w:rPr>
              <w:t xml:space="preserve">2026 </w:t>
            </w:r>
            <w:r>
              <w:rPr>
                <w:sz w:val="21"/>
              </w:rPr>
              <w:t>年</w:t>
            </w:r>
          </w:p>
        </w:tc>
        <w:tc>
          <w:tcPr>
            <w:tcW w:w="121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285"/>
              <w:rPr>
                <w:rFonts w:ascii="Times New Roman"/>
                <w:sz w:val="21"/>
              </w:rPr>
            </w:pPr>
            <w:r>
              <w:rPr>
                <w:rFonts w:ascii="Times New Roman"/>
                <w:sz w:val="21"/>
              </w:rPr>
              <w:t>58.36%</w:t>
            </w:r>
          </w:p>
        </w:tc>
        <w:tc>
          <w:tcPr>
            <w:tcW w:w="1189" w:type="dxa"/>
            <w:tcBorders>
              <w:top w:val="single" w:sz="4" w:space="0" w:color="000000"/>
              <w:left w:val="single" w:sz="4" w:space="0" w:color="000000"/>
              <w:bottom w:val="single" w:sz="4" w:space="0" w:color="000000"/>
              <w:right w:val="single" w:sz="4" w:space="0" w:color="000000"/>
            </w:tcBorders>
          </w:tcPr>
          <w:p>
            <w:pPr>
              <w:pStyle w:val="TableParagraph"/>
              <w:spacing w:before="29"/>
              <w:ind w:right="305"/>
              <w:jc w:val="right"/>
              <w:rPr>
                <w:rFonts w:ascii="Times New Roman"/>
                <w:sz w:val="21"/>
              </w:rPr>
            </w:pPr>
            <w:r>
              <w:rPr>
                <w:rFonts w:ascii="Times New Roman"/>
                <w:sz w:val="21"/>
              </w:rPr>
              <w:t>3.83%</w:t>
            </w:r>
          </w:p>
        </w:tc>
        <w:tc>
          <w:tcPr>
            <w:tcW w:w="1280" w:type="dxa"/>
            <w:tcBorders>
              <w:top w:val="single" w:sz="4" w:space="0" w:color="000000"/>
              <w:left w:val="single" w:sz="4" w:space="0" w:color="000000"/>
              <w:bottom w:val="single" w:sz="4" w:space="0" w:color="000000"/>
              <w:right w:val="single" w:sz="4" w:space="0" w:color="000000"/>
            </w:tcBorders>
          </w:tcPr>
          <w:p>
            <w:pPr>
              <w:pStyle w:val="TableParagraph"/>
              <w:spacing w:before="29"/>
              <w:ind w:left="321"/>
              <w:rPr>
                <w:rFonts w:ascii="Times New Roman"/>
                <w:sz w:val="21"/>
              </w:rPr>
            </w:pPr>
            <w:r>
              <w:rPr>
                <w:rFonts w:ascii="Times New Roman"/>
                <w:sz w:val="21"/>
              </w:rPr>
              <w:t>12.10%</w:t>
            </w:r>
          </w:p>
        </w:tc>
        <w:tc>
          <w:tcPr>
            <w:tcW w:w="134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9"/>
              <w:ind w:left="332"/>
              <w:rPr>
                <w:rFonts w:ascii="Times New Roman"/>
                <w:sz w:val="21"/>
              </w:rPr>
            </w:pPr>
            <w:r>
              <w:rPr>
                <w:rFonts w:ascii="Times New Roman"/>
                <w:sz w:val="21"/>
              </w:rPr>
              <w:t>15.73%</w:t>
            </w:r>
          </w:p>
        </w:tc>
        <w:tc>
          <w:tcPr>
            <w:tcW w:w="1117" w:type="dxa"/>
            <w:tcBorders>
              <w:top w:val="single" w:sz="4" w:space="0" w:color="000000"/>
              <w:left w:val="single" w:sz="4" w:space="0" w:color="000000"/>
              <w:bottom w:val="single" w:sz="4" w:space="0" w:color="000000"/>
              <w:right w:val="single" w:sz="4" w:space="0" w:color="000000"/>
            </w:tcBorders>
          </w:tcPr>
          <w:p>
            <w:pPr>
              <w:pStyle w:val="TableParagraph"/>
              <w:spacing w:before="29"/>
              <w:ind w:left="273"/>
              <w:rPr>
                <w:rFonts w:ascii="Times New Roman"/>
                <w:sz w:val="21"/>
              </w:rPr>
            </w:pPr>
            <w:r>
              <w:rPr>
                <w:rFonts w:ascii="Times New Roman"/>
                <w:sz w:val="21"/>
              </w:rPr>
              <w:t>7.53%</w:t>
            </w:r>
          </w:p>
        </w:tc>
        <w:tc>
          <w:tcPr>
            <w:tcW w:w="1233" w:type="dxa"/>
            <w:gridSpan w:val="2"/>
            <w:tcBorders>
              <w:top w:val="single" w:sz="4" w:space="0" w:color="000000"/>
              <w:left w:val="single" w:sz="4" w:space="0" w:color="000000"/>
              <w:bottom w:val="single" w:sz="4" w:space="0" w:color="000000"/>
              <w:right w:val="nil"/>
            </w:tcBorders>
          </w:tcPr>
          <w:p>
            <w:pPr>
              <w:pStyle w:val="TableParagraph"/>
              <w:spacing w:before="29"/>
              <w:ind w:left="349"/>
              <w:rPr>
                <w:rFonts w:ascii="Times New Roman"/>
                <w:sz w:val="21"/>
              </w:rPr>
            </w:pPr>
            <w:r>
              <w:rPr>
                <w:rFonts w:ascii="Times New Roman"/>
                <w:sz w:val="21"/>
              </w:rPr>
              <w:t>2.45%</w:t>
            </w:r>
          </w:p>
        </w:tc>
        <w:tc>
          <w:tcPr>
            <w:tcW w:w="276" w:type="dxa"/>
            <w:vMerge/>
            <w:tcBorders>
              <w:top w:val="nil"/>
              <w:left w:val="nil"/>
              <w:bottom w:val="single" w:sz="4" w:space="0" w:color="000000"/>
            </w:tcBorders>
          </w:tcPr>
          <w:p>
            <w:pPr>
              <w:rPr>
                <w:sz w:val="2"/>
                <w:szCs w:val="2"/>
              </w:rPr>
            </w:pPr>
          </w:p>
        </w:tc>
      </w:tr>
      <w:tr>
        <w:tblPrEx>
          <w:tblW w:w="0" w:type="auto"/>
          <w:jc w:val="left"/>
          <w:tblInd w:w="142" w:type="dxa"/>
          <w:tblLayout w:type="fixed"/>
          <w:tblCellMar>
            <w:top w:w="0" w:type="dxa"/>
            <w:left w:w="0" w:type="dxa"/>
            <w:bottom w:w="0" w:type="dxa"/>
            <w:right w:w="0" w:type="dxa"/>
          </w:tblCellMar>
          <w:tblLook w:val="01E0"/>
        </w:tblPrEx>
        <w:trPr>
          <w:trHeight w:val="353"/>
          <w:jc w:val="left"/>
        </w:trPr>
        <w:tc>
          <w:tcPr>
            <w:tcW w:w="456" w:type="dxa"/>
            <w:vMerge/>
            <w:tcBorders>
              <w:top w:val="nil"/>
              <w:bottom w:val="single" w:sz="4" w:space="0" w:color="000000"/>
              <w:right w:val="single" w:sz="4" w:space="0" w:color="000000"/>
            </w:tcBorders>
          </w:tcPr>
          <w:p>
            <w:pPr>
              <w:rPr>
                <w:sz w:val="2"/>
                <w:szCs w:val="2"/>
              </w:rPr>
            </w:pPr>
          </w:p>
        </w:tc>
        <w:tc>
          <w:tcPr>
            <w:tcW w:w="108" w:type="dxa"/>
            <w:vMerge/>
            <w:tcBorders>
              <w:top w:val="nil"/>
              <w:left w:val="single" w:sz="4" w:space="0" w:color="000000"/>
              <w:bottom w:val="single" w:sz="4" w:space="0" w:color="000000"/>
              <w:right w:val="nil"/>
            </w:tcBorders>
          </w:tcPr>
          <w:p>
            <w:pPr>
              <w:rPr>
                <w:sz w:val="2"/>
                <w:szCs w:val="2"/>
              </w:rPr>
            </w:pPr>
          </w:p>
        </w:tc>
        <w:tc>
          <w:tcPr>
            <w:tcW w:w="1071" w:type="dxa"/>
            <w:tcBorders>
              <w:top w:val="single" w:sz="4" w:space="0" w:color="000000"/>
              <w:left w:val="nil"/>
              <w:bottom w:val="thinThickMediumGap" w:sz="6" w:space="0" w:color="000000"/>
              <w:right w:val="single" w:sz="4" w:space="0" w:color="000000"/>
            </w:tcBorders>
          </w:tcPr>
          <w:p>
            <w:pPr>
              <w:pStyle w:val="TableParagraph"/>
              <w:spacing w:before="41"/>
              <w:ind w:left="184" w:right="159"/>
              <w:jc w:val="center"/>
              <w:rPr>
                <w:sz w:val="21"/>
              </w:rPr>
            </w:pPr>
            <w:r>
              <w:rPr>
                <w:rFonts w:ascii="Times New Roman" w:eastAsia="Times New Roman"/>
                <w:sz w:val="21"/>
              </w:rPr>
              <w:t xml:space="preserve">2032 </w:t>
            </w:r>
            <w:r>
              <w:rPr>
                <w:sz w:val="21"/>
              </w:rPr>
              <w:t>年</w:t>
            </w:r>
          </w:p>
        </w:tc>
        <w:tc>
          <w:tcPr>
            <w:tcW w:w="1211" w:type="dxa"/>
            <w:gridSpan w:val="2"/>
            <w:tcBorders>
              <w:top w:val="single" w:sz="4" w:space="0" w:color="000000"/>
              <w:left w:val="single" w:sz="4" w:space="0" w:color="000000"/>
              <w:bottom w:val="thinThickMediumGap" w:sz="6" w:space="0" w:color="000000"/>
              <w:right w:val="single" w:sz="4" w:space="0" w:color="000000"/>
            </w:tcBorders>
          </w:tcPr>
          <w:p>
            <w:pPr>
              <w:pStyle w:val="TableParagraph"/>
              <w:spacing w:before="55"/>
              <w:ind w:left="285"/>
              <w:rPr>
                <w:rFonts w:ascii="Times New Roman"/>
                <w:sz w:val="21"/>
              </w:rPr>
            </w:pPr>
            <w:r>
              <w:rPr>
                <w:rFonts w:ascii="Times New Roman"/>
                <w:sz w:val="21"/>
              </w:rPr>
              <w:t>62.90%</w:t>
            </w:r>
          </w:p>
        </w:tc>
        <w:tc>
          <w:tcPr>
            <w:tcW w:w="1189" w:type="dxa"/>
            <w:tcBorders>
              <w:top w:val="single" w:sz="4" w:space="0" w:color="000000"/>
              <w:left w:val="single" w:sz="4" w:space="0" w:color="000000"/>
              <w:bottom w:val="thinThickMediumGap" w:sz="6" w:space="0" w:color="000000"/>
              <w:right w:val="single" w:sz="4" w:space="0" w:color="000000"/>
            </w:tcBorders>
          </w:tcPr>
          <w:p>
            <w:pPr>
              <w:pStyle w:val="TableParagraph"/>
              <w:spacing w:before="55"/>
              <w:ind w:right="305"/>
              <w:jc w:val="right"/>
              <w:rPr>
                <w:rFonts w:ascii="Times New Roman"/>
                <w:sz w:val="21"/>
              </w:rPr>
            </w:pPr>
            <w:r>
              <w:rPr>
                <w:rFonts w:ascii="Times New Roman"/>
                <w:sz w:val="21"/>
              </w:rPr>
              <w:t>3.21%</w:t>
            </w:r>
          </w:p>
        </w:tc>
        <w:tc>
          <w:tcPr>
            <w:tcW w:w="1280" w:type="dxa"/>
            <w:tcBorders>
              <w:top w:val="single" w:sz="4" w:space="0" w:color="000000"/>
              <w:left w:val="single" w:sz="4" w:space="0" w:color="000000"/>
              <w:bottom w:val="thinThickMediumGap" w:sz="6" w:space="0" w:color="000000"/>
              <w:right w:val="single" w:sz="4" w:space="0" w:color="000000"/>
            </w:tcBorders>
          </w:tcPr>
          <w:p>
            <w:pPr>
              <w:pStyle w:val="TableParagraph"/>
              <w:spacing w:before="55"/>
              <w:ind w:left="374"/>
              <w:rPr>
                <w:rFonts w:ascii="Times New Roman"/>
                <w:sz w:val="21"/>
              </w:rPr>
            </w:pPr>
            <w:r>
              <w:rPr>
                <w:rFonts w:ascii="Times New Roman"/>
                <w:sz w:val="21"/>
              </w:rPr>
              <w:t>8.30%</w:t>
            </w:r>
          </w:p>
        </w:tc>
        <w:tc>
          <w:tcPr>
            <w:tcW w:w="1341" w:type="dxa"/>
            <w:gridSpan w:val="2"/>
            <w:tcBorders>
              <w:top w:val="single" w:sz="4" w:space="0" w:color="000000"/>
              <w:left w:val="single" w:sz="4" w:space="0" w:color="000000"/>
              <w:bottom w:val="thinThickMediumGap" w:sz="6" w:space="0" w:color="000000"/>
              <w:right w:val="single" w:sz="4" w:space="0" w:color="000000"/>
            </w:tcBorders>
          </w:tcPr>
          <w:p>
            <w:pPr>
              <w:pStyle w:val="TableParagraph"/>
              <w:spacing w:before="55"/>
              <w:ind w:left="332"/>
              <w:rPr>
                <w:rFonts w:ascii="Times New Roman"/>
                <w:sz w:val="21"/>
              </w:rPr>
            </w:pPr>
            <w:r>
              <w:rPr>
                <w:rFonts w:ascii="Times New Roman"/>
                <w:sz w:val="21"/>
              </w:rPr>
              <w:t>13.93%</w:t>
            </w:r>
          </w:p>
        </w:tc>
        <w:tc>
          <w:tcPr>
            <w:tcW w:w="1117" w:type="dxa"/>
            <w:tcBorders>
              <w:top w:val="single" w:sz="4" w:space="0" w:color="000000"/>
              <w:left w:val="single" w:sz="4" w:space="0" w:color="000000"/>
              <w:bottom w:val="thinThickMediumGap" w:sz="6" w:space="0" w:color="000000"/>
              <w:right w:val="single" w:sz="4" w:space="0" w:color="000000"/>
            </w:tcBorders>
          </w:tcPr>
          <w:p>
            <w:pPr>
              <w:pStyle w:val="TableParagraph"/>
              <w:spacing w:before="55"/>
              <w:ind w:left="273"/>
              <w:rPr>
                <w:rFonts w:ascii="Times New Roman"/>
                <w:sz w:val="21"/>
              </w:rPr>
            </w:pPr>
            <w:r>
              <w:rPr>
                <w:rFonts w:ascii="Times New Roman"/>
                <w:sz w:val="21"/>
              </w:rPr>
              <w:t>8.13%</w:t>
            </w:r>
          </w:p>
        </w:tc>
        <w:tc>
          <w:tcPr>
            <w:tcW w:w="1233" w:type="dxa"/>
            <w:gridSpan w:val="2"/>
            <w:tcBorders>
              <w:top w:val="single" w:sz="4" w:space="0" w:color="000000"/>
              <w:left w:val="single" w:sz="4" w:space="0" w:color="000000"/>
              <w:bottom w:val="thinThickMediumGap" w:sz="6" w:space="0" w:color="000000"/>
              <w:right w:val="nil"/>
            </w:tcBorders>
          </w:tcPr>
          <w:p>
            <w:pPr>
              <w:pStyle w:val="TableParagraph"/>
              <w:spacing w:before="55"/>
              <w:ind w:left="349"/>
              <w:rPr>
                <w:rFonts w:ascii="Times New Roman"/>
                <w:sz w:val="21"/>
              </w:rPr>
            </w:pPr>
            <w:r>
              <w:rPr>
                <w:rFonts w:ascii="Times New Roman"/>
                <w:sz w:val="21"/>
              </w:rPr>
              <w:t>3.53%</w:t>
            </w:r>
          </w:p>
        </w:tc>
        <w:tc>
          <w:tcPr>
            <w:tcW w:w="276" w:type="dxa"/>
            <w:vMerge/>
            <w:tcBorders>
              <w:top w:val="nil"/>
              <w:left w:val="nil"/>
              <w:bottom w:val="single" w:sz="4" w:space="0" w:color="000000"/>
            </w:tcBorders>
          </w:tcPr>
          <w:p>
            <w:pPr>
              <w:rPr>
                <w:sz w:val="2"/>
                <w:szCs w:val="2"/>
              </w:rPr>
            </w:pPr>
          </w:p>
        </w:tc>
      </w:tr>
      <w:tr>
        <w:tblPrEx>
          <w:tblW w:w="0" w:type="auto"/>
          <w:jc w:val="left"/>
          <w:tblInd w:w="142" w:type="dxa"/>
          <w:tblLayout w:type="fixed"/>
          <w:tblCellMar>
            <w:top w:w="0" w:type="dxa"/>
            <w:left w:w="0" w:type="dxa"/>
            <w:bottom w:w="0" w:type="dxa"/>
            <w:right w:w="0" w:type="dxa"/>
          </w:tblCellMar>
          <w:tblLook w:val="01E0"/>
        </w:tblPrEx>
        <w:trPr>
          <w:trHeight w:val="375"/>
          <w:jc w:val="left"/>
        </w:trPr>
        <w:tc>
          <w:tcPr>
            <w:tcW w:w="456" w:type="dxa"/>
            <w:vMerge w:val="restart"/>
            <w:tcBorders>
              <w:top w:val="single" w:sz="4" w:space="0" w:color="000000"/>
              <w:right w:val="single" w:sz="4" w:space="0" w:color="000000"/>
            </w:tcBorders>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08" w:line="242" w:lineRule="auto"/>
              <w:ind w:left="108" w:right="90"/>
              <w:jc w:val="both"/>
              <w:rPr>
                <w:sz w:val="24"/>
              </w:rPr>
            </w:pPr>
            <w:r>
              <w:rPr>
                <w:sz w:val="24"/>
              </w:rPr>
              <w:t>施工方案</w:t>
            </w:r>
          </w:p>
        </w:tc>
        <w:tc>
          <w:tcPr>
            <w:tcW w:w="8826" w:type="dxa"/>
            <w:gridSpan w:val="12"/>
            <w:tcBorders>
              <w:top w:val="single" w:sz="4" w:space="0" w:color="000000"/>
              <w:left w:val="single" w:sz="4" w:space="0" w:color="000000"/>
              <w:bottom w:val="nil"/>
            </w:tcBorders>
          </w:tcPr>
          <w:p>
            <w:pPr>
              <w:pStyle w:val="TableParagraph"/>
              <w:spacing w:line="307" w:lineRule="exact"/>
              <w:ind w:left="624"/>
              <w:rPr>
                <w:sz w:val="24"/>
              </w:rPr>
            </w:pPr>
            <w:r>
              <w:rPr>
                <w:sz w:val="24"/>
              </w:rPr>
              <w:t>本项目为道路建设工程，主要工程内容为路基工程、路面工程、桥梁工程</w:t>
            </w:r>
          </w:p>
        </w:tc>
      </w:tr>
      <w:tr>
        <w:tblPrEx>
          <w:tblW w:w="0" w:type="auto"/>
          <w:jc w:val="left"/>
          <w:tblInd w:w="142" w:type="dxa"/>
          <w:tblLayout w:type="fixed"/>
          <w:tblCellMar>
            <w:top w:w="0" w:type="dxa"/>
            <w:left w:w="0" w:type="dxa"/>
            <w:bottom w:w="0" w:type="dxa"/>
            <w:right w:w="0" w:type="dxa"/>
          </w:tblCellMar>
          <w:tblLook w:val="01E0"/>
        </w:tblPrEx>
        <w:trPr>
          <w:trHeight w:val="442"/>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9"/>
              <w:ind w:left="113"/>
              <w:rPr>
                <w:sz w:val="24"/>
              </w:rPr>
            </w:pPr>
            <w:r>
              <w:rPr>
                <w:sz w:val="24"/>
              </w:rPr>
              <w:t>等。</w:t>
            </w:r>
          </w:p>
        </w:tc>
      </w:tr>
      <w:tr>
        <w:tblPrEx>
          <w:tblW w:w="0" w:type="auto"/>
          <w:jc w:val="left"/>
          <w:tblInd w:w="142" w:type="dxa"/>
          <w:tblLayout w:type="fixed"/>
          <w:tblCellMar>
            <w:top w:w="0" w:type="dxa"/>
            <w:left w:w="0" w:type="dxa"/>
            <w:bottom w:w="0" w:type="dxa"/>
            <w:right w:w="0" w:type="dxa"/>
          </w:tblCellMar>
          <w:tblLook w:val="01E0"/>
        </w:tblPrEx>
        <w:trPr>
          <w:trHeight w:val="455"/>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4"/>
              <w:ind w:left="593"/>
              <w:rPr>
                <w:sz w:val="24"/>
              </w:rPr>
            </w:pPr>
            <w:r>
              <w:rPr>
                <w:rFonts w:ascii="Times New Roman" w:eastAsia="Times New Roman"/>
                <w:sz w:val="24"/>
              </w:rPr>
              <w:t>1</w:t>
            </w:r>
            <w:r>
              <w:rPr>
                <w:sz w:val="24"/>
              </w:rPr>
              <w:t>、一般路基施工</w:t>
            </w:r>
          </w:p>
        </w:tc>
      </w:tr>
      <w:tr>
        <w:tblPrEx>
          <w:tblW w:w="0" w:type="auto"/>
          <w:jc w:val="left"/>
          <w:tblInd w:w="142" w:type="dxa"/>
          <w:tblLayout w:type="fixed"/>
          <w:tblCellMar>
            <w:top w:w="0" w:type="dxa"/>
            <w:left w:w="0" w:type="dxa"/>
            <w:bottom w:w="0" w:type="dxa"/>
            <w:right w:w="0" w:type="dxa"/>
          </w:tblCellMar>
          <w:tblLook w:val="01E0"/>
        </w:tblPrEx>
        <w:trPr>
          <w:trHeight w:val="450"/>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6"/>
              <w:ind w:left="593"/>
              <w:rPr>
                <w:sz w:val="24"/>
              </w:rPr>
            </w:pPr>
            <w:r>
              <w:rPr>
                <w:sz w:val="24"/>
              </w:rPr>
              <w:t>（</w:t>
            </w:r>
            <w:r>
              <w:rPr>
                <w:rFonts w:ascii="Times New Roman" w:eastAsia="Times New Roman"/>
                <w:sz w:val="24"/>
              </w:rPr>
              <w:t>1</w:t>
            </w:r>
            <w:r>
              <w:rPr>
                <w:sz w:val="24"/>
              </w:rPr>
              <w:t>）填筑路堤前，应先清理原地表有机质土中的树根、草皮等杂物，若原地</w:t>
            </w:r>
          </w:p>
        </w:tc>
      </w:tr>
      <w:tr>
        <w:tblPrEx>
          <w:tblW w:w="0" w:type="auto"/>
          <w:jc w:val="left"/>
          <w:tblInd w:w="142" w:type="dxa"/>
          <w:tblLayout w:type="fixed"/>
          <w:tblCellMar>
            <w:top w:w="0" w:type="dxa"/>
            <w:left w:w="0" w:type="dxa"/>
            <w:bottom w:w="0" w:type="dxa"/>
            <w:right w:w="0" w:type="dxa"/>
          </w:tblCellMar>
          <w:tblLook w:val="01E0"/>
        </w:tblPrEx>
        <w:trPr>
          <w:trHeight w:val="433"/>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1"/>
              <w:ind w:left="113"/>
              <w:rPr>
                <w:sz w:val="24"/>
              </w:rPr>
            </w:pPr>
            <w:r>
              <w:rPr>
                <w:sz w:val="24"/>
              </w:rPr>
              <w:t>面有坑（洞）穴、水坑等，应先行回填并压实。</w:t>
            </w:r>
          </w:p>
        </w:tc>
      </w:tr>
      <w:tr>
        <w:tblPrEx>
          <w:tblW w:w="0" w:type="auto"/>
          <w:jc w:val="left"/>
          <w:tblInd w:w="142" w:type="dxa"/>
          <w:tblLayout w:type="fixed"/>
          <w:tblCellMar>
            <w:top w:w="0" w:type="dxa"/>
            <w:left w:w="0" w:type="dxa"/>
            <w:bottom w:w="0" w:type="dxa"/>
            <w:right w:w="0" w:type="dxa"/>
          </w:tblCellMar>
          <w:tblLook w:val="01E0"/>
        </w:tblPrEx>
        <w:trPr>
          <w:trHeight w:val="455"/>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5"/>
              <w:ind w:left="593"/>
              <w:rPr>
                <w:sz w:val="24"/>
              </w:rPr>
            </w:pPr>
            <w:r>
              <w:rPr>
                <w:sz w:val="24"/>
              </w:rPr>
              <w:t>（</w:t>
            </w:r>
            <w:r>
              <w:rPr>
                <w:rFonts w:ascii="Times New Roman" w:eastAsia="Times New Roman"/>
                <w:sz w:val="24"/>
              </w:rPr>
              <w:t>2</w:t>
            </w:r>
            <w:r>
              <w:rPr>
                <w:sz w:val="24"/>
              </w:rPr>
              <w:t>）路基施工前，对设计的地面标高进行复测，如有误差及时通知设计单位</w:t>
            </w:r>
          </w:p>
        </w:tc>
      </w:tr>
      <w:tr>
        <w:tblPrEx>
          <w:tblW w:w="0" w:type="auto"/>
          <w:jc w:val="left"/>
          <w:tblInd w:w="142" w:type="dxa"/>
          <w:tblLayout w:type="fixed"/>
          <w:tblCellMar>
            <w:top w:w="0" w:type="dxa"/>
            <w:left w:w="0" w:type="dxa"/>
            <w:bottom w:w="0" w:type="dxa"/>
            <w:right w:w="0" w:type="dxa"/>
          </w:tblCellMar>
          <w:tblLook w:val="01E0"/>
        </w:tblPrEx>
        <w:trPr>
          <w:trHeight w:val="446"/>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5"/>
              <w:ind w:left="113"/>
              <w:rPr>
                <w:sz w:val="24"/>
              </w:rPr>
            </w:pPr>
            <w:r>
              <w:rPr>
                <w:sz w:val="24"/>
              </w:rPr>
              <w:t xml:space="preserve">进行核查修改。在路基施工中应加强对测设标志（如 </w:t>
            </w:r>
            <w:r>
              <w:rPr>
                <w:rFonts w:ascii="Times New Roman" w:eastAsia="Times New Roman"/>
                <w:sz w:val="24"/>
              </w:rPr>
              <w:t xml:space="preserve">GPS </w:t>
            </w:r>
            <w:r>
              <w:rPr>
                <w:sz w:val="24"/>
              </w:rPr>
              <w:t>点）的保护。</w:t>
            </w:r>
          </w:p>
        </w:tc>
      </w:tr>
      <w:tr>
        <w:tblPrEx>
          <w:tblW w:w="0" w:type="auto"/>
          <w:jc w:val="left"/>
          <w:tblInd w:w="142" w:type="dxa"/>
          <w:tblLayout w:type="fixed"/>
          <w:tblCellMar>
            <w:top w:w="0" w:type="dxa"/>
            <w:left w:w="0" w:type="dxa"/>
            <w:bottom w:w="0" w:type="dxa"/>
            <w:right w:w="0" w:type="dxa"/>
          </w:tblCellMar>
          <w:tblLook w:val="01E0"/>
        </w:tblPrEx>
        <w:trPr>
          <w:trHeight w:val="450"/>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6"/>
              <w:ind w:left="593"/>
              <w:rPr>
                <w:sz w:val="24"/>
              </w:rPr>
            </w:pPr>
            <w:r>
              <w:rPr>
                <w:sz w:val="24"/>
              </w:rPr>
              <w:t>（</w:t>
            </w:r>
            <w:r>
              <w:rPr>
                <w:rFonts w:ascii="Times New Roman" w:eastAsia="Times New Roman"/>
                <w:sz w:val="24"/>
              </w:rPr>
              <w:t>3</w:t>
            </w:r>
            <w:r>
              <w:rPr>
                <w:sz w:val="24"/>
              </w:rPr>
              <w:t>）路基填筑施工前，必须取代表性土样，按现行试验规范对填料进行各项</w:t>
            </w:r>
          </w:p>
        </w:tc>
      </w:tr>
      <w:tr>
        <w:tblPrEx>
          <w:tblW w:w="0" w:type="auto"/>
          <w:jc w:val="left"/>
          <w:tblInd w:w="142" w:type="dxa"/>
          <w:tblLayout w:type="fixed"/>
          <w:tblCellMar>
            <w:top w:w="0" w:type="dxa"/>
            <w:left w:w="0" w:type="dxa"/>
            <w:bottom w:w="0" w:type="dxa"/>
            <w:right w:w="0" w:type="dxa"/>
          </w:tblCellMar>
          <w:tblLook w:val="01E0"/>
        </w:tblPrEx>
        <w:trPr>
          <w:trHeight w:val="438"/>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1"/>
              <w:ind w:left="113"/>
              <w:rPr>
                <w:sz w:val="24"/>
              </w:rPr>
            </w:pPr>
            <w:r>
              <w:rPr>
                <w:sz w:val="24"/>
              </w:rPr>
              <w:t>试验，求得各取土场土样的最大干密度和最佳含水量，并选择合适路段进行试验段</w:t>
            </w:r>
          </w:p>
        </w:tc>
      </w:tr>
      <w:tr>
        <w:tblPrEx>
          <w:tblW w:w="0" w:type="auto"/>
          <w:jc w:val="left"/>
          <w:tblInd w:w="142" w:type="dxa"/>
          <w:tblLayout w:type="fixed"/>
          <w:tblCellMar>
            <w:top w:w="0" w:type="dxa"/>
            <w:left w:w="0" w:type="dxa"/>
            <w:bottom w:w="0" w:type="dxa"/>
            <w:right w:w="0" w:type="dxa"/>
          </w:tblCellMar>
          <w:tblLook w:val="01E0"/>
        </w:tblPrEx>
        <w:trPr>
          <w:trHeight w:val="446"/>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0"/>
              <w:ind w:left="113"/>
              <w:rPr>
                <w:sz w:val="24"/>
              </w:rPr>
            </w:pPr>
            <w:r>
              <w:rPr>
                <w:sz w:val="24"/>
              </w:rPr>
              <w:t>铺筑，以确定正确的压实方法、各类压实设备的类型及组合工序、最佳组合下的压</w:t>
            </w:r>
          </w:p>
        </w:tc>
      </w:tr>
      <w:tr>
        <w:tblPrEx>
          <w:tblW w:w="0" w:type="auto"/>
          <w:jc w:val="left"/>
          <w:tblInd w:w="142" w:type="dxa"/>
          <w:tblLayout w:type="fixed"/>
          <w:tblCellMar>
            <w:top w:w="0" w:type="dxa"/>
            <w:left w:w="0" w:type="dxa"/>
            <w:bottom w:w="0" w:type="dxa"/>
            <w:right w:w="0" w:type="dxa"/>
          </w:tblCellMar>
          <w:tblLook w:val="01E0"/>
        </w:tblPrEx>
        <w:trPr>
          <w:trHeight w:val="441"/>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9"/>
              <w:ind w:left="113"/>
              <w:rPr>
                <w:sz w:val="24"/>
              </w:rPr>
            </w:pPr>
            <w:r>
              <w:rPr>
                <w:sz w:val="24"/>
              </w:rPr>
              <w:t>实遍数以及压实层厚度，用以指导路基的压实施工。</w:t>
            </w:r>
          </w:p>
        </w:tc>
      </w:tr>
      <w:tr>
        <w:tblPrEx>
          <w:tblW w:w="0" w:type="auto"/>
          <w:jc w:val="left"/>
          <w:tblInd w:w="142" w:type="dxa"/>
          <w:tblLayout w:type="fixed"/>
          <w:tblCellMar>
            <w:top w:w="0" w:type="dxa"/>
            <w:left w:w="0" w:type="dxa"/>
            <w:bottom w:w="0" w:type="dxa"/>
            <w:right w:w="0" w:type="dxa"/>
          </w:tblCellMar>
          <w:tblLook w:val="01E0"/>
        </w:tblPrEx>
        <w:trPr>
          <w:trHeight w:val="459"/>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5"/>
              <w:ind w:left="593"/>
              <w:rPr>
                <w:sz w:val="24"/>
              </w:rPr>
            </w:pPr>
            <w:r>
              <w:rPr>
                <w:sz w:val="24"/>
              </w:rPr>
              <w:t>（</w:t>
            </w:r>
            <w:r>
              <w:rPr>
                <w:rFonts w:ascii="Times New Roman" w:eastAsia="Times New Roman"/>
                <w:sz w:val="24"/>
              </w:rPr>
              <w:t>4</w:t>
            </w:r>
            <w:r>
              <w:rPr>
                <w:sz w:val="24"/>
              </w:rPr>
              <w:t>）为保证路基强度、稳定性，路基填土应严格按《公路路基施工规范》要</w:t>
            </w:r>
          </w:p>
        </w:tc>
      </w:tr>
      <w:tr>
        <w:tblPrEx>
          <w:tblW w:w="0" w:type="auto"/>
          <w:jc w:val="left"/>
          <w:tblInd w:w="142" w:type="dxa"/>
          <w:tblLayout w:type="fixed"/>
          <w:tblCellMar>
            <w:top w:w="0" w:type="dxa"/>
            <w:left w:w="0" w:type="dxa"/>
            <w:bottom w:w="0" w:type="dxa"/>
            <w:right w:w="0" w:type="dxa"/>
          </w:tblCellMar>
          <w:tblLook w:val="01E0"/>
        </w:tblPrEx>
        <w:trPr>
          <w:trHeight w:val="438"/>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1"/>
              <w:ind w:left="113"/>
              <w:rPr>
                <w:sz w:val="24"/>
              </w:rPr>
            </w:pPr>
            <w:r>
              <w:rPr>
                <w:sz w:val="24"/>
              </w:rPr>
              <w:t>求施工，必须分层填筑、碾压，不得混杂乱填</w:t>
            </w:r>
            <w:r>
              <w:rPr>
                <w:color w:val="999999"/>
                <w:sz w:val="21"/>
              </w:rPr>
              <w:t>，</w:t>
            </w:r>
            <w:r>
              <w:rPr>
                <w:sz w:val="24"/>
              </w:rPr>
              <w:t>施工时必须保证压实度达到标准后</w:t>
            </w:r>
          </w:p>
        </w:tc>
      </w:tr>
      <w:tr>
        <w:tblPrEx>
          <w:tblW w:w="0" w:type="auto"/>
          <w:jc w:val="left"/>
          <w:tblInd w:w="142" w:type="dxa"/>
          <w:tblLayout w:type="fixed"/>
          <w:tblCellMar>
            <w:top w:w="0" w:type="dxa"/>
            <w:left w:w="0" w:type="dxa"/>
            <w:bottom w:w="0" w:type="dxa"/>
            <w:right w:w="0" w:type="dxa"/>
          </w:tblCellMar>
          <w:tblLook w:val="01E0"/>
        </w:tblPrEx>
        <w:trPr>
          <w:trHeight w:val="442"/>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0"/>
              <w:ind w:left="113"/>
              <w:rPr>
                <w:sz w:val="24"/>
              </w:rPr>
            </w:pPr>
            <w:r>
              <w:rPr>
                <w:sz w:val="24"/>
              </w:rPr>
              <w:t>才能进行上一层的填筑。</w:t>
            </w:r>
          </w:p>
        </w:tc>
      </w:tr>
      <w:tr>
        <w:tblPrEx>
          <w:tblW w:w="0" w:type="auto"/>
          <w:jc w:val="left"/>
          <w:tblInd w:w="142" w:type="dxa"/>
          <w:tblLayout w:type="fixed"/>
          <w:tblCellMar>
            <w:top w:w="0" w:type="dxa"/>
            <w:left w:w="0" w:type="dxa"/>
            <w:bottom w:w="0" w:type="dxa"/>
            <w:right w:w="0" w:type="dxa"/>
          </w:tblCellMar>
          <w:tblLook w:val="01E0"/>
        </w:tblPrEx>
        <w:trPr>
          <w:trHeight w:val="459"/>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5"/>
              <w:ind w:left="593"/>
              <w:rPr>
                <w:sz w:val="24"/>
              </w:rPr>
            </w:pPr>
            <w:r>
              <w:rPr>
                <w:sz w:val="24"/>
              </w:rPr>
              <w:t>（</w:t>
            </w:r>
            <w:r>
              <w:rPr>
                <w:rFonts w:ascii="Times New Roman" w:eastAsia="Times New Roman"/>
                <w:sz w:val="24"/>
              </w:rPr>
              <w:t>5</w:t>
            </w:r>
            <w:r>
              <w:rPr>
                <w:sz w:val="24"/>
              </w:rPr>
              <w:t>）路基施工时，严禁随处开挖与丢弃，必须在指定地点进行规则的取土与</w:t>
            </w:r>
          </w:p>
        </w:tc>
      </w:tr>
      <w:tr>
        <w:tblPrEx>
          <w:tblW w:w="0" w:type="auto"/>
          <w:jc w:val="left"/>
          <w:tblInd w:w="142" w:type="dxa"/>
          <w:tblLayout w:type="fixed"/>
          <w:tblCellMar>
            <w:top w:w="0" w:type="dxa"/>
            <w:left w:w="0" w:type="dxa"/>
            <w:bottom w:w="0" w:type="dxa"/>
            <w:right w:w="0" w:type="dxa"/>
          </w:tblCellMar>
          <w:tblLook w:val="01E0"/>
        </w:tblPrEx>
        <w:trPr>
          <w:trHeight w:val="433"/>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1"/>
              <w:ind w:left="113"/>
              <w:rPr>
                <w:sz w:val="24"/>
              </w:rPr>
            </w:pPr>
            <w:r>
              <w:rPr>
                <w:sz w:val="24"/>
              </w:rPr>
              <w:t>堆放。</w:t>
            </w:r>
          </w:p>
        </w:tc>
      </w:tr>
      <w:tr>
        <w:tblPrEx>
          <w:tblW w:w="0" w:type="auto"/>
          <w:jc w:val="left"/>
          <w:tblInd w:w="142" w:type="dxa"/>
          <w:tblLayout w:type="fixed"/>
          <w:tblCellMar>
            <w:top w:w="0" w:type="dxa"/>
            <w:left w:w="0" w:type="dxa"/>
            <w:bottom w:w="0" w:type="dxa"/>
            <w:right w:w="0" w:type="dxa"/>
          </w:tblCellMar>
          <w:tblLook w:val="01E0"/>
        </w:tblPrEx>
        <w:trPr>
          <w:trHeight w:val="459"/>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5"/>
              <w:ind w:left="593"/>
              <w:rPr>
                <w:sz w:val="24"/>
              </w:rPr>
            </w:pPr>
            <w:r>
              <w:rPr>
                <w:spacing w:val="-11"/>
                <w:sz w:val="24"/>
              </w:rPr>
              <w:t>（</w:t>
            </w:r>
            <w:r>
              <w:rPr>
                <w:rFonts w:ascii="Times New Roman" w:eastAsia="Times New Roman"/>
                <w:spacing w:val="-11"/>
                <w:sz w:val="24"/>
              </w:rPr>
              <w:t>6</w:t>
            </w:r>
            <w:r>
              <w:rPr>
                <w:spacing w:val="-11"/>
                <w:sz w:val="24"/>
              </w:rPr>
              <w:t>）</w:t>
            </w:r>
            <w:r>
              <w:rPr>
                <w:spacing w:val="-7"/>
                <w:sz w:val="24"/>
              </w:rPr>
              <w:t>路基在雨季施工时，应注意加强施工管理，做好临时排水和防护措施</w:t>
            </w:r>
            <w:r>
              <w:rPr>
                <w:color w:val="999999"/>
                <w:sz w:val="21"/>
              </w:rPr>
              <w:t>（</w:t>
            </w:r>
            <w:r>
              <w:rPr>
                <w:sz w:val="24"/>
              </w:rPr>
              <w:t>如</w:t>
            </w:r>
          </w:p>
        </w:tc>
      </w:tr>
      <w:tr>
        <w:tblPrEx>
          <w:tblW w:w="0" w:type="auto"/>
          <w:jc w:val="left"/>
          <w:tblInd w:w="142" w:type="dxa"/>
          <w:tblLayout w:type="fixed"/>
          <w:tblCellMar>
            <w:top w:w="0" w:type="dxa"/>
            <w:left w:w="0" w:type="dxa"/>
            <w:bottom w:w="0" w:type="dxa"/>
            <w:right w:w="0" w:type="dxa"/>
          </w:tblCellMar>
          <w:tblLook w:val="01E0"/>
        </w:tblPrEx>
        <w:trPr>
          <w:trHeight w:val="433"/>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1"/>
              <w:ind w:left="113"/>
              <w:rPr>
                <w:sz w:val="24"/>
              </w:rPr>
            </w:pPr>
            <w:r>
              <w:rPr>
                <w:sz w:val="24"/>
              </w:rPr>
              <w:t>路肩培土埝，草袋护肩等</w:t>
            </w:r>
            <w:r>
              <w:rPr>
                <w:color w:val="999999"/>
                <w:sz w:val="21"/>
              </w:rPr>
              <w:t>）</w:t>
            </w:r>
            <w:r>
              <w:rPr>
                <w:sz w:val="24"/>
              </w:rPr>
              <w:t>，避免路肩和边坡受雨水冲刷造成拉槽、坍塌。</w:t>
            </w:r>
          </w:p>
        </w:tc>
      </w:tr>
      <w:tr>
        <w:tblPrEx>
          <w:tblW w:w="0" w:type="auto"/>
          <w:jc w:val="left"/>
          <w:tblInd w:w="142" w:type="dxa"/>
          <w:tblLayout w:type="fixed"/>
          <w:tblCellMar>
            <w:top w:w="0" w:type="dxa"/>
            <w:left w:w="0" w:type="dxa"/>
            <w:bottom w:w="0" w:type="dxa"/>
            <w:right w:w="0" w:type="dxa"/>
          </w:tblCellMar>
          <w:tblLook w:val="01E0"/>
        </w:tblPrEx>
        <w:trPr>
          <w:trHeight w:val="459"/>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3"/>
              <w:ind w:left="593"/>
              <w:rPr>
                <w:sz w:val="24"/>
              </w:rPr>
            </w:pPr>
            <w:r>
              <w:rPr>
                <w:sz w:val="24"/>
              </w:rPr>
              <w:t>（</w:t>
            </w:r>
            <w:r>
              <w:rPr>
                <w:rFonts w:ascii="Times New Roman" w:eastAsia="Times New Roman"/>
                <w:sz w:val="24"/>
              </w:rPr>
              <w:t>7</w:t>
            </w:r>
            <w:r>
              <w:rPr>
                <w:sz w:val="24"/>
              </w:rPr>
              <w:t>）本路段填方路基大部分为填土石混合物路基，填筑前应选择代表性路段</w:t>
            </w:r>
          </w:p>
        </w:tc>
      </w:tr>
      <w:tr>
        <w:tblPrEx>
          <w:tblW w:w="0" w:type="auto"/>
          <w:jc w:val="left"/>
          <w:tblInd w:w="142" w:type="dxa"/>
          <w:tblLayout w:type="fixed"/>
          <w:tblCellMar>
            <w:top w:w="0" w:type="dxa"/>
            <w:left w:w="0" w:type="dxa"/>
            <w:bottom w:w="0" w:type="dxa"/>
            <w:right w:w="0" w:type="dxa"/>
          </w:tblCellMar>
          <w:tblLook w:val="01E0"/>
        </w:tblPrEx>
        <w:trPr>
          <w:trHeight w:val="438"/>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61"/>
              <w:ind w:left="113"/>
              <w:rPr>
                <w:sz w:val="24"/>
              </w:rPr>
            </w:pPr>
            <w:r>
              <w:rPr>
                <w:sz w:val="24"/>
              </w:rPr>
              <w:t>进行压实试验，以确定正确的压实方法、各类压实设备的类型及组合工序、最佳组</w:t>
            </w:r>
          </w:p>
        </w:tc>
      </w:tr>
      <w:tr>
        <w:tblPrEx>
          <w:tblW w:w="0" w:type="auto"/>
          <w:jc w:val="left"/>
          <w:tblInd w:w="142" w:type="dxa"/>
          <w:tblLayout w:type="fixed"/>
          <w:tblCellMar>
            <w:top w:w="0" w:type="dxa"/>
            <w:left w:w="0" w:type="dxa"/>
            <w:bottom w:w="0" w:type="dxa"/>
            <w:right w:w="0" w:type="dxa"/>
          </w:tblCellMar>
          <w:tblLook w:val="01E0"/>
        </w:tblPrEx>
        <w:trPr>
          <w:trHeight w:val="442"/>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bottom w:val="nil"/>
            </w:tcBorders>
          </w:tcPr>
          <w:p>
            <w:pPr>
              <w:pStyle w:val="TableParagraph"/>
              <w:spacing w:before="70"/>
              <w:ind w:left="113"/>
              <w:rPr>
                <w:sz w:val="24"/>
              </w:rPr>
            </w:pPr>
            <w:r>
              <w:rPr>
                <w:sz w:val="24"/>
              </w:rPr>
              <w:t>合下的压实遍数以及压实层厚度，用以指导路基的压实施工。</w:t>
            </w:r>
          </w:p>
        </w:tc>
      </w:tr>
      <w:tr>
        <w:tblPrEx>
          <w:tblW w:w="0" w:type="auto"/>
          <w:jc w:val="left"/>
          <w:tblInd w:w="142" w:type="dxa"/>
          <w:tblLayout w:type="fixed"/>
          <w:tblCellMar>
            <w:top w:w="0" w:type="dxa"/>
            <w:left w:w="0" w:type="dxa"/>
            <w:bottom w:w="0" w:type="dxa"/>
            <w:right w:w="0" w:type="dxa"/>
          </w:tblCellMar>
          <w:tblLook w:val="01E0"/>
        </w:tblPrEx>
        <w:trPr>
          <w:trHeight w:val="537"/>
          <w:jc w:val="left"/>
        </w:trPr>
        <w:tc>
          <w:tcPr>
            <w:tcW w:w="456" w:type="dxa"/>
            <w:vMerge/>
            <w:tcBorders>
              <w:top w:val="nil"/>
              <w:right w:val="single" w:sz="4" w:space="0" w:color="000000"/>
            </w:tcBorders>
          </w:tcPr>
          <w:p>
            <w:pPr>
              <w:rPr>
                <w:sz w:val="2"/>
                <w:szCs w:val="2"/>
              </w:rPr>
            </w:pPr>
          </w:p>
        </w:tc>
        <w:tc>
          <w:tcPr>
            <w:tcW w:w="8826" w:type="dxa"/>
            <w:gridSpan w:val="12"/>
            <w:tcBorders>
              <w:top w:val="nil"/>
              <w:left w:val="single" w:sz="4" w:space="0" w:color="000000"/>
            </w:tcBorders>
          </w:tcPr>
          <w:p>
            <w:pPr>
              <w:pStyle w:val="TableParagraph"/>
              <w:spacing w:before="73"/>
              <w:ind w:left="593"/>
              <w:rPr>
                <w:sz w:val="24"/>
              </w:rPr>
            </w:pPr>
            <w:r>
              <w:rPr>
                <w:sz w:val="24"/>
              </w:rPr>
              <w:t>（</w:t>
            </w:r>
            <w:r>
              <w:rPr>
                <w:rFonts w:ascii="Times New Roman" w:eastAsia="Times New Roman"/>
                <w:sz w:val="24"/>
              </w:rPr>
              <w:t>8</w:t>
            </w:r>
            <w:r>
              <w:rPr>
                <w:sz w:val="24"/>
              </w:rPr>
              <w:t>）天然土石混合填料中，中硬、硬质石料的最大粒径不得大于压实层厚的</w:t>
            </w:r>
          </w:p>
        </w:tc>
      </w:tr>
    </w:tbl>
    <w:p>
      <w:pPr>
        <w:spacing w:after="0"/>
        <w:rPr>
          <w:sz w:val="24"/>
        </w:rPr>
        <w:sectPr>
          <w:footerReference w:type="default" r:id="rId32"/>
          <w:pgSz w:w="11910" w:h="16840"/>
          <w:pgMar w:top="1420" w:right="1100" w:bottom="1180" w:left="1180" w:header="0" w:footer="997"/>
          <w:pgNumType w:start="19"/>
          <w:cols w:space="708"/>
        </w:sectPr>
      </w:pPr>
    </w:p>
    <w:p>
      <w:pPr>
        <w:pStyle w:val="BodyText"/>
        <w:spacing w:before="55"/>
        <w:ind w:left="696"/>
      </w:pPr>
      <w:r>
        <w:pict>
          <v:group id="_x0000_s1062" style="width:465.1pt;height:678.35pt;margin-top:72pt;margin-left:65.12pt;mso-position-horizontal-relative:page;mso-position-vertical-relative:page;position:absolute;z-index:-251642880" coordorigin="1302,1440" coordsize="9302,13567">
            <v:shape id="_x0000_s1063" style="width:9302;height:13567;left:1302;position:absolute;top:1831" coordorigin="1302,1832" coordsize="9302,13567" path="m1302,1450l10604,1450m1302,14997l10604,14997m1312,1440l1312,15006m10594,1459l10594,15006e" filled="f" stroked="t" strokecolor="black" strokeweight="0.96pt">
              <v:stroke dashstyle="solid"/>
              <v:path arrowok="t"/>
            </v:shape>
            <v:line id="_x0000_s1064" style="position:absolute" from="1768,1459" to="1768,14987" stroked="t" strokecolor="black" strokeweight="0.48pt">
              <v:stroke dashstyle="solid"/>
            </v:line>
          </v:group>
        </w:pict>
      </w:r>
      <w:r>
        <w:rPr>
          <w:rFonts w:ascii="Times New Roman" w:eastAsia="Times New Roman"/>
        </w:rPr>
        <w:t>2/3</w:t>
      </w:r>
      <w:r>
        <w:t>；石料为强风化石料或软质石料时，石料最大粒径不得大于压实层厚。</w:t>
      </w:r>
    </w:p>
    <w:p>
      <w:pPr>
        <w:pStyle w:val="BodyText"/>
        <w:spacing w:before="158"/>
        <w:ind w:left="1176"/>
      </w:pPr>
      <w:r>
        <w:rPr>
          <w:rFonts w:ascii="Times New Roman" w:eastAsia="Times New Roman"/>
        </w:rPr>
        <w:t>2</w:t>
      </w:r>
      <w:r>
        <w:t>、路基防护工程施工</w:t>
      </w:r>
    </w:p>
    <w:p>
      <w:pPr>
        <w:pStyle w:val="ListParagraph"/>
        <w:numPr>
          <w:ilvl w:val="0"/>
          <w:numId w:val="31"/>
        </w:numPr>
        <w:tabs>
          <w:tab w:val="left" w:pos="1784"/>
        </w:tabs>
        <w:spacing w:before="158" w:after="0" w:line="364" w:lineRule="auto"/>
        <w:ind w:left="696" w:right="318" w:firstLine="480"/>
        <w:jc w:val="left"/>
        <w:rPr>
          <w:sz w:val="24"/>
        </w:rPr>
      </w:pPr>
      <w:r>
        <w:rPr>
          <w:sz w:val="24"/>
        </w:rPr>
        <w:t>浆砌片石应错缝砌筑，片石间的缝隙须用砂浆和碎石填塞密实，圬工表面作勾缝处理，砂浆强度不得低于设计要求。</w:t>
      </w:r>
    </w:p>
    <w:p>
      <w:pPr>
        <w:pStyle w:val="ListParagraph"/>
        <w:numPr>
          <w:ilvl w:val="0"/>
          <w:numId w:val="31"/>
        </w:numPr>
        <w:tabs>
          <w:tab w:val="left" w:pos="1784"/>
        </w:tabs>
        <w:spacing w:before="0" w:after="0" w:line="364" w:lineRule="auto"/>
        <w:ind w:left="696" w:right="318" w:firstLine="480"/>
        <w:jc w:val="left"/>
        <w:rPr>
          <w:sz w:val="24"/>
        </w:rPr>
      </w:pPr>
      <w:r>
        <w:rPr>
          <w:sz w:val="24"/>
        </w:rPr>
        <w:t>挡土墙应随开挖、随下基、随砌筑，及时回填或填筑路堤。泄水孔应在砌筑墙身时留置，并同时做好墙背反滤、防渗水设施。</w:t>
      </w:r>
    </w:p>
    <w:p>
      <w:pPr>
        <w:pStyle w:val="ListParagraph"/>
        <w:numPr>
          <w:ilvl w:val="0"/>
          <w:numId w:val="31"/>
        </w:numPr>
        <w:tabs>
          <w:tab w:val="left" w:pos="1778"/>
        </w:tabs>
        <w:spacing w:before="0" w:after="0" w:line="362" w:lineRule="auto"/>
        <w:ind w:left="696" w:right="198" w:firstLine="480"/>
        <w:jc w:val="left"/>
        <w:rPr>
          <w:sz w:val="24"/>
        </w:rPr>
      </w:pPr>
      <w:r>
        <w:rPr>
          <w:spacing w:val="-2"/>
          <w:sz w:val="24"/>
        </w:rPr>
        <w:t xml:space="preserve">挡土墙墙后填料应符合设计要求，并应尽量采用透水性较好的材料填筑， </w:t>
      </w:r>
      <w:r>
        <w:rPr>
          <w:spacing w:val="-8"/>
          <w:sz w:val="24"/>
        </w:rPr>
        <w:t xml:space="preserve">在圬工强度达到 </w:t>
      </w:r>
      <w:r>
        <w:rPr>
          <w:rFonts w:ascii="Times New Roman" w:eastAsia="Times New Roman"/>
          <w:sz w:val="24"/>
        </w:rPr>
        <w:t>70%</w:t>
      </w:r>
      <w:r>
        <w:rPr>
          <w:sz w:val="24"/>
        </w:rPr>
        <w:t>以上方可分层填筑。</w:t>
      </w:r>
    </w:p>
    <w:p>
      <w:pPr>
        <w:pStyle w:val="ListParagraph"/>
        <w:numPr>
          <w:ilvl w:val="0"/>
          <w:numId w:val="31"/>
        </w:numPr>
        <w:tabs>
          <w:tab w:val="left" w:pos="1784"/>
        </w:tabs>
        <w:spacing w:before="5" w:after="0" w:line="364" w:lineRule="auto"/>
        <w:ind w:left="696" w:right="318" w:firstLine="480"/>
        <w:jc w:val="both"/>
        <w:rPr>
          <w:sz w:val="24"/>
        </w:rPr>
      </w:pPr>
      <w:r>
        <w:rPr>
          <w:sz w:val="24"/>
        </w:rPr>
        <w:t>挡土墙端部伸入路堤或嵌入地层部分应与墙体一起砌筑。路堑挡土墙顶</w:t>
      </w:r>
      <w:r>
        <w:rPr>
          <w:spacing w:val="-5"/>
          <w:sz w:val="24"/>
        </w:rPr>
        <w:t>面应抹平与边坡相接，其间空隙应填实并封严。挡土墙与桥台连接时，应协调配合</w:t>
      </w:r>
      <w:r>
        <w:rPr>
          <w:sz w:val="24"/>
        </w:rPr>
        <w:t>施工。</w:t>
      </w:r>
    </w:p>
    <w:p>
      <w:pPr>
        <w:pStyle w:val="ListParagraph"/>
        <w:numPr>
          <w:ilvl w:val="0"/>
          <w:numId w:val="31"/>
        </w:numPr>
        <w:tabs>
          <w:tab w:val="left" w:pos="1784"/>
        </w:tabs>
        <w:spacing w:before="0" w:after="0" w:line="364" w:lineRule="auto"/>
        <w:ind w:left="696" w:right="318" w:firstLine="480"/>
        <w:jc w:val="left"/>
        <w:rPr>
          <w:sz w:val="24"/>
        </w:rPr>
      </w:pPr>
      <w:r>
        <w:rPr>
          <w:sz w:val="24"/>
        </w:rPr>
        <w:t>挡土墙施工时应注意有涵洞需穿过挡土墙时，在挡土墙施工时应预留出口。</w:t>
      </w:r>
    </w:p>
    <w:p>
      <w:pPr>
        <w:pStyle w:val="BodyText"/>
        <w:spacing w:line="306" w:lineRule="exact"/>
        <w:ind w:left="1176"/>
      </w:pPr>
      <w:r>
        <w:rPr>
          <w:rFonts w:ascii="Times New Roman" w:eastAsia="Times New Roman"/>
        </w:rPr>
        <w:t>3</w:t>
      </w:r>
      <w:r>
        <w:t>、路面施工</w:t>
      </w:r>
    </w:p>
    <w:p>
      <w:pPr>
        <w:pStyle w:val="ListParagraph"/>
        <w:numPr>
          <w:ilvl w:val="0"/>
          <w:numId w:val="30"/>
        </w:numPr>
        <w:tabs>
          <w:tab w:val="left" w:pos="1778"/>
        </w:tabs>
        <w:spacing w:before="157" w:after="0" w:line="364" w:lineRule="auto"/>
        <w:ind w:left="696" w:right="287" w:firstLine="480"/>
        <w:jc w:val="both"/>
        <w:rPr>
          <w:sz w:val="24"/>
        </w:rPr>
      </w:pPr>
      <w:r>
        <w:rPr>
          <w:spacing w:val="-3"/>
          <w:sz w:val="24"/>
        </w:rPr>
        <w:t xml:space="preserve">确定水泥稳定基层粗集料的级配试验时，应先将粗集料划分成 </w:t>
      </w:r>
      <w:r>
        <w:rPr>
          <w:rFonts w:ascii="Times New Roman" w:eastAsia="Times New Roman"/>
          <w:sz w:val="24"/>
        </w:rPr>
        <w:t>2</w:t>
      </w:r>
      <w:r>
        <w:rPr>
          <w:sz w:val="24"/>
        </w:rPr>
        <w:t>～</w:t>
      </w:r>
      <w:r>
        <w:rPr>
          <w:rFonts w:ascii="Times New Roman" w:eastAsia="Times New Roman"/>
          <w:sz w:val="24"/>
        </w:rPr>
        <w:t xml:space="preserve">3 </w:t>
      </w:r>
      <w:r>
        <w:rPr>
          <w:spacing w:val="-9"/>
          <w:sz w:val="24"/>
        </w:rPr>
        <w:t xml:space="preserve">档， </w:t>
      </w:r>
      <w:r>
        <w:rPr>
          <w:spacing w:val="-3"/>
          <w:sz w:val="24"/>
        </w:rPr>
        <w:t>通过表面振动压实的方法逐级填充，并计算振实密度和空隙率，直到找出振实密度</w:t>
      </w:r>
      <w:r>
        <w:rPr>
          <w:spacing w:val="-6"/>
          <w:sz w:val="24"/>
        </w:rPr>
        <w:t>最大的粗集料组成。在此基础上，用体积法计算确定细集料和结合料的压实体积和重量，从而确定细集料的组成和结合料的比例。</w:t>
      </w:r>
    </w:p>
    <w:p>
      <w:pPr>
        <w:pStyle w:val="ListParagraph"/>
        <w:numPr>
          <w:ilvl w:val="0"/>
          <w:numId w:val="30"/>
        </w:numPr>
        <w:tabs>
          <w:tab w:val="left" w:pos="1778"/>
        </w:tabs>
        <w:spacing w:before="0" w:after="0" w:line="364" w:lineRule="auto"/>
        <w:ind w:left="696" w:right="198" w:firstLine="480"/>
        <w:jc w:val="left"/>
        <w:rPr>
          <w:sz w:val="24"/>
        </w:rPr>
      </w:pPr>
      <w:r>
        <w:rPr>
          <w:spacing w:val="-3"/>
          <w:sz w:val="24"/>
        </w:rPr>
        <w:t>为确保路面施工质量，承包商应建立健全质量管理体系，严格工序管理。</w:t>
      </w:r>
      <w:r>
        <w:rPr>
          <w:spacing w:val="-12"/>
          <w:sz w:val="24"/>
        </w:rPr>
        <w:t>遵照有关规程、规范，精心组织施工；应配置集料设备、试验、生产、运输、摊铺、</w:t>
      </w:r>
      <w:r>
        <w:rPr>
          <w:spacing w:val="-6"/>
          <w:sz w:val="24"/>
        </w:rPr>
        <w:t>碾压、检测等现代化成套设备，并配备合格的试验、质检人员，以保证优质高效地进行施工。</w:t>
      </w:r>
    </w:p>
    <w:p>
      <w:pPr>
        <w:pStyle w:val="ListParagraph"/>
        <w:numPr>
          <w:ilvl w:val="0"/>
          <w:numId w:val="30"/>
        </w:numPr>
        <w:tabs>
          <w:tab w:val="left" w:pos="1784"/>
        </w:tabs>
        <w:spacing w:before="0" w:after="0" w:line="364" w:lineRule="auto"/>
        <w:ind w:left="696" w:right="287" w:firstLine="480"/>
        <w:jc w:val="both"/>
        <w:rPr>
          <w:sz w:val="24"/>
        </w:rPr>
      </w:pPr>
      <w:r>
        <w:rPr>
          <w:sz w:val="24"/>
        </w:rPr>
        <w:t>级配砂砾底基层：采用挖掘机、装载机和自卸汽车将底基层材料运至施</w:t>
      </w:r>
      <w:r>
        <w:rPr>
          <w:spacing w:val="-6"/>
          <w:sz w:val="24"/>
        </w:rPr>
        <w:t>工现场，专人指挥，定点堆放，采用平地机摊铺，现场测定材料的含水量，决定掺</w:t>
      </w:r>
      <w:r>
        <w:rPr>
          <w:spacing w:val="-9"/>
          <w:sz w:val="24"/>
        </w:rPr>
        <w:t>水与否或晾晒，掺水用洒水车进行，使含水量略大于最佳含水量，然后用振动式压</w:t>
      </w:r>
      <w:r>
        <w:rPr>
          <w:spacing w:val="-10"/>
          <w:sz w:val="24"/>
        </w:rPr>
        <w:t xml:space="preserve">路机碾压成型，若产生离析现象，应重新翻拌后碾压至规定压实度，施工顺序为： </w:t>
      </w:r>
      <w:r>
        <w:rPr>
          <w:spacing w:val="3"/>
          <w:sz w:val="24"/>
        </w:rPr>
        <w:t>检查路基→测量放样→自卸汽车运输→布卸料点→平地机摊铺→初压→调整→复压→终压→检验→养护→控制交通。</w:t>
      </w:r>
    </w:p>
    <w:p>
      <w:pPr>
        <w:pStyle w:val="ListParagraph"/>
        <w:numPr>
          <w:ilvl w:val="0"/>
          <w:numId w:val="30"/>
        </w:numPr>
        <w:tabs>
          <w:tab w:val="left" w:pos="1778"/>
        </w:tabs>
        <w:spacing w:before="0" w:after="0" w:line="304" w:lineRule="exact"/>
        <w:ind w:left="1777" w:right="0" w:hanging="602"/>
        <w:jc w:val="left"/>
        <w:rPr>
          <w:sz w:val="24"/>
        </w:rPr>
      </w:pPr>
      <w:r>
        <w:rPr>
          <w:spacing w:val="-7"/>
          <w:sz w:val="24"/>
        </w:rPr>
        <w:t>运输与摊铺：混合料采用自卸汽车运到摊铺现场，运输车辆加盖</w:t>
      </w:r>
      <w:r>
        <w:rPr>
          <w:color w:val="999999"/>
          <w:sz w:val="21"/>
        </w:rPr>
        <w:t>篷布</w:t>
      </w:r>
      <w:r>
        <w:rPr>
          <w:sz w:val="24"/>
        </w:rPr>
        <w:t>以防</w:t>
      </w:r>
    </w:p>
    <w:p>
      <w:pPr>
        <w:spacing w:after="0" w:line="304" w:lineRule="exact"/>
        <w:jc w:val="left"/>
        <w:rPr>
          <w:sz w:val="24"/>
        </w:rPr>
        <w:sectPr>
          <w:footerReference w:type="default" r:id="rId33"/>
          <w:pgSz w:w="11910" w:h="16840"/>
          <w:pgMar w:top="1380" w:right="1100" w:bottom="1180" w:left="1180" w:header="0" w:footer="997"/>
          <w:pgNumType w:start="20"/>
          <w:cols w:space="708"/>
        </w:sectPr>
      </w:pPr>
    </w:p>
    <w:p>
      <w:pPr>
        <w:pStyle w:val="BodyText"/>
        <w:spacing w:before="55" w:line="364" w:lineRule="auto"/>
        <w:ind w:left="696" w:right="318"/>
        <w:jc w:val="both"/>
      </w:pPr>
      <w:r>
        <w:pict>
          <v:group id="_x0000_s1065" style="width:465.1pt;height:678.35pt;margin-top:72pt;margin-left:65.12pt;mso-position-horizontal-relative:page;mso-position-vertical-relative:page;position:absolute;z-index:-251641856" coordorigin="1302,1440" coordsize="9302,13567">
            <v:shape id="_x0000_s1066" style="width:9302;height:13567;left:1302;position:absolute;top:1831" coordorigin="1302,1832" coordsize="9302,13567" path="m1302,1450l10604,1450m1302,14997l10604,14997m1312,1440l1312,15006m10594,1459l10594,15006e" filled="f" stroked="t" strokecolor="black" strokeweight="0.96pt">
              <v:stroke dashstyle="solid"/>
              <v:path arrowok="t"/>
            </v:shape>
            <v:line id="_x0000_s1067" style="position:absolute" from="1768,1459" to="1768,14987" stroked="t" strokecolor="black" strokeweight="0.48pt">
              <v:stroke dashstyle="solid"/>
            </v:line>
          </v:group>
        </w:pict>
      </w:r>
      <w:r>
        <w:rPr>
          <w:spacing w:val="-8"/>
        </w:rPr>
        <w:t xml:space="preserve">尘保水。混合料摊铺采用摊铺机摊铺，铺筑前建议首先做 </w:t>
      </w:r>
      <w:r>
        <w:rPr>
          <w:rFonts w:ascii="Times New Roman" w:eastAsia="Times New Roman"/>
        </w:rPr>
        <w:t>200m</w:t>
      </w:r>
      <w:r>
        <w:rPr>
          <w:rFonts w:ascii="Times New Roman" w:eastAsia="Times New Roman"/>
          <w:spacing w:val="58"/>
        </w:rPr>
        <w:t xml:space="preserve"> </w:t>
      </w:r>
      <w:r>
        <w:rPr>
          <w:spacing w:val="-8"/>
        </w:rPr>
        <w:t>的试验路段，取得</w:t>
      </w:r>
      <w:r>
        <w:rPr>
          <w:spacing w:val="-6"/>
        </w:rPr>
        <w:t>松铺系数，最佳机械组合，碾压遍数，成型时间等试验数据并报监理审批同意后方</w:t>
      </w:r>
      <w:r>
        <w:rPr>
          <w:spacing w:val="-5"/>
        </w:rPr>
        <w:t>可进行正式摊铺。摊铺前，应对铺筑段的路床进行彻底清扫，对车辙和不平整处进</w:t>
      </w:r>
      <w:r>
        <w:t>行整修，保证路床处于验收标准状态。</w:t>
      </w:r>
    </w:p>
    <w:p>
      <w:pPr>
        <w:pStyle w:val="BodyText"/>
        <w:spacing w:line="364" w:lineRule="auto"/>
        <w:ind w:left="696" w:right="318" w:firstLine="480"/>
        <w:jc w:val="both"/>
      </w:pPr>
      <w:r>
        <w:rPr>
          <w:spacing w:val="-5"/>
        </w:rPr>
        <w:t>标高采用挂钢线控制，摊铺机起步要平稳，行驶均匀，铺筑过程中，后面配备</w:t>
      </w:r>
      <w:r>
        <w:rPr>
          <w:rFonts w:ascii="Times New Roman" w:eastAsia="Times New Roman"/>
        </w:rPr>
        <w:t>4</w:t>
      </w:r>
      <w:r>
        <w:rPr>
          <w:rFonts w:ascii="Times New Roman" w:eastAsia="Times New Roman"/>
          <w:spacing w:val="17"/>
        </w:rPr>
        <w:t xml:space="preserve"> </w:t>
      </w:r>
      <w:r>
        <w:rPr>
          <w:spacing w:val="-1"/>
        </w:rPr>
        <w:t>人小组，负责处理局部离析现象，严重离析部位要全部清除，用新拌混合料均匀</w:t>
      </w:r>
      <w:r>
        <w:t>填筑。</w:t>
      </w:r>
    </w:p>
    <w:p>
      <w:pPr>
        <w:pStyle w:val="ListParagraph"/>
        <w:numPr>
          <w:ilvl w:val="0"/>
          <w:numId w:val="30"/>
        </w:numPr>
        <w:tabs>
          <w:tab w:val="left" w:pos="1784"/>
        </w:tabs>
        <w:spacing w:before="0" w:after="0" w:line="364" w:lineRule="auto"/>
        <w:ind w:left="696" w:right="318" w:firstLine="480"/>
        <w:jc w:val="both"/>
        <w:rPr>
          <w:sz w:val="24"/>
        </w:rPr>
      </w:pPr>
      <w:r>
        <w:rPr>
          <w:sz w:val="24"/>
        </w:rPr>
        <w:t>碾压：混合料摊铺后，碾压应先轻后重，先边缘后中间，先慢后快的顺</w:t>
      </w:r>
      <w:r>
        <w:rPr>
          <w:spacing w:val="-4"/>
          <w:sz w:val="24"/>
        </w:rPr>
        <w:t>序用振动压路机进行碾压，碾压遍数由试验路段确定，第一遍采用静压，然后加振</w:t>
      </w:r>
      <w:r>
        <w:rPr>
          <w:sz w:val="24"/>
        </w:rPr>
        <w:t>碾压，直至要求压实度。</w:t>
      </w:r>
    </w:p>
    <w:p>
      <w:pPr>
        <w:pStyle w:val="ListParagraph"/>
        <w:numPr>
          <w:ilvl w:val="0"/>
          <w:numId w:val="30"/>
        </w:numPr>
        <w:tabs>
          <w:tab w:val="left" w:pos="1784"/>
        </w:tabs>
        <w:spacing w:before="0" w:after="0" w:line="364" w:lineRule="auto"/>
        <w:ind w:left="696" w:right="318" w:firstLine="480"/>
        <w:jc w:val="both"/>
        <w:rPr>
          <w:sz w:val="24"/>
        </w:rPr>
      </w:pPr>
      <w:r>
        <w:rPr>
          <w:sz w:val="24"/>
        </w:rPr>
        <w:t>养生：碾压完毕后，即进行养生。每天的洒水次数根据当时的气候条件</w:t>
      </w:r>
      <w:r>
        <w:rPr>
          <w:spacing w:val="-6"/>
          <w:sz w:val="24"/>
        </w:rPr>
        <w:t>确定，以始终保持基层湿润为原则，施工完毕的基层应进行严格的交通管制，不允</w:t>
      </w:r>
      <w:r>
        <w:rPr>
          <w:sz w:val="24"/>
        </w:rPr>
        <w:t>许任何车辆通行，避免对基层造成损坏。</w:t>
      </w:r>
    </w:p>
    <w:p>
      <w:pPr>
        <w:pStyle w:val="BodyText"/>
        <w:spacing w:line="364" w:lineRule="auto"/>
        <w:ind w:left="696" w:right="276" w:firstLine="480"/>
      </w:pPr>
      <w:r>
        <w:t>基层施工顺序：检查底基层→测量放线→挂基准线→拌混合料→汽车运输→摊铺机摊铺→初压→调整→复压→终压→检验→养护→封闭交通。</w:t>
      </w:r>
    </w:p>
    <w:p>
      <w:pPr>
        <w:pStyle w:val="BodyText"/>
        <w:spacing w:line="306" w:lineRule="exact"/>
        <w:ind w:left="1176"/>
      </w:pPr>
      <w:r>
        <w:rPr>
          <w:rFonts w:ascii="Times New Roman" w:eastAsia="Times New Roman"/>
        </w:rPr>
        <w:t>4</w:t>
      </w:r>
      <w:r>
        <w:t>、桥梁施工方法及施工注意事项</w:t>
      </w:r>
    </w:p>
    <w:p>
      <w:pPr>
        <w:pStyle w:val="ListParagraph"/>
        <w:numPr>
          <w:ilvl w:val="0"/>
          <w:numId w:val="29"/>
        </w:numPr>
        <w:tabs>
          <w:tab w:val="left" w:pos="1784"/>
        </w:tabs>
        <w:spacing w:before="151" w:after="0" w:line="364" w:lineRule="auto"/>
        <w:ind w:left="696" w:right="318" w:firstLine="480"/>
        <w:jc w:val="both"/>
        <w:rPr>
          <w:sz w:val="22"/>
        </w:rPr>
      </w:pPr>
      <w:r>
        <w:rPr>
          <w:sz w:val="24"/>
        </w:rPr>
        <w:t>采取围堰施工方式，该施工方式可大大降低因开挖造成的河水悬浮物浓</w:t>
      </w:r>
      <w:r>
        <w:rPr>
          <w:spacing w:val="-7"/>
          <w:sz w:val="24"/>
        </w:rPr>
        <w:t>度上升，桥墩施工处布新设导流渠，不会造成河流改道，不会阻断河道，施工期间</w:t>
      </w:r>
      <w:r>
        <w:rPr>
          <w:sz w:val="24"/>
        </w:rPr>
        <w:t>水生生物仍可自由通过施工段。</w:t>
      </w:r>
    </w:p>
    <w:p>
      <w:pPr>
        <w:pStyle w:val="ListParagraph"/>
        <w:numPr>
          <w:ilvl w:val="0"/>
          <w:numId w:val="29"/>
        </w:numPr>
        <w:tabs>
          <w:tab w:val="left" w:pos="1784"/>
        </w:tabs>
        <w:spacing w:before="0" w:after="0" w:line="364" w:lineRule="auto"/>
        <w:ind w:left="696" w:right="198" w:firstLine="480"/>
        <w:jc w:val="left"/>
        <w:rPr>
          <w:sz w:val="22"/>
        </w:rPr>
      </w:pPr>
      <w:r>
        <w:rPr>
          <w:sz w:val="24"/>
        </w:rPr>
        <w:t>在现场浇筑上、下部结构混凝土前，必须检查所有预埋件和预留孔是否</w:t>
      </w:r>
      <w:r>
        <w:rPr>
          <w:spacing w:val="-12"/>
          <w:sz w:val="24"/>
        </w:rPr>
        <w:t>齐全，同时要保证预埋件的位置准确无误，如支座预埋钢板、挡块钢筋、泄水孔等。</w:t>
      </w:r>
    </w:p>
    <w:p>
      <w:pPr>
        <w:pStyle w:val="ListParagraph"/>
        <w:numPr>
          <w:ilvl w:val="0"/>
          <w:numId w:val="29"/>
        </w:numPr>
        <w:tabs>
          <w:tab w:val="left" w:pos="1784"/>
        </w:tabs>
        <w:spacing w:before="0" w:after="0" w:line="362" w:lineRule="auto"/>
        <w:ind w:left="696" w:right="318" w:firstLine="480"/>
        <w:jc w:val="left"/>
        <w:rPr>
          <w:sz w:val="22"/>
        </w:rPr>
      </w:pPr>
      <w:r>
        <w:rPr>
          <w:sz w:val="24"/>
        </w:rPr>
        <w:t>盖梁混凝土浇筑时应采取先悬臂后跨中，然后逐次向支点合拢的顺序， 分层浇筑。</w:t>
      </w:r>
    </w:p>
    <w:p>
      <w:pPr>
        <w:pStyle w:val="ListParagraph"/>
        <w:numPr>
          <w:ilvl w:val="0"/>
          <w:numId w:val="29"/>
        </w:numPr>
        <w:tabs>
          <w:tab w:val="left" w:pos="1784"/>
        </w:tabs>
        <w:spacing w:before="3" w:after="0" w:line="362" w:lineRule="auto"/>
        <w:ind w:left="696" w:right="318" w:firstLine="480"/>
        <w:jc w:val="left"/>
        <w:rPr>
          <w:sz w:val="22"/>
        </w:rPr>
      </w:pPr>
      <w:r>
        <w:rPr>
          <w:sz w:val="24"/>
        </w:rPr>
        <w:t>耳、背墙混凝土应该同步浇筑，在拆除底模支架时，应避免产生过大冲击力。</w:t>
      </w:r>
    </w:p>
    <w:p>
      <w:pPr>
        <w:pStyle w:val="ListParagraph"/>
        <w:numPr>
          <w:ilvl w:val="0"/>
          <w:numId w:val="29"/>
        </w:numPr>
        <w:tabs>
          <w:tab w:val="left" w:pos="1784"/>
        </w:tabs>
        <w:spacing w:before="3" w:after="0" w:line="364" w:lineRule="auto"/>
        <w:ind w:left="696" w:right="318" w:firstLine="480"/>
        <w:jc w:val="left"/>
        <w:rPr>
          <w:sz w:val="22"/>
        </w:rPr>
      </w:pPr>
      <w:r>
        <w:rPr>
          <w:sz w:val="24"/>
        </w:rPr>
        <w:t>盖梁两侧的挡块宜在主梁就位后再浇筑。浇筑挡块混凝土前，按设计图纸放置减震橡胶垫块。</w:t>
      </w:r>
    </w:p>
    <w:p>
      <w:pPr>
        <w:pStyle w:val="ListParagraph"/>
        <w:numPr>
          <w:ilvl w:val="0"/>
          <w:numId w:val="29"/>
        </w:numPr>
        <w:tabs>
          <w:tab w:val="left" w:pos="1656"/>
        </w:tabs>
        <w:spacing w:before="1" w:after="0" w:line="362" w:lineRule="auto"/>
        <w:ind w:left="696" w:right="287" w:firstLine="420"/>
        <w:jc w:val="left"/>
        <w:rPr>
          <w:color w:val="999999"/>
          <w:sz w:val="19"/>
        </w:rPr>
      </w:pPr>
      <w:r>
        <w:rPr>
          <w:spacing w:val="-1"/>
          <w:sz w:val="24"/>
        </w:rPr>
        <w:t>浇注桥面现浇层混凝土前应先进行护栏底座施工，并预埋好护栏与现浇层</w:t>
      </w:r>
      <w:r>
        <w:rPr>
          <w:spacing w:val="-2"/>
          <w:sz w:val="24"/>
        </w:rPr>
        <w:t>的连接钢筋，桥面现浇层应全幅一起现浇成型，严禁在桥梁中心线上保留施工缝。</w:t>
      </w:r>
    </w:p>
    <w:p>
      <w:pPr>
        <w:spacing w:after="0" w:line="362" w:lineRule="auto"/>
        <w:jc w:val="left"/>
        <w:rPr>
          <w:sz w:val="19"/>
        </w:rPr>
        <w:sectPr>
          <w:footerReference w:type="default" r:id="rId34"/>
          <w:pgSz w:w="11910" w:h="16840"/>
          <w:pgMar w:top="1380" w:right="1100" w:bottom="1260" w:left="1180" w:header="0" w:footer="997"/>
          <w:pgNumType w:start="21"/>
          <w:cols w:space="708"/>
        </w:sectPr>
      </w:pPr>
    </w:p>
    <w:tbl>
      <w:tblPr>
        <w:tblStyle w:val="TableNormal16"/>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13"/>
        <w:gridCol w:w="4213"/>
        <w:gridCol w:w="4214"/>
        <w:gridCol w:w="286"/>
      </w:tblGrid>
      <w:tr>
        <w:tblPrEx>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9038"/>
          <w:jc w:val="left"/>
        </w:trPr>
        <w:tc>
          <w:tcPr>
            <w:tcW w:w="456" w:type="dxa"/>
            <w:tcBorders>
              <w:bottom w:val="single" w:sz="4" w:space="0" w:color="000000"/>
              <w:right w:val="single" w:sz="4" w:space="0" w:color="000000"/>
            </w:tcBorders>
          </w:tcPr>
          <w:p>
            <w:pPr>
              <w:pStyle w:val="TableParagraph"/>
              <w:rPr>
                <w:rFonts w:ascii="Times New Roman"/>
                <w:sz w:val="22"/>
              </w:rPr>
            </w:pPr>
          </w:p>
        </w:tc>
        <w:tc>
          <w:tcPr>
            <w:tcW w:w="8826" w:type="dxa"/>
            <w:gridSpan w:val="4"/>
            <w:tcBorders>
              <w:left w:val="single" w:sz="4" w:space="0" w:color="000000"/>
              <w:bottom w:val="single" w:sz="4" w:space="0" w:color="000000"/>
            </w:tcBorders>
          </w:tcPr>
          <w:p>
            <w:pPr>
              <w:pStyle w:val="TableParagraph"/>
              <w:numPr>
                <w:ilvl w:val="0"/>
                <w:numId w:val="28"/>
              </w:numPr>
              <w:tabs>
                <w:tab w:val="left" w:pos="1195"/>
              </w:tabs>
              <w:spacing w:before="0" w:after="0" w:line="301" w:lineRule="exact"/>
              <w:ind w:left="1194" w:right="0" w:hanging="602"/>
              <w:jc w:val="left"/>
              <w:rPr>
                <w:sz w:val="24"/>
              </w:rPr>
            </w:pPr>
            <w:r>
              <w:rPr>
                <w:spacing w:val="-4"/>
                <w:sz w:val="24"/>
              </w:rPr>
              <w:t xml:space="preserve">桥面铺装混凝土未达到设计强度的 </w:t>
            </w:r>
            <w:r>
              <w:rPr>
                <w:rFonts w:ascii="Times New Roman" w:eastAsia="Times New Roman"/>
                <w:sz w:val="24"/>
              </w:rPr>
              <w:t>100%</w:t>
            </w:r>
            <w:r>
              <w:rPr>
                <w:sz w:val="24"/>
              </w:rPr>
              <w:t>时，不允许车辆在桥面上行驶。</w:t>
            </w:r>
          </w:p>
          <w:p>
            <w:pPr>
              <w:pStyle w:val="TableParagraph"/>
              <w:numPr>
                <w:ilvl w:val="0"/>
                <w:numId w:val="28"/>
              </w:numPr>
              <w:tabs>
                <w:tab w:val="left" w:pos="1201"/>
              </w:tabs>
              <w:spacing w:before="158" w:after="0" w:line="362" w:lineRule="auto"/>
              <w:ind w:left="113" w:right="87" w:firstLine="480"/>
              <w:jc w:val="left"/>
              <w:rPr>
                <w:sz w:val="24"/>
              </w:rPr>
            </w:pPr>
            <w:r>
              <w:rPr>
                <w:sz w:val="24"/>
              </w:rPr>
              <w:t>支座布置及安装必须严格按设计位置进行，保证支座与墩台及板紧密贴合，墩台支座处及板底面，必须保持平整、清洁，不许留有油污。</w:t>
            </w:r>
          </w:p>
          <w:p>
            <w:pPr>
              <w:pStyle w:val="TableParagraph"/>
              <w:numPr>
                <w:ilvl w:val="0"/>
                <w:numId w:val="28"/>
              </w:numPr>
              <w:tabs>
                <w:tab w:val="left" w:pos="1201"/>
              </w:tabs>
              <w:spacing w:before="5" w:after="0" w:line="362" w:lineRule="auto"/>
              <w:ind w:left="113" w:right="87" w:firstLine="480"/>
              <w:jc w:val="left"/>
              <w:rPr>
                <w:sz w:val="24"/>
              </w:rPr>
            </w:pPr>
            <w:r>
              <w:rPr>
                <w:sz w:val="24"/>
              </w:rPr>
              <w:t>桥台台背回填采用未筛分碎石回填，桥台台前与台后填土应同步进行， 减小桥台由于施工产生的土压力。</w:t>
            </w:r>
          </w:p>
          <w:p>
            <w:pPr>
              <w:pStyle w:val="TableParagraph"/>
              <w:numPr>
                <w:ilvl w:val="0"/>
                <w:numId w:val="28"/>
              </w:numPr>
              <w:tabs>
                <w:tab w:val="left" w:pos="1315"/>
              </w:tabs>
              <w:spacing w:before="5" w:after="0" w:line="364" w:lineRule="auto"/>
              <w:ind w:left="113" w:right="86" w:firstLine="480"/>
              <w:jc w:val="both"/>
              <w:rPr>
                <w:sz w:val="24"/>
              </w:rPr>
            </w:pPr>
            <w:r>
              <w:rPr>
                <w:spacing w:val="-5"/>
                <w:sz w:val="24"/>
              </w:rPr>
              <w:t>对于柱式台，应待台后及锥坡填土完成后，方可施工桥台基桩。桥台挖</w:t>
            </w:r>
            <w:r>
              <w:rPr>
                <w:spacing w:val="-6"/>
                <w:sz w:val="24"/>
              </w:rPr>
              <w:t>方处需对基坑回填，并对台前进行桨砌片石嵌补。承台、系梁施工后需回填，顶面</w:t>
            </w:r>
            <w:r>
              <w:rPr>
                <w:sz w:val="24"/>
              </w:rPr>
              <w:t>尽可能回复原地貌。</w:t>
            </w:r>
          </w:p>
          <w:p>
            <w:pPr>
              <w:pStyle w:val="TableParagraph"/>
              <w:numPr>
                <w:ilvl w:val="0"/>
                <w:numId w:val="28"/>
              </w:numPr>
              <w:tabs>
                <w:tab w:val="left" w:pos="1311"/>
              </w:tabs>
              <w:spacing w:before="0" w:after="0" w:line="364" w:lineRule="auto"/>
              <w:ind w:left="113" w:right="86" w:firstLine="480"/>
              <w:jc w:val="both"/>
              <w:rPr>
                <w:sz w:val="24"/>
              </w:rPr>
            </w:pPr>
            <w:r>
              <w:rPr>
                <w:spacing w:val="2"/>
                <w:sz w:val="24"/>
              </w:rPr>
              <w:t xml:space="preserve">下部结构中直径 </w:t>
            </w:r>
            <w:r>
              <w:rPr>
                <w:rFonts w:ascii="Times New Roman" w:eastAsia="Times New Roman"/>
                <w:sz w:val="24"/>
              </w:rPr>
              <w:t>25mm</w:t>
            </w:r>
            <w:r>
              <w:rPr>
                <w:rFonts w:ascii="Times New Roman" w:eastAsia="Times New Roman"/>
                <w:spacing w:val="22"/>
                <w:sz w:val="24"/>
              </w:rPr>
              <w:t xml:space="preserve"> </w:t>
            </w:r>
            <w:r>
              <w:rPr>
                <w:sz w:val="24"/>
              </w:rPr>
              <w:t>及以上的钢筋接长宜采用机械接头（包括镦粗</w:t>
            </w:r>
            <w:r>
              <w:rPr>
                <w:spacing w:val="-2"/>
                <w:sz w:val="24"/>
              </w:rPr>
              <w:t>直螺纹、滚轧直螺纹接头</w:t>
            </w:r>
            <w:r>
              <w:rPr>
                <w:spacing w:val="-5"/>
                <w:sz w:val="24"/>
              </w:rPr>
              <w:t>）</w:t>
            </w:r>
            <w:r>
              <w:rPr>
                <w:spacing w:val="-2"/>
                <w:sz w:val="24"/>
              </w:rPr>
              <w:t>的方法接长</w:t>
            </w:r>
            <w:r>
              <w:rPr>
                <w:sz w:val="24"/>
              </w:rPr>
              <w:t>（需做型式检验和现场拉伸试验</w:t>
            </w:r>
            <w:r>
              <w:rPr>
                <w:spacing w:val="-7"/>
                <w:sz w:val="24"/>
              </w:rPr>
              <w:t>）</w:t>
            </w:r>
            <w:r>
              <w:rPr>
                <w:spacing w:val="-6"/>
                <w:sz w:val="24"/>
              </w:rPr>
              <w:t>，机械连</w:t>
            </w:r>
            <w:r>
              <w:rPr>
                <w:sz w:val="24"/>
              </w:rPr>
              <w:t>接必须符合中华人民共和国行业标准（</w:t>
            </w:r>
            <w:r>
              <w:rPr>
                <w:rFonts w:ascii="Times New Roman" w:eastAsia="Times New Roman"/>
                <w:sz w:val="24"/>
              </w:rPr>
              <w:t>JTG107-2003</w:t>
            </w:r>
            <w:r>
              <w:rPr>
                <w:sz w:val="24"/>
              </w:rPr>
              <w:t>）《钢筋机械连接通用规范》</w:t>
            </w:r>
            <w:r>
              <w:rPr>
                <w:spacing w:val="-31"/>
                <w:sz w:val="24"/>
              </w:rPr>
              <w:t xml:space="preserve">中 </w:t>
            </w:r>
            <w:r>
              <w:rPr>
                <w:rFonts w:ascii="Times New Roman" w:eastAsia="Times New Roman"/>
                <w:sz w:val="24"/>
              </w:rPr>
              <w:t>I</w:t>
            </w:r>
            <w:r>
              <w:rPr>
                <w:rFonts w:ascii="Times New Roman" w:eastAsia="Times New Roman"/>
                <w:spacing w:val="-1"/>
                <w:sz w:val="24"/>
              </w:rPr>
              <w:t xml:space="preserve"> </w:t>
            </w:r>
            <w:r>
              <w:rPr>
                <w:spacing w:val="-5"/>
                <w:sz w:val="24"/>
              </w:rPr>
              <w:t xml:space="preserve">级接头要求。接头需错开 </w:t>
            </w:r>
            <w:r>
              <w:rPr>
                <w:rFonts w:ascii="Times New Roman" w:eastAsia="Times New Roman"/>
                <w:sz w:val="24"/>
              </w:rPr>
              <w:t xml:space="preserve">100cm  </w:t>
            </w:r>
            <w:r>
              <w:rPr>
                <w:sz w:val="24"/>
              </w:rPr>
              <w:t>以上，满足施工规范要求。</w:t>
            </w:r>
          </w:p>
          <w:p>
            <w:pPr>
              <w:pStyle w:val="TableParagraph"/>
              <w:numPr>
                <w:ilvl w:val="0"/>
                <w:numId w:val="28"/>
              </w:numPr>
              <w:tabs>
                <w:tab w:val="left" w:pos="1315"/>
              </w:tabs>
              <w:spacing w:before="0" w:after="0" w:line="364" w:lineRule="auto"/>
              <w:ind w:left="113" w:right="55" w:firstLine="480"/>
              <w:jc w:val="both"/>
              <w:rPr>
                <w:sz w:val="24"/>
              </w:rPr>
            </w:pPr>
            <w:r>
              <w:rPr>
                <w:spacing w:val="-1"/>
                <w:sz w:val="24"/>
              </w:rPr>
              <w:t>对于桥位地形、地质情况复杂的桥梁，桩基础施工之前，必须对各墩、</w:t>
            </w:r>
            <w:r>
              <w:rPr>
                <w:spacing w:val="-4"/>
                <w:sz w:val="24"/>
              </w:rPr>
              <w:t>台的桩位进行核查，确保桩基础可实施后方可进行桩基础施工；必须对各承台、系</w:t>
            </w:r>
            <w:r>
              <w:rPr>
                <w:spacing w:val="-8"/>
                <w:sz w:val="24"/>
              </w:rPr>
              <w:t>梁设置位置、标高进行实地核查；为确保施工安全和桥梁结构安全，桥墩桩基础施工应在基坑边坡防护施工完成之后实施。</w:t>
            </w:r>
          </w:p>
          <w:p>
            <w:pPr>
              <w:pStyle w:val="TableParagraph"/>
              <w:numPr>
                <w:ilvl w:val="0"/>
                <w:numId w:val="28"/>
              </w:numPr>
              <w:tabs>
                <w:tab w:val="left" w:pos="1315"/>
              </w:tabs>
              <w:spacing w:before="0" w:after="0" w:line="362" w:lineRule="auto"/>
              <w:ind w:left="113" w:right="86" w:firstLine="480"/>
              <w:jc w:val="left"/>
              <w:rPr>
                <w:sz w:val="24"/>
              </w:rPr>
            </w:pPr>
            <w:r>
              <w:rPr>
                <w:spacing w:val="-5"/>
                <w:sz w:val="24"/>
              </w:rPr>
              <w:t>实体墩身、承台等大体积混凝土构件浇筑时，应采取必要的降温、散热</w:t>
            </w:r>
            <w:r>
              <w:rPr>
                <w:sz w:val="24"/>
              </w:rPr>
              <w:t>等措施，以免收缩应力过大产生表面裂缝。</w:t>
            </w:r>
          </w:p>
        </w:tc>
      </w:tr>
      <w:tr>
        <w:tblPrEx>
          <w:tblW w:w="0" w:type="auto"/>
          <w:jc w:val="left"/>
          <w:tblInd w:w="142" w:type="dxa"/>
          <w:tblLayout w:type="fixed"/>
          <w:tblCellMar>
            <w:top w:w="0" w:type="dxa"/>
            <w:left w:w="0" w:type="dxa"/>
            <w:bottom w:w="0" w:type="dxa"/>
            <w:right w:w="0" w:type="dxa"/>
          </w:tblCellMar>
          <w:tblLook w:val="01E0"/>
        </w:tblPrEx>
        <w:trPr>
          <w:trHeight w:val="1862"/>
          <w:jc w:val="left"/>
        </w:trPr>
        <w:tc>
          <w:tcPr>
            <w:tcW w:w="456" w:type="dxa"/>
            <w:vMerge w:val="restart"/>
            <w:tcBorders>
              <w:top w:val="single" w:sz="4" w:space="0" w:color="000000"/>
              <w:right w:val="single" w:sz="4" w:space="0" w:color="000000"/>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3"/>
              <w:rPr>
                <w:sz w:val="17"/>
              </w:rPr>
            </w:pPr>
          </w:p>
          <w:p>
            <w:pPr>
              <w:pStyle w:val="TableParagraph"/>
              <w:spacing w:before="1" w:line="242" w:lineRule="auto"/>
              <w:ind w:left="108" w:right="90"/>
              <w:rPr>
                <w:sz w:val="24"/>
              </w:rPr>
            </w:pPr>
            <w:r>
              <w:rPr>
                <w:sz w:val="24"/>
              </w:rPr>
              <w:t>其他</w:t>
            </w:r>
          </w:p>
        </w:tc>
        <w:tc>
          <w:tcPr>
            <w:tcW w:w="8826" w:type="dxa"/>
            <w:gridSpan w:val="4"/>
            <w:tcBorders>
              <w:top w:val="single" w:sz="4" w:space="0" w:color="000000"/>
              <w:left w:val="single" w:sz="4" w:space="0" w:color="000000"/>
              <w:bottom w:val="nil"/>
            </w:tcBorders>
          </w:tcPr>
          <w:p>
            <w:pPr>
              <w:pStyle w:val="TableParagraph"/>
              <w:ind w:left="593"/>
              <w:rPr>
                <w:sz w:val="24"/>
              </w:rPr>
            </w:pPr>
            <w:r>
              <w:rPr>
                <w:sz w:val="24"/>
              </w:rPr>
              <w:t>（</w:t>
            </w:r>
            <w:r>
              <w:rPr>
                <w:rFonts w:ascii="Times New Roman" w:eastAsia="Times New Roman"/>
                <w:sz w:val="24"/>
              </w:rPr>
              <w:t>1</w:t>
            </w:r>
            <w:r>
              <w:rPr>
                <w:sz w:val="24"/>
              </w:rPr>
              <w:t>）道路工程</w:t>
            </w:r>
          </w:p>
          <w:p>
            <w:pPr>
              <w:pStyle w:val="TableParagraph"/>
              <w:spacing w:before="24" w:line="468" w:lineRule="exact"/>
              <w:ind w:left="113" w:right="86" w:firstLine="480"/>
              <w:jc w:val="both"/>
              <w:rPr>
                <w:sz w:val="24"/>
              </w:rPr>
            </w:pPr>
            <w:r>
              <w:rPr>
                <w:spacing w:val="-3"/>
                <w:sz w:val="24"/>
              </w:rPr>
              <w:t>项目组对拟建项目现场情况进行了调查，拟建项目现状有四级公路水泥道路约</w:t>
            </w:r>
            <w:r>
              <w:rPr>
                <w:rFonts w:ascii="Times New Roman" w:eastAsia="Times New Roman"/>
                <w:sz w:val="24"/>
              </w:rPr>
              <w:t xml:space="preserve">270 </w:t>
            </w:r>
            <w:r>
              <w:rPr>
                <w:spacing w:val="-6"/>
                <w:sz w:val="24"/>
              </w:rPr>
              <w:t xml:space="preserve">米，路面宽度为 </w:t>
            </w:r>
            <w:r>
              <w:rPr>
                <w:rFonts w:ascii="Times New Roman" w:eastAsia="Times New Roman"/>
                <w:sz w:val="24"/>
              </w:rPr>
              <w:t xml:space="preserve">6.0 </w:t>
            </w:r>
            <w:r>
              <w:rPr>
                <w:sz w:val="24"/>
              </w:rPr>
              <w:t>米，其他现状均为农田，本项目对现有道路的改建主要为拓宽道路和桥梁，新建箱涵等。</w:t>
            </w:r>
          </w:p>
        </w:tc>
      </w:tr>
      <w:tr>
        <w:tblPrEx>
          <w:tblW w:w="0" w:type="auto"/>
          <w:jc w:val="left"/>
          <w:tblInd w:w="142" w:type="dxa"/>
          <w:tblLayout w:type="fixed"/>
          <w:tblCellMar>
            <w:top w:w="0" w:type="dxa"/>
            <w:left w:w="0" w:type="dxa"/>
            <w:bottom w:w="0" w:type="dxa"/>
            <w:right w:w="0" w:type="dxa"/>
          </w:tblCellMar>
          <w:tblLook w:val="01E0"/>
        </w:tblPrEx>
        <w:trPr>
          <w:trHeight w:val="2547"/>
          <w:jc w:val="left"/>
        </w:trPr>
        <w:tc>
          <w:tcPr>
            <w:tcW w:w="456"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2"/>
              </w:rPr>
            </w:pPr>
          </w:p>
        </w:tc>
        <w:tc>
          <w:tcPr>
            <w:tcW w:w="4213" w:type="dxa"/>
            <w:tcBorders>
              <w:top w:val="single" w:sz="4" w:space="0" w:color="000000"/>
              <w:left w:val="single" w:sz="4" w:space="0" w:color="000000"/>
              <w:bottom w:val="single" w:sz="4" w:space="0" w:color="000000"/>
              <w:right w:val="single" w:sz="4" w:space="0" w:color="000000"/>
            </w:tcBorders>
          </w:tcPr>
          <w:p>
            <w:pPr>
              <w:pStyle w:val="TableParagraph"/>
              <w:ind w:left="410"/>
              <w:rPr>
                <w:sz w:val="20"/>
              </w:rPr>
            </w:pPr>
            <w:r>
              <w:rPr>
                <w:sz w:val="20"/>
              </w:rPr>
              <w:drawing>
                <wp:inline distT="0" distB="0" distL="0" distR="0">
                  <wp:extent cx="2160609" cy="16240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35" cstate="print"/>
                          <a:stretch>
                            <a:fillRect/>
                          </a:stretch>
                        </pic:blipFill>
                        <pic:spPr>
                          <a:xfrm>
                            <a:off x="0" y="0"/>
                            <a:ext cx="2160609" cy="1624012"/>
                          </a:xfrm>
                          <a:prstGeom prst="rect">
                            <a:avLst/>
                          </a:prstGeom>
                        </pic:spPr>
                      </pic:pic>
                    </a:graphicData>
                  </a:graphic>
                </wp:inline>
              </w:drawing>
            </w:r>
          </w:p>
        </w:tc>
        <w:tc>
          <w:tcPr>
            <w:tcW w:w="4214" w:type="dxa"/>
            <w:tcBorders>
              <w:top w:val="single" w:sz="4" w:space="0" w:color="000000"/>
              <w:left w:val="single" w:sz="4" w:space="0" w:color="000000"/>
              <w:bottom w:val="single" w:sz="4" w:space="0" w:color="000000"/>
              <w:right w:val="single" w:sz="4" w:space="0" w:color="000000"/>
            </w:tcBorders>
          </w:tcPr>
          <w:p>
            <w:pPr>
              <w:pStyle w:val="TableParagraph"/>
              <w:ind w:left="412"/>
              <w:rPr>
                <w:sz w:val="20"/>
              </w:rPr>
            </w:pPr>
            <w:r>
              <w:rPr>
                <w:sz w:val="20"/>
              </w:rPr>
              <w:drawing>
                <wp:inline distT="0" distB="0" distL="0" distR="0">
                  <wp:extent cx="2175387" cy="161925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36" cstate="print"/>
                          <a:stretch>
                            <a:fillRect/>
                          </a:stretch>
                        </pic:blipFill>
                        <pic:spPr>
                          <a:xfrm>
                            <a:off x="0" y="0"/>
                            <a:ext cx="2175387" cy="1619250"/>
                          </a:xfrm>
                          <a:prstGeom prst="rect">
                            <a:avLst/>
                          </a:prstGeom>
                        </pic:spPr>
                      </pic:pic>
                    </a:graphicData>
                  </a:graphic>
                </wp:inline>
              </w:drawing>
            </w:r>
          </w:p>
        </w:tc>
        <w:tc>
          <w:tcPr>
            <w:tcW w:w="286" w:type="dxa"/>
            <w:vMerge w:val="restart"/>
            <w:tcBorders>
              <w:top w:val="nil"/>
              <w:left w:val="single" w:sz="4" w:space="0" w:color="000000"/>
            </w:tcBorders>
          </w:tcPr>
          <w:p>
            <w:pPr>
              <w:pStyle w:val="TableParagraph"/>
              <w:rPr>
                <w:rFonts w:ascii="Times New Roman"/>
                <w:sz w:val="22"/>
              </w:rPr>
            </w:pPr>
          </w:p>
        </w:tc>
      </w:tr>
      <w:tr>
        <w:tblPrEx>
          <w:tblW w:w="0" w:type="auto"/>
          <w:jc w:val="left"/>
          <w:tblInd w:w="142" w:type="dxa"/>
          <w:tblLayout w:type="fixed"/>
          <w:tblCellMar>
            <w:top w:w="0" w:type="dxa"/>
            <w:left w:w="0" w:type="dxa"/>
            <w:bottom w:w="0" w:type="dxa"/>
            <w:right w:w="0" w:type="dxa"/>
          </w:tblCellMar>
          <w:tblLook w:val="01E0"/>
        </w:tblPrEx>
        <w:trPr>
          <w:trHeight w:val="298"/>
          <w:jc w:val="left"/>
        </w:trPr>
        <w:tc>
          <w:tcPr>
            <w:tcW w:w="456"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4213" w:type="dxa"/>
            <w:tcBorders>
              <w:top w:val="single" w:sz="4" w:space="0" w:color="000000"/>
              <w:left w:val="single" w:sz="4" w:space="0" w:color="000000"/>
              <w:bottom w:val="thickThinMediumGap" w:sz="4" w:space="0" w:color="000000"/>
              <w:right w:val="single" w:sz="4" w:space="0" w:color="000000"/>
            </w:tcBorders>
          </w:tcPr>
          <w:p>
            <w:pPr>
              <w:pStyle w:val="TableParagraph"/>
              <w:spacing w:line="279" w:lineRule="exact"/>
              <w:ind w:left="670"/>
              <w:rPr>
                <w:sz w:val="24"/>
              </w:rPr>
            </w:pPr>
            <w:r>
              <w:rPr>
                <w:sz w:val="24"/>
              </w:rPr>
              <w:t>起点：阜宁东站货运东大门</w:t>
            </w:r>
          </w:p>
        </w:tc>
        <w:tc>
          <w:tcPr>
            <w:tcW w:w="4214" w:type="dxa"/>
            <w:tcBorders>
              <w:top w:val="single" w:sz="4" w:space="0" w:color="000000"/>
              <w:left w:val="single" w:sz="4" w:space="0" w:color="000000"/>
              <w:bottom w:val="thickThinMediumGap" w:sz="4" w:space="0" w:color="000000"/>
              <w:right w:val="single" w:sz="4" w:space="0" w:color="000000"/>
            </w:tcBorders>
          </w:tcPr>
          <w:p>
            <w:pPr>
              <w:pStyle w:val="TableParagraph"/>
              <w:spacing w:line="279" w:lineRule="exact"/>
              <w:ind w:left="433" w:right="415"/>
              <w:jc w:val="center"/>
              <w:rPr>
                <w:sz w:val="24"/>
              </w:rPr>
            </w:pPr>
            <w:r>
              <w:rPr>
                <w:sz w:val="24"/>
              </w:rPr>
              <w:t>沿线取土坑</w:t>
            </w:r>
          </w:p>
        </w:tc>
        <w:tc>
          <w:tcPr>
            <w:tcW w:w="286" w:type="dxa"/>
            <w:vMerge/>
            <w:tcBorders>
              <w:top w:val="nil"/>
              <w:left w:val="single" w:sz="4" w:space="0" w:color="000000"/>
            </w:tcBorders>
          </w:tcPr>
          <w:p>
            <w:pPr>
              <w:rPr>
                <w:sz w:val="2"/>
                <w:szCs w:val="2"/>
              </w:rPr>
            </w:pPr>
          </w:p>
        </w:tc>
      </w:tr>
    </w:tbl>
    <w:p>
      <w:pPr>
        <w:spacing w:after="0"/>
        <w:rPr>
          <w:sz w:val="2"/>
          <w:szCs w:val="2"/>
        </w:rPr>
        <w:sectPr>
          <w:footerReference w:type="default" r:id="rId37"/>
          <w:pgSz w:w="11910" w:h="16840"/>
          <w:pgMar w:top="1420" w:right="1100" w:bottom="1180" w:left="1180" w:header="0" w:footer="997"/>
          <w:pgNumType w:start="22"/>
          <w:cols w:space="708"/>
        </w:sectPr>
      </w:pPr>
    </w:p>
    <w:tbl>
      <w:tblPr>
        <w:tblStyle w:val="TableNormal17"/>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56"/>
        <w:gridCol w:w="113"/>
        <w:gridCol w:w="4213"/>
        <w:gridCol w:w="4214"/>
        <w:gridCol w:w="286"/>
      </w:tblGrid>
      <w:tr>
        <w:tblPrEx>
          <w:tblW w:w="0" w:type="auto"/>
          <w:jc w:val="left"/>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2548"/>
          <w:jc w:val="left"/>
        </w:trPr>
        <w:tc>
          <w:tcPr>
            <w:tcW w:w="456" w:type="dxa"/>
            <w:vMerge w:val="restart"/>
            <w:tcBorders>
              <w:right w:val="single" w:sz="4" w:space="0" w:color="000000"/>
            </w:tcBorders>
          </w:tcPr>
          <w:p>
            <w:pPr>
              <w:pStyle w:val="TableParagraph"/>
              <w:rPr>
                <w:rFonts w:ascii="Times New Roman"/>
                <w:sz w:val="22"/>
              </w:rPr>
            </w:pPr>
          </w:p>
        </w:tc>
        <w:tc>
          <w:tcPr>
            <w:tcW w:w="113" w:type="dxa"/>
            <w:vMerge w:val="restart"/>
            <w:tcBorders>
              <w:left w:val="single" w:sz="4" w:space="0" w:color="000000"/>
              <w:bottom w:val="nil"/>
              <w:right w:val="single" w:sz="4" w:space="0" w:color="000000"/>
            </w:tcBorders>
          </w:tcPr>
          <w:p>
            <w:pPr>
              <w:pStyle w:val="TableParagraph"/>
              <w:rPr>
                <w:rFonts w:ascii="Times New Roman"/>
                <w:sz w:val="22"/>
              </w:rPr>
            </w:pPr>
          </w:p>
        </w:tc>
        <w:tc>
          <w:tcPr>
            <w:tcW w:w="4213" w:type="dxa"/>
            <w:tcBorders>
              <w:left w:val="single" w:sz="4" w:space="0" w:color="000000"/>
              <w:bottom w:val="single" w:sz="4" w:space="0" w:color="000000"/>
              <w:right w:val="single" w:sz="4" w:space="0" w:color="000000"/>
            </w:tcBorders>
          </w:tcPr>
          <w:p>
            <w:pPr>
              <w:pStyle w:val="TableParagraph"/>
              <w:ind w:left="401"/>
              <w:rPr>
                <w:sz w:val="20"/>
              </w:rPr>
            </w:pPr>
            <w:r>
              <w:rPr>
                <w:sz w:val="20"/>
              </w:rPr>
              <w:drawing>
                <wp:inline distT="0" distB="0" distL="0" distR="0">
                  <wp:extent cx="2084954" cy="155676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38" cstate="print"/>
                          <a:stretch>
                            <a:fillRect/>
                          </a:stretch>
                        </pic:blipFill>
                        <pic:spPr>
                          <a:xfrm>
                            <a:off x="0" y="0"/>
                            <a:ext cx="2084954" cy="1556766"/>
                          </a:xfrm>
                          <a:prstGeom prst="rect">
                            <a:avLst/>
                          </a:prstGeom>
                        </pic:spPr>
                      </pic:pic>
                    </a:graphicData>
                  </a:graphic>
                </wp:inline>
              </w:drawing>
            </w:r>
          </w:p>
        </w:tc>
        <w:tc>
          <w:tcPr>
            <w:tcW w:w="4214" w:type="dxa"/>
            <w:tcBorders>
              <w:left w:val="single" w:sz="4" w:space="0" w:color="000000"/>
              <w:bottom w:val="single" w:sz="4" w:space="0" w:color="000000"/>
              <w:right w:val="single" w:sz="4" w:space="0" w:color="000000"/>
            </w:tcBorders>
          </w:tcPr>
          <w:p>
            <w:pPr>
              <w:pStyle w:val="TableParagraph"/>
              <w:ind w:left="426"/>
              <w:rPr>
                <w:sz w:val="20"/>
              </w:rPr>
            </w:pPr>
            <w:r>
              <w:rPr>
                <w:sz w:val="20"/>
              </w:rPr>
              <w:drawing>
                <wp:inline distT="0" distB="0" distL="0" distR="0">
                  <wp:extent cx="2079492" cy="1565909"/>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pic:nvPicPr>
                        <pic:blipFill>
                          <a:blip xmlns:r="http://schemas.openxmlformats.org/officeDocument/2006/relationships" r:embed="rId39" cstate="print"/>
                          <a:stretch>
                            <a:fillRect/>
                          </a:stretch>
                        </pic:blipFill>
                        <pic:spPr>
                          <a:xfrm>
                            <a:off x="0" y="0"/>
                            <a:ext cx="2079492" cy="1565909"/>
                          </a:xfrm>
                          <a:prstGeom prst="rect">
                            <a:avLst/>
                          </a:prstGeom>
                        </pic:spPr>
                      </pic:pic>
                    </a:graphicData>
                  </a:graphic>
                </wp:inline>
              </w:drawing>
            </w:r>
          </w:p>
        </w:tc>
        <w:tc>
          <w:tcPr>
            <w:tcW w:w="286" w:type="dxa"/>
            <w:vMerge w:val="restart"/>
            <w:tcBorders>
              <w:left w:val="single" w:sz="4" w:space="0" w:color="000000"/>
              <w:bottom w:val="nil"/>
            </w:tcBorders>
          </w:tcPr>
          <w:p>
            <w:pPr>
              <w:pStyle w:val="TableParagraph"/>
              <w:rPr>
                <w:rFonts w:ascii="Times New Roman"/>
                <w:sz w:val="22"/>
              </w:rPr>
            </w:pPr>
          </w:p>
        </w:tc>
      </w:tr>
      <w:tr>
        <w:tblPrEx>
          <w:tblW w:w="0" w:type="auto"/>
          <w:jc w:val="left"/>
          <w:tblInd w:w="142" w:type="dxa"/>
          <w:tblLayout w:type="fixed"/>
          <w:tblCellMar>
            <w:top w:w="0" w:type="dxa"/>
            <w:left w:w="0" w:type="dxa"/>
            <w:bottom w:w="0" w:type="dxa"/>
            <w:right w:w="0" w:type="dxa"/>
          </w:tblCellMar>
          <w:tblLook w:val="01E0"/>
        </w:tblPrEx>
        <w:trPr>
          <w:trHeight w:val="301"/>
          <w:jc w:val="left"/>
        </w:trPr>
        <w:tc>
          <w:tcPr>
            <w:tcW w:w="456"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4213" w:type="dxa"/>
            <w:tcBorders>
              <w:top w:val="single" w:sz="4" w:space="0" w:color="000000"/>
              <w:left w:val="single" w:sz="4" w:space="0" w:color="000000"/>
              <w:bottom w:val="single" w:sz="4" w:space="0" w:color="000000"/>
              <w:right w:val="single" w:sz="4" w:space="0" w:color="000000"/>
            </w:tcBorders>
          </w:tcPr>
          <w:p>
            <w:pPr>
              <w:pStyle w:val="TableParagraph"/>
              <w:spacing w:line="281" w:lineRule="exact"/>
              <w:ind w:left="430"/>
              <w:rPr>
                <w:sz w:val="24"/>
              </w:rPr>
            </w:pPr>
            <w:r>
              <w:rPr>
                <w:sz w:val="24"/>
              </w:rPr>
              <w:t>起点段（南北项目现状水泥路）</w:t>
            </w:r>
          </w:p>
        </w:tc>
        <w:tc>
          <w:tcPr>
            <w:tcW w:w="4214" w:type="dxa"/>
            <w:tcBorders>
              <w:top w:val="single" w:sz="4" w:space="0" w:color="000000"/>
              <w:left w:val="single" w:sz="4" w:space="0" w:color="000000"/>
              <w:bottom w:val="single" w:sz="4" w:space="0" w:color="000000"/>
              <w:right w:val="single" w:sz="4" w:space="0" w:color="000000"/>
            </w:tcBorders>
          </w:tcPr>
          <w:p>
            <w:pPr>
              <w:pStyle w:val="TableParagraph"/>
              <w:spacing w:line="281" w:lineRule="exact"/>
              <w:ind w:left="433" w:right="415"/>
              <w:jc w:val="center"/>
              <w:rPr>
                <w:sz w:val="24"/>
              </w:rPr>
            </w:pPr>
            <w:r>
              <w:rPr>
                <w:sz w:val="24"/>
              </w:rPr>
              <w:t>沿线取土坑</w:t>
            </w:r>
          </w:p>
        </w:tc>
        <w:tc>
          <w:tcPr>
            <w:tcW w:w="286" w:type="dxa"/>
            <w:vMerge/>
            <w:tcBorders>
              <w:top w:val="nil"/>
              <w:left w:val="single" w:sz="4" w:space="0" w:color="000000"/>
              <w:bottom w:val="nil"/>
            </w:tcBorders>
          </w:tcPr>
          <w:p>
            <w:pPr>
              <w:rPr>
                <w:sz w:val="2"/>
                <w:szCs w:val="2"/>
              </w:rPr>
            </w:pPr>
          </w:p>
        </w:tc>
      </w:tr>
      <w:tr>
        <w:tblPrEx>
          <w:tblW w:w="0" w:type="auto"/>
          <w:jc w:val="left"/>
          <w:tblInd w:w="142" w:type="dxa"/>
          <w:tblLayout w:type="fixed"/>
          <w:tblCellMar>
            <w:top w:w="0" w:type="dxa"/>
            <w:left w:w="0" w:type="dxa"/>
            <w:bottom w:w="0" w:type="dxa"/>
            <w:right w:w="0" w:type="dxa"/>
          </w:tblCellMar>
          <w:tblLook w:val="01E0"/>
        </w:tblPrEx>
        <w:trPr>
          <w:trHeight w:val="9757"/>
          <w:jc w:val="left"/>
        </w:trPr>
        <w:tc>
          <w:tcPr>
            <w:tcW w:w="456" w:type="dxa"/>
            <w:vMerge/>
            <w:tcBorders>
              <w:top w:val="nil"/>
              <w:right w:val="single" w:sz="4" w:space="0" w:color="000000"/>
            </w:tcBorders>
          </w:tcPr>
          <w:p>
            <w:pPr>
              <w:rPr>
                <w:sz w:val="2"/>
                <w:szCs w:val="2"/>
              </w:rPr>
            </w:pPr>
          </w:p>
        </w:tc>
        <w:tc>
          <w:tcPr>
            <w:tcW w:w="8826" w:type="dxa"/>
            <w:gridSpan w:val="4"/>
            <w:tcBorders>
              <w:top w:val="nil"/>
              <w:left w:val="single" w:sz="4" w:space="0" w:color="000000"/>
            </w:tcBorders>
          </w:tcPr>
          <w:p>
            <w:pPr>
              <w:pStyle w:val="TableParagraph"/>
              <w:numPr>
                <w:ilvl w:val="0"/>
                <w:numId w:val="27"/>
              </w:numPr>
              <w:tabs>
                <w:tab w:val="left" w:pos="1195"/>
              </w:tabs>
              <w:spacing w:before="0" w:after="0" w:line="305" w:lineRule="exact"/>
              <w:ind w:left="1194" w:right="0" w:hanging="602"/>
              <w:jc w:val="left"/>
              <w:rPr>
                <w:sz w:val="24"/>
              </w:rPr>
            </w:pPr>
            <w:r>
              <w:rPr>
                <w:sz w:val="24"/>
              </w:rPr>
              <w:t>桥梁工程</w:t>
            </w:r>
          </w:p>
          <w:p>
            <w:pPr>
              <w:pStyle w:val="TableParagraph"/>
              <w:spacing w:before="158" w:after="8" w:line="364" w:lineRule="auto"/>
              <w:ind w:left="113" w:right="86" w:firstLine="480"/>
              <w:rPr>
                <w:sz w:val="24"/>
              </w:rPr>
            </w:pPr>
            <w:r>
              <w:rPr>
                <w:spacing w:val="-5"/>
                <w:sz w:val="24"/>
              </w:rPr>
              <w:t xml:space="preserve">拟建项目现场现状有老桥 </w:t>
            </w:r>
            <w:r>
              <w:rPr>
                <w:rFonts w:ascii="Times New Roman" w:eastAsia="Times New Roman"/>
                <w:sz w:val="24"/>
              </w:rPr>
              <w:t xml:space="preserve">1 </w:t>
            </w:r>
            <w:r>
              <w:rPr>
                <w:spacing w:val="-8"/>
                <w:sz w:val="24"/>
              </w:rPr>
              <w:t xml:space="preserve">座，桥梁全宽 </w:t>
            </w:r>
            <w:r>
              <w:rPr>
                <w:rFonts w:ascii="Times New Roman" w:eastAsia="Times New Roman"/>
                <w:sz w:val="24"/>
              </w:rPr>
              <w:t xml:space="preserve">7.0 </w:t>
            </w:r>
            <w:r>
              <w:rPr>
                <w:spacing w:val="-1"/>
                <w:sz w:val="24"/>
              </w:rPr>
              <w:t>米，为老沙十二中沟桥，跨越射</w:t>
            </w:r>
            <w:r>
              <w:rPr>
                <w:sz w:val="24"/>
              </w:rPr>
              <w:t>沙河。其余河流现状均无老桥。</w:t>
            </w:r>
          </w:p>
          <w:p>
            <w:pPr>
              <w:pStyle w:val="TableParagraph"/>
              <w:tabs>
                <w:tab w:val="left" w:pos="4663"/>
              </w:tabs>
              <w:ind w:left="418"/>
              <w:rPr>
                <w:sz w:val="20"/>
              </w:rPr>
            </w:pPr>
            <w:r>
              <w:rPr>
                <w:sz w:val="20"/>
              </w:rPr>
              <w:drawing>
                <wp:inline distT="0" distB="0" distL="0" distR="0">
                  <wp:extent cx="2317130" cy="2335339"/>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40" cstate="print"/>
                          <a:stretch>
                            <a:fillRect/>
                          </a:stretch>
                        </pic:blipFill>
                        <pic:spPr>
                          <a:xfrm>
                            <a:off x="0" y="0"/>
                            <a:ext cx="2317130" cy="2335339"/>
                          </a:xfrm>
                          <a:prstGeom prst="rect">
                            <a:avLst/>
                          </a:prstGeom>
                        </pic:spPr>
                      </pic:pic>
                    </a:graphicData>
                  </a:graphic>
                </wp:inline>
              </w:drawing>
            </w:r>
            <w:r>
              <w:rPr>
                <w:sz w:val="20"/>
              </w:rPr>
              <w:tab/>
            </w:r>
            <w:r>
              <w:rPr>
                <w:position w:val="1"/>
                <w:sz w:val="20"/>
              </w:rPr>
              <w:drawing>
                <wp:inline distT="0" distB="0" distL="0" distR="0">
                  <wp:extent cx="2322005" cy="2326576"/>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xmlns:r="http://schemas.openxmlformats.org/officeDocument/2006/relationships" r:embed="rId41" cstate="print"/>
                          <a:stretch>
                            <a:fillRect/>
                          </a:stretch>
                        </pic:blipFill>
                        <pic:spPr>
                          <a:xfrm>
                            <a:off x="0" y="0"/>
                            <a:ext cx="2322005" cy="2326576"/>
                          </a:xfrm>
                          <a:prstGeom prst="rect">
                            <a:avLst/>
                          </a:prstGeom>
                        </pic:spPr>
                      </pic:pic>
                    </a:graphicData>
                  </a:graphic>
                </wp:inline>
              </w:drawing>
            </w:r>
          </w:p>
          <w:p>
            <w:pPr>
              <w:pStyle w:val="TableParagraph"/>
              <w:spacing w:after="1"/>
              <w:rPr>
                <w:sz w:val="27"/>
              </w:rPr>
            </w:pPr>
          </w:p>
          <w:p>
            <w:pPr>
              <w:pStyle w:val="TableParagraph"/>
              <w:tabs>
                <w:tab w:val="left" w:pos="5004"/>
              </w:tabs>
              <w:ind w:left="226"/>
              <w:rPr>
                <w:sz w:val="20"/>
              </w:rPr>
            </w:pPr>
            <w:r>
              <w:rPr>
                <w:position w:val="3"/>
                <w:sz w:val="20"/>
              </w:rPr>
              <w:drawing>
                <wp:inline distT="0" distB="0" distL="0" distR="0">
                  <wp:extent cx="2544108" cy="191109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pic:nvPicPr>
                        <pic:blipFill>
                          <a:blip xmlns:r="http://schemas.openxmlformats.org/officeDocument/2006/relationships" r:embed="rId42" cstate="print"/>
                          <a:stretch>
                            <a:fillRect/>
                          </a:stretch>
                        </pic:blipFill>
                        <pic:spPr>
                          <a:xfrm>
                            <a:off x="0" y="0"/>
                            <a:ext cx="2544108" cy="1911095"/>
                          </a:xfrm>
                          <a:prstGeom prst="rect">
                            <a:avLst/>
                          </a:prstGeom>
                        </pic:spPr>
                      </pic:pic>
                    </a:graphicData>
                  </a:graphic>
                </wp:inline>
              </w:drawing>
            </w:r>
            <w:r>
              <w:rPr>
                <w:position w:val="3"/>
                <w:sz w:val="20"/>
              </w:rPr>
              <w:tab/>
            </w:r>
            <w:r>
              <w:rPr>
                <w:sz w:val="20"/>
              </w:rPr>
              <w:drawing>
                <wp:inline distT="0" distB="0" distL="0" distR="0">
                  <wp:extent cx="1914287" cy="1932813"/>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xmlns:r="http://schemas.openxmlformats.org/officeDocument/2006/relationships" r:embed="rId43" cstate="print"/>
                          <a:stretch>
                            <a:fillRect/>
                          </a:stretch>
                        </pic:blipFill>
                        <pic:spPr>
                          <a:xfrm>
                            <a:off x="0" y="0"/>
                            <a:ext cx="1914287" cy="1932813"/>
                          </a:xfrm>
                          <a:prstGeom prst="rect">
                            <a:avLst/>
                          </a:prstGeom>
                        </pic:spPr>
                      </pic:pic>
                    </a:graphicData>
                  </a:graphic>
                </wp:inline>
              </w:drawing>
            </w:r>
          </w:p>
          <w:p>
            <w:pPr>
              <w:pStyle w:val="TableParagraph"/>
              <w:rPr>
                <w:sz w:val="26"/>
              </w:rPr>
            </w:pPr>
          </w:p>
          <w:p>
            <w:pPr>
              <w:pStyle w:val="TableParagraph"/>
              <w:numPr>
                <w:ilvl w:val="0"/>
                <w:numId w:val="27"/>
              </w:numPr>
              <w:tabs>
                <w:tab w:val="left" w:pos="1195"/>
              </w:tabs>
              <w:spacing w:before="0" w:after="0" w:line="240" w:lineRule="auto"/>
              <w:ind w:left="1194" w:right="0" w:hanging="602"/>
              <w:jc w:val="left"/>
              <w:rPr>
                <w:sz w:val="24"/>
              </w:rPr>
            </w:pPr>
            <w:r>
              <w:rPr>
                <w:sz w:val="24"/>
              </w:rPr>
              <w:t>交叉</w:t>
            </w:r>
          </w:p>
          <w:p>
            <w:pPr>
              <w:pStyle w:val="TableParagraph"/>
              <w:spacing w:before="161"/>
              <w:ind w:left="593"/>
              <w:rPr>
                <w:sz w:val="24"/>
              </w:rPr>
            </w:pPr>
            <w:r>
              <w:rPr>
                <w:sz w:val="24"/>
              </w:rPr>
              <w:t>本项目终点与射阜线进行平面交叉，射阜线现状为沥青路面。</w:t>
            </w:r>
          </w:p>
        </w:tc>
      </w:tr>
    </w:tbl>
    <w:p>
      <w:pPr>
        <w:rPr>
          <w:sz w:val="2"/>
          <w:szCs w:val="2"/>
        </w:rPr>
      </w:pPr>
      <w:r>
        <w:pict>
          <v:shape id="_x0000_s1068" type="#_x0000_t202" style="width:424.85pt;height:370.5pt;margin-top:287.3pt;margin-left:93.81pt;mso-position-horizontal-relative:page;mso-position-vertical-relative:page;position:absolute;z-index:251675648" filled="f" stroked="f">
            <v:textbox inset="0,0,0,0">
              <w:txbxContent>
                <w:tbl>
                  <w:tblPr>
                    <w:tblStyle w:val="TableNormal17"/>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8"/>
                    <w:gridCol w:w="4214"/>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693"/>
                      <w:jc w:val="left"/>
                    </w:trPr>
                    <w:tc>
                      <w:tcPr>
                        <w:tcW w:w="4268" w:type="dxa"/>
                      </w:tcPr>
                      <w:p>
                        <w:pPr>
                          <w:pStyle w:val="TableParagraph"/>
                          <w:rPr>
                            <w:rFonts w:ascii="Times New Roman"/>
                            <w:sz w:val="22"/>
                          </w:rPr>
                        </w:pPr>
                      </w:p>
                    </w:tc>
                    <w:tc>
                      <w:tcPr>
                        <w:tcW w:w="4214" w:type="dxa"/>
                      </w:tcPr>
                      <w:p>
                        <w:pPr>
                          <w:pStyle w:val="TableParagraph"/>
                          <w:rPr>
                            <w:rFonts w:ascii="Times New Roman"/>
                            <w:sz w:val="22"/>
                          </w:rPr>
                        </w:pPr>
                      </w:p>
                    </w:tc>
                  </w:tr>
                  <w:tr>
                    <w:tblPrEx>
                      <w:tblW w:w="0" w:type="auto"/>
                      <w:jc w:val="left"/>
                      <w:tblInd w:w="5" w:type="dxa"/>
                      <w:tblLayout w:type="fixed"/>
                      <w:tblCellMar>
                        <w:top w:w="0" w:type="dxa"/>
                        <w:left w:w="0" w:type="dxa"/>
                        <w:bottom w:w="0" w:type="dxa"/>
                        <w:right w:w="0" w:type="dxa"/>
                      </w:tblCellMar>
                      <w:tblLook w:val="01E0"/>
                    </w:tblPrEx>
                    <w:trPr>
                      <w:trHeight w:val="311"/>
                      <w:jc w:val="left"/>
                    </w:trPr>
                    <w:tc>
                      <w:tcPr>
                        <w:tcW w:w="4268" w:type="dxa"/>
                      </w:tcPr>
                      <w:p>
                        <w:pPr>
                          <w:pStyle w:val="TableParagraph"/>
                          <w:spacing w:before="2" w:line="289" w:lineRule="exact"/>
                          <w:ind w:left="461" w:right="457"/>
                          <w:jc w:val="center"/>
                          <w:rPr>
                            <w:sz w:val="21"/>
                          </w:rPr>
                        </w:pPr>
                        <w:r>
                          <w:rPr>
                            <w:sz w:val="24"/>
                          </w:rPr>
                          <w:t>老沙十二中沟桥</w:t>
                        </w:r>
                        <w:r>
                          <w:rPr>
                            <w:color w:val="999999"/>
                            <w:sz w:val="21"/>
                          </w:rPr>
                          <w:t>（</w:t>
                        </w:r>
                        <w:r>
                          <w:rPr>
                            <w:sz w:val="24"/>
                          </w:rPr>
                          <w:t>跨越射沙河</w:t>
                        </w:r>
                        <w:r>
                          <w:rPr>
                            <w:color w:val="999999"/>
                            <w:sz w:val="21"/>
                          </w:rPr>
                          <w:t>）</w:t>
                        </w:r>
                      </w:p>
                    </w:tc>
                    <w:tc>
                      <w:tcPr>
                        <w:tcW w:w="4214" w:type="dxa"/>
                      </w:tcPr>
                      <w:p>
                        <w:pPr>
                          <w:pStyle w:val="TableParagraph"/>
                          <w:spacing w:before="2" w:line="289" w:lineRule="exact"/>
                          <w:ind w:left="433" w:right="430"/>
                          <w:jc w:val="center"/>
                          <w:rPr>
                            <w:sz w:val="21"/>
                          </w:rPr>
                        </w:pPr>
                        <w:r>
                          <w:rPr>
                            <w:sz w:val="24"/>
                          </w:rPr>
                          <w:t>老沙十二中沟桥</w:t>
                        </w:r>
                        <w:r>
                          <w:rPr>
                            <w:color w:val="999999"/>
                            <w:sz w:val="21"/>
                          </w:rPr>
                          <w:t>（</w:t>
                        </w:r>
                        <w:r>
                          <w:rPr>
                            <w:sz w:val="24"/>
                          </w:rPr>
                          <w:t>跨越射沙河</w:t>
                        </w:r>
                        <w:r>
                          <w:rPr>
                            <w:color w:val="999999"/>
                            <w:sz w:val="21"/>
                          </w:rPr>
                          <w:t>）</w:t>
                        </w:r>
                      </w:p>
                    </w:tc>
                  </w:tr>
                  <w:tr>
                    <w:tblPrEx>
                      <w:tblW w:w="0" w:type="auto"/>
                      <w:jc w:val="left"/>
                      <w:tblInd w:w="5" w:type="dxa"/>
                      <w:tblLayout w:type="fixed"/>
                      <w:tblCellMar>
                        <w:top w:w="0" w:type="dxa"/>
                        <w:left w:w="0" w:type="dxa"/>
                        <w:bottom w:w="0" w:type="dxa"/>
                        <w:right w:w="0" w:type="dxa"/>
                      </w:tblCellMar>
                      <w:tblLook w:val="01E0"/>
                    </w:tblPrEx>
                    <w:trPr>
                      <w:trHeight w:val="3044"/>
                      <w:jc w:val="left"/>
                    </w:trPr>
                    <w:tc>
                      <w:tcPr>
                        <w:tcW w:w="4268" w:type="dxa"/>
                      </w:tcPr>
                      <w:p>
                        <w:pPr>
                          <w:pStyle w:val="TableParagraph"/>
                          <w:rPr>
                            <w:rFonts w:ascii="Times New Roman"/>
                            <w:sz w:val="22"/>
                          </w:rPr>
                        </w:pPr>
                      </w:p>
                    </w:tc>
                    <w:tc>
                      <w:tcPr>
                        <w:tcW w:w="4214" w:type="dxa"/>
                      </w:tcPr>
                      <w:p>
                        <w:pPr>
                          <w:pStyle w:val="TableParagraph"/>
                          <w:rPr>
                            <w:rFonts w:ascii="Times New Roman"/>
                            <w:sz w:val="22"/>
                          </w:rPr>
                        </w:pPr>
                      </w:p>
                    </w:tc>
                  </w:tr>
                  <w:tr>
                    <w:tblPrEx>
                      <w:tblW w:w="0" w:type="auto"/>
                      <w:jc w:val="left"/>
                      <w:tblInd w:w="5" w:type="dxa"/>
                      <w:tblLayout w:type="fixed"/>
                      <w:tblCellMar>
                        <w:top w:w="0" w:type="dxa"/>
                        <w:left w:w="0" w:type="dxa"/>
                        <w:bottom w:w="0" w:type="dxa"/>
                        <w:right w:w="0" w:type="dxa"/>
                      </w:tblCellMar>
                      <w:tblLook w:val="01E0"/>
                    </w:tblPrEx>
                    <w:trPr>
                      <w:trHeight w:val="310"/>
                      <w:jc w:val="left"/>
                    </w:trPr>
                    <w:tc>
                      <w:tcPr>
                        <w:tcW w:w="4268" w:type="dxa"/>
                      </w:tcPr>
                      <w:p>
                        <w:pPr>
                          <w:pStyle w:val="TableParagraph"/>
                          <w:spacing w:before="1" w:line="290" w:lineRule="exact"/>
                          <w:ind w:left="461" w:right="452"/>
                          <w:jc w:val="center"/>
                          <w:rPr>
                            <w:sz w:val="24"/>
                          </w:rPr>
                        </w:pPr>
                        <w:r>
                          <w:rPr>
                            <w:sz w:val="24"/>
                          </w:rPr>
                          <w:t>十一中沟河</w:t>
                        </w:r>
                      </w:p>
                    </w:tc>
                    <w:tc>
                      <w:tcPr>
                        <w:tcW w:w="4214" w:type="dxa"/>
                      </w:tcPr>
                      <w:p>
                        <w:pPr>
                          <w:pStyle w:val="TableParagraph"/>
                          <w:spacing w:before="1" w:line="290" w:lineRule="exact"/>
                          <w:ind w:left="433" w:right="424"/>
                          <w:jc w:val="center"/>
                          <w:rPr>
                            <w:sz w:val="24"/>
                          </w:rPr>
                        </w:pPr>
                        <w:r>
                          <w:rPr>
                            <w:sz w:val="24"/>
                          </w:rPr>
                          <w:t>生产河</w:t>
                        </w:r>
                      </w:p>
                    </w:tc>
                  </w:tr>
                </w:tbl>
                <w:p>
                  <w:pPr>
                    <w:pStyle w:val="BodyText"/>
                  </w:pPr>
                </w:p>
              </w:txbxContent>
            </v:textbox>
          </v:shape>
        </w:pict>
      </w:r>
    </w:p>
    <w:p>
      <w:pPr>
        <w:spacing w:after="0"/>
        <w:rPr>
          <w:sz w:val="2"/>
          <w:szCs w:val="2"/>
        </w:rPr>
        <w:sectPr>
          <w:footerReference w:type="default" r:id="rId44"/>
          <w:pgSz w:w="11910" w:h="16840"/>
          <w:pgMar w:top="1420" w:right="1100" w:bottom="1180" w:left="1180" w:header="0" w:footer="997"/>
          <w:pgNumType w:start="23"/>
          <w:cols w:space="708"/>
        </w:sectPr>
      </w:pPr>
    </w:p>
    <w:p>
      <w:pPr>
        <w:pStyle w:val="BodyText"/>
        <w:ind w:left="112"/>
        <w:rPr>
          <w:sz w:val="20"/>
        </w:rPr>
      </w:pPr>
      <w:bookmarkStart w:id="3" w:name="三、生态环境现状、保护目标及评价标准"/>
      <w:bookmarkEnd w:id="3"/>
      <w:r>
        <w:rPr>
          <w:sz w:val="20"/>
        </w:rPr>
        <w:pict>
          <v:group id="_x0000_i1069" style="width:465.1pt;height:171.85pt;mso-position-horizontal-relative:char;mso-position-vertical-relative:line" coordorigin="0,0" coordsize="9302,34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width:4068;height:3041;left:687;position:absolute;top:19" stroked="f">
              <v:imagedata r:id="rId45" o:title=""/>
            </v:shape>
            <v:shape id="_x0000_s1071" type="#_x0000_t75" style="width:4100;height:3067;left:4971;position:absolute;top:19" stroked="f">
              <v:imagedata r:id="rId46" o:title=""/>
            </v:shape>
            <v:line id="_x0000_s1072" style="position:absolute" from="574,15" to="9183,15" stroked="t" strokecolor="black" strokeweight="0.48pt">
              <v:stroke dashstyle="solid"/>
            </v:line>
            <v:line id="_x0000_s1073" style="position:absolute" from="574,3091" to="9183,3091" stroked="t" strokecolor="black" strokeweight="0.48pt">
              <v:stroke dashstyle="solid"/>
            </v:line>
            <v:line id="_x0000_s1074" style="position:absolute" from="574,3410" to="9183,3410" stroked="t" strokecolor="black" strokeweight="0.48pt">
              <v:stroke dashstyle="solid"/>
            </v:line>
            <v:line id="_x0000_s1075" style="position:absolute" from="579,10" to="579,3405" stroked="t" strokecolor="black" strokeweight="0.48pt">
              <v:stroke dashstyle="solid"/>
            </v:line>
            <v:line id="_x0000_s1076" style="position:absolute" from="4863,10" to="4863,3405" stroked="t" strokecolor="black" strokeweight="0.48pt">
              <v:stroke dashstyle="solid"/>
            </v:line>
            <v:line id="_x0000_s1077" style="position:absolute" from="9179,10" to="9179,3405" stroked="t" strokecolor="black" strokeweight="0.48pt">
              <v:stroke dashstyle="solid"/>
            </v:line>
            <v:line id="_x0000_s1078" style="position:absolute" from="0,10" to="9301,10" stroked="t" strokecolor="black" strokeweight="0.96pt">
              <v:stroke dashstyle="solid"/>
            </v:line>
            <v:line id="_x0000_s1079" style="position:absolute" from="0,3427" to="9301,3427" stroked="t" strokecolor="black" strokeweight="0.96pt">
              <v:stroke dashstyle="solid"/>
            </v:line>
            <v:line id="_x0000_s1080" style="position:absolute" from="10,0" to="10,3436" stroked="t" strokecolor="black" strokeweight="0.96pt">
              <v:stroke dashstyle="solid"/>
            </v:line>
            <v:line id="_x0000_s1081" style="position:absolute" from="9292,19" to="9292,3436" stroked="t" strokecolor="black" strokeweight="0.96pt">
              <v:stroke dashstyle="solid"/>
            </v:line>
            <v:line id="_x0000_s1082" style="position:absolute" from="466,19" to="466,3417" stroked="t" strokecolor="black" strokeweight="0.48pt">
              <v:stroke dashstyle="solid"/>
            </v:line>
            <v:shape id="_x0000_s1083" type="#_x0000_t202" style="width:4307;height:316;left:4867;position:absolute;top:3095" filled="f" stroked="f">
              <v:textbox inset="0,0,0,0">
                <w:txbxContent>
                  <w:p>
                    <w:pPr>
                      <w:spacing w:before="1"/>
                      <w:ind w:left="833" w:right="0" w:firstLine="0"/>
                      <w:jc w:val="left"/>
                      <w:rPr>
                        <w:sz w:val="24"/>
                      </w:rPr>
                    </w:pPr>
                    <w:r>
                      <w:rPr>
                        <w:sz w:val="24"/>
                      </w:rPr>
                      <w:t>终点：与射阜线平面交叉</w:t>
                    </w:r>
                  </w:p>
                </w:txbxContent>
              </v:textbox>
            </v:shape>
            <v:shape id="_x0000_s1084" type="#_x0000_t202" style="width:4275;height:316;left:583;position:absolute;top:3095" filled="f" stroked="f">
              <v:textbox inset="0,0,0,0">
                <w:txbxContent>
                  <w:p>
                    <w:pPr>
                      <w:spacing w:before="1"/>
                      <w:ind w:left="816" w:right="0" w:firstLine="0"/>
                      <w:jc w:val="left"/>
                      <w:rPr>
                        <w:sz w:val="24"/>
                      </w:rPr>
                    </w:pPr>
                    <w:r>
                      <w:rPr>
                        <w:sz w:val="24"/>
                      </w:rPr>
                      <w:t>终点：与射阜线平面交叉</w:t>
                    </w:r>
                  </w:p>
                </w:txbxContent>
              </v:textbox>
            </v:shape>
            <w10:wrap type="none"/>
          </v:group>
        </w:pict>
      </w:r>
    </w:p>
    <w:p>
      <w:pPr>
        <w:spacing w:after="0"/>
        <w:rPr>
          <w:sz w:val="20"/>
        </w:rPr>
        <w:sectPr>
          <w:footerReference w:type="default" r:id="rId47"/>
          <w:pgSz w:w="11910" w:h="16840"/>
          <w:pgMar w:top="1420" w:right="1100" w:bottom="1180" w:left="1180" w:header="0" w:footer="997"/>
          <w:pgNumType w:start="24"/>
          <w:cols w:space="708"/>
        </w:sectPr>
      </w:pPr>
    </w:p>
    <w:p>
      <w:pPr>
        <w:pStyle w:val="Heading1"/>
      </w:pPr>
      <w:r>
        <w:t>三、生态环境现状、保护目标及评价标准</w:t>
      </w:r>
    </w:p>
    <w:p>
      <w:pPr>
        <w:pStyle w:val="BodyText"/>
        <w:rPr>
          <w:rFonts w:ascii="黑体"/>
          <w:sz w:val="22"/>
        </w:rPr>
      </w:pPr>
    </w:p>
    <w:tbl>
      <w:tblPr>
        <w:tblStyle w:val="TableNormal18"/>
        <w:tblW w:w="0" w:type="auto"/>
        <w:jc w:val="left"/>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04"/>
        <w:gridCol w:w="8253"/>
      </w:tblGrid>
      <w:tr>
        <w:tblPrEx>
          <w:tblW w:w="0" w:type="auto"/>
          <w:jc w:val="left"/>
          <w:tblInd w:w="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393"/>
          <w:jc w:val="left"/>
        </w:trPr>
        <w:tc>
          <w:tcPr>
            <w:tcW w:w="904" w:type="dxa"/>
            <w:tcBorders>
              <w:bottom w:val="nil"/>
              <w:right w:val="single" w:sz="4" w:space="0" w:color="000000"/>
            </w:tcBorders>
          </w:tcPr>
          <w:p>
            <w:pPr>
              <w:pStyle w:val="TableParagraph"/>
              <w:rPr>
                <w:rFonts w:ascii="Times New Roman"/>
                <w:sz w:val="22"/>
              </w:rPr>
            </w:pPr>
          </w:p>
        </w:tc>
        <w:tc>
          <w:tcPr>
            <w:tcW w:w="8253" w:type="dxa"/>
            <w:tcBorders>
              <w:left w:val="single" w:sz="4" w:space="0" w:color="000000"/>
              <w:bottom w:val="nil"/>
            </w:tcBorders>
          </w:tcPr>
          <w:p>
            <w:pPr>
              <w:pStyle w:val="TableParagraph"/>
              <w:spacing w:before="2"/>
              <w:ind w:left="592"/>
              <w:rPr>
                <w:sz w:val="24"/>
              </w:rPr>
            </w:pPr>
            <w:r>
              <w:rPr>
                <w:sz w:val="24"/>
              </w:rPr>
              <w:t>根据盐城市阜宁生态环境局发布的《</w:t>
            </w:r>
            <w:r>
              <w:rPr>
                <w:rFonts w:ascii="Times New Roman" w:eastAsia="Times New Roman"/>
                <w:sz w:val="24"/>
              </w:rPr>
              <w:t xml:space="preserve">2022 </w:t>
            </w:r>
            <w:r>
              <w:rPr>
                <w:sz w:val="24"/>
              </w:rPr>
              <w:t>年生态环境质量状况公报》，</w:t>
            </w:r>
          </w:p>
        </w:tc>
      </w:tr>
      <w:tr>
        <w:tblPrEx>
          <w:tblW w:w="0" w:type="auto"/>
          <w:jc w:val="left"/>
          <w:tblInd w:w="204" w:type="dxa"/>
          <w:tblLayout w:type="fixed"/>
          <w:tblCellMar>
            <w:top w:w="0" w:type="dxa"/>
            <w:left w:w="0" w:type="dxa"/>
            <w:bottom w:w="0" w:type="dxa"/>
            <w:right w:w="0" w:type="dxa"/>
          </w:tblCellMar>
          <w:tblLook w:val="01E0"/>
        </w:tblPrEx>
        <w:trPr>
          <w:trHeight w:val="465"/>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3"/>
              <w:ind w:left="112"/>
              <w:rPr>
                <w:sz w:val="24"/>
              </w:rPr>
            </w:pPr>
            <w:r>
              <w:rPr>
                <w:rFonts w:ascii="Times New Roman" w:eastAsia="Times New Roman"/>
                <w:sz w:val="24"/>
              </w:rPr>
              <w:t xml:space="preserve">2022 </w:t>
            </w:r>
            <w:r>
              <w:rPr>
                <w:sz w:val="24"/>
              </w:rPr>
              <w:t>年项目所在地区环境质量现状如下：</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592"/>
              <w:rPr>
                <w:b/>
                <w:sz w:val="24"/>
              </w:rPr>
            </w:pPr>
            <w:r>
              <w:rPr>
                <w:rFonts w:ascii="Times New Roman" w:eastAsia="Times New Roman"/>
                <w:b/>
                <w:sz w:val="24"/>
              </w:rPr>
              <w:t>1</w:t>
            </w:r>
            <w:r>
              <w:rPr>
                <w:b/>
                <w:sz w:val="24"/>
              </w:rPr>
              <w:t>、环境空气质量现状</w:t>
            </w:r>
          </w:p>
        </w:tc>
      </w:tr>
      <w:tr>
        <w:tblPrEx>
          <w:tblW w:w="0" w:type="auto"/>
          <w:jc w:val="left"/>
          <w:tblInd w:w="204" w:type="dxa"/>
          <w:tblLayout w:type="fixed"/>
          <w:tblCellMar>
            <w:top w:w="0" w:type="dxa"/>
            <w:left w:w="0" w:type="dxa"/>
            <w:bottom w:w="0" w:type="dxa"/>
            <w:right w:w="0" w:type="dxa"/>
          </w:tblCellMar>
          <w:tblLook w:val="01E0"/>
        </w:tblPrEx>
        <w:trPr>
          <w:trHeight w:val="467"/>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592"/>
              <w:rPr>
                <w:rFonts w:ascii="Times New Roman" w:eastAsia="Times New Roman"/>
                <w:sz w:val="24"/>
              </w:rPr>
            </w:pPr>
            <w:r>
              <w:rPr>
                <w:sz w:val="24"/>
              </w:rPr>
              <w:t>区域环境质量现状根据阜宁县《</w:t>
            </w:r>
            <w:r>
              <w:rPr>
                <w:rFonts w:ascii="Times New Roman" w:eastAsia="Times New Roman"/>
                <w:sz w:val="24"/>
              </w:rPr>
              <w:t xml:space="preserve">2022 </w:t>
            </w:r>
            <w:r>
              <w:rPr>
                <w:sz w:val="24"/>
              </w:rPr>
              <w:t>年生态环境质量状况公报》，</w:t>
            </w:r>
            <w:r>
              <w:rPr>
                <w:rFonts w:ascii="Times New Roman" w:eastAsia="Times New Roman"/>
                <w:sz w:val="24"/>
              </w:rPr>
              <w:t>2022</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112"/>
              <w:rPr>
                <w:sz w:val="24"/>
              </w:rPr>
            </w:pPr>
            <w:r>
              <w:rPr>
                <w:spacing w:val="-4"/>
                <w:sz w:val="24"/>
              </w:rPr>
              <w:t xml:space="preserve">年阜宁县县城空气优良天数比例 </w:t>
            </w:r>
            <w:r>
              <w:rPr>
                <w:rFonts w:ascii="Times New Roman" w:eastAsia="Times New Roman"/>
                <w:spacing w:val="-3"/>
                <w:sz w:val="24"/>
              </w:rPr>
              <w:t>86.6%</w:t>
            </w:r>
            <w:r>
              <w:rPr>
                <w:spacing w:val="-11"/>
                <w:sz w:val="24"/>
              </w:rPr>
              <w:t xml:space="preserve">，较上年上升 </w:t>
            </w:r>
            <w:r>
              <w:rPr>
                <w:rFonts w:ascii="Times New Roman" w:eastAsia="Times New Roman"/>
                <w:sz w:val="24"/>
              </w:rPr>
              <w:t xml:space="preserve">1.1 </w:t>
            </w:r>
            <w:r>
              <w:rPr>
                <w:spacing w:val="-2"/>
                <w:sz w:val="24"/>
              </w:rPr>
              <w:t>个百分点。空气质量</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112"/>
              <w:rPr>
                <w:sz w:val="24"/>
              </w:rPr>
            </w:pPr>
            <w:r>
              <w:rPr>
                <w:spacing w:val="-20"/>
                <w:sz w:val="24"/>
              </w:rPr>
              <w:t xml:space="preserve">达优 </w:t>
            </w:r>
            <w:r>
              <w:rPr>
                <w:rFonts w:ascii="Times New Roman" w:eastAsia="Times New Roman"/>
                <w:sz w:val="24"/>
              </w:rPr>
              <w:t xml:space="preserve">94 </w:t>
            </w:r>
            <w:r>
              <w:rPr>
                <w:spacing w:val="-15"/>
                <w:sz w:val="24"/>
              </w:rPr>
              <w:t xml:space="preserve">天，良 </w:t>
            </w:r>
            <w:r>
              <w:rPr>
                <w:rFonts w:ascii="Times New Roman" w:eastAsia="Times New Roman"/>
                <w:sz w:val="24"/>
              </w:rPr>
              <w:t xml:space="preserve">222 </w:t>
            </w:r>
            <w:r>
              <w:rPr>
                <w:spacing w:val="-11"/>
                <w:sz w:val="24"/>
              </w:rPr>
              <w:t xml:space="preserve">天，轻度污染 </w:t>
            </w:r>
            <w:r>
              <w:rPr>
                <w:rFonts w:ascii="Times New Roman" w:eastAsia="Times New Roman"/>
                <w:sz w:val="24"/>
              </w:rPr>
              <w:t xml:space="preserve">38 </w:t>
            </w:r>
            <w:r>
              <w:rPr>
                <w:spacing w:val="-9"/>
                <w:sz w:val="24"/>
              </w:rPr>
              <w:t xml:space="preserve">天，中度污染 </w:t>
            </w:r>
            <w:r>
              <w:rPr>
                <w:rFonts w:ascii="Times New Roman" w:eastAsia="Times New Roman"/>
                <w:sz w:val="24"/>
              </w:rPr>
              <w:t xml:space="preserve">10 </w:t>
            </w:r>
            <w:r>
              <w:rPr>
                <w:spacing w:val="-9"/>
                <w:sz w:val="24"/>
              </w:rPr>
              <w:t xml:space="preserve">天，重度污染 </w:t>
            </w:r>
            <w:r>
              <w:rPr>
                <w:rFonts w:ascii="Times New Roman" w:eastAsia="Times New Roman"/>
                <w:sz w:val="24"/>
              </w:rPr>
              <w:t xml:space="preserve">1 </w:t>
            </w:r>
            <w:r>
              <w:rPr>
                <w:sz w:val="24"/>
              </w:rPr>
              <w:t>天。首</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1"/>
              <w:ind w:left="112"/>
              <w:rPr>
                <w:sz w:val="24"/>
              </w:rPr>
            </w:pPr>
            <w:r>
              <w:rPr>
                <w:position w:val="2"/>
                <w:sz w:val="24"/>
              </w:rPr>
              <w:t xml:space="preserve">要污染物为 </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 xml:space="preserve">、臭氧和 </w:t>
            </w:r>
            <w:r>
              <w:rPr>
                <w:rFonts w:ascii="Times New Roman" w:eastAsia="Times New Roman"/>
                <w:position w:val="2"/>
                <w:sz w:val="24"/>
                <w:vertAlign w:val="baseline"/>
              </w:rPr>
              <w:t>PM</w:t>
            </w:r>
            <w:r>
              <w:rPr>
                <w:rFonts w:ascii="Times New Roman" w:eastAsia="Times New Roman"/>
                <w:position w:val="2"/>
                <w:sz w:val="24"/>
                <w:vertAlign w:val="subscript"/>
              </w:rPr>
              <w:t>10</w:t>
            </w:r>
            <w:r>
              <w:rPr>
                <w:position w:val="2"/>
                <w:sz w:val="24"/>
                <w:vertAlign w:val="baseline"/>
              </w:rPr>
              <w:t>。</w:t>
            </w:r>
          </w:p>
        </w:tc>
      </w:tr>
      <w:tr>
        <w:tblPrEx>
          <w:tblW w:w="0" w:type="auto"/>
          <w:jc w:val="left"/>
          <w:tblInd w:w="204" w:type="dxa"/>
          <w:tblLayout w:type="fixed"/>
          <w:tblCellMar>
            <w:top w:w="0" w:type="dxa"/>
            <w:left w:w="0" w:type="dxa"/>
            <w:bottom w:w="0" w:type="dxa"/>
            <w:right w:w="0" w:type="dxa"/>
          </w:tblCellMar>
          <w:tblLook w:val="01E0"/>
        </w:tblPrEx>
        <w:trPr>
          <w:trHeight w:val="467"/>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3"/>
              <w:ind w:left="592" w:right="-44"/>
              <w:rPr>
                <w:sz w:val="24"/>
              </w:rPr>
            </w:pPr>
            <w:r>
              <w:rPr>
                <w:spacing w:val="-2"/>
                <w:position w:val="2"/>
                <w:sz w:val="24"/>
              </w:rPr>
              <w:t>环境空气中二氧化硫</w:t>
            </w:r>
            <w:r>
              <w:rPr>
                <w:spacing w:val="-4"/>
                <w:position w:val="2"/>
                <w:sz w:val="24"/>
              </w:rPr>
              <w:t>（</w:t>
            </w:r>
            <w:r>
              <w:rPr>
                <w:rFonts w:ascii="Times New Roman" w:eastAsia="Times New Roman"/>
                <w:spacing w:val="-4"/>
                <w:position w:val="2"/>
                <w:sz w:val="24"/>
              </w:rPr>
              <w:t>SO</w:t>
            </w:r>
            <w:r>
              <w:rPr>
                <w:rFonts w:ascii="Times New Roman" w:eastAsia="Times New Roman"/>
                <w:spacing w:val="-4"/>
                <w:position w:val="2"/>
                <w:sz w:val="24"/>
                <w:vertAlign w:val="subscript"/>
              </w:rPr>
              <w:t>2</w:t>
            </w:r>
            <w:r>
              <w:rPr>
                <w:spacing w:val="-4"/>
                <w:position w:val="2"/>
                <w:sz w:val="24"/>
                <w:vertAlign w:val="baseline"/>
              </w:rPr>
              <w:t>）</w:t>
            </w:r>
            <w:r>
              <w:rPr>
                <w:spacing w:val="-8"/>
                <w:position w:val="2"/>
                <w:sz w:val="24"/>
                <w:vertAlign w:val="baseline"/>
              </w:rPr>
              <w:t>、二氧化氮</w:t>
            </w:r>
            <w:r>
              <w:rPr>
                <w:spacing w:val="-4"/>
                <w:position w:val="2"/>
                <w:sz w:val="24"/>
                <w:vertAlign w:val="baseline"/>
              </w:rPr>
              <w:t>（</w:t>
            </w:r>
            <w:r>
              <w:rPr>
                <w:rFonts w:ascii="Times New Roman" w:eastAsia="Times New Roman"/>
                <w:spacing w:val="-4"/>
                <w:position w:val="2"/>
                <w:sz w:val="24"/>
                <w:vertAlign w:val="baseline"/>
              </w:rPr>
              <w:t>NO</w:t>
            </w:r>
            <w:r>
              <w:rPr>
                <w:rFonts w:ascii="Times New Roman" w:eastAsia="Times New Roman"/>
                <w:spacing w:val="-4"/>
                <w:position w:val="2"/>
                <w:sz w:val="24"/>
                <w:vertAlign w:val="subscript"/>
              </w:rPr>
              <w:t>2</w:t>
            </w:r>
            <w:r>
              <w:rPr>
                <w:spacing w:val="-4"/>
                <w:position w:val="2"/>
                <w:sz w:val="24"/>
                <w:vertAlign w:val="baseline"/>
              </w:rPr>
              <w:t>）</w:t>
            </w:r>
            <w:r>
              <w:rPr>
                <w:spacing w:val="-6"/>
                <w:position w:val="2"/>
                <w:sz w:val="24"/>
                <w:vertAlign w:val="baseline"/>
              </w:rPr>
              <w:t>、可吸入颗粒物</w:t>
            </w:r>
            <w:r>
              <w:rPr>
                <w:spacing w:val="-3"/>
                <w:position w:val="2"/>
                <w:sz w:val="24"/>
                <w:vertAlign w:val="baseline"/>
              </w:rPr>
              <w:t>（</w:t>
            </w:r>
            <w:r>
              <w:rPr>
                <w:rFonts w:ascii="Times New Roman" w:eastAsia="Times New Roman"/>
                <w:spacing w:val="-3"/>
                <w:position w:val="2"/>
                <w:sz w:val="24"/>
                <w:vertAlign w:val="baseline"/>
              </w:rPr>
              <w:t>PM</w:t>
            </w:r>
            <w:r>
              <w:rPr>
                <w:rFonts w:ascii="Times New Roman" w:eastAsia="Times New Roman"/>
                <w:spacing w:val="-3"/>
                <w:position w:val="2"/>
                <w:sz w:val="24"/>
                <w:vertAlign w:val="subscript"/>
              </w:rPr>
              <w:t>10</w:t>
            </w:r>
            <w:r>
              <w:rPr>
                <w:spacing w:val="-3"/>
                <w:position w:val="2"/>
                <w:sz w:val="24"/>
                <w:vertAlign w:val="baseline"/>
              </w:rPr>
              <w:t>）</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1"/>
              <w:ind w:left="112"/>
              <w:rPr>
                <w:sz w:val="24"/>
              </w:rPr>
            </w:pPr>
            <w:r>
              <w:rPr>
                <w:position w:val="2"/>
                <w:sz w:val="24"/>
              </w:rPr>
              <w:t>和细颗粒物（</w:t>
            </w:r>
            <w:r>
              <w:rPr>
                <w:rFonts w:ascii="Times New Roman" w:eastAsia="Times New Roman"/>
                <w:position w:val="2"/>
                <w:sz w:val="24"/>
              </w:rPr>
              <w:t>PM</w:t>
            </w:r>
            <w:r>
              <w:rPr>
                <w:rFonts w:ascii="Times New Roman" w:eastAsia="Times New Roman"/>
                <w:position w:val="2"/>
                <w:sz w:val="24"/>
                <w:vertAlign w:val="subscript"/>
              </w:rPr>
              <w:t>2.5</w:t>
            </w:r>
            <w:r>
              <w:rPr>
                <w:position w:val="2"/>
                <w:sz w:val="24"/>
                <w:vertAlign w:val="baseline"/>
              </w:rPr>
              <w:t xml:space="preserve">）年均浓度分别为 </w:t>
            </w:r>
            <w:r>
              <w:rPr>
                <w:rFonts w:ascii="Times New Roman" w:eastAsia="Times New Roman"/>
                <w:position w:val="2"/>
                <w:sz w:val="24"/>
                <w:vertAlign w:val="baseline"/>
              </w:rPr>
              <w:t xml:space="preserve">8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20 </w:t>
            </w:r>
            <w:r>
              <w:rPr>
                <w:position w:val="2"/>
                <w:sz w:val="24"/>
                <w:vertAlign w:val="baseline"/>
              </w:rPr>
              <w:t>微克</w:t>
            </w:r>
            <w:r>
              <w:rPr>
                <w:rFonts w:ascii="Times New Roman" w:eastAsia="Times New Roman"/>
                <w:position w:val="2"/>
                <w:sz w:val="24"/>
                <w:vertAlign w:val="baseline"/>
              </w:rPr>
              <w:t>/</w:t>
            </w:r>
            <w:r>
              <w:rPr>
                <w:position w:val="2"/>
                <w:sz w:val="24"/>
                <w:vertAlign w:val="baseline"/>
              </w:rPr>
              <w:t>立方米、</w:t>
            </w:r>
            <w:r>
              <w:rPr>
                <w:rFonts w:ascii="Times New Roman" w:eastAsia="Times New Roman"/>
                <w:position w:val="2"/>
                <w:sz w:val="24"/>
                <w:vertAlign w:val="baseline"/>
              </w:rPr>
              <w:t xml:space="preserve">55 </w:t>
            </w:r>
            <w:r>
              <w:rPr>
                <w:position w:val="2"/>
                <w:sz w:val="24"/>
                <w:vertAlign w:val="baseline"/>
              </w:rPr>
              <w:t>微</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112"/>
              <w:rPr>
                <w:sz w:val="24"/>
              </w:rPr>
            </w:pPr>
            <w:r>
              <w:rPr>
                <w:sz w:val="24"/>
              </w:rPr>
              <w:t>克</w:t>
            </w:r>
            <w:r>
              <w:rPr>
                <w:rFonts w:ascii="Times New Roman" w:eastAsia="Times New Roman"/>
                <w:sz w:val="24"/>
              </w:rPr>
              <w:t>/</w:t>
            </w:r>
            <w:r>
              <w:rPr>
                <w:spacing w:val="-10"/>
                <w:sz w:val="24"/>
              </w:rPr>
              <w:t xml:space="preserve">立方米和 </w:t>
            </w:r>
            <w:r>
              <w:rPr>
                <w:rFonts w:ascii="Times New Roman" w:eastAsia="Times New Roman"/>
                <w:sz w:val="24"/>
              </w:rPr>
              <w:t xml:space="preserve">31 </w:t>
            </w:r>
            <w:r>
              <w:rPr>
                <w:sz w:val="24"/>
              </w:rPr>
              <w:t>微克</w:t>
            </w:r>
            <w:r>
              <w:rPr>
                <w:rFonts w:ascii="Times New Roman" w:eastAsia="Times New Roman"/>
                <w:sz w:val="24"/>
              </w:rPr>
              <w:t>/</w:t>
            </w:r>
            <w:r>
              <w:rPr>
                <w:sz w:val="24"/>
              </w:rPr>
              <w:t>立方米，一氧化碳（</w:t>
            </w:r>
            <w:r>
              <w:rPr>
                <w:spacing w:val="-17"/>
                <w:sz w:val="24"/>
              </w:rPr>
              <w:t xml:space="preserve">日均 </w:t>
            </w:r>
            <w:r>
              <w:rPr>
                <w:rFonts w:ascii="Times New Roman" w:eastAsia="Times New Roman"/>
                <w:sz w:val="24"/>
              </w:rPr>
              <w:t>95%</w:t>
            </w:r>
            <w:r>
              <w:rPr>
                <w:sz w:val="24"/>
              </w:rPr>
              <w:t>位数）</w:t>
            </w:r>
            <w:r>
              <w:rPr>
                <w:spacing w:val="-17"/>
                <w:sz w:val="24"/>
              </w:rPr>
              <w:t xml:space="preserve">浓度 </w:t>
            </w:r>
            <w:r>
              <w:rPr>
                <w:rFonts w:ascii="Times New Roman" w:eastAsia="Times New Roman"/>
                <w:sz w:val="24"/>
              </w:rPr>
              <w:t xml:space="preserve">0.8 </w:t>
            </w:r>
            <w:r>
              <w:rPr>
                <w:sz w:val="24"/>
              </w:rPr>
              <w:t>毫克</w:t>
            </w:r>
            <w:r>
              <w:rPr>
                <w:rFonts w:ascii="Times New Roman" w:eastAsia="Times New Roman"/>
                <w:sz w:val="24"/>
              </w:rPr>
              <w:t>/</w:t>
            </w:r>
            <w:r>
              <w:rPr>
                <w:sz w:val="24"/>
              </w:rPr>
              <w:t>立方</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112"/>
              <w:rPr>
                <w:sz w:val="24"/>
              </w:rPr>
            </w:pPr>
            <w:r>
              <w:rPr>
                <w:sz w:val="24"/>
              </w:rPr>
              <w:t>米、臭氧（</w:t>
            </w:r>
            <w:r>
              <w:rPr>
                <w:spacing w:val="-15"/>
                <w:sz w:val="24"/>
              </w:rPr>
              <w:t xml:space="preserve">日最大 </w:t>
            </w:r>
            <w:r>
              <w:rPr>
                <w:rFonts w:ascii="Times New Roman" w:eastAsia="Times New Roman"/>
                <w:sz w:val="24"/>
              </w:rPr>
              <w:t xml:space="preserve">8 </w:t>
            </w:r>
            <w:r>
              <w:rPr>
                <w:spacing w:val="-8"/>
                <w:sz w:val="24"/>
              </w:rPr>
              <w:t xml:space="preserve">小时滑动平均 </w:t>
            </w:r>
            <w:r>
              <w:rPr>
                <w:rFonts w:ascii="Times New Roman" w:eastAsia="Times New Roman"/>
                <w:sz w:val="24"/>
              </w:rPr>
              <w:t>90%</w:t>
            </w:r>
            <w:r>
              <w:rPr>
                <w:sz w:val="24"/>
              </w:rPr>
              <w:t>位数）</w:t>
            </w:r>
            <w:r>
              <w:rPr>
                <w:spacing w:val="-19"/>
                <w:sz w:val="24"/>
              </w:rPr>
              <w:t xml:space="preserve">浓度 </w:t>
            </w:r>
            <w:r>
              <w:rPr>
                <w:rFonts w:ascii="Times New Roman" w:eastAsia="Times New Roman"/>
                <w:sz w:val="24"/>
              </w:rPr>
              <w:t xml:space="preserve">158 </w:t>
            </w:r>
            <w:r>
              <w:rPr>
                <w:sz w:val="24"/>
              </w:rPr>
              <w:t>微克</w:t>
            </w:r>
            <w:r>
              <w:rPr>
                <w:rFonts w:ascii="Times New Roman" w:eastAsia="Times New Roman"/>
                <w:sz w:val="24"/>
              </w:rPr>
              <w:t>/</w:t>
            </w:r>
            <w:r>
              <w:rPr>
                <w:sz w:val="24"/>
              </w:rPr>
              <w:t>立方米，浓度均</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112"/>
              <w:rPr>
                <w:sz w:val="24"/>
              </w:rPr>
            </w:pPr>
            <w:r>
              <w:rPr>
                <w:sz w:val="24"/>
              </w:rPr>
              <w:t>优于《环境空气质量标准》（</w:t>
            </w:r>
            <w:r>
              <w:rPr>
                <w:rFonts w:ascii="Times New Roman" w:eastAsia="Times New Roman"/>
                <w:sz w:val="24"/>
              </w:rPr>
              <w:t>GB3095-2012</w:t>
            </w:r>
            <w:r>
              <w:rPr>
                <w:sz w:val="24"/>
              </w:rPr>
              <w:t>）二级标准。</w:t>
            </w:r>
          </w:p>
        </w:tc>
      </w:tr>
      <w:tr>
        <w:tblPrEx>
          <w:tblW w:w="0" w:type="auto"/>
          <w:jc w:val="left"/>
          <w:tblInd w:w="204" w:type="dxa"/>
          <w:tblLayout w:type="fixed"/>
          <w:tblCellMar>
            <w:top w:w="0" w:type="dxa"/>
            <w:left w:w="0" w:type="dxa"/>
            <w:bottom w:w="0" w:type="dxa"/>
            <w:right w:w="0" w:type="dxa"/>
          </w:tblCellMar>
          <w:tblLook w:val="01E0"/>
        </w:tblPrEx>
        <w:trPr>
          <w:trHeight w:val="1401"/>
          <w:jc w:val="left"/>
        </w:trPr>
        <w:tc>
          <w:tcPr>
            <w:tcW w:w="904" w:type="dxa"/>
            <w:tcBorders>
              <w:top w:val="nil"/>
              <w:bottom w:val="nil"/>
              <w:right w:val="single" w:sz="4" w:space="0" w:color="000000"/>
            </w:tcBorders>
          </w:tcPr>
          <w:p>
            <w:pPr>
              <w:pStyle w:val="TableParagraph"/>
              <w:rPr>
                <w:rFonts w:ascii="黑体"/>
                <w:sz w:val="24"/>
              </w:rPr>
            </w:pPr>
          </w:p>
          <w:p>
            <w:pPr>
              <w:pStyle w:val="TableParagraph"/>
              <w:spacing w:line="242" w:lineRule="auto"/>
              <w:ind w:left="211" w:right="196"/>
              <w:jc w:val="both"/>
              <w:rPr>
                <w:sz w:val="24"/>
              </w:rPr>
            </w:pPr>
            <w:r>
              <w:rPr>
                <w:sz w:val="24"/>
              </w:rPr>
              <w:t>生态环境现状</w:t>
            </w:r>
          </w:p>
        </w:tc>
        <w:tc>
          <w:tcPr>
            <w:tcW w:w="8253" w:type="dxa"/>
            <w:tcBorders>
              <w:top w:val="nil"/>
              <w:left w:val="single" w:sz="4" w:space="0" w:color="000000"/>
              <w:bottom w:val="nil"/>
            </w:tcBorders>
          </w:tcPr>
          <w:p>
            <w:pPr>
              <w:pStyle w:val="TableParagraph"/>
              <w:spacing w:before="71" w:line="364" w:lineRule="auto"/>
              <w:ind w:left="112" w:right="-44" w:firstLine="480"/>
              <w:rPr>
                <w:sz w:val="24"/>
              </w:rPr>
            </w:pPr>
            <w:r>
              <w:rPr>
                <w:spacing w:val="-26"/>
                <w:position w:val="2"/>
                <w:sz w:val="24"/>
              </w:rPr>
              <w:t>与上年相比，二氧化硫、二氧化氮、</w:t>
            </w:r>
            <w:r>
              <w:rPr>
                <w:rFonts w:ascii="Times New Roman" w:eastAsia="Times New Roman"/>
                <w:position w:val="2"/>
                <w:sz w:val="24"/>
              </w:rPr>
              <w:t>PM</w:t>
            </w:r>
            <w:r>
              <w:rPr>
                <w:rFonts w:ascii="Times New Roman" w:eastAsia="Times New Roman"/>
                <w:position w:val="2"/>
                <w:sz w:val="24"/>
                <w:vertAlign w:val="subscript"/>
              </w:rPr>
              <w:t>2.5</w:t>
            </w:r>
            <w:r>
              <w:rPr>
                <w:rFonts w:ascii="Times New Roman" w:eastAsia="Times New Roman"/>
                <w:spacing w:val="-33"/>
                <w:position w:val="2"/>
                <w:sz w:val="24"/>
                <w:vertAlign w:val="baseline"/>
              </w:rPr>
              <w:t xml:space="preserve"> </w:t>
            </w:r>
            <w:r>
              <w:rPr>
                <w:spacing w:val="43"/>
                <w:position w:val="2"/>
                <w:sz w:val="24"/>
                <w:vertAlign w:val="baseline"/>
              </w:rPr>
              <w:t>和</w:t>
            </w:r>
            <w:r>
              <w:rPr>
                <w:rFonts w:ascii="Times New Roman" w:eastAsia="Times New Roman"/>
                <w:position w:val="2"/>
                <w:sz w:val="24"/>
                <w:vertAlign w:val="baseline"/>
              </w:rPr>
              <w:t>PM</w:t>
            </w:r>
            <w:r>
              <w:rPr>
                <w:rFonts w:ascii="Times New Roman" w:eastAsia="Times New Roman"/>
                <w:position w:val="2"/>
                <w:sz w:val="24"/>
                <w:vertAlign w:val="subscript"/>
              </w:rPr>
              <w:t>10</w:t>
            </w:r>
            <w:r>
              <w:rPr>
                <w:rFonts w:ascii="Times New Roman" w:eastAsia="Times New Roman"/>
                <w:spacing w:val="-33"/>
                <w:position w:val="2"/>
                <w:sz w:val="24"/>
                <w:vertAlign w:val="baseline"/>
              </w:rPr>
              <w:t xml:space="preserve"> </w:t>
            </w:r>
            <w:r>
              <w:rPr>
                <w:spacing w:val="-9"/>
                <w:position w:val="2"/>
                <w:sz w:val="24"/>
                <w:vertAlign w:val="baseline"/>
              </w:rPr>
              <w:t xml:space="preserve">年均浓度分别下降 </w:t>
            </w:r>
            <w:r>
              <w:rPr>
                <w:rFonts w:ascii="Times New Roman" w:eastAsia="Times New Roman"/>
                <w:position w:val="2"/>
                <w:sz w:val="24"/>
                <w:vertAlign w:val="baseline"/>
              </w:rPr>
              <w:t>11.1%</w:t>
            </w:r>
            <w:r>
              <w:rPr>
                <w:spacing w:val="-15"/>
                <w:position w:val="2"/>
                <w:sz w:val="24"/>
                <w:vertAlign w:val="baseline"/>
              </w:rPr>
              <w:t>、</w:t>
            </w:r>
            <w:r>
              <w:rPr>
                <w:rFonts w:ascii="Times New Roman" w:eastAsia="Times New Roman"/>
                <w:sz w:val="24"/>
                <w:vertAlign w:val="baseline"/>
              </w:rPr>
              <w:t>9.1%</w:t>
            </w:r>
            <w:r>
              <w:rPr>
                <w:sz w:val="24"/>
                <w:vertAlign w:val="baseline"/>
              </w:rPr>
              <w:t>、</w:t>
            </w:r>
            <w:r>
              <w:rPr>
                <w:rFonts w:ascii="Times New Roman" w:eastAsia="Times New Roman"/>
                <w:sz w:val="24"/>
                <w:vertAlign w:val="baseline"/>
              </w:rPr>
              <w:t>3.1%</w:t>
            </w:r>
            <w:r>
              <w:rPr>
                <w:sz w:val="24"/>
                <w:vertAlign w:val="baseline"/>
              </w:rPr>
              <w:t>、</w:t>
            </w:r>
            <w:r>
              <w:rPr>
                <w:rFonts w:ascii="Times New Roman" w:eastAsia="Times New Roman"/>
                <w:sz w:val="24"/>
                <w:vertAlign w:val="baseline"/>
              </w:rPr>
              <w:t>16.7%</w:t>
            </w:r>
            <w:r>
              <w:rPr>
                <w:sz w:val="24"/>
                <w:vertAlign w:val="baseline"/>
              </w:rPr>
              <w:t>，臭氧（</w:t>
            </w:r>
            <w:r>
              <w:rPr>
                <w:spacing w:val="-16"/>
                <w:sz w:val="24"/>
                <w:vertAlign w:val="baseline"/>
              </w:rPr>
              <w:t xml:space="preserve">日最大 </w:t>
            </w:r>
            <w:r>
              <w:rPr>
                <w:rFonts w:ascii="Times New Roman" w:eastAsia="Times New Roman"/>
                <w:sz w:val="24"/>
                <w:vertAlign w:val="baseline"/>
              </w:rPr>
              <w:t>8</w:t>
            </w:r>
            <w:r>
              <w:rPr>
                <w:rFonts w:ascii="Times New Roman" w:eastAsia="Times New Roman"/>
                <w:spacing w:val="-1"/>
                <w:sz w:val="24"/>
                <w:vertAlign w:val="baseline"/>
              </w:rPr>
              <w:t xml:space="preserve"> </w:t>
            </w:r>
            <w:r>
              <w:rPr>
                <w:spacing w:val="-9"/>
                <w:sz w:val="24"/>
                <w:vertAlign w:val="baseline"/>
              </w:rPr>
              <w:t xml:space="preserve">小时滑动平均 </w:t>
            </w:r>
            <w:r>
              <w:rPr>
                <w:rFonts w:ascii="Times New Roman" w:eastAsia="Times New Roman"/>
                <w:sz w:val="24"/>
                <w:vertAlign w:val="baseline"/>
              </w:rPr>
              <w:t>90%</w:t>
            </w:r>
            <w:r>
              <w:rPr>
                <w:sz w:val="24"/>
                <w:vertAlign w:val="baseline"/>
              </w:rPr>
              <w:t>位数）</w:t>
            </w:r>
            <w:r>
              <w:rPr>
                <w:spacing w:val="-21"/>
                <w:sz w:val="24"/>
                <w:vertAlign w:val="baseline"/>
              </w:rPr>
              <w:t xml:space="preserve">上升 </w:t>
            </w:r>
            <w:r>
              <w:rPr>
                <w:rFonts w:ascii="Times New Roman" w:eastAsia="Times New Roman"/>
                <w:sz w:val="24"/>
                <w:vertAlign w:val="baseline"/>
              </w:rPr>
              <w:t>10.0%</w:t>
            </w:r>
            <w:r>
              <w:rPr>
                <w:sz w:val="24"/>
                <w:vertAlign w:val="baseline"/>
              </w:rPr>
              <w:t>，</w:t>
            </w:r>
          </w:p>
          <w:p>
            <w:pPr>
              <w:pStyle w:val="TableParagraph"/>
              <w:spacing w:line="305" w:lineRule="exact"/>
              <w:ind w:left="112"/>
              <w:rPr>
                <w:sz w:val="24"/>
              </w:rPr>
            </w:pPr>
            <w:r>
              <w:rPr>
                <w:sz w:val="24"/>
              </w:rPr>
              <w:t xml:space="preserve">一氧化碳（日均 </w:t>
            </w:r>
            <w:r>
              <w:rPr>
                <w:rFonts w:ascii="Times New Roman" w:eastAsia="Times New Roman"/>
                <w:sz w:val="24"/>
              </w:rPr>
              <w:t>95%</w:t>
            </w:r>
            <w:r>
              <w:rPr>
                <w:sz w:val="24"/>
              </w:rPr>
              <w:t>位数）浓度持平。</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592"/>
              <w:rPr>
                <w:b/>
                <w:sz w:val="24"/>
              </w:rPr>
            </w:pPr>
            <w:r>
              <w:rPr>
                <w:rFonts w:ascii="Times New Roman" w:eastAsia="Times New Roman"/>
                <w:b/>
                <w:sz w:val="24"/>
              </w:rPr>
              <w:t>2</w:t>
            </w:r>
            <w:r>
              <w:rPr>
                <w:b/>
                <w:sz w:val="24"/>
              </w:rPr>
              <w:t>、地表水环境质量现状</w:t>
            </w:r>
          </w:p>
        </w:tc>
      </w:tr>
      <w:tr>
        <w:tblPrEx>
          <w:tblW w:w="0" w:type="auto"/>
          <w:jc w:val="left"/>
          <w:tblInd w:w="204" w:type="dxa"/>
          <w:tblLayout w:type="fixed"/>
          <w:tblCellMar>
            <w:top w:w="0" w:type="dxa"/>
            <w:left w:w="0" w:type="dxa"/>
            <w:bottom w:w="0" w:type="dxa"/>
            <w:right w:w="0" w:type="dxa"/>
          </w:tblCellMar>
          <w:tblLook w:val="01E0"/>
        </w:tblPrEx>
        <w:trPr>
          <w:trHeight w:val="465"/>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592"/>
              <w:rPr>
                <w:sz w:val="24"/>
              </w:rPr>
            </w:pPr>
            <w:r>
              <w:rPr>
                <w:rFonts w:ascii="Times New Roman" w:eastAsia="Times New Roman"/>
                <w:sz w:val="24"/>
              </w:rPr>
              <w:t xml:space="preserve">2022 </w:t>
            </w:r>
            <w:r>
              <w:rPr>
                <w:sz w:val="24"/>
              </w:rPr>
              <w:t>年我县县级在用饮用水源水质稳定达标，满足《地表水环境质量标</w:t>
            </w:r>
          </w:p>
        </w:tc>
      </w:tr>
      <w:tr>
        <w:tblPrEx>
          <w:tblW w:w="0" w:type="auto"/>
          <w:jc w:val="left"/>
          <w:tblInd w:w="204" w:type="dxa"/>
          <w:tblLayout w:type="fixed"/>
          <w:tblCellMar>
            <w:top w:w="0" w:type="dxa"/>
            <w:left w:w="0" w:type="dxa"/>
            <w:bottom w:w="0" w:type="dxa"/>
            <w:right w:w="0" w:type="dxa"/>
          </w:tblCellMar>
          <w:tblLook w:val="01E0"/>
        </w:tblPrEx>
        <w:trPr>
          <w:trHeight w:val="470"/>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112"/>
              <w:rPr>
                <w:sz w:val="24"/>
              </w:rPr>
            </w:pPr>
            <w:r>
              <w:rPr>
                <w:sz w:val="24"/>
              </w:rPr>
              <w:t>准》（</w:t>
            </w:r>
            <w:r>
              <w:rPr>
                <w:rFonts w:ascii="Times New Roman" w:eastAsia="Times New Roman" w:hAnsi="Times New Roman"/>
                <w:sz w:val="24"/>
              </w:rPr>
              <w:t>GB3838-2002</w:t>
            </w:r>
            <w:r>
              <w:rPr>
                <w:sz w:val="24"/>
              </w:rPr>
              <w:t>）Ⅲ类标准，通榆河北陈备用水源地于汛期个别月份水质</w:t>
            </w:r>
          </w:p>
        </w:tc>
      </w:tr>
      <w:tr>
        <w:tblPrEx>
          <w:tblW w:w="0" w:type="auto"/>
          <w:jc w:val="left"/>
          <w:tblInd w:w="204" w:type="dxa"/>
          <w:tblLayout w:type="fixed"/>
          <w:tblCellMar>
            <w:top w:w="0" w:type="dxa"/>
            <w:left w:w="0" w:type="dxa"/>
            <w:bottom w:w="0" w:type="dxa"/>
            <w:right w:w="0" w:type="dxa"/>
          </w:tblCellMar>
          <w:tblLook w:val="01E0"/>
        </w:tblPrEx>
        <w:trPr>
          <w:trHeight w:val="455"/>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1"/>
              <w:ind w:left="112"/>
              <w:rPr>
                <w:sz w:val="24"/>
              </w:rPr>
            </w:pPr>
            <w:r>
              <w:rPr>
                <w:sz w:val="24"/>
              </w:rPr>
              <w:t>出现超标。境内地表水水质总体良好，水质总体达到或优于Ⅲ类断面比例达</w:t>
            </w:r>
          </w:p>
        </w:tc>
      </w:tr>
      <w:tr>
        <w:tblPrEx>
          <w:tblW w:w="0" w:type="auto"/>
          <w:jc w:val="left"/>
          <w:tblInd w:w="204" w:type="dxa"/>
          <w:tblLayout w:type="fixed"/>
          <w:tblCellMar>
            <w:top w:w="0" w:type="dxa"/>
            <w:left w:w="0" w:type="dxa"/>
            <w:bottom w:w="0" w:type="dxa"/>
            <w:right w:w="0" w:type="dxa"/>
          </w:tblCellMar>
          <w:tblLook w:val="01E0"/>
        </w:tblPrEx>
        <w:trPr>
          <w:trHeight w:val="475"/>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84"/>
              <w:ind w:left="112"/>
              <w:rPr>
                <w:sz w:val="24"/>
              </w:rPr>
            </w:pPr>
            <w:r>
              <w:rPr>
                <w:rFonts w:ascii="Times New Roman" w:eastAsia="Times New Roman"/>
                <w:sz w:val="24"/>
              </w:rPr>
              <w:t>100%</w:t>
            </w:r>
            <w:r>
              <w:rPr>
                <w:sz w:val="24"/>
              </w:rPr>
              <w:t>。</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532"/>
              <w:rPr>
                <w:sz w:val="24"/>
              </w:rPr>
            </w:pPr>
            <w:r>
              <w:rPr>
                <w:color w:val="999999"/>
                <w:sz w:val="21"/>
              </w:rPr>
              <w:t>（</w:t>
            </w:r>
            <w:r>
              <w:rPr>
                <w:rFonts w:ascii="Times New Roman" w:eastAsia="Times New Roman"/>
                <w:sz w:val="24"/>
              </w:rPr>
              <w:t>1</w:t>
            </w:r>
            <w:r>
              <w:rPr>
                <w:sz w:val="24"/>
              </w:rPr>
              <w:t>）省级以上考核断面</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592"/>
              <w:rPr>
                <w:sz w:val="24"/>
              </w:rPr>
            </w:pPr>
            <w:r>
              <w:rPr>
                <w:rFonts w:ascii="Times New Roman" w:eastAsia="Times New Roman" w:hAnsi="Times New Roman"/>
                <w:sz w:val="24"/>
              </w:rPr>
              <w:t>“</w:t>
            </w:r>
            <w:r>
              <w:rPr>
                <w:sz w:val="24"/>
              </w:rPr>
              <w:t>十四五</w:t>
            </w:r>
            <w:r>
              <w:rPr>
                <w:rFonts w:ascii="Times New Roman" w:eastAsia="Times New Roman" w:hAnsi="Times New Roman"/>
                <w:sz w:val="24"/>
              </w:rPr>
              <w:t>”</w:t>
            </w:r>
            <w:r>
              <w:rPr>
                <w:sz w:val="24"/>
              </w:rPr>
              <w:t xml:space="preserve">期间我县涉国、省考断面 </w:t>
            </w:r>
            <w:r>
              <w:rPr>
                <w:rFonts w:ascii="Times New Roman" w:eastAsia="Times New Roman" w:hAnsi="Times New Roman"/>
                <w:sz w:val="24"/>
              </w:rPr>
              <w:t xml:space="preserve">6 </w:t>
            </w:r>
            <w:r>
              <w:rPr>
                <w:sz w:val="24"/>
              </w:rPr>
              <w:t>个，</w:t>
            </w:r>
            <w:r>
              <w:rPr>
                <w:rFonts w:ascii="Times New Roman" w:eastAsia="Times New Roman" w:hAnsi="Times New Roman"/>
                <w:sz w:val="24"/>
              </w:rPr>
              <w:t xml:space="preserve">2022 </w:t>
            </w:r>
            <w:r>
              <w:rPr>
                <w:sz w:val="24"/>
              </w:rPr>
              <w:t>年达到或好于Ⅲ类水质断</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112"/>
              <w:rPr>
                <w:sz w:val="24"/>
              </w:rPr>
            </w:pPr>
            <w:r>
              <w:rPr>
                <w:sz w:val="24"/>
              </w:rPr>
              <w:t xml:space="preserve">面比例 </w:t>
            </w:r>
            <w:r>
              <w:rPr>
                <w:rFonts w:ascii="Times New Roman" w:eastAsia="Times New Roman"/>
                <w:sz w:val="24"/>
              </w:rPr>
              <w:t>100%</w:t>
            </w:r>
            <w:r>
              <w:rPr>
                <w:sz w:val="24"/>
              </w:rPr>
              <w:t>。</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532"/>
              <w:rPr>
                <w:sz w:val="24"/>
              </w:rPr>
            </w:pPr>
            <w:r>
              <w:rPr>
                <w:color w:val="999999"/>
                <w:sz w:val="21"/>
              </w:rPr>
              <w:t>（</w:t>
            </w:r>
            <w:r>
              <w:rPr>
                <w:rFonts w:ascii="Times New Roman" w:eastAsia="Times New Roman"/>
                <w:sz w:val="24"/>
              </w:rPr>
              <w:t>2</w:t>
            </w:r>
            <w:r>
              <w:rPr>
                <w:sz w:val="24"/>
              </w:rPr>
              <w:t>）市考断面</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6"/>
              <w:ind w:left="592"/>
              <w:rPr>
                <w:sz w:val="24"/>
              </w:rPr>
            </w:pPr>
            <w:r>
              <w:rPr>
                <w:sz w:val="24"/>
              </w:rPr>
              <w:t>我县</w:t>
            </w:r>
            <w:r>
              <w:rPr>
                <w:rFonts w:ascii="Times New Roman" w:eastAsia="Times New Roman" w:hAnsi="Times New Roman"/>
                <w:sz w:val="24"/>
              </w:rPr>
              <w:t>“</w:t>
            </w:r>
            <w:r>
              <w:rPr>
                <w:sz w:val="24"/>
              </w:rPr>
              <w:t>十四五</w:t>
            </w:r>
            <w:r>
              <w:rPr>
                <w:rFonts w:ascii="Times New Roman" w:eastAsia="Times New Roman" w:hAnsi="Times New Roman"/>
                <w:sz w:val="24"/>
              </w:rPr>
              <w:t>”</w:t>
            </w:r>
            <w:r>
              <w:rPr>
                <w:spacing w:val="-11"/>
                <w:sz w:val="24"/>
              </w:rPr>
              <w:t xml:space="preserve">涉市考断面 </w:t>
            </w:r>
            <w:r>
              <w:rPr>
                <w:rFonts w:ascii="Times New Roman" w:eastAsia="Times New Roman" w:hAnsi="Times New Roman"/>
                <w:sz w:val="24"/>
              </w:rPr>
              <w:t xml:space="preserve">9 </w:t>
            </w:r>
            <w:r>
              <w:rPr>
                <w:spacing w:val="-9"/>
                <w:sz w:val="24"/>
              </w:rPr>
              <w:t xml:space="preserve">个，优Ⅲ比例 </w:t>
            </w:r>
            <w:r>
              <w:rPr>
                <w:rFonts w:ascii="Times New Roman" w:eastAsia="Times New Roman" w:hAnsi="Times New Roman"/>
                <w:sz w:val="24"/>
              </w:rPr>
              <w:t>100%</w:t>
            </w:r>
            <w:r>
              <w:rPr>
                <w:sz w:val="24"/>
              </w:rPr>
              <w:t>，无Ⅴ类和劣Ⅴ类断面。</w:t>
            </w:r>
          </w:p>
        </w:tc>
      </w:tr>
      <w:tr>
        <w:tblPrEx>
          <w:tblW w:w="0" w:type="auto"/>
          <w:jc w:val="left"/>
          <w:tblInd w:w="204" w:type="dxa"/>
          <w:tblLayout w:type="fixed"/>
          <w:tblCellMar>
            <w:top w:w="0" w:type="dxa"/>
            <w:left w:w="0" w:type="dxa"/>
            <w:bottom w:w="0" w:type="dxa"/>
            <w:right w:w="0" w:type="dxa"/>
          </w:tblCellMar>
          <w:tblLook w:val="01E0"/>
        </w:tblPrEx>
        <w:trPr>
          <w:trHeight w:val="466"/>
          <w:jc w:val="left"/>
        </w:trPr>
        <w:tc>
          <w:tcPr>
            <w:tcW w:w="904" w:type="dxa"/>
            <w:tcBorders>
              <w:top w:val="nil"/>
              <w:bottom w:val="nil"/>
              <w:right w:val="single" w:sz="4" w:space="0" w:color="000000"/>
            </w:tcBorders>
          </w:tcPr>
          <w:p>
            <w:pPr>
              <w:pStyle w:val="TableParagraph"/>
              <w:rPr>
                <w:rFonts w:ascii="Times New Roman"/>
                <w:sz w:val="22"/>
              </w:rPr>
            </w:pPr>
          </w:p>
        </w:tc>
        <w:tc>
          <w:tcPr>
            <w:tcW w:w="8253" w:type="dxa"/>
            <w:tcBorders>
              <w:top w:val="nil"/>
              <w:left w:val="single" w:sz="4" w:space="0" w:color="000000"/>
              <w:bottom w:val="nil"/>
            </w:tcBorders>
          </w:tcPr>
          <w:p>
            <w:pPr>
              <w:pStyle w:val="TableParagraph"/>
              <w:spacing w:before="75"/>
              <w:ind w:left="532"/>
              <w:rPr>
                <w:sz w:val="24"/>
              </w:rPr>
            </w:pPr>
            <w:r>
              <w:rPr>
                <w:color w:val="999999"/>
                <w:sz w:val="21"/>
              </w:rPr>
              <w:t>（</w:t>
            </w:r>
            <w:r>
              <w:rPr>
                <w:rFonts w:ascii="Times New Roman" w:eastAsia="Times New Roman"/>
                <w:sz w:val="24"/>
              </w:rPr>
              <w:t>3</w:t>
            </w:r>
            <w:r>
              <w:rPr>
                <w:sz w:val="24"/>
              </w:rPr>
              <w:t>）县级饮用水源地</w:t>
            </w:r>
          </w:p>
        </w:tc>
      </w:tr>
      <w:tr>
        <w:tblPrEx>
          <w:tblW w:w="0" w:type="auto"/>
          <w:jc w:val="left"/>
          <w:tblInd w:w="204" w:type="dxa"/>
          <w:tblLayout w:type="fixed"/>
          <w:tblCellMar>
            <w:top w:w="0" w:type="dxa"/>
            <w:left w:w="0" w:type="dxa"/>
            <w:bottom w:w="0" w:type="dxa"/>
            <w:right w:w="0" w:type="dxa"/>
          </w:tblCellMar>
          <w:tblLook w:val="01E0"/>
        </w:tblPrEx>
        <w:trPr>
          <w:trHeight w:val="538"/>
          <w:jc w:val="left"/>
        </w:trPr>
        <w:tc>
          <w:tcPr>
            <w:tcW w:w="904" w:type="dxa"/>
            <w:tcBorders>
              <w:top w:val="nil"/>
              <w:right w:val="single" w:sz="4" w:space="0" w:color="000000"/>
            </w:tcBorders>
          </w:tcPr>
          <w:p>
            <w:pPr>
              <w:pStyle w:val="TableParagraph"/>
              <w:rPr>
                <w:rFonts w:ascii="Times New Roman"/>
                <w:sz w:val="22"/>
              </w:rPr>
            </w:pPr>
          </w:p>
        </w:tc>
        <w:tc>
          <w:tcPr>
            <w:tcW w:w="8253" w:type="dxa"/>
            <w:tcBorders>
              <w:top w:val="nil"/>
              <w:left w:val="single" w:sz="4" w:space="0" w:color="000000"/>
            </w:tcBorders>
          </w:tcPr>
          <w:p>
            <w:pPr>
              <w:pStyle w:val="TableParagraph"/>
              <w:spacing w:before="76"/>
              <w:ind w:left="592"/>
              <w:rPr>
                <w:sz w:val="24"/>
              </w:rPr>
            </w:pPr>
            <w:r>
              <w:rPr>
                <w:rFonts w:ascii="Times New Roman" w:eastAsia="Times New Roman"/>
                <w:sz w:val="24"/>
              </w:rPr>
              <w:t xml:space="preserve">2022 </w:t>
            </w:r>
            <w:r>
              <w:rPr>
                <w:sz w:val="24"/>
              </w:rPr>
              <w:t>年我县县级在用水源地苏北灌溉总渠板湖水源地和陈集水源地取水</w:t>
            </w:r>
          </w:p>
        </w:tc>
      </w:tr>
    </w:tbl>
    <w:p>
      <w:pPr>
        <w:spacing w:after="0"/>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8" w:history="1">
        <w:r>
          <w:rPr>
            <w:rFonts w:ascii="SimSun" w:eastAsia="SimSun" w:hAnsi="SimSun" w:cs="SimSun"/>
            <w:b/>
            <w:bCs/>
            <w:color w:val="0000EE"/>
            <w:sz w:val="30"/>
            <w:szCs w:val="30"/>
            <w:u w:val="single" w:color="0000EE"/>
          </w:rPr>
          <w:t>https://d.book118.com/565224303040011124</w:t>
        </w:r>
      </w:hyperlink>
    </w:p>
    <w:p>
      <w:pPr>
        <w:spacing w:after="0"/>
        <w:rPr>
          <w:sz w:val="24"/>
        </w:rPr>
      </w:pPr>
    </w:p>
    <w:sectPr>
      <w:footerReference w:type="default" r:id="rId49"/>
      <w:pgSz w:w="11910" w:h="16840"/>
      <w:pgMar w:top="1580" w:right="1100" w:bottom="1260" w:left="1180" w:header="0" w:footer="997"/>
      <w:pgNumType w:start="2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楷体">
    <w:altName w:val="楷体"/>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Segoe UI Symbol">
    <w:altName w:val="Segoe UI Symbol"/>
    <w:charset w:val="00"/>
    <w:family w:val="swiss"/>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MS UI Gothic">
    <w:altName w:val="MS UI Gothic"/>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49" type="#_x0000_t202" style="width:8.5pt;height:12pt;margin-top:765.63pt;margin-left:293.44pt;mso-position-horizontal-relative:page;mso-position-vertical-relative:page;position:absolute;z-index:-25165824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8" type="#_x0000_t202" style="width:8.5pt;height:12pt;margin-top:765.63pt;margin-left:293.44pt;mso-position-horizontal-relative:page;mso-position-vertical-relative:page;position:absolute;z-index:-25164902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9" type="#_x0000_t202" style="width:8.5pt;height:12pt;margin-top:765.63pt;margin-left:293.44pt;mso-position-horizontal-relative:page;mso-position-vertical-relative:page;position:absolute;z-index:-25164800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0" type="#_x0000_t202" style="width:8.5pt;height:12pt;margin-top:765.63pt;margin-left:293.44pt;mso-position-horizontal-relative:page;mso-position-vertical-relative:page;position:absolute;z-index:-25164697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1" type="#_x0000_t202" style="width:8.5pt;height:12pt;margin-top:765.63pt;margin-left:293.44pt;mso-position-horizontal-relative:page;mso-position-vertical-relative:page;position:absolute;z-index:-25164595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2" type="#_x0000_t202" style="width:8.5pt;height:12pt;margin-top:765.63pt;margin-left:293.44pt;mso-position-horizontal-relative:page;mso-position-vertical-relative:page;position:absolute;z-index:-25164492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3" type="#_x0000_t202" style="width:8.5pt;height:12pt;margin-top:765.63pt;margin-left:293.44pt;mso-position-horizontal-relative:page;mso-position-vertical-relative:page;position:absolute;z-index:-25164390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4" type="#_x0000_t202" style="width:8.5pt;height:12pt;margin-top:765.63pt;margin-left:293.44pt;mso-position-horizontal-relative:page;mso-position-vertical-relative:page;position:absolute;z-index:-25164288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5" type="#_x0000_t202" style="width:8.5pt;height:12pt;margin-top:765.63pt;margin-left:293.44pt;mso-position-horizontal-relative:page;mso-position-vertical-relative:page;position:absolute;z-index:-25164185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6" type="#_x0000_t202" style="width:8.5pt;height:12pt;margin-top:765.63pt;margin-left:293.44pt;mso-position-horizontal-relative:page;mso-position-vertical-relative:page;position:absolute;z-index:-25164083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67" type="#_x0000_t202" style="width:8.5pt;height:12pt;margin-top:765.63pt;margin-left:293.44pt;mso-position-horizontal-relative:page;mso-position-vertical-relative:page;position:absolute;z-index:-25163980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0" type="#_x0000_t202" style="width:8.5pt;height:12pt;margin-top:765.63pt;margin-left:293.44pt;mso-position-horizontal-relative:page;mso-position-vertical-relative:page;position:absolute;z-index:-25165721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3.1pt;height:12pt;margin-top:765.63pt;margin-left:291.16pt;mso-position-horizontal-relative:page;mso-position-vertical-relative:page;position:absolute;z-index:-25163878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10</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3.1pt;height:12pt;margin-top:765.63pt;margin-left:291.16pt;mso-position-horizontal-relative:page;mso-position-vertical-relative:page;position:absolute;z-index:-25163776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11</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3.1pt;height:12pt;margin-top:765.63pt;margin-left:291.16pt;mso-position-horizontal-relative:page;mso-position-vertical-relative:page;position:absolute;z-index:-25163673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12</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1" type="#_x0000_t202" style="width:13.1pt;height:12pt;margin-top:777.03pt;margin-left:291.16pt;mso-position-horizontal-relative:page;mso-position-vertical-relative:page;position:absolute;z-index:-25163571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13</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2" type="#_x0000_t202" style="width:13.1pt;height:12pt;margin-top:777.03pt;margin-left:291.16pt;mso-position-horizontal-relative:page;mso-position-vertical-relative:page;position:absolute;z-index:-25163468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14</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3" type="#_x0000_t202" style="width:13.1pt;height:12pt;margin-top:777.03pt;margin-left:291.16pt;mso-position-horizontal-relative:page;mso-position-vertical-relative:page;position:absolute;z-index:-25163366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4" type="#_x0000_t202" style="width:13.1pt;height:12pt;margin-top:777.03pt;margin-left:291.16pt;mso-position-horizontal-relative:page;mso-position-vertical-relative:page;position:absolute;z-index:-25163264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16</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5" type="#_x0000_t202" style="width:13.1pt;height:12pt;margin-top:777.03pt;margin-left:291.16pt;mso-position-horizontal-relative:page;mso-position-vertical-relative:page;position:absolute;z-index:-25163161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17</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6" type="#_x0000_t202" style="width:13.1pt;height:12pt;margin-top:777.03pt;margin-left:291.16pt;mso-position-horizontal-relative:page;mso-position-vertical-relative:page;position:absolute;z-index:-25163059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18</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77" type="#_x0000_t202" style="width:13.1pt;height:12pt;margin-top:777.03pt;margin-left:291.16pt;mso-position-horizontal-relative:page;mso-position-vertical-relative:page;position:absolute;z-index:-25162956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19</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1" type="#_x0000_t202" style="width:8.5pt;height:12pt;margin-top:765.63pt;margin-left:293.44pt;mso-position-horizontal-relative:page;mso-position-vertical-relative:page;position:absolute;z-index:-25165619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3</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13.1pt;height:12pt;margin-top:777.03pt;margin-left:291.16pt;mso-position-horizontal-relative:page;mso-position-vertical-relative:page;position:absolute;z-index:-25162854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20</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3.1pt;height:12pt;margin-top:777.03pt;margin-left:291.16pt;mso-position-horizontal-relative:page;mso-position-vertical-relative:page;position:absolute;z-index:-25162752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21</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13.1pt;height:12pt;margin-top:777.03pt;margin-left:291.16pt;mso-position-horizontal-relative:page;mso-position-vertical-relative:page;position:absolute;z-index:-25162649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22</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13.1pt;height:12pt;margin-top:777.03pt;margin-left:291.16pt;mso-position-horizontal-relative:page;mso-position-vertical-relative:page;position:absolute;z-index:-25162547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23</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13.1pt;height:12pt;margin-top:777.03pt;margin-left:291.16pt;mso-position-horizontal-relative:page;mso-position-vertical-relative:page;position:absolute;z-index:-25162444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24</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13.1pt;height:12pt;margin-top:777.03pt;margin-left:291.16pt;mso-position-horizontal-relative:page;mso-position-vertical-relative:page;position:absolute;z-index:-25162342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25</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2" type="#_x0000_t202" style="width:8.5pt;height:12pt;margin-top:765.63pt;margin-left:293.44pt;mso-position-horizontal-relative:page;mso-position-vertical-relative:page;position:absolute;z-index:-25165516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4</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3" type="#_x0000_t202" style="width:8.5pt;height:12pt;margin-top:765.63pt;margin-left:293.44pt;mso-position-horizontal-relative:page;mso-position-vertical-relative:page;position:absolute;z-index:-251654144"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4" type="#_x0000_t202" style="width:8.5pt;height:12pt;margin-top:765.63pt;margin-left:293.44pt;mso-position-horizontal-relative:page;mso-position-vertical-relative:page;position:absolute;z-index:-251653120"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5" type="#_x0000_t202" style="width:8.5pt;height:12pt;margin-top:765.63pt;margin-left:293.44pt;mso-position-horizontal-relative:page;mso-position-vertical-relative:page;position:absolute;z-index:-251652096"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6" type="#_x0000_t202" style="width:8.5pt;height:12pt;margin-top:765.63pt;margin-left:293.44pt;mso-position-horizontal-relative:page;mso-position-vertical-relative:page;position:absolute;z-index:-251651072"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12"/>
      </w:rPr>
    </w:pPr>
    <w:r>
      <w:pict>
        <v:shapetype id="_x0000_t202" coordsize="21600,21600" o:spt="202" path="m,l,21600r21600,l21600,xe">
          <v:stroke joinstyle="miter"/>
          <v:path gradientshapeok="t" o:connecttype="rect"/>
        </v:shapetype>
        <v:shape id="_x0000_s2057" type="#_x0000_t202" style="width:8.5pt;height:12pt;margin-top:765.63pt;margin-left:293.44pt;mso-position-horizontal-relative:page;mso-position-vertical-relative:page;position:absolute;z-index:-251650048" filled="f" stroked="f">
          <v:textbox inset="0,0,0,0">
            <w:txbxContent>
              <w:p>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7506"/>
    <w:multiLevelType w:val="hybridMultilevel"/>
    <w:tmpl w:val="00000000"/>
    <w:lvl w:ilvl="0">
      <w:start w:val="1"/>
      <w:numFmt w:val="upperLetter"/>
      <w:lvlText w:val="%1."/>
      <w:lvlJc w:val="left"/>
      <w:pPr>
        <w:ind w:left="1028" w:hanging="252"/>
        <w:jc w:val="left"/>
      </w:pPr>
      <w:rPr>
        <w:rFonts w:ascii="Times New Roman" w:eastAsia="Times New Roman" w:hAnsi="Times New Roman" w:cs="Times New Roman" w:hint="default"/>
        <w:spacing w:val="6"/>
        <w:w w:val="100"/>
        <w:sz w:val="22"/>
        <w:szCs w:val="22"/>
        <w:lang w:val="zh-CN" w:eastAsia="zh-CN" w:bidi="zh-CN"/>
      </w:rPr>
    </w:lvl>
    <w:lvl w:ilvl="1">
      <w:start w:val="0"/>
      <w:numFmt w:val="bullet"/>
      <w:lvlText w:val="•"/>
      <w:lvlJc w:val="left"/>
      <w:pPr>
        <w:ind w:left="1880" w:hanging="252"/>
      </w:pPr>
      <w:rPr>
        <w:rFonts w:hint="default"/>
        <w:lang w:val="zh-CN" w:eastAsia="zh-CN" w:bidi="zh-CN"/>
      </w:rPr>
    </w:lvl>
    <w:lvl w:ilvl="2">
      <w:start w:val="0"/>
      <w:numFmt w:val="bullet"/>
      <w:lvlText w:val="•"/>
      <w:lvlJc w:val="left"/>
      <w:pPr>
        <w:ind w:left="2741" w:hanging="252"/>
      </w:pPr>
      <w:rPr>
        <w:rFonts w:hint="default"/>
        <w:lang w:val="zh-CN" w:eastAsia="zh-CN" w:bidi="zh-CN"/>
      </w:rPr>
    </w:lvl>
    <w:lvl w:ilvl="3">
      <w:start w:val="0"/>
      <w:numFmt w:val="bullet"/>
      <w:lvlText w:val="•"/>
      <w:lvlJc w:val="left"/>
      <w:pPr>
        <w:ind w:left="3601" w:hanging="252"/>
      </w:pPr>
      <w:rPr>
        <w:rFonts w:hint="default"/>
        <w:lang w:val="zh-CN" w:eastAsia="zh-CN" w:bidi="zh-CN"/>
      </w:rPr>
    </w:lvl>
    <w:lvl w:ilvl="4">
      <w:start w:val="0"/>
      <w:numFmt w:val="bullet"/>
      <w:lvlText w:val="•"/>
      <w:lvlJc w:val="left"/>
      <w:pPr>
        <w:ind w:left="4462" w:hanging="252"/>
      </w:pPr>
      <w:rPr>
        <w:rFonts w:hint="default"/>
        <w:lang w:val="zh-CN" w:eastAsia="zh-CN" w:bidi="zh-CN"/>
      </w:rPr>
    </w:lvl>
    <w:lvl w:ilvl="5">
      <w:start w:val="0"/>
      <w:numFmt w:val="bullet"/>
      <w:lvlText w:val="•"/>
      <w:lvlJc w:val="left"/>
      <w:pPr>
        <w:ind w:left="5323" w:hanging="252"/>
      </w:pPr>
      <w:rPr>
        <w:rFonts w:hint="default"/>
        <w:lang w:val="zh-CN" w:eastAsia="zh-CN" w:bidi="zh-CN"/>
      </w:rPr>
    </w:lvl>
    <w:lvl w:ilvl="6">
      <w:start w:val="0"/>
      <w:numFmt w:val="bullet"/>
      <w:lvlText w:val="•"/>
      <w:lvlJc w:val="left"/>
      <w:pPr>
        <w:ind w:left="6183" w:hanging="252"/>
      </w:pPr>
      <w:rPr>
        <w:rFonts w:hint="default"/>
        <w:lang w:val="zh-CN" w:eastAsia="zh-CN" w:bidi="zh-CN"/>
      </w:rPr>
    </w:lvl>
    <w:lvl w:ilvl="7">
      <w:start w:val="0"/>
      <w:numFmt w:val="bullet"/>
      <w:lvlText w:val="•"/>
      <w:lvlJc w:val="left"/>
      <w:pPr>
        <w:ind w:left="7044" w:hanging="252"/>
      </w:pPr>
      <w:rPr>
        <w:rFonts w:hint="default"/>
        <w:lang w:val="zh-CN" w:eastAsia="zh-CN" w:bidi="zh-CN"/>
      </w:rPr>
    </w:lvl>
    <w:lvl w:ilvl="8">
      <w:start w:val="0"/>
      <w:numFmt w:val="bullet"/>
      <w:lvlText w:val="•"/>
      <w:lvlJc w:val="left"/>
      <w:pPr>
        <w:ind w:left="7904" w:hanging="252"/>
      </w:pPr>
      <w:rPr>
        <w:rFonts w:hint="default"/>
        <w:lang w:val="zh-CN" w:eastAsia="zh-CN" w:bidi="zh-CN"/>
      </w:rPr>
    </w:lvl>
  </w:abstractNum>
  <w:abstractNum w:abstractNumId="1">
    <w:nsid w:val="01A2BA68"/>
    <w:multiLevelType w:val="hybridMultilevel"/>
    <w:tmpl w:val="00000000"/>
    <w:lvl w:ilvl="0">
      <w:start w:val="1"/>
      <w:numFmt w:val="decimal"/>
      <w:lvlText w:val="（%1）"/>
      <w:lvlJc w:val="left"/>
      <w:pPr>
        <w:ind w:left="1282" w:hanging="651"/>
        <w:jc w:val="left"/>
      </w:pPr>
      <w:rPr>
        <w:rFonts w:ascii="宋体" w:eastAsia="宋体" w:hAnsi="宋体" w:cs="宋体" w:hint="default"/>
        <w:spacing w:val="12"/>
        <w:w w:val="100"/>
        <w:sz w:val="24"/>
        <w:szCs w:val="24"/>
        <w:lang w:val="zh-CN" w:eastAsia="zh-CN" w:bidi="zh-CN"/>
      </w:rPr>
    </w:lvl>
    <w:lvl w:ilvl="1">
      <w:start w:val="0"/>
      <w:numFmt w:val="bullet"/>
      <w:lvlText w:val="•"/>
      <w:lvlJc w:val="left"/>
      <w:pPr>
        <w:ind w:left="1996" w:hanging="651"/>
      </w:pPr>
      <w:rPr>
        <w:rFonts w:hint="default"/>
        <w:lang w:val="zh-CN" w:eastAsia="zh-CN" w:bidi="zh-CN"/>
      </w:rPr>
    </w:lvl>
    <w:lvl w:ilvl="2">
      <w:start w:val="0"/>
      <w:numFmt w:val="bullet"/>
      <w:lvlText w:val="•"/>
      <w:lvlJc w:val="left"/>
      <w:pPr>
        <w:ind w:left="2712" w:hanging="651"/>
      </w:pPr>
      <w:rPr>
        <w:rFonts w:hint="default"/>
        <w:lang w:val="zh-CN" w:eastAsia="zh-CN" w:bidi="zh-CN"/>
      </w:rPr>
    </w:lvl>
    <w:lvl w:ilvl="3">
      <w:start w:val="0"/>
      <w:numFmt w:val="bullet"/>
      <w:lvlText w:val="•"/>
      <w:lvlJc w:val="left"/>
      <w:pPr>
        <w:ind w:left="3428" w:hanging="651"/>
      </w:pPr>
      <w:rPr>
        <w:rFonts w:hint="default"/>
        <w:lang w:val="zh-CN" w:eastAsia="zh-CN" w:bidi="zh-CN"/>
      </w:rPr>
    </w:lvl>
    <w:lvl w:ilvl="4">
      <w:start w:val="0"/>
      <w:numFmt w:val="bullet"/>
      <w:lvlText w:val="•"/>
      <w:lvlJc w:val="left"/>
      <w:pPr>
        <w:ind w:left="4144" w:hanging="651"/>
      </w:pPr>
      <w:rPr>
        <w:rFonts w:hint="default"/>
        <w:lang w:val="zh-CN" w:eastAsia="zh-CN" w:bidi="zh-CN"/>
      </w:rPr>
    </w:lvl>
    <w:lvl w:ilvl="5">
      <w:start w:val="0"/>
      <w:numFmt w:val="bullet"/>
      <w:lvlText w:val="•"/>
      <w:lvlJc w:val="left"/>
      <w:pPr>
        <w:ind w:left="4861" w:hanging="651"/>
      </w:pPr>
      <w:rPr>
        <w:rFonts w:hint="default"/>
        <w:lang w:val="zh-CN" w:eastAsia="zh-CN" w:bidi="zh-CN"/>
      </w:rPr>
    </w:lvl>
    <w:lvl w:ilvl="6">
      <w:start w:val="0"/>
      <w:numFmt w:val="bullet"/>
      <w:lvlText w:val="•"/>
      <w:lvlJc w:val="left"/>
      <w:pPr>
        <w:ind w:left="5577" w:hanging="651"/>
      </w:pPr>
      <w:rPr>
        <w:rFonts w:hint="default"/>
        <w:lang w:val="zh-CN" w:eastAsia="zh-CN" w:bidi="zh-CN"/>
      </w:rPr>
    </w:lvl>
    <w:lvl w:ilvl="7">
      <w:start w:val="0"/>
      <w:numFmt w:val="bullet"/>
      <w:lvlText w:val="•"/>
      <w:lvlJc w:val="left"/>
      <w:pPr>
        <w:ind w:left="6293" w:hanging="651"/>
      </w:pPr>
      <w:rPr>
        <w:rFonts w:hint="default"/>
        <w:lang w:val="zh-CN" w:eastAsia="zh-CN" w:bidi="zh-CN"/>
      </w:rPr>
    </w:lvl>
    <w:lvl w:ilvl="8">
      <w:start w:val="0"/>
      <w:numFmt w:val="bullet"/>
      <w:lvlText w:val="•"/>
      <w:lvlJc w:val="left"/>
      <w:pPr>
        <w:ind w:left="7009" w:hanging="651"/>
      </w:pPr>
      <w:rPr>
        <w:rFonts w:hint="default"/>
        <w:lang w:val="zh-CN" w:eastAsia="zh-CN" w:bidi="zh-CN"/>
      </w:rPr>
    </w:lvl>
  </w:abstractNum>
  <w:abstractNum w:abstractNumId="2">
    <w:nsid w:val="0B26F0C3"/>
    <w:multiLevelType w:val="hybridMultilevel"/>
    <w:tmpl w:val="00000000"/>
    <w:lvl w:ilvl="0">
      <w:start w:val="1"/>
      <w:numFmt w:val="decimal"/>
      <w:lvlText w:val="（%1）"/>
      <w:lvlJc w:val="left"/>
      <w:pPr>
        <w:ind w:left="1777"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64" w:hanging="601"/>
      </w:pPr>
      <w:rPr>
        <w:rFonts w:hint="default"/>
        <w:lang w:val="zh-CN" w:eastAsia="zh-CN" w:bidi="zh-CN"/>
      </w:rPr>
    </w:lvl>
    <w:lvl w:ilvl="2">
      <w:start w:val="0"/>
      <w:numFmt w:val="bullet"/>
      <w:lvlText w:val="•"/>
      <w:lvlJc w:val="left"/>
      <w:pPr>
        <w:ind w:left="3349" w:hanging="601"/>
      </w:pPr>
      <w:rPr>
        <w:rFonts w:hint="default"/>
        <w:lang w:val="zh-CN" w:eastAsia="zh-CN" w:bidi="zh-CN"/>
      </w:rPr>
    </w:lvl>
    <w:lvl w:ilvl="3">
      <w:start w:val="0"/>
      <w:numFmt w:val="bullet"/>
      <w:lvlText w:val="•"/>
      <w:lvlJc w:val="left"/>
      <w:pPr>
        <w:ind w:left="4133" w:hanging="601"/>
      </w:pPr>
      <w:rPr>
        <w:rFonts w:hint="default"/>
        <w:lang w:val="zh-CN" w:eastAsia="zh-CN" w:bidi="zh-CN"/>
      </w:rPr>
    </w:lvl>
    <w:lvl w:ilvl="4">
      <w:start w:val="0"/>
      <w:numFmt w:val="bullet"/>
      <w:lvlText w:val="•"/>
      <w:lvlJc w:val="left"/>
      <w:pPr>
        <w:ind w:left="4918" w:hanging="601"/>
      </w:pPr>
      <w:rPr>
        <w:rFonts w:hint="default"/>
        <w:lang w:val="zh-CN" w:eastAsia="zh-CN" w:bidi="zh-CN"/>
      </w:rPr>
    </w:lvl>
    <w:lvl w:ilvl="5">
      <w:start w:val="0"/>
      <w:numFmt w:val="bullet"/>
      <w:lvlText w:val="•"/>
      <w:lvlJc w:val="left"/>
      <w:pPr>
        <w:ind w:left="5703" w:hanging="601"/>
      </w:pPr>
      <w:rPr>
        <w:rFonts w:hint="default"/>
        <w:lang w:val="zh-CN" w:eastAsia="zh-CN" w:bidi="zh-CN"/>
      </w:rPr>
    </w:lvl>
    <w:lvl w:ilvl="6">
      <w:start w:val="0"/>
      <w:numFmt w:val="bullet"/>
      <w:lvlText w:val="•"/>
      <w:lvlJc w:val="left"/>
      <w:pPr>
        <w:ind w:left="6487" w:hanging="601"/>
      </w:pPr>
      <w:rPr>
        <w:rFonts w:hint="default"/>
        <w:lang w:val="zh-CN" w:eastAsia="zh-CN" w:bidi="zh-CN"/>
      </w:rPr>
    </w:lvl>
    <w:lvl w:ilvl="7">
      <w:start w:val="0"/>
      <w:numFmt w:val="bullet"/>
      <w:lvlText w:val="•"/>
      <w:lvlJc w:val="left"/>
      <w:pPr>
        <w:ind w:left="7272" w:hanging="601"/>
      </w:pPr>
      <w:rPr>
        <w:rFonts w:hint="default"/>
        <w:lang w:val="zh-CN" w:eastAsia="zh-CN" w:bidi="zh-CN"/>
      </w:rPr>
    </w:lvl>
    <w:lvl w:ilvl="8">
      <w:start w:val="0"/>
      <w:numFmt w:val="bullet"/>
      <w:lvlText w:val="•"/>
      <w:lvlJc w:val="left"/>
      <w:pPr>
        <w:ind w:left="8056" w:hanging="601"/>
      </w:pPr>
      <w:rPr>
        <w:rFonts w:hint="default"/>
        <w:lang w:val="zh-CN" w:eastAsia="zh-CN" w:bidi="zh-CN"/>
      </w:rPr>
    </w:lvl>
  </w:abstractNum>
  <w:abstractNum w:abstractNumId="3">
    <w:nsid w:val="0EBD784B"/>
    <w:multiLevelType w:val="hybridMultilevel"/>
    <w:tmpl w:val="00000000"/>
    <w:lvl w:ilvl="0">
      <w:start w:val="1"/>
      <w:numFmt w:val="decimal"/>
      <w:lvlText w:val="（%1）"/>
      <w:lvlJc w:val="left"/>
      <w:pPr>
        <w:ind w:left="696" w:hanging="601"/>
        <w:jc w:val="left"/>
      </w:pPr>
      <w:rPr>
        <w:rFonts w:ascii="宋体" w:eastAsia="宋体" w:hAnsi="宋体" w:cs="宋体" w:hint="default"/>
        <w:spacing w:val="-60"/>
        <w:w w:val="100"/>
        <w:sz w:val="22"/>
        <w:szCs w:val="22"/>
        <w:lang w:val="zh-CN" w:eastAsia="zh-CN" w:bidi="zh-CN"/>
      </w:rPr>
    </w:lvl>
    <w:lvl w:ilvl="1">
      <w:start w:val="0"/>
      <w:numFmt w:val="bullet"/>
      <w:lvlText w:val="•"/>
      <w:lvlJc w:val="left"/>
      <w:pPr>
        <w:ind w:left="1592" w:hanging="601"/>
      </w:pPr>
      <w:rPr>
        <w:rFonts w:hint="default"/>
        <w:lang w:val="zh-CN" w:eastAsia="zh-CN" w:bidi="zh-CN"/>
      </w:rPr>
    </w:lvl>
    <w:lvl w:ilvl="2">
      <w:start w:val="0"/>
      <w:numFmt w:val="bullet"/>
      <w:lvlText w:val="•"/>
      <w:lvlJc w:val="left"/>
      <w:pPr>
        <w:ind w:left="2485" w:hanging="601"/>
      </w:pPr>
      <w:rPr>
        <w:rFonts w:hint="default"/>
        <w:lang w:val="zh-CN" w:eastAsia="zh-CN" w:bidi="zh-CN"/>
      </w:rPr>
    </w:lvl>
    <w:lvl w:ilvl="3">
      <w:start w:val="0"/>
      <w:numFmt w:val="bullet"/>
      <w:lvlText w:val="•"/>
      <w:lvlJc w:val="left"/>
      <w:pPr>
        <w:ind w:left="3377" w:hanging="601"/>
      </w:pPr>
      <w:rPr>
        <w:rFonts w:hint="default"/>
        <w:lang w:val="zh-CN" w:eastAsia="zh-CN" w:bidi="zh-CN"/>
      </w:rPr>
    </w:lvl>
    <w:lvl w:ilvl="4">
      <w:start w:val="0"/>
      <w:numFmt w:val="bullet"/>
      <w:lvlText w:val="•"/>
      <w:lvlJc w:val="left"/>
      <w:pPr>
        <w:ind w:left="4270" w:hanging="601"/>
      </w:pPr>
      <w:rPr>
        <w:rFonts w:hint="default"/>
        <w:lang w:val="zh-CN" w:eastAsia="zh-CN" w:bidi="zh-CN"/>
      </w:rPr>
    </w:lvl>
    <w:lvl w:ilvl="5">
      <w:start w:val="0"/>
      <w:numFmt w:val="bullet"/>
      <w:lvlText w:val="•"/>
      <w:lvlJc w:val="left"/>
      <w:pPr>
        <w:ind w:left="5163" w:hanging="601"/>
      </w:pPr>
      <w:rPr>
        <w:rFonts w:hint="default"/>
        <w:lang w:val="zh-CN" w:eastAsia="zh-CN" w:bidi="zh-CN"/>
      </w:rPr>
    </w:lvl>
    <w:lvl w:ilvl="6">
      <w:start w:val="0"/>
      <w:numFmt w:val="bullet"/>
      <w:lvlText w:val="•"/>
      <w:lvlJc w:val="left"/>
      <w:pPr>
        <w:ind w:left="6055" w:hanging="601"/>
      </w:pPr>
      <w:rPr>
        <w:rFonts w:hint="default"/>
        <w:lang w:val="zh-CN" w:eastAsia="zh-CN" w:bidi="zh-CN"/>
      </w:rPr>
    </w:lvl>
    <w:lvl w:ilvl="7">
      <w:start w:val="0"/>
      <w:numFmt w:val="bullet"/>
      <w:lvlText w:val="•"/>
      <w:lvlJc w:val="left"/>
      <w:pPr>
        <w:ind w:left="6948" w:hanging="601"/>
      </w:pPr>
      <w:rPr>
        <w:rFonts w:hint="default"/>
        <w:lang w:val="zh-CN" w:eastAsia="zh-CN" w:bidi="zh-CN"/>
      </w:rPr>
    </w:lvl>
    <w:lvl w:ilvl="8">
      <w:start w:val="0"/>
      <w:numFmt w:val="bullet"/>
      <w:lvlText w:val="•"/>
      <w:lvlJc w:val="left"/>
      <w:pPr>
        <w:ind w:left="7840" w:hanging="601"/>
      </w:pPr>
      <w:rPr>
        <w:rFonts w:hint="default"/>
        <w:lang w:val="zh-CN" w:eastAsia="zh-CN" w:bidi="zh-CN"/>
      </w:rPr>
    </w:lvl>
  </w:abstractNum>
  <w:abstractNum w:abstractNumId="4">
    <w:nsid w:val="0F3E6A0B"/>
    <w:multiLevelType w:val="hybridMultilevel"/>
    <w:tmpl w:val="00000000"/>
    <w:lvl w:ilvl="0">
      <w:start w:val="1"/>
      <w:numFmt w:val="decimal"/>
      <w:lvlText w:val="（%1）"/>
      <w:lvlJc w:val="left"/>
      <w:pPr>
        <w:ind w:left="119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840" w:hanging="601"/>
      </w:pPr>
      <w:rPr>
        <w:rFonts w:hint="default"/>
        <w:lang w:val="zh-CN" w:eastAsia="zh-CN" w:bidi="zh-CN"/>
      </w:rPr>
    </w:lvl>
    <w:lvl w:ilvl="2">
      <w:start w:val="0"/>
      <w:numFmt w:val="bullet"/>
      <w:lvlText w:val="•"/>
      <w:lvlJc w:val="left"/>
      <w:pPr>
        <w:ind w:left="2481" w:hanging="601"/>
      </w:pPr>
      <w:rPr>
        <w:rFonts w:hint="default"/>
        <w:lang w:val="zh-CN" w:eastAsia="zh-CN" w:bidi="zh-CN"/>
      </w:rPr>
    </w:lvl>
    <w:lvl w:ilvl="3">
      <w:start w:val="0"/>
      <w:numFmt w:val="bullet"/>
      <w:lvlText w:val="•"/>
      <w:lvlJc w:val="left"/>
      <w:pPr>
        <w:ind w:left="3122" w:hanging="601"/>
      </w:pPr>
      <w:rPr>
        <w:rFonts w:hint="default"/>
        <w:lang w:val="zh-CN" w:eastAsia="zh-CN" w:bidi="zh-CN"/>
      </w:rPr>
    </w:lvl>
    <w:lvl w:ilvl="4">
      <w:start w:val="0"/>
      <w:numFmt w:val="bullet"/>
      <w:lvlText w:val="•"/>
      <w:lvlJc w:val="left"/>
      <w:pPr>
        <w:ind w:left="3762" w:hanging="601"/>
      </w:pPr>
      <w:rPr>
        <w:rFonts w:hint="default"/>
        <w:lang w:val="zh-CN" w:eastAsia="zh-CN" w:bidi="zh-CN"/>
      </w:rPr>
    </w:lvl>
    <w:lvl w:ilvl="5">
      <w:start w:val="0"/>
      <w:numFmt w:val="bullet"/>
      <w:lvlText w:val="•"/>
      <w:lvlJc w:val="left"/>
      <w:pPr>
        <w:ind w:left="4403" w:hanging="601"/>
      </w:pPr>
      <w:rPr>
        <w:rFonts w:hint="default"/>
        <w:lang w:val="zh-CN" w:eastAsia="zh-CN" w:bidi="zh-CN"/>
      </w:rPr>
    </w:lvl>
    <w:lvl w:ilvl="6">
      <w:start w:val="0"/>
      <w:numFmt w:val="bullet"/>
      <w:lvlText w:val="•"/>
      <w:lvlJc w:val="left"/>
      <w:pPr>
        <w:ind w:left="5044" w:hanging="601"/>
      </w:pPr>
      <w:rPr>
        <w:rFonts w:hint="default"/>
        <w:lang w:val="zh-CN" w:eastAsia="zh-CN" w:bidi="zh-CN"/>
      </w:rPr>
    </w:lvl>
    <w:lvl w:ilvl="7">
      <w:start w:val="0"/>
      <w:numFmt w:val="bullet"/>
      <w:lvlText w:val="•"/>
      <w:lvlJc w:val="left"/>
      <w:pPr>
        <w:ind w:left="5684" w:hanging="601"/>
      </w:pPr>
      <w:rPr>
        <w:rFonts w:hint="default"/>
        <w:lang w:val="zh-CN" w:eastAsia="zh-CN" w:bidi="zh-CN"/>
      </w:rPr>
    </w:lvl>
    <w:lvl w:ilvl="8">
      <w:start w:val="0"/>
      <w:numFmt w:val="bullet"/>
      <w:lvlText w:val="•"/>
      <w:lvlJc w:val="left"/>
      <w:pPr>
        <w:ind w:left="6325" w:hanging="601"/>
      </w:pPr>
      <w:rPr>
        <w:rFonts w:hint="default"/>
        <w:lang w:val="zh-CN" w:eastAsia="zh-CN" w:bidi="zh-CN"/>
      </w:rPr>
    </w:lvl>
  </w:abstractNum>
  <w:abstractNum w:abstractNumId="5">
    <w:nsid w:val="10016C1D"/>
    <w:multiLevelType w:val="hybridMultilevel"/>
    <w:tmpl w:val="00000000"/>
    <w:lvl w:ilvl="0">
      <w:start w:val="2"/>
      <w:numFmt w:val="decimal"/>
      <w:lvlText w:val="%1"/>
      <w:lvlJc w:val="left"/>
      <w:pPr>
        <w:ind w:left="1536" w:hanging="360"/>
        <w:jc w:val="left"/>
      </w:pPr>
      <w:rPr>
        <w:rFonts w:hint="default"/>
        <w:lang w:val="zh-CN" w:eastAsia="zh-CN" w:bidi="zh-CN"/>
      </w:rPr>
    </w:lvl>
    <w:lvl w:ilvl="1">
      <w:start w:val="2"/>
      <w:numFmt w:val="decimal"/>
      <w:lvlText w:val="%1.%2"/>
      <w:lvlJc w:val="left"/>
      <w:pPr>
        <w:ind w:left="1536" w:hanging="360"/>
        <w:jc w:val="left"/>
      </w:pPr>
      <w:rPr>
        <w:rFonts w:hint="default"/>
        <w:b/>
        <w:bCs/>
        <w:w w:val="99"/>
        <w:lang w:val="zh-CN" w:eastAsia="zh-CN" w:bidi="zh-CN"/>
      </w:rPr>
    </w:lvl>
    <w:lvl w:ilvl="2">
      <w:start w:val="1"/>
      <w:numFmt w:val="decimal"/>
      <w:lvlText w:val="%1.%2.%3"/>
      <w:lvlJc w:val="left"/>
      <w:pPr>
        <w:ind w:left="1716" w:hanging="540"/>
        <w:jc w:val="left"/>
      </w:pPr>
      <w:rPr>
        <w:rFonts w:hint="default"/>
        <w:b/>
        <w:bCs/>
        <w:w w:val="99"/>
        <w:lang w:val="zh-CN" w:eastAsia="zh-CN" w:bidi="zh-CN"/>
      </w:rPr>
    </w:lvl>
    <w:lvl w:ilvl="3">
      <w:start w:val="0"/>
      <w:numFmt w:val="bullet"/>
      <w:lvlText w:val="•"/>
      <w:lvlJc w:val="left"/>
      <w:pPr>
        <w:ind w:left="3476" w:hanging="540"/>
      </w:pPr>
      <w:rPr>
        <w:rFonts w:hint="default"/>
        <w:lang w:val="zh-CN" w:eastAsia="zh-CN" w:bidi="zh-CN"/>
      </w:rPr>
    </w:lvl>
    <w:lvl w:ilvl="4">
      <w:start w:val="0"/>
      <w:numFmt w:val="bullet"/>
      <w:lvlText w:val="•"/>
      <w:lvlJc w:val="left"/>
      <w:pPr>
        <w:ind w:left="4355" w:hanging="540"/>
      </w:pPr>
      <w:rPr>
        <w:rFonts w:hint="default"/>
        <w:lang w:val="zh-CN" w:eastAsia="zh-CN" w:bidi="zh-CN"/>
      </w:rPr>
    </w:lvl>
    <w:lvl w:ilvl="5">
      <w:start w:val="0"/>
      <w:numFmt w:val="bullet"/>
      <w:lvlText w:val="•"/>
      <w:lvlJc w:val="left"/>
      <w:pPr>
        <w:ind w:left="5233" w:hanging="540"/>
      </w:pPr>
      <w:rPr>
        <w:rFonts w:hint="default"/>
        <w:lang w:val="zh-CN" w:eastAsia="zh-CN" w:bidi="zh-CN"/>
      </w:rPr>
    </w:lvl>
    <w:lvl w:ilvl="6">
      <w:start w:val="0"/>
      <w:numFmt w:val="bullet"/>
      <w:lvlText w:val="•"/>
      <w:lvlJc w:val="left"/>
      <w:pPr>
        <w:ind w:left="6112" w:hanging="540"/>
      </w:pPr>
      <w:rPr>
        <w:rFonts w:hint="default"/>
        <w:lang w:val="zh-CN" w:eastAsia="zh-CN" w:bidi="zh-CN"/>
      </w:rPr>
    </w:lvl>
    <w:lvl w:ilvl="7">
      <w:start w:val="0"/>
      <w:numFmt w:val="bullet"/>
      <w:lvlText w:val="•"/>
      <w:lvlJc w:val="left"/>
      <w:pPr>
        <w:ind w:left="6990" w:hanging="540"/>
      </w:pPr>
      <w:rPr>
        <w:rFonts w:hint="default"/>
        <w:lang w:val="zh-CN" w:eastAsia="zh-CN" w:bidi="zh-CN"/>
      </w:rPr>
    </w:lvl>
    <w:lvl w:ilvl="8">
      <w:start w:val="0"/>
      <w:numFmt w:val="bullet"/>
      <w:lvlText w:val="•"/>
      <w:lvlJc w:val="left"/>
      <w:pPr>
        <w:ind w:left="7869" w:hanging="540"/>
      </w:pPr>
      <w:rPr>
        <w:rFonts w:hint="default"/>
        <w:lang w:val="zh-CN" w:eastAsia="zh-CN" w:bidi="zh-CN"/>
      </w:rPr>
    </w:lvl>
  </w:abstractNum>
  <w:abstractNum w:abstractNumId="6">
    <w:nsid w:val="1033BD87"/>
    <w:multiLevelType w:val="hybridMultilevel"/>
    <w:tmpl w:val="00000000"/>
    <w:lvl w:ilvl="0">
      <w:start w:val="1"/>
      <w:numFmt w:val="decimal"/>
      <w:lvlText w:val="（%1）"/>
      <w:lvlJc w:val="left"/>
      <w:pPr>
        <w:ind w:left="111" w:hanging="648"/>
        <w:jc w:val="left"/>
      </w:pPr>
      <w:rPr>
        <w:rFonts w:ascii="宋体" w:eastAsia="宋体" w:hAnsi="宋体" w:cs="宋体" w:hint="default"/>
        <w:color w:val="0000FF"/>
        <w:spacing w:val="9"/>
        <w:w w:val="100"/>
        <w:sz w:val="24"/>
        <w:szCs w:val="24"/>
        <w:lang w:val="zh-CN" w:eastAsia="zh-CN" w:bidi="zh-CN"/>
      </w:rPr>
    </w:lvl>
    <w:lvl w:ilvl="1">
      <w:start w:val="0"/>
      <w:numFmt w:val="bullet"/>
      <w:lvlText w:val="•"/>
      <w:lvlJc w:val="left"/>
      <w:pPr>
        <w:ind w:left="868" w:hanging="648"/>
      </w:pPr>
      <w:rPr>
        <w:rFonts w:hint="default"/>
        <w:lang w:val="zh-CN" w:eastAsia="zh-CN" w:bidi="zh-CN"/>
      </w:rPr>
    </w:lvl>
    <w:lvl w:ilvl="2">
      <w:start w:val="0"/>
      <w:numFmt w:val="bullet"/>
      <w:lvlText w:val="•"/>
      <w:lvlJc w:val="left"/>
      <w:pPr>
        <w:ind w:left="1617" w:hanging="648"/>
      </w:pPr>
      <w:rPr>
        <w:rFonts w:hint="default"/>
        <w:lang w:val="zh-CN" w:eastAsia="zh-CN" w:bidi="zh-CN"/>
      </w:rPr>
    </w:lvl>
    <w:lvl w:ilvl="3">
      <w:start w:val="0"/>
      <w:numFmt w:val="bullet"/>
      <w:lvlText w:val="•"/>
      <w:lvlJc w:val="left"/>
      <w:pPr>
        <w:ind w:left="2366" w:hanging="648"/>
      </w:pPr>
      <w:rPr>
        <w:rFonts w:hint="default"/>
        <w:lang w:val="zh-CN" w:eastAsia="zh-CN" w:bidi="zh-CN"/>
      </w:rPr>
    </w:lvl>
    <w:lvl w:ilvl="4">
      <w:start w:val="0"/>
      <w:numFmt w:val="bullet"/>
      <w:lvlText w:val="•"/>
      <w:lvlJc w:val="left"/>
      <w:pPr>
        <w:ind w:left="3114" w:hanging="648"/>
      </w:pPr>
      <w:rPr>
        <w:rFonts w:hint="default"/>
        <w:lang w:val="zh-CN" w:eastAsia="zh-CN" w:bidi="zh-CN"/>
      </w:rPr>
    </w:lvl>
    <w:lvl w:ilvl="5">
      <w:start w:val="0"/>
      <w:numFmt w:val="bullet"/>
      <w:lvlText w:val="•"/>
      <w:lvlJc w:val="left"/>
      <w:pPr>
        <w:ind w:left="3863" w:hanging="648"/>
      </w:pPr>
      <w:rPr>
        <w:rFonts w:hint="default"/>
        <w:lang w:val="zh-CN" w:eastAsia="zh-CN" w:bidi="zh-CN"/>
      </w:rPr>
    </w:lvl>
    <w:lvl w:ilvl="6">
      <w:start w:val="0"/>
      <w:numFmt w:val="bullet"/>
      <w:lvlText w:val="•"/>
      <w:lvlJc w:val="left"/>
      <w:pPr>
        <w:ind w:left="4612" w:hanging="648"/>
      </w:pPr>
      <w:rPr>
        <w:rFonts w:hint="default"/>
        <w:lang w:val="zh-CN" w:eastAsia="zh-CN" w:bidi="zh-CN"/>
      </w:rPr>
    </w:lvl>
    <w:lvl w:ilvl="7">
      <w:start w:val="0"/>
      <w:numFmt w:val="bullet"/>
      <w:lvlText w:val="•"/>
      <w:lvlJc w:val="left"/>
      <w:pPr>
        <w:ind w:left="5360" w:hanging="648"/>
      </w:pPr>
      <w:rPr>
        <w:rFonts w:hint="default"/>
        <w:lang w:val="zh-CN" w:eastAsia="zh-CN" w:bidi="zh-CN"/>
      </w:rPr>
    </w:lvl>
    <w:lvl w:ilvl="8">
      <w:start w:val="0"/>
      <w:numFmt w:val="bullet"/>
      <w:lvlText w:val="•"/>
      <w:lvlJc w:val="left"/>
      <w:pPr>
        <w:ind w:left="6109" w:hanging="648"/>
      </w:pPr>
      <w:rPr>
        <w:rFonts w:hint="default"/>
        <w:lang w:val="zh-CN" w:eastAsia="zh-CN" w:bidi="zh-CN"/>
      </w:rPr>
    </w:lvl>
  </w:abstractNum>
  <w:abstractNum w:abstractNumId="7">
    <w:nsid w:val="10CDE550"/>
    <w:multiLevelType w:val="hybridMultilevel"/>
    <w:tmpl w:val="00000000"/>
    <w:lvl w:ilvl="0">
      <w:start w:val="2"/>
      <w:numFmt w:val="decimal"/>
      <w:lvlText w:val="（%1）"/>
      <w:lvlJc w:val="left"/>
      <w:pPr>
        <w:ind w:left="113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786" w:hanging="601"/>
      </w:pPr>
      <w:rPr>
        <w:rFonts w:hint="default"/>
        <w:lang w:val="zh-CN" w:eastAsia="zh-CN" w:bidi="zh-CN"/>
      </w:rPr>
    </w:lvl>
    <w:lvl w:ilvl="2">
      <w:start w:val="0"/>
      <w:numFmt w:val="bullet"/>
      <w:lvlText w:val="•"/>
      <w:lvlJc w:val="left"/>
      <w:pPr>
        <w:ind w:left="2433" w:hanging="601"/>
      </w:pPr>
      <w:rPr>
        <w:rFonts w:hint="default"/>
        <w:lang w:val="zh-CN" w:eastAsia="zh-CN" w:bidi="zh-CN"/>
      </w:rPr>
    </w:lvl>
    <w:lvl w:ilvl="3">
      <w:start w:val="0"/>
      <w:numFmt w:val="bullet"/>
      <w:lvlText w:val="•"/>
      <w:lvlJc w:val="left"/>
      <w:pPr>
        <w:ind w:left="3080" w:hanging="601"/>
      </w:pPr>
      <w:rPr>
        <w:rFonts w:hint="default"/>
        <w:lang w:val="zh-CN" w:eastAsia="zh-CN" w:bidi="zh-CN"/>
      </w:rPr>
    </w:lvl>
    <w:lvl w:ilvl="4">
      <w:start w:val="0"/>
      <w:numFmt w:val="bullet"/>
      <w:lvlText w:val="•"/>
      <w:lvlJc w:val="left"/>
      <w:pPr>
        <w:ind w:left="3726" w:hanging="601"/>
      </w:pPr>
      <w:rPr>
        <w:rFonts w:hint="default"/>
        <w:lang w:val="zh-CN" w:eastAsia="zh-CN" w:bidi="zh-CN"/>
      </w:rPr>
    </w:lvl>
    <w:lvl w:ilvl="5">
      <w:start w:val="0"/>
      <w:numFmt w:val="bullet"/>
      <w:lvlText w:val="•"/>
      <w:lvlJc w:val="left"/>
      <w:pPr>
        <w:ind w:left="4373" w:hanging="601"/>
      </w:pPr>
      <w:rPr>
        <w:rFonts w:hint="default"/>
        <w:lang w:val="zh-CN" w:eastAsia="zh-CN" w:bidi="zh-CN"/>
      </w:rPr>
    </w:lvl>
    <w:lvl w:ilvl="6">
      <w:start w:val="0"/>
      <w:numFmt w:val="bullet"/>
      <w:lvlText w:val="•"/>
      <w:lvlJc w:val="left"/>
      <w:pPr>
        <w:ind w:left="5020" w:hanging="601"/>
      </w:pPr>
      <w:rPr>
        <w:rFonts w:hint="default"/>
        <w:lang w:val="zh-CN" w:eastAsia="zh-CN" w:bidi="zh-CN"/>
      </w:rPr>
    </w:lvl>
    <w:lvl w:ilvl="7">
      <w:start w:val="0"/>
      <w:numFmt w:val="bullet"/>
      <w:lvlText w:val="•"/>
      <w:lvlJc w:val="left"/>
      <w:pPr>
        <w:ind w:left="5666" w:hanging="601"/>
      </w:pPr>
      <w:rPr>
        <w:rFonts w:hint="default"/>
        <w:lang w:val="zh-CN" w:eastAsia="zh-CN" w:bidi="zh-CN"/>
      </w:rPr>
    </w:lvl>
    <w:lvl w:ilvl="8">
      <w:start w:val="0"/>
      <w:numFmt w:val="bullet"/>
      <w:lvlText w:val="•"/>
      <w:lvlJc w:val="left"/>
      <w:pPr>
        <w:ind w:left="6313" w:hanging="601"/>
      </w:pPr>
      <w:rPr>
        <w:rFonts w:hint="default"/>
        <w:lang w:val="zh-CN" w:eastAsia="zh-CN" w:bidi="zh-CN"/>
      </w:rPr>
    </w:lvl>
  </w:abstractNum>
  <w:abstractNum w:abstractNumId="8">
    <w:nsid w:val="11EDC1DB"/>
    <w:multiLevelType w:val="hybridMultilevel"/>
    <w:tmpl w:val="00000000"/>
    <w:lvl w:ilvl="0">
      <w:start w:val="1"/>
      <w:numFmt w:val="decimal"/>
      <w:lvlText w:val="（%1）"/>
      <w:lvlJc w:val="left"/>
      <w:pPr>
        <w:ind w:left="1028" w:hanging="656"/>
        <w:jc w:val="left"/>
      </w:pPr>
      <w:rPr>
        <w:rFonts w:ascii="宋体" w:eastAsia="宋体" w:hAnsi="宋体" w:cs="宋体" w:hint="default"/>
        <w:spacing w:val="-99"/>
        <w:w w:val="100"/>
        <w:sz w:val="24"/>
        <w:szCs w:val="24"/>
        <w:lang w:val="zh-CN" w:eastAsia="zh-CN" w:bidi="zh-CN"/>
      </w:rPr>
    </w:lvl>
    <w:lvl w:ilvl="1">
      <w:start w:val="0"/>
      <w:numFmt w:val="bullet"/>
      <w:lvlText w:val="•"/>
      <w:lvlJc w:val="left"/>
      <w:pPr>
        <w:ind w:left="1880" w:hanging="656"/>
      </w:pPr>
      <w:rPr>
        <w:rFonts w:hint="default"/>
        <w:lang w:val="zh-CN" w:eastAsia="zh-CN" w:bidi="zh-CN"/>
      </w:rPr>
    </w:lvl>
    <w:lvl w:ilvl="2">
      <w:start w:val="0"/>
      <w:numFmt w:val="bullet"/>
      <w:lvlText w:val="•"/>
      <w:lvlJc w:val="left"/>
      <w:pPr>
        <w:ind w:left="2741" w:hanging="656"/>
      </w:pPr>
      <w:rPr>
        <w:rFonts w:hint="default"/>
        <w:lang w:val="zh-CN" w:eastAsia="zh-CN" w:bidi="zh-CN"/>
      </w:rPr>
    </w:lvl>
    <w:lvl w:ilvl="3">
      <w:start w:val="0"/>
      <w:numFmt w:val="bullet"/>
      <w:lvlText w:val="•"/>
      <w:lvlJc w:val="left"/>
      <w:pPr>
        <w:ind w:left="3601" w:hanging="656"/>
      </w:pPr>
      <w:rPr>
        <w:rFonts w:hint="default"/>
        <w:lang w:val="zh-CN" w:eastAsia="zh-CN" w:bidi="zh-CN"/>
      </w:rPr>
    </w:lvl>
    <w:lvl w:ilvl="4">
      <w:start w:val="0"/>
      <w:numFmt w:val="bullet"/>
      <w:lvlText w:val="•"/>
      <w:lvlJc w:val="left"/>
      <w:pPr>
        <w:ind w:left="4462" w:hanging="656"/>
      </w:pPr>
      <w:rPr>
        <w:rFonts w:hint="default"/>
        <w:lang w:val="zh-CN" w:eastAsia="zh-CN" w:bidi="zh-CN"/>
      </w:rPr>
    </w:lvl>
    <w:lvl w:ilvl="5">
      <w:start w:val="0"/>
      <w:numFmt w:val="bullet"/>
      <w:lvlText w:val="•"/>
      <w:lvlJc w:val="left"/>
      <w:pPr>
        <w:ind w:left="5323" w:hanging="656"/>
      </w:pPr>
      <w:rPr>
        <w:rFonts w:hint="default"/>
        <w:lang w:val="zh-CN" w:eastAsia="zh-CN" w:bidi="zh-CN"/>
      </w:rPr>
    </w:lvl>
    <w:lvl w:ilvl="6">
      <w:start w:val="0"/>
      <w:numFmt w:val="bullet"/>
      <w:lvlText w:val="•"/>
      <w:lvlJc w:val="left"/>
      <w:pPr>
        <w:ind w:left="6183" w:hanging="656"/>
      </w:pPr>
      <w:rPr>
        <w:rFonts w:hint="default"/>
        <w:lang w:val="zh-CN" w:eastAsia="zh-CN" w:bidi="zh-CN"/>
      </w:rPr>
    </w:lvl>
    <w:lvl w:ilvl="7">
      <w:start w:val="0"/>
      <w:numFmt w:val="bullet"/>
      <w:lvlText w:val="•"/>
      <w:lvlJc w:val="left"/>
      <w:pPr>
        <w:ind w:left="7044" w:hanging="656"/>
      </w:pPr>
      <w:rPr>
        <w:rFonts w:hint="default"/>
        <w:lang w:val="zh-CN" w:eastAsia="zh-CN" w:bidi="zh-CN"/>
      </w:rPr>
    </w:lvl>
    <w:lvl w:ilvl="8">
      <w:start w:val="0"/>
      <w:numFmt w:val="bullet"/>
      <w:lvlText w:val="•"/>
      <w:lvlJc w:val="left"/>
      <w:pPr>
        <w:ind w:left="7904" w:hanging="656"/>
      </w:pPr>
      <w:rPr>
        <w:rFonts w:hint="default"/>
        <w:lang w:val="zh-CN" w:eastAsia="zh-CN" w:bidi="zh-CN"/>
      </w:rPr>
    </w:lvl>
  </w:abstractNum>
  <w:abstractNum w:abstractNumId="9">
    <w:nsid w:val="13AB99BA"/>
    <w:multiLevelType w:val="hybridMultilevel"/>
    <w:tmpl w:val="00000000"/>
    <w:lvl w:ilvl="0">
      <w:start w:val="1"/>
      <w:numFmt w:val="decimal"/>
      <w:lvlText w:val="（%1）"/>
      <w:lvlJc w:val="left"/>
      <w:pPr>
        <w:ind w:left="1028" w:hanging="656"/>
        <w:jc w:val="left"/>
      </w:pPr>
      <w:rPr>
        <w:rFonts w:ascii="宋体" w:eastAsia="宋体" w:hAnsi="宋体" w:cs="宋体" w:hint="default"/>
        <w:color w:val="0000FF"/>
        <w:spacing w:val="-99"/>
        <w:w w:val="100"/>
        <w:sz w:val="24"/>
        <w:szCs w:val="24"/>
        <w:lang w:val="zh-CN" w:eastAsia="zh-CN" w:bidi="zh-CN"/>
      </w:rPr>
    </w:lvl>
    <w:lvl w:ilvl="1">
      <w:start w:val="0"/>
      <w:numFmt w:val="bullet"/>
      <w:lvlText w:val="•"/>
      <w:lvlJc w:val="left"/>
      <w:pPr>
        <w:ind w:left="1880" w:hanging="656"/>
      </w:pPr>
      <w:rPr>
        <w:rFonts w:hint="default"/>
        <w:lang w:val="zh-CN" w:eastAsia="zh-CN" w:bidi="zh-CN"/>
      </w:rPr>
    </w:lvl>
    <w:lvl w:ilvl="2">
      <w:start w:val="0"/>
      <w:numFmt w:val="bullet"/>
      <w:lvlText w:val="•"/>
      <w:lvlJc w:val="left"/>
      <w:pPr>
        <w:ind w:left="2741" w:hanging="656"/>
      </w:pPr>
      <w:rPr>
        <w:rFonts w:hint="default"/>
        <w:lang w:val="zh-CN" w:eastAsia="zh-CN" w:bidi="zh-CN"/>
      </w:rPr>
    </w:lvl>
    <w:lvl w:ilvl="3">
      <w:start w:val="0"/>
      <w:numFmt w:val="bullet"/>
      <w:lvlText w:val="•"/>
      <w:lvlJc w:val="left"/>
      <w:pPr>
        <w:ind w:left="3601" w:hanging="656"/>
      </w:pPr>
      <w:rPr>
        <w:rFonts w:hint="default"/>
        <w:lang w:val="zh-CN" w:eastAsia="zh-CN" w:bidi="zh-CN"/>
      </w:rPr>
    </w:lvl>
    <w:lvl w:ilvl="4">
      <w:start w:val="0"/>
      <w:numFmt w:val="bullet"/>
      <w:lvlText w:val="•"/>
      <w:lvlJc w:val="left"/>
      <w:pPr>
        <w:ind w:left="4462" w:hanging="656"/>
      </w:pPr>
      <w:rPr>
        <w:rFonts w:hint="default"/>
        <w:lang w:val="zh-CN" w:eastAsia="zh-CN" w:bidi="zh-CN"/>
      </w:rPr>
    </w:lvl>
    <w:lvl w:ilvl="5">
      <w:start w:val="0"/>
      <w:numFmt w:val="bullet"/>
      <w:lvlText w:val="•"/>
      <w:lvlJc w:val="left"/>
      <w:pPr>
        <w:ind w:left="5323" w:hanging="656"/>
      </w:pPr>
      <w:rPr>
        <w:rFonts w:hint="default"/>
        <w:lang w:val="zh-CN" w:eastAsia="zh-CN" w:bidi="zh-CN"/>
      </w:rPr>
    </w:lvl>
    <w:lvl w:ilvl="6">
      <w:start w:val="0"/>
      <w:numFmt w:val="bullet"/>
      <w:lvlText w:val="•"/>
      <w:lvlJc w:val="left"/>
      <w:pPr>
        <w:ind w:left="6183" w:hanging="656"/>
      </w:pPr>
      <w:rPr>
        <w:rFonts w:hint="default"/>
        <w:lang w:val="zh-CN" w:eastAsia="zh-CN" w:bidi="zh-CN"/>
      </w:rPr>
    </w:lvl>
    <w:lvl w:ilvl="7">
      <w:start w:val="0"/>
      <w:numFmt w:val="bullet"/>
      <w:lvlText w:val="•"/>
      <w:lvlJc w:val="left"/>
      <w:pPr>
        <w:ind w:left="7044" w:hanging="656"/>
      </w:pPr>
      <w:rPr>
        <w:rFonts w:hint="default"/>
        <w:lang w:val="zh-CN" w:eastAsia="zh-CN" w:bidi="zh-CN"/>
      </w:rPr>
    </w:lvl>
    <w:lvl w:ilvl="8">
      <w:start w:val="0"/>
      <w:numFmt w:val="bullet"/>
      <w:lvlText w:val="•"/>
      <w:lvlJc w:val="left"/>
      <w:pPr>
        <w:ind w:left="7904" w:hanging="656"/>
      </w:pPr>
      <w:rPr>
        <w:rFonts w:hint="default"/>
        <w:lang w:val="zh-CN" w:eastAsia="zh-CN" w:bidi="zh-CN"/>
      </w:rPr>
    </w:lvl>
  </w:abstractNum>
  <w:abstractNum w:abstractNumId="10">
    <w:nsid w:val="16816CE5"/>
    <w:multiLevelType w:val="hybridMultilevel"/>
    <w:tmpl w:val="00000000"/>
    <w:lvl w:ilvl="0">
      <w:start w:val="1"/>
      <w:numFmt w:val="decimal"/>
      <w:lvlText w:val="（%1）"/>
      <w:lvlJc w:val="left"/>
      <w:pPr>
        <w:ind w:left="2199" w:hanging="651"/>
        <w:jc w:val="left"/>
      </w:pPr>
      <w:rPr>
        <w:rFonts w:ascii="宋体" w:eastAsia="宋体" w:hAnsi="宋体" w:cs="宋体" w:hint="default"/>
        <w:spacing w:val="12"/>
        <w:w w:val="100"/>
        <w:sz w:val="24"/>
        <w:szCs w:val="24"/>
        <w:lang w:val="zh-CN" w:eastAsia="zh-CN" w:bidi="zh-CN"/>
      </w:rPr>
    </w:lvl>
    <w:lvl w:ilvl="1">
      <w:start w:val="0"/>
      <w:numFmt w:val="bullet"/>
      <w:lvlText w:val="•"/>
      <w:lvlJc w:val="left"/>
      <w:pPr>
        <w:ind w:left="2942" w:hanging="651"/>
      </w:pPr>
      <w:rPr>
        <w:rFonts w:hint="default"/>
        <w:lang w:val="zh-CN" w:eastAsia="zh-CN" w:bidi="zh-CN"/>
      </w:rPr>
    </w:lvl>
    <w:lvl w:ilvl="2">
      <w:start w:val="0"/>
      <w:numFmt w:val="bullet"/>
      <w:lvlText w:val="•"/>
      <w:lvlJc w:val="left"/>
      <w:pPr>
        <w:ind w:left="3685" w:hanging="651"/>
      </w:pPr>
      <w:rPr>
        <w:rFonts w:hint="default"/>
        <w:lang w:val="zh-CN" w:eastAsia="zh-CN" w:bidi="zh-CN"/>
      </w:rPr>
    </w:lvl>
    <w:lvl w:ilvl="3">
      <w:start w:val="0"/>
      <w:numFmt w:val="bullet"/>
      <w:lvlText w:val="•"/>
      <w:lvlJc w:val="left"/>
      <w:pPr>
        <w:ind w:left="4427" w:hanging="651"/>
      </w:pPr>
      <w:rPr>
        <w:rFonts w:hint="default"/>
        <w:lang w:val="zh-CN" w:eastAsia="zh-CN" w:bidi="zh-CN"/>
      </w:rPr>
    </w:lvl>
    <w:lvl w:ilvl="4">
      <w:start w:val="0"/>
      <w:numFmt w:val="bullet"/>
      <w:lvlText w:val="•"/>
      <w:lvlJc w:val="left"/>
      <w:pPr>
        <w:ind w:left="5170" w:hanging="651"/>
      </w:pPr>
      <w:rPr>
        <w:rFonts w:hint="default"/>
        <w:lang w:val="zh-CN" w:eastAsia="zh-CN" w:bidi="zh-CN"/>
      </w:rPr>
    </w:lvl>
    <w:lvl w:ilvl="5">
      <w:start w:val="0"/>
      <w:numFmt w:val="bullet"/>
      <w:lvlText w:val="•"/>
      <w:lvlJc w:val="left"/>
      <w:pPr>
        <w:ind w:left="5913" w:hanging="651"/>
      </w:pPr>
      <w:rPr>
        <w:rFonts w:hint="default"/>
        <w:lang w:val="zh-CN" w:eastAsia="zh-CN" w:bidi="zh-CN"/>
      </w:rPr>
    </w:lvl>
    <w:lvl w:ilvl="6">
      <w:start w:val="0"/>
      <w:numFmt w:val="bullet"/>
      <w:lvlText w:val="•"/>
      <w:lvlJc w:val="left"/>
      <w:pPr>
        <w:ind w:left="6655" w:hanging="651"/>
      </w:pPr>
      <w:rPr>
        <w:rFonts w:hint="default"/>
        <w:lang w:val="zh-CN" w:eastAsia="zh-CN" w:bidi="zh-CN"/>
      </w:rPr>
    </w:lvl>
    <w:lvl w:ilvl="7">
      <w:start w:val="0"/>
      <w:numFmt w:val="bullet"/>
      <w:lvlText w:val="•"/>
      <w:lvlJc w:val="left"/>
      <w:pPr>
        <w:ind w:left="7398" w:hanging="651"/>
      </w:pPr>
      <w:rPr>
        <w:rFonts w:hint="default"/>
        <w:lang w:val="zh-CN" w:eastAsia="zh-CN" w:bidi="zh-CN"/>
      </w:rPr>
    </w:lvl>
    <w:lvl w:ilvl="8">
      <w:start w:val="0"/>
      <w:numFmt w:val="bullet"/>
      <w:lvlText w:val="•"/>
      <w:lvlJc w:val="left"/>
      <w:pPr>
        <w:ind w:left="8140" w:hanging="651"/>
      </w:pPr>
      <w:rPr>
        <w:rFonts w:hint="default"/>
        <w:lang w:val="zh-CN" w:eastAsia="zh-CN" w:bidi="zh-CN"/>
      </w:rPr>
    </w:lvl>
  </w:abstractNum>
  <w:abstractNum w:abstractNumId="11">
    <w:nsid w:val="1FB8297D"/>
    <w:multiLevelType w:val="hybridMultilevel"/>
    <w:tmpl w:val="00000000"/>
    <w:lvl w:ilvl="0">
      <w:start w:val="1"/>
      <w:numFmt w:val="lowerLetter"/>
      <w:lvlText w:val="%1."/>
      <w:lvlJc w:val="left"/>
      <w:pPr>
        <w:ind w:left="1028" w:hanging="332"/>
        <w:jc w:val="left"/>
      </w:pPr>
      <w:rPr>
        <w:rFonts w:ascii="Times New Roman" w:eastAsia="Times New Roman" w:hAnsi="Times New Roman" w:cs="Times New Roman" w:hint="default"/>
        <w:color w:val="0000FF"/>
        <w:spacing w:val="-99"/>
        <w:w w:val="100"/>
        <w:sz w:val="24"/>
        <w:szCs w:val="24"/>
        <w:lang w:val="zh-CN" w:eastAsia="zh-CN" w:bidi="zh-CN"/>
      </w:rPr>
    </w:lvl>
    <w:lvl w:ilvl="1">
      <w:start w:val="0"/>
      <w:numFmt w:val="bullet"/>
      <w:lvlText w:val="•"/>
      <w:lvlJc w:val="left"/>
      <w:pPr>
        <w:ind w:left="1880" w:hanging="332"/>
      </w:pPr>
      <w:rPr>
        <w:rFonts w:hint="default"/>
        <w:lang w:val="zh-CN" w:eastAsia="zh-CN" w:bidi="zh-CN"/>
      </w:rPr>
    </w:lvl>
    <w:lvl w:ilvl="2">
      <w:start w:val="0"/>
      <w:numFmt w:val="bullet"/>
      <w:lvlText w:val="•"/>
      <w:lvlJc w:val="left"/>
      <w:pPr>
        <w:ind w:left="2741" w:hanging="332"/>
      </w:pPr>
      <w:rPr>
        <w:rFonts w:hint="default"/>
        <w:lang w:val="zh-CN" w:eastAsia="zh-CN" w:bidi="zh-CN"/>
      </w:rPr>
    </w:lvl>
    <w:lvl w:ilvl="3">
      <w:start w:val="0"/>
      <w:numFmt w:val="bullet"/>
      <w:lvlText w:val="•"/>
      <w:lvlJc w:val="left"/>
      <w:pPr>
        <w:ind w:left="3601" w:hanging="332"/>
      </w:pPr>
      <w:rPr>
        <w:rFonts w:hint="default"/>
        <w:lang w:val="zh-CN" w:eastAsia="zh-CN" w:bidi="zh-CN"/>
      </w:rPr>
    </w:lvl>
    <w:lvl w:ilvl="4">
      <w:start w:val="0"/>
      <w:numFmt w:val="bullet"/>
      <w:lvlText w:val="•"/>
      <w:lvlJc w:val="left"/>
      <w:pPr>
        <w:ind w:left="4462" w:hanging="332"/>
      </w:pPr>
      <w:rPr>
        <w:rFonts w:hint="default"/>
        <w:lang w:val="zh-CN" w:eastAsia="zh-CN" w:bidi="zh-CN"/>
      </w:rPr>
    </w:lvl>
    <w:lvl w:ilvl="5">
      <w:start w:val="0"/>
      <w:numFmt w:val="bullet"/>
      <w:lvlText w:val="•"/>
      <w:lvlJc w:val="left"/>
      <w:pPr>
        <w:ind w:left="5323" w:hanging="332"/>
      </w:pPr>
      <w:rPr>
        <w:rFonts w:hint="default"/>
        <w:lang w:val="zh-CN" w:eastAsia="zh-CN" w:bidi="zh-CN"/>
      </w:rPr>
    </w:lvl>
    <w:lvl w:ilvl="6">
      <w:start w:val="0"/>
      <w:numFmt w:val="bullet"/>
      <w:lvlText w:val="•"/>
      <w:lvlJc w:val="left"/>
      <w:pPr>
        <w:ind w:left="6183" w:hanging="332"/>
      </w:pPr>
      <w:rPr>
        <w:rFonts w:hint="default"/>
        <w:lang w:val="zh-CN" w:eastAsia="zh-CN" w:bidi="zh-CN"/>
      </w:rPr>
    </w:lvl>
    <w:lvl w:ilvl="7">
      <w:start w:val="0"/>
      <w:numFmt w:val="bullet"/>
      <w:lvlText w:val="•"/>
      <w:lvlJc w:val="left"/>
      <w:pPr>
        <w:ind w:left="7044" w:hanging="332"/>
      </w:pPr>
      <w:rPr>
        <w:rFonts w:hint="default"/>
        <w:lang w:val="zh-CN" w:eastAsia="zh-CN" w:bidi="zh-CN"/>
      </w:rPr>
    </w:lvl>
    <w:lvl w:ilvl="8">
      <w:start w:val="0"/>
      <w:numFmt w:val="bullet"/>
      <w:lvlText w:val="•"/>
      <w:lvlJc w:val="left"/>
      <w:pPr>
        <w:ind w:left="7904" w:hanging="332"/>
      </w:pPr>
      <w:rPr>
        <w:rFonts w:hint="default"/>
        <w:lang w:val="zh-CN" w:eastAsia="zh-CN" w:bidi="zh-CN"/>
      </w:rPr>
    </w:lvl>
  </w:abstractNum>
  <w:abstractNum w:abstractNumId="12">
    <w:nsid w:val="25D889ED"/>
    <w:multiLevelType w:val="hybridMultilevel"/>
    <w:tmpl w:val="00000000"/>
    <w:lvl w:ilvl="0">
      <w:start w:val="2"/>
      <w:numFmt w:val="decimal"/>
      <w:lvlText w:val="（%1）"/>
      <w:lvlJc w:val="left"/>
      <w:pPr>
        <w:ind w:left="1194"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61" w:hanging="601"/>
      </w:pPr>
      <w:rPr>
        <w:rFonts w:hint="default"/>
        <w:lang w:val="zh-CN" w:eastAsia="zh-CN" w:bidi="zh-CN"/>
      </w:rPr>
    </w:lvl>
    <w:lvl w:ilvl="2">
      <w:start w:val="0"/>
      <w:numFmt w:val="bullet"/>
      <w:lvlText w:val="•"/>
      <w:lvlJc w:val="left"/>
      <w:pPr>
        <w:ind w:left="2722" w:hanging="601"/>
      </w:pPr>
      <w:rPr>
        <w:rFonts w:hint="default"/>
        <w:lang w:val="zh-CN" w:eastAsia="zh-CN" w:bidi="zh-CN"/>
      </w:rPr>
    </w:lvl>
    <w:lvl w:ilvl="3">
      <w:start w:val="0"/>
      <w:numFmt w:val="bullet"/>
      <w:lvlText w:val="•"/>
      <w:lvlJc w:val="left"/>
      <w:pPr>
        <w:ind w:left="3483" w:hanging="601"/>
      </w:pPr>
      <w:rPr>
        <w:rFonts w:hint="default"/>
        <w:lang w:val="zh-CN" w:eastAsia="zh-CN" w:bidi="zh-CN"/>
      </w:rPr>
    </w:lvl>
    <w:lvl w:ilvl="4">
      <w:start w:val="0"/>
      <w:numFmt w:val="bullet"/>
      <w:lvlText w:val="•"/>
      <w:lvlJc w:val="left"/>
      <w:pPr>
        <w:ind w:left="4244" w:hanging="601"/>
      </w:pPr>
      <w:rPr>
        <w:rFonts w:hint="default"/>
        <w:lang w:val="zh-CN" w:eastAsia="zh-CN" w:bidi="zh-CN"/>
      </w:rPr>
    </w:lvl>
    <w:lvl w:ilvl="5">
      <w:start w:val="0"/>
      <w:numFmt w:val="bullet"/>
      <w:lvlText w:val="•"/>
      <w:lvlJc w:val="left"/>
      <w:pPr>
        <w:ind w:left="5005" w:hanging="601"/>
      </w:pPr>
      <w:rPr>
        <w:rFonts w:hint="default"/>
        <w:lang w:val="zh-CN" w:eastAsia="zh-CN" w:bidi="zh-CN"/>
      </w:rPr>
    </w:lvl>
    <w:lvl w:ilvl="6">
      <w:start w:val="0"/>
      <w:numFmt w:val="bullet"/>
      <w:lvlText w:val="•"/>
      <w:lvlJc w:val="left"/>
      <w:pPr>
        <w:ind w:left="5766" w:hanging="601"/>
      </w:pPr>
      <w:rPr>
        <w:rFonts w:hint="default"/>
        <w:lang w:val="zh-CN" w:eastAsia="zh-CN" w:bidi="zh-CN"/>
      </w:rPr>
    </w:lvl>
    <w:lvl w:ilvl="7">
      <w:start w:val="0"/>
      <w:numFmt w:val="bullet"/>
      <w:lvlText w:val="•"/>
      <w:lvlJc w:val="left"/>
      <w:pPr>
        <w:ind w:left="6527" w:hanging="601"/>
      </w:pPr>
      <w:rPr>
        <w:rFonts w:hint="default"/>
        <w:lang w:val="zh-CN" w:eastAsia="zh-CN" w:bidi="zh-CN"/>
      </w:rPr>
    </w:lvl>
    <w:lvl w:ilvl="8">
      <w:start w:val="0"/>
      <w:numFmt w:val="bullet"/>
      <w:lvlText w:val="•"/>
      <w:lvlJc w:val="left"/>
      <w:pPr>
        <w:ind w:left="7288" w:hanging="601"/>
      </w:pPr>
      <w:rPr>
        <w:rFonts w:hint="default"/>
        <w:lang w:val="zh-CN" w:eastAsia="zh-CN" w:bidi="zh-CN"/>
      </w:rPr>
    </w:lvl>
  </w:abstractNum>
  <w:abstractNum w:abstractNumId="13">
    <w:nsid w:val="27B7EBFD"/>
    <w:multiLevelType w:val="hybridMultilevel"/>
    <w:tmpl w:val="00000000"/>
    <w:lvl w:ilvl="0">
      <w:start w:val="3"/>
      <w:numFmt w:val="decimal"/>
      <w:lvlText w:val="（%1）"/>
      <w:lvlJc w:val="left"/>
      <w:pPr>
        <w:ind w:left="1101"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734" w:hanging="601"/>
      </w:pPr>
      <w:rPr>
        <w:rFonts w:hint="default"/>
        <w:lang w:val="zh-CN" w:eastAsia="zh-CN" w:bidi="zh-CN"/>
      </w:rPr>
    </w:lvl>
    <w:lvl w:ilvl="2">
      <w:start w:val="0"/>
      <w:numFmt w:val="bullet"/>
      <w:lvlText w:val="•"/>
      <w:lvlJc w:val="left"/>
      <w:pPr>
        <w:ind w:left="2368" w:hanging="601"/>
      </w:pPr>
      <w:rPr>
        <w:rFonts w:hint="default"/>
        <w:lang w:val="zh-CN" w:eastAsia="zh-CN" w:bidi="zh-CN"/>
      </w:rPr>
    </w:lvl>
    <w:lvl w:ilvl="3">
      <w:start w:val="0"/>
      <w:numFmt w:val="bullet"/>
      <w:lvlText w:val="•"/>
      <w:lvlJc w:val="left"/>
      <w:pPr>
        <w:ind w:left="3003" w:hanging="601"/>
      </w:pPr>
      <w:rPr>
        <w:rFonts w:hint="default"/>
        <w:lang w:val="zh-CN" w:eastAsia="zh-CN" w:bidi="zh-CN"/>
      </w:rPr>
    </w:lvl>
    <w:lvl w:ilvl="4">
      <w:start w:val="0"/>
      <w:numFmt w:val="bullet"/>
      <w:lvlText w:val="•"/>
      <w:lvlJc w:val="left"/>
      <w:pPr>
        <w:ind w:left="3637" w:hanging="601"/>
      </w:pPr>
      <w:rPr>
        <w:rFonts w:hint="default"/>
        <w:lang w:val="zh-CN" w:eastAsia="zh-CN" w:bidi="zh-CN"/>
      </w:rPr>
    </w:lvl>
    <w:lvl w:ilvl="5">
      <w:start w:val="0"/>
      <w:numFmt w:val="bullet"/>
      <w:lvlText w:val="•"/>
      <w:lvlJc w:val="left"/>
      <w:pPr>
        <w:ind w:left="4272" w:hanging="601"/>
      </w:pPr>
      <w:rPr>
        <w:rFonts w:hint="default"/>
        <w:lang w:val="zh-CN" w:eastAsia="zh-CN" w:bidi="zh-CN"/>
      </w:rPr>
    </w:lvl>
    <w:lvl w:ilvl="6">
      <w:start w:val="0"/>
      <w:numFmt w:val="bullet"/>
      <w:lvlText w:val="•"/>
      <w:lvlJc w:val="left"/>
      <w:pPr>
        <w:ind w:left="4906" w:hanging="601"/>
      </w:pPr>
      <w:rPr>
        <w:rFonts w:hint="default"/>
        <w:lang w:val="zh-CN" w:eastAsia="zh-CN" w:bidi="zh-CN"/>
      </w:rPr>
    </w:lvl>
    <w:lvl w:ilvl="7">
      <w:start w:val="0"/>
      <w:numFmt w:val="bullet"/>
      <w:lvlText w:val="•"/>
      <w:lvlJc w:val="left"/>
      <w:pPr>
        <w:ind w:left="5540" w:hanging="601"/>
      </w:pPr>
      <w:rPr>
        <w:rFonts w:hint="default"/>
        <w:lang w:val="zh-CN" w:eastAsia="zh-CN" w:bidi="zh-CN"/>
      </w:rPr>
    </w:lvl>
    <w:lvl w:ilvl="8">
      <w:start w:val="0"/>
      <w:numFmt w:val="bullet"/>
      <w:lvlText w:val="•"/>
      <w:lvlJc w:val="left"/>
      <w:pPr>
        <w:ind w:left="6175" w:hanging="601"/>
      </w:pPr>
      <w:rPr>
        <w:rFonts w:hint="default"/>
        <w:lang w:val="zh-CN" w:eastAsia="zh-CN" w:bidi="zh-CN"/>
      </w:rPr>
    </w:lvl>
  </w:abstractNum>
  <w:abstractNum w:abstractNumId="14">
    <w:nsid w:val="28747D74"/>
    <w:multiLevelType w:val="hybridMultilevel"/>
    <w:tmpl w:val="00000000"/>
    <w:lvl w:ilvl="0">
      <w:start w:val="1"/>
      <w:numFmt w:val="decimal"/>
      <w:lvlText w:val="（%1）"/>
      <w:lvlJc w:val="left"/>
      <w:pPr>
        <w:ind w:left="2000" w:hanging="552"/>
        <w:jc w:val="left"/>
      </w:pPr>
      <w:rPr>
        <w:rFonts w:ascii="宋体" w:eastAsia="宋体" w:hAnsi="宋体" w:cs="宋体" w:hint="default"/>
        <w:color w:val="999999"/>
        <w:spacing w:val="2"/>
        <w:w w:val="99"/>
        <w:sz w:val="19"/>
        <w:szCs w:val="19"/>
        <w:lang w:val="zh-CN" w:eastAsia="zh-CN" w:bidi="zh-CN"/>
      </w:rPr>
    </w:lvl>
    <w:lvl w:ilvl="1">
      <w:start w:val="1"/>
      <w:numFmt w:val="lowerLetter"/>
      <w:lvlText w:val="%2."/>
      <w:lvlJc w:val="left"/>
      <w:pPr>
        <w:ind w:left="1028" w:hanging="332"/>
        <w:jc w:val="left"/>
      </w:pPr>
      <w:rPr>
        <w:rFonts w:ascii="Times New Roman" w:eastAsia="Times New Roman" w:hAnsi="Times New Roman" w:cs="Times New Roman" w:hint="default"/>
        <w:color w:val="0000FF"/>
        <w:spacing w:val="-96"/>
        <w:w w:val="100"/>
        <w:sz w:val="24"/>
        <w:szCs w:val="24"/>
        <w:lang w:val="zh-CN" w:eastAsia="zh-CN" w:bidi="zh-CN"/>
      </w:rPr>
    </w:lvl>
    <w:lvl w:ilvl="2">
      <w:start w:val="0"/>
      <w:numFmt w:val="bullet"/>
      <w:lvlText w:val="•"/>
      <w:lvlJc w:val="left"/>
      <w:pPr>
        <w:ind w:left="2847" w:hanging="332"/>
      </w:pPr>
      <w:rPr>
        <w:rFonts w:hint="default"/>
        <w:lang w:val="zh-CN" w:eastAsia="zh-CN" w:bidi="zh-CN"/>
      </w:rPr>
    </w:lvl>
    <w:lvl w:ilvl="3">
      <w:start w:val="0"/>
      <w:numFmt w:val="bullet"/>
      <w:lvlText w:val="•"/>
      <w:lvlJc w:val="left"/>
      <w:pPr>
        <w:ind w:left="3694" w:hanging="332"/>
      </w:pPr>
      <w:rPr>
        <w:rFonts w:hint="default"/>
        <w:lang w:val="zh-CN" w:eastAsia="zh-CN" w:bidi="zh-CN"/>
      </w:rPr>
    </w:lvl>
    <w:lvl w:ilvl="4">
      <w:start w:val="0"/>
      <w:numFmt w:val="bullet"/>
      <w:lvlText w:val="•"/>
      <w:lvlJc w:val="left"/>
      <w:pPr>
        <w:ind w:left="4542" w:hanging="332"/>
      </w:pPr>
      <w:rPr>
        <w:rFonts w:hint="default"/>
        <w:lang w:val="zh-CN" w:eastAsia="zh-CN" w:bidi="zh-CN"/>
      </w:rPr>
    </w:lvl>
    <w:lvl w:ilvl="5">
      <w:start w:val="0"/>
      <w:numFmt w:val="bullet"/>
      <w:lvlText w:val="•"/>
      <w:lvlJc w:val="left"/>
      <w:pPr>
        <w:ind w:left="5389" w:hanging="332"/>
      </w:pPr>
      <w:rPr>
        <w:rFonts w:hint="default"/>
        <w:lang w:val="zh-CN" w:eastAsia="zh-CN" w:bidi="zh-CN"/>
      </w:rPr>
    </w:lvl>
    <w:lvl w:ilvl="6">
      <w:start w:val="0"/>
      <w:numFmt w:val="bullet"/>
      <w:lvlText w:val="•"/>
      <w:lvlJc w:val="left"/>
      <w:pPr>
        <w:ind w:left="6236" w:hanging="332"/>
      </w:pPr>
      <w:rPr>
        <w:rFonts w:hint="default"/>
        <w:lang w:val="zh-CN" w:eastAsia="zh-CN" w:bidi="zh-CN"/>
      </w:rPr>
    </w:lvl>
    <w:lvl w:ilvl="7">
      <w:start w:val="0"/>
      <w:numFmt w:val="bullet"/>
      <w:lvlText w:val="•"/>
      <w:lvlJc w:val="left"/>
      <w:pPr>
        <w:ind w:left="7084" w:hanging="332"/>
      </w:pPr>
      <w:rPr>
        <w:rFonts w:hint="default"/>
        <w:lang w:val="zh-CN" w:eastAsia="zh-CN" w:bidi="zh-CN"/>
      </w:rPr>
    </w:lvl>
    <w:lvl w:ilvl="8">
      <w:start w:val="0"/>
      <w:numFmt w:val="bullet"/>
      <w:lvlText w:val="•"/>
      <w:lvlJc w:val="left"/>
      <w:pPr>
        <w:ind w:left="7931" w:hanging="332"/>
      </w:pPr>
      <w:rPr>
        <w:rFonts w:hint="default"/>
        <w:lang w:val="zh-CN" w:eastAsia="zh-CN" w:bidi="zh-CN"/>
      </w:rPr>
    </w:lvl>
  </w:abstractNum>
  <w:abstractNum w:abstractNumId="15">
    <w:nsid w:val="2B25E232"/>
    <w:multiLevelType w:val="hybridMultilevel"/>
    <w:tmpl w:val="00000000"/>
    <w:lvl w:ilvl="0">
      <w:start w:val="2"/>
      <w:numFmt w:val="decimal"/>
      <w:lvlText w:val="（%1）"/>
      <w:lvlJc w:val="left"/>
      <w:pPr>
        <w:ind w:left="113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280" w:hanging="601"/>
      </w:pPr>
      <w:rPr>
        <w:rFonts w:hint="default"/>
        <w:lang w:val="zh-CN" w:eastAsia="zh-CN" w:bidi="zh-CN"/>
      </w:rPr>
    </w:lvl>
    <w:lvl w:ilvl="2">
      <w:start w:val="0"/>
      <w:numFmt w:val="bullet"/>
      <w:lvlText w:val="•"/>
      <w:lvlJc w:val="left"/>
      <w:pPr>
        <w:ind w:left="1983" w:hanging="601"/>
      </w:pPr>
      <w:rPr>
        <w:rFonts w:hint="default"/>
        <w:lang w:val="zh-CN" w:eastAsia="zh-CN" w:bidi="zh-CN"/>
      </w:rPr>
    </w:lvl>
    <w:lvl w:ilvl="3">
      <w:start w:val="0"/>
      <w:numFmt w:val="bullet"/>
      <w:lvlText w:val="•"/>
      <w:lvlJc w:val="left"/>
      <w:pPr>
        <w:ind w:left="2686" w:hanging="601"/>
      </w:pPr>
      <w:rPr>
        <w:rFonts w:hint="default"/>
        <w:lang w:val="zh-CN" w:eastAsia="zh-CN" w:bidi="zh-CN"/>
      </w:rPr>
    </w:lvl>
    <w:lvl w:ilvl="4">
      <w:start w:val="0"/>
      <w:numFmt w:val="bullet"/>
      <w:lvlText w:val="•"/>
      <w:lvlJc w:val="left"/>
      <w:pPr>
        <w:ind w:left="3389" w:hanging="601"/>
      </w:pPr>
      <w:rPr>
        <w:rFonts w:hint="default"/>
        <w:lang w:val="zh-CN" w:eastAsia="zh-CN" w:bidi="zh-CN"/>
      </w:rPr>
    </w:lvl>
    <w:lvl w:ilvl="5">
      <w:start w:val="0"/>
      <w:numFmt w:val="bullet"/>
      <w:lvlText w:val="•"/>
      <w:lvlJc w:val="left"/>
      <w:pPr>
        <w:ind w:left="4092" w:hanging="601"/>
      </w:pPr>
      <w:rPr>
        <w:rFonts w:hint="default"/>
        <w:lang w:val="zh-CN" w:eastAsia="zh-CN" w:bidi="zh-CN"/>
      </w:rPr>
    </w:lvl>
    <w:lvl w:ilvl="6">
      <w:start w:val="0"/>
      <w:numFmt w:val="bullet"/>
      <w:lvlText w:val="•"/>
      <w:lvlJc w:val="left"/>
      <w:pPr>
        <w:ind w:left="4795" w:hanging="601"/>
      </w:pPr>
      <w:rPr>
        <w:rFonts w:hint="default"/>
        <w:lang w:val="zh-CN" w:eastAsia="zh-CN" w:bidi="zh-CN"/>
      </w:rPr>
    </w:lvl>
    <w:lvl w:ilvl="7">
      <w:start w:val="0"/>
      <w:numFmt w:val="bullet"/>
      <w:lvlText w:val="•"/>
      <w:lvlJc w:val="left"/>
      <w:pPr>
        <w:ind w:left="5498" w:hanging="601"/>
      </w:pPr>
      <w:rPr>
        <w:rFonts w:hint="default"/>
        <w:lang w:val="zh-CN" w:eastAsia="zh-CN" w:bidi="zh-CN"/>
      </w:rPr>
    </w:lvl>
    <w:lvl w:ilvl="8">
      <w:start w:val="0"/>
      <w:numFmt w:val="bullet"/>
      <w:lvlText w:val="•"/>
      <w:lvlJc w:val="left"/>
      <w:pPr>
        <w:ind w:left="6201" w:hanging="601"/>
      </w:pPr>
      <w:rPr>
        <w:rFonts w:hint="default"/>
        <w:lang w:val="zh-CN" w:eastAsia="zh-CN" w:bidi="zh-CN"/>
      </w:rPr>
    </w:lvl>
  </w:abstractNum>
  <w:abstractNum w:abstractNumId="16">
    <w:nsid w:val="2B710F91"/>
    <w:multiLevelType w:val="hybridMultilevel"/>
    <w:tmpl w:val="00000000"/>
    <w:lvl w:ilvl="0">
      <w:start w:val="1"/>
      <w:numFmt w:val="upperLetter"/>
      <w:lvlText w:val="%1."/>
      <w:lvlJc w:val="left"/>
      <w:pPr>
        <w:ind w:left="1800" w:hanging="252"/>
        <w:jc w:val="left"/>
      </w:pPr>
      <w:rPr>
        <w:rFonts w:ascii="Times New Roman" w:eastAsia="Times New Roman" w:hAnsi="Times New Roman" w:cs="Times New Roman" w:hint="default"/>
        <w:spacing w:val="6"/>
        <w:w w:val="100"/>
        <w:sz w:val="22"/>
        <w:szCs w:val="22"/>
        <w:lang w:val="zh-CN" w:eastAsia="zh-CN" w:bidi="zh-CN"/>
      </w:rPr>
    </w:lvl>
    <w:lvl w:ilvl="1">
      <w:start w:val="0"/>
      <w:numFmt w:val="bullet"/>
      <w:lvlText w:val="•"/>
      <w:lvlJc w:val="left"/>
      <w:pPr>
        <w:ind w:left="2582" w:hanging="252"/>
      </w:pPr>
      <w:rPr>
        <w:rFonts w:hint="default"/>
        <w:lang w:val="zh-CN" w:eastAsia="zh-CN" w:bidi="zh-CN"/>
      </w:rPr>
    </w:lvl>
    <w:lvl w:ilvl="2">
      <w:start w:val="0"/>
      <w:numFmt w:val="bullet"/>
      <w:lvlText w:val="•"/>
      <w:lvlJc w:val="left"/>
      <w:pPr>
        <w:ind w:left="3365" w:hanging="252"/>
      </w:pPr>
      <w:rPr>
        <w:rFonts w:hint="default"/>
        <w:lang w:val="zh-CN" w:eastAsia="zh-CN" w:bidi="zh-CN"/>
      </w:rPr>
    </w:lvl>
    <w:lvl w:ilvl="3">
      <w:start w:val="0"/>
      <w:numFmt w:val="bullet"/>
      <w:lvlText w:val="•"/>
      <w:lvlJc w:val="left"/>
      <w:pPr>
        <w:ind w:left="4147" w:hanging="252"/>
      </w:pPr>
      <w:rPr>
        <w:rFonts w:hint="default"/>
        <w:lang w:val="zh-CN" w:eastAsia="zh-CN" w:bidi="zh-CN"/>
      </w:rPr>
    </w:lvl>
    <w:lvl w:ilvl="4">
      <w:start w:val="0"/>
      <w:numFmt w:val="bullet"/>
      <w:lvlText w:val="•"/>
      <w:lvlJc w:val="left"/>
      <w:pPr>
        <w:ind w:left="4930" w:hanging="252"/>
      </w:pPr>
      <w:rPr>
        <w:rFonts w:hint="default"/>
        <w:lang w:val="zh-CN" w:eastAsia="zh-CN" w:bidi="zh-CN"/>
      </w:rPr>
    </w:lvl>
    <w:lvl w:ilvl="5">
      <w:start w:val="0"/>
      <w:numFmt w:val="bullet"/>
      <w:lvlText w:val="•"/>
      <w:lvlJc w:val="left"/>
      <w:pPr>
        <w:ind w:left="5713" w:hanging="252"/>
      </w:pPr>
      <w:rPr>
        <w:rFonts w:hint="default"/>
        <w:lang w:val="zh-CN" w:eastAsia="zh-CN" w:bidi="zh-CN"/>
      </w:rPr>
    </w:lvl>
    <w:lvl w:ilvl="6">
      <w:start w:val="0"/>
      <w:numFmt w:val="bullet"/>
      <w:lvlText w:val="•"/>
      <w:lvlJc w:val="left"/>
      <w:pPr>
        <w:ind w:left="6495" w:hanging="252"/>
      </w:pPr>
      <w:rPr>
        <w:rFonts w:hint="default"/>
        <w:lang w:val="zh-CN" w:eastAsia="zh-CN" w:bidi="zh-CN"/>
      </w:rPr>
    </w:lvl>
    <w:lvl w:ilvl="7">
      <w:start w:val="0"/>
      <w:numFmt w:val="bullet"/>
      <w:lvlText w:val="•"/>
      <w:lvlJc w:val="left"/>
      <w:pPr>
        <w:ind w:left="7278" w:hanging="252"/>
      </w:pPr>
      <w:rPr>
        <w:rFonts w:hint="default"/>
        <w:lang w:val="zh-CN" w:eastAsia="zh-CN" w:bidi="zh-CN"/>
      </w:rPr>
    </w:lvl>
    <w:lvl w:ilvl="8">
      <w:start w:val="0"/>
      <w:numFmt w:val="bullet"/>
      <w:lvlText w:val="•"/>
      <w:lvlJc w:val="left"/>
      <w:pPr>
        <w:ind w:left="8060" w:hanging="252"/>
      </w:pPr>
      <w:rPr>
        <w:rFonts w:hint="default"/>
        <w:lang w:val="zh-CN" w:eastAsia="zh-CN" w:bidi="zh-CN"/>
      </w:rPr>
    </w:lvl>
  </w:abstractNum>
  <w:abstractNum w:abstractNumId="17">
    <w:nsid w:val="2BD1A12C"/>
    <w:multiLevelType w:val="hybridMultilevel"/>
    <w:tmpl w:val="00000000"/>
    <w:lvl w:ilvl="0">
      <w:start w:val="1"/>
      <w:numFmt w:val="lowerLetter"/>
      <w:lvlText w:val="%1."/>
      <w:lvlJc w:val="left"/>
      <w:pPr>
        <w:ind w:left="1028" w:hanging="332"/>
        <w:jc w:val="left"/>
      </w:pPr>
      <w:rPr>
        <w:rFonts w:ascii="Times New Roman" w:eastAsia="Times New Roman" w:hAnsi="Times New Roman" w:cs="Times New Roman" w:hint="default"/>
        <w:color w:val="0000FF"/>
        <w:spacing w:val="-99"/>
        <w:w w:val="100"/>
        <w:sz w:val="24"/>
        <w:szCs w:val="24"/>
        <w:lang w:val="zh-CN" w:eastAsia="zh-CN" w:bidi="zh-CN"/>
      </w:rPr>
    </w:lvl>
    <w:lvl w:ilvl="1">
      <w:start w:val="0"/>
      <w:numFmt w:val="bullet"/>
      <w:lvlText w:val="•"/>
      <w:lvlJc w:val="left"/>
      <w:pPr>
        <w:ind w:left="1880" w:hanging="332"/>
      </w:pPr>
      <w:rPr>
        <w:rFonts w:hint="default"/>
        <w:lang w:val="zh-CN" w:eastAsia="zh-CN" w:bidi="zh-CN"/>
      </w:rPr>
    </w:lvl>
    <w:lvl w:ilvl="2">
      <w:start w:val="0"/>
      <w:numFmt w:val="bullet"/>
      <w:lvlText w:val="•"/>
      <w:lvlJc w:val="left"/>
      <w:pPr>
        <w:ind w:left="2741" w:hanging="332"/>
      </w:pPr>
      <w:rPr>
        <w:rFonts w:hint="default"/>
        <w:lang w:val="zh-CN" w:eastAsia="zh-CN" w:bidi="zh-CN"/>
      </w:rPr>
    </w:lvl>
    <w:lvl w:ilvl="3">
      <w:start w:val="0"/>
      <w:numFmt w:val="bullet"/>
      <w:lvlText w:val="•"/>
      <w:lvlJc w:val="left"/>
      <w:pPr>
        <w:ind w:left="3601" w:hanging="332"/>
      </w:pPr>
      <w:rPr>
        <w:rFonts w:hint="default"/>
        <w:lang w:val="zh-CN" w:eastAsia="zh-CN" w:bidi="zh-CN"/>
      </w:rPr>
    </w:lvl>
    <w:lvl w:ilvl="4">
      <w:start w:val="0"/>
      <w:numFmt w:val="bullet"/>
      <w:lvlText w:val="•"/>
      <w:lvlJc w:val="left"/>
      <w:pPr>
        <w:ind w:left="4462" w:hanging="332"/>
      </w:pPr>
      <w:rPr>
        <w:rFonts w:hint="default"/>
        <w:lang w:val="zh-CN" w:eastAsia="zh-CN" w:bidi="zh-CN"/>
      </w:rPr>
    </w:lvl>
    <w:lvl w:ilvl="5">
      <w:start w:val="0"/>
      <w:numFmt w:val="bullet"/>
      <w:lvlText w:val="•"/>
      <w:lvlJc w:val="left"/>
      <w:pPr>
        <w:ind w:left="5323" w:hanging="332"/>
      </w:pPr>
      <w:rPr>
        <w:rFonts w:hint="default"/>
        <w:lang w:val="zh-CN" w:eastAsia="zh-CN" w:bidi="zh-CN"/>
      </w:rPr>
    </w:lvl>
    <w:lvl w:ilvl="6">
      <w:start w:val="0"/>
      <w:numFmt w:val="bullet"/>
      <w:lvlText w:val="•"/>
      <w:lvlJc w:val="left"/>
      <w:pPr>
        <w:ind w:left="6183" w:hanging="332"/>
      </w:pPr>
      <w:rPr>
        <w:rFonts w:hint="default"/>
        <w:lang w:val="zh-CN" w:eastAsia="zh-CN" w:bidi="zh-CN"/>
      </w:rPr>
    </w:lvl>
    <w:lvl w:ilvl="7">
      <w:start w:val="0"/>
      <w:numFmt w:val="bullet"/>
      <w:lvlText w:val="•"/>
      <w:lvlJc w:val="left"/>
      <w:pPr>
        <w:ind w:left="7044" w:hanging="332"/>
      </w:pPr>
      <w:rPr>
        <w:rFonts w:hint="default"/>
        <w:lang w:val="zh-CN" w:eastAsia="zh-CN" w:bidi="zh-CN"/>
      </w:rPr>
    </w:lvl>
    <w:lvl w:ilvl="8">
      <w:start w:val="0"/>
      <w:numFmt w:val="bullet"/>
      <w:lvlText w:val="•"/>
      <w:lvlJc w:val="left"/>
      <w:pPr>
        <w:ind w:left="7904" w:hanging="332"/>
      </w:pPr>
      <w:rPr>
        <w:rFonts w:hint="default"/>
        <w:lang w:val="zh-CN" w:eastAsia="zh-CN" w:bidi="zh-CN"/>
      </w:rPr>
    </w:lvl>
  </w:abstractNum>
  <w:abstractNum w:abstractNumId="18">
    <w:nsid w:val="314C0758"/>
    <w:multiLevelType w:val="hybridMultilevel"/>
    <w:tmpl w:val="00000000"/>
    <w:lvl w:ilvl="0">
      <w:start w:val="1"/>
      <w:numFmt w:val="decimal"/>
      <w:lvlText w:val="（%1）"/>
      <w:lvlJc w:val="left"/>
      <w:pPr>
        <w:ind w:left="111" w:hanging="656"/>
        <w:jc w:val="left"/>
      </w:pPr>
      <w:rPr>
        <w:rFonts w:ascii="宋体" w:eastAsia="宋体" w:hAnsi="宋体" w:cs="宋体" w:hint="default"/>
        <w:spacing w:val="-99"/>
        <w:w w:val="100"/>
        <w:sz w:val="24"/>
        <w:szCs w:val="24"/>
        <w:lang w:val="zh-CN" w:eastAsia="zh-CN" w:bidi="zh-CN"/>
      </w:rPr>
    </w:lvl>
    <w:lvl w:ilvl="1">
      <w:start w:val="0"/>
      <w:numFmt w:val="bullet"/>
      <w:lvlText w:val="•"/>
      <w:lvlJc w:val="left"/>
      <w:pPr>
        <w:ind w:left="952" w:hanging="656"/>
      </w:pPr>
      <w:rPr>
        <w:rFonts w:hint="default"/>
        <w:lang w:val="zh-CN" w:eastAsia="zh-CN" w:bidi="zh-CN"/>
      </w:rPr>
    </w:lvl>
    <w:lvl w:ilvl="2">
      <w:start w:val="0"/>
      <w:numFmt w:val="bullet"/>
      <w:lvlText w:val="•"/>
      <w:lvlJc w:val="left"/>
      <w:pPr>
        <w:ind w:left="1784" w:hanging="656"/>
      </w:pPr>
      <w:rPr>
        <w:rFonts w:hint="default"/>
        <w:lang w:val="zh-CN" w:eastAsia="zh-CN" w:bidi="zh-CN"/>
      </w:rPr>
    </w:lvl>
    <w:lvl w:ilvl="3">
      <w:start w:val="0"/>
      <w:numFmt w:val="bullet"/>
      <w:lvlText w:val="•"/>
      <w:lvlJc w:val="left"/>
      <w:pPr>
        <w:ind w:left="2616" w:hanging="656"/>
      </w:pPr>
      <w:rPr>
        <w:rFonts w:hint="default"/>
        <w:lang w:val="zh-CN" w:eastAsia="zh-CN" w:bidi="zh-CN"/>
      </w:rPr>
    </w:lvl>
    <w:lvl w:ilvl="4">
      <w:start w:val="0"/>
      <w:numFmt w:val="bullet"/>
      <w:lvlText w:val="•"/>
      <w:lvlJc w:val="left"/>
      <w:pPr>
        <w:ind w:left="3448" w:hanging="656"/>
      </w:pPr>
      <w:rPr>
        <w:rFonts w:hint="default"/>
        <w:lang w:val="zh-CN" w:eastAsia="zh-CN" w:bidi="zh-CN"/>
      </w:rPr>
    </w:lvl>
    <w:lvl w:ilvl="5">
      <w:start w:val="0"/>
      <w:numFmt w:val="bullet"/>
      <w:lvlText w:val="•"/>
      <w:lvlJc w:val="left"/>
      <w:pPr>
        <w:ind w:left="4281" w:hanging="656"/>
      </w:pPr>
      <w:rPr>
        <w:rFonts w:hint="default"/>
        <w:lang w:val="zh-CN" w:eastAsia="zh-CN" w:bidi="zh-CN"/>
      </w:rPr>
    </w:lvl>
    <w:lvl w:ilvl="6">
      <w:start w:val="0"/>
      <w:numFmt w:val="bullet"/>
      <w:lvlText w:val="•"/>
      <w:lvlJc w:val="left"/>
      <w:pPr>
        <w:ind w:left="5113" w:hanging="656"/>
      </w:pPr>
      <w:rPr>
        <w:rFonts w:hint="default"/>
        <w:lang w:val="zh-CN" w:eastAsia="zh-CN" w:bidi="zh-CN"/>
      </w:rPr>
    </w:lvl>
    <w:lvl w:ilvl="7">
      <w:start w:val="0"/>
      <w:numFmt w:val="bullet"/>
      <w:lvlText w:val="•"/>
      <w:lvlJc w:val="left"/>
      <w:pPr>
        <w:ind w:left="5945" w:hanging="656"/>
      </w:pPr>
      <w:rPr>
        <w:rFonts w:hint="default"/>
        <w:lang w:val="zh-CN" w:eastAsia="zh-CN" w:bidi="zh-CN"/>
      </w:rPr>
    </w:lvl>
    <w:lvl w:ilvl="8">
      <w:start w:val="0"/>
      <w:numFmt w:val="bullet"/>
      <w:lvlText w:val="•"/>
      <w:lvlJc w:val="left"/>
      <w:pPr>
        <w:ind w:left="6777" w:hanging="656"/>
      </w:pPr>
      <w:rPr>
        <w:rFonts w:hint="default"/>
        <w:lang w:val="zh-CN" w:eastAsia="zh-CN" w:bidi="zh-CN"/>
      </w:rPr>
    </w:lvl>
  </w:abstractNum>
  <w:abstractNum w:abstractNumId="19">
    <w:nsid w:val="31B2A8A1"/>
    <w:multiLevelType w:val="hybridMultilevel"/>
    <w:tmpl w:val="00000000"/>
    <w:lvl w:ilvl="0">
      <w:start w:val="1"/>
      <w:numFmt w:val="lowerLetter"/>
      <w:lvlText w:val="%1."/>
      <w:lvlJc w:val="left"/>
      <w:pPr>
        <w:ind w:left="1028" w:hanging="332"/>
        <w:jc w:val="left"/>
      </w:pPr>
      <w:rPr>
        <w:rFonts w:ascii="Times New Roman" w:eastAsia="Times New Roman" w:hAnsi="Times New Roman" w:cs="Times New Roman" w:hint="default"/>
        <w:color w:val="0000FF"/>
        <w:spacing w:val="-96"/>
        <w:w w:val="100"/>
        <w:sz w:val="24"/>
        <w:szCs w:val="24"/>
        <w:lang w:val="zh-CN" w:eastAsia="zh-CN" w:bidi="zh-CN"/>
      </w:rPr>
    </w:lvl>
    <w:lvl w:ilvl="1">
      <w:start w:val="0"/>
      <w:numFmt w:val="bullet"/>
      <w:lvlText w:val="•"/>
      <w:lvlJc w:val="left"/>
      <w:pPr>
        <w:ind w:left="1880" w:hanging="332"/>
      </w:pPr>
      <w:rPr>
        <w:rFonts w:hint="default"/>
        <w:lang w:val="zh-CN" w:eastAsia="zh-CN" w:bidi="zh-CN"/>
      </w:rPr>
    </w:lvl>
    <w:lvl w:ilvl="2">
      <w:start w:val="0"/>
      <w:numFmt w:val="bullet"/>
      <w:lvlText w:val="•"/>
      <w:lvlJc w:val="left"/>
      <w:pPr>
        <w:ind w:left="2741" w:hanging="332"/>
      </w:pPr>
      <w:rPr>
        <w:rFonts w:hint="default"/>
        <w:lang w:val="zh-CN" w:eastAsia="zh-CN" w:bidi="zh-CN"/>
      </w:rPr>
    </w:lvl>
    <w:lvl w:ilvl="3">
      <w:start w:val="0"/>
      <w:numFmt w:val="bullet"/>
      <w:lvlText w:val="•"/>
      <w:lvlJc w:val="left"/>
      <w:pPr>
        <w:ind w:left="3601" w:hanging="332"/>
      </w:pPr>
      <w:rPr>
        <w:rFonts w:hint="default"/>
        <w:lang w:val="zh-CN" w:eastAsia="zh-CN" w:bidi="zh-CN"/>
      </w:rPr>
    </w:lvl>
    <w:lvl w:ilvl="4">
      <w:start w:val="0"/>
      <w:numFmt w:val="bullet"/>
      <w:lvlText w:val="•"/>
      <w:lvlJc w:val="left"/>
      <w:pPr>
        <w:ind w:left="4462" w:hanging="332"/>
      </w:pPr>
      <w:rPr>
        <w:rFonts w:hint="default"/>
        <w:lang w:val="zh-CN" w:eastAsia="zh-CN" w:bidi="zh-CN"/>
      </w:rPr>
    </w:lvl>
    <w:lvl w:ilvl="5">
      <w:start w:val="0"/>
      <w:numFmt w:val="bullet"/>
      <w:lvlText w:val="•"/>
      <w:lvlJc w:val="left"/>
      <w:pPr>
        <w:ind w:left="5323" w:hanging="332"/>
      </w:pPr>
      <w:rPr>
        <w:rFonts w:hint="default"/>
        <w:lang w:val="zh-CN" w:eastAsia="zh-CN" w:bidi="zh-CN"/>
      </w:rPr>
    </w:lvl>
    <w:lvl w:ilvl="6">
      <w:start w:val="0"/>
      <w:numFmt w:val="bullet"/>
      <w:lvlText w:val="•"/>
      <w:lvlJc w:val="left"/>
      <w:pPr>
        <w:ind w:left="6183" w:hanging="332"/>
      </w:pPr>
      <w:rPr>
        <w:rFonts w:hint="default"/>
        <w:lang w:val="zh-CN" w:eastAsia="zh-CN" w:bidi="zh-CN"/>
      </w:rPr>
    </w:lvl>
    <w:lvl w:ilvl="7">
      <w:start w:val="0"/>
      <w:numFmt w:val="bullet"/>
      <w:lvlText w:val="•"/>
      <w:lvlJc w:val="left"/>
      <w:pPr>
        <w:ind w:left="7044" w:hanging="332"/>
      </w:pPr>
      <w:rPr>
        <w:rFonts w:hint="default"/>
        <w:lang w:val="zh-CN" w:eastAsia="zh-CN" w:bidi="zh-CN"/>
      </w:rPr>
    </w:lvl>
    <w:lvl w:ilvl="8">
      <w:start w:val="0"/>
      <w:numFmt w:val="bullet"/>
      <w:lvlText w:val="•"/>
      <w:lvlJc w:val="left"/>
      <w:pPr>
        <w:ind w:left="7904" w:hanging="332"/>
      </w:pPr>
      <w:rPr>
        <w:rFonts w:hint="default"/>
        <w:lang w:val="zh-CN" w:eastAsia="zh-CN" w:bidi="zh-CN"/>
      </w:rPr>
    </w:lvl>
  </w:abstractNum>
  <w:abstractNum w:abstractNumId="20">
    <w:nsid w:val="337DF0D8"/>
    <w:multiLevelType w:val="hybridMultilevel"/>
    <w:tmpl w:val="00000000"/>
    <w:lvl w:ilvl="0">
      <w:start w:val="1"/>
      <w:numFmt w:val="decimal"/>
      <w:lvlText w:val="（%1）"/>
      <w:lvlJc w:val="left"/>
      <w:pPr>
        <w:ind w:left="1028" w:hanging="656"/>
        <w:jc w:val="left"/>
      </w:pPr>
      <w:rPr>
        <w:rFonts w:ascii="宋体" w:eastAsia="宋体" w:hAnsi="宋体" w:cs="宋体" w:hint="default"/>
        <w:spacing w:val="-99"/>
        <w:w w:val="100"/>
        <w:sz w:val="24"/>
        <w:szCs w:val="24"/>
        <w:lang w:val="zh-CN" w:eastAsia="zh-CN" w:bidi="zh-CN"/>
      </w:rPr>
    </w:lvl>
    <w:lvl w:ilvl="1">
      <w:start w:val="0"/>
      <w:numFmt w:val="bullet"/>
      <w:lvlText w:val="•"/>
      <w:lvlJc w:val="left"/>
      <w:pPr>
        <w:ind w:left="1880" w:hanging="656"/>
      </w:pPr>
      <w:rPr>
        <w:rFonts w:hint="default"/>
        <w:lang w:val="zh-CN" w:eastAsia="zh-CN" w:bidi="zh-CN"/>
      </w:rPr>
    </w:lvl>
    <w:lvl w:ilvl="2">
      <w:start w:val="0"/>
      <w:numFmt w:val="bullet"/>
      <w:lvlText w:val="•"/>
      <w:lvlJc w:val="left"/>
      <w:pPr>
        <w:ind w:left="2741" w:hanging="656"/>
      </w:pPr>
      <w:rPr>
        <w:rFonts w:hint="default"/>
        <w:lang w:val="zh-CN" w:eastAsia="zh-CN" w:bidi="zh-CN"/>
      </w:rPr>
    </w:lvl>
    <w:lvl w:ilvl="3">
      <w:start w:val="0"/>
      <w:numFmt w:val="bullet"/>
      <w:lvlText w:val="•"/>
      <w:lvlJc w:val="left"/>
      <w:pPr>
        <w:ind w:left="3601" w:hanging="656"/>
      </w:pPr>
      <w:rPr>
        <w:rFonts w:hint="default"/>
        <w:lang w:val="zh-CN" w:eastAsia="zh-CN" w:bidi="zh-CN"/>
      </w:rPr>
    </w:lvl>
    <w:lvl w:ilvl="4">
      <w:start w:val="0"/>
      <w:numFmt w:val="bullet"/>
      <w:lvlText w:val="•"/>
      <w:lvlJc w:val="left"/>
      <w:pPr>
        <w:ind w:left="4462" w:hanging="656"/>
      </w:pPr>
      <w:rPr>
        <w:rFonts w:hint="default"/>
        <w:lang w:val="zh-CN" w:eastAsia="zh-CN" w:bidi="zh-CN"/>
      </w:rPr>
    </w:lvl>
    <w:lvl w:ilvl="5">
      <w:start w:val="0"/>
      <w:numFmt w:val="bullet"/>
      <w:lvlText w:val="•"/>
      <w:lvlJc w:val="left"/>
      <w:pPr>
        <w:ind w:left="5323" w:hanging="656"/>
      </w:pPr>
      <w:rPr>
        <w:rFonts w:hint="default"/>
        <w:lang w:val="zh-CN" w:eastAsia="zh-CN" w:bidi="zh-CN"/>
      </w:rPr>
    </w:lvl>
    <w:lvl w:ilvl="6">
      <w:start w:val="0"/>
      <w:numFmt w:val="bullet"/>
      <w:lvlText w:val="•"/>
      <w:lvlJc w:val="left"/>
      <w:pPr>
        <w:ind w:left="6183" w:hanging="656"/>
      </w:pPr>
      <w:rPr>
        <w:rFonts w:hint="default"/>
        <w:lang w:val="zh-CN" w:eastAsia="zh-CN" w:bidi="zh-CN"/>
      </w:rPr>
    </w:lvl>
    <w:lvl w:ilvl="7">
      <w:start w:val="0"/>
      <w:numFmt w:val="bullet"/>
      <w:lvlText w:val="•"/>
      <w:lvlJc w:val="left"/>
      <w:pPr>
        <w:ind w:left="7044" w:hanging="656"/>
      </w:pPr>
      <w:rPr>
        <w:rFonts w:hint="default"/>
        <w:lang w:val="zh-CN" w:eastAsia="zh-CN" w:bidi="zh-CN"/>
      </w:rPr>
    </w:lvl>
    <w:lvl w:ilvl="8">
      <w:start w:val="0"/>
      <w:numFmt w:val="bullet"/>
      <w:lvlText w:val="•"/>
      <w:lvlJc w:val="left"/>
      <w:pPr>
        <w:ind w:left="7904" w:hanging="656"/>
      </w:pPr>
      <w:rPr>
        <w:rFonts w:hint="default"/>
        <w:lang w:val="zh-CN" w:eastAsia="zh-CN" w:bidi="zh-CN"/>
      </w:rPr>
    </w:lvl>
  </w:abstractNum>
  <w:abstractNum w:abstractNumId="21">
    <w:nsid w:val="343205A7"/>
    <w:multiLevelType w:val="hybridMultilevel"/>
    <w:tmpl w:val="00000000"/>
    <w:lvl w:ilvl="0">
      <w:start w:val="3"/>
      <w:numFmt w:val="decimal"/>
      <w:lvlText w:val="（%1）"/>
      <w:lvlJc w:val="left"/>
      <w:pPr>
        <w:ind w:left="2199" w:hanging="651"/>
        <w:jc w:val="left"/>
      </w:pPr>
      <w:rPr>
        <w:rFonts w:ascii="宋体" w:eastAsia="宋体" w:hAnsi="宋体" w:cs="宋体" w:hint="default"/>
        <w:spacing w:val="12"/>
        <w:w w:val="100"/>
        <w:sz w:val="24"/>
        <w:szCs w:val="24"/>
        <w:lang w:val="zh-CN" w:eastAsia="zh-CN" w:bidi="zh-CN"/>
      </w:rPr>
    </w:lvl>
    <w:lvl w:ilvl="1">
      <w:start w:val="0"/>
      <w:numFmt w:val="bullet"/>
      <w:lvlText w:val="•"/>
      <w:lvlJc w:val="left"/>
      <w:pPr>
        <w:ind w:left="2942" w:hanging="651"/>
      </w:pPr>
      <w:rPr>
        <w:rFonts w:hint="default"/>
        <w:lang w:val="zh-CN" w:eastAsia="zh-CN" w:bidi="zh-CN"/>
      </w:rPr>
    </w:lvl>
    <w:lvl w:ilvl="2">
      <w:start w:val="0"/>
      <w:numFmt w:val="bullet"/>
      <w:lvlText w:val="•"/>
      <w:lvlJc w:val="left"/>
      <w:pPr>
        <w:ind w:left="3685" w:hanging="651"/>
      </w:pPr>
      <w:rPr>
        <w:rFonts w:hint="default"/>
        <w:lang w:val="zh-CN" w:eastAsia="zh-CN" w:bidi="zh-CN"/>
      </w:rPr>
    </w:lvl>
    <w:lvl w:ilvl="3">
      <w:start w:val="0"/>
      <w:numFmt w:val="bullet"/>
      <w:lvlText w:val="•"/>
      <w:lvlJc w:val="left"/>
      <w:pPr>
        <w:ind w:left="4427" w:hanging="651"/>
      </w:pPr>
      <w:rPr>
        <w:rFonts w:hint="default"/>
        <w:lang w:val="zh-CN" w:eastAsia="zh-CN" w:bidi="zh-CN"/>
      </w:rPr>
    </w:lvl>
    <w:lvl w:ilvl="4">
      <w:start w:val="0"/>
      <w:numFmt w:val="bullet"/>
      <w:lvlText w:val="•"/>
      <w:lvlJc w:val="left"/>
      <w:pPr>
        <w:ind w:left="5170" w:hanging="651"/>
      </w:pPr>
      <w:rPr>
        <w:rFonts w:hint="default"/>
        <w:lang w:val="zh-CN" w:eastAsia="zh-CN" w:bidi="zh-CN"/>
      </w:rPr>
    </w:lvl>
    <w:lvl w:ilvl="5">
      <w:start w:val="0"/>
      <w:numFmt w:val="bullet"/>
      <w:lvlText w:val="•"/>
      <w:lvlJc w:val="left"/>
      <w:pPr>
        <w:ind w:left="5913" w:hanging="651"/>
      </w:pPr>
      <w:rPr>
        <w:rFonts w:hint="default"/>
        <w:lang w:val="zh-CN" w:eastAsia="zh-CN" w:bidi="zh-CN"/>
      </w:rPr>
    </w:lvl>
    <w:lvl w:ilvl="6">
      <w:start w:val="0"/>
      <w:numFmt w:val="bullet"/>
      <w:lvlText w:val="•"/>
      <w:lvlJc w:val="left"/>
      <w:pPr>
        <w:ind w:left="6655" w:hanging="651"/>
      </w:pPr>
      <w:rPr>
        <w:rFonts w:hint="default"/>
        <w:lang w:val="zh-CN" w:eastAsia="zh-CN" w:bidi="zh-CN"/>
      </w:rPr>
    </w:lvl>
    <w:lvl w:ilvl="7">
      <w:start w:val="0"/>
      <w:numFmt w:val="bullet"/>
      <w:lvlText w:val="•"/>
      <w:lvlJc w:val="left"/>
      <w:pPr>
        <w:ind w:left="7398" w:hanging="651"/>
      </w:pPr>
      <w:rPr>
        <w:rFonts w:hint="default"/>
        <w:lang w:val="zh-CN" w:eastAsia="zh-CN" w:bidi="zh-CN"/>
      </w:rPr>
    </w:lvl>
    <w:lvl w:ilvl="8">
      <w:start w:val="0"/>
      <w:numFmt w:val="bullet"/>
      <w:lvlText w:val="•"/>
      <w:lvlJc w:val="left"/>
      <w:pPr>
        <w:ind w:left="8140" w:hanging="651"/>
      </w:pPr>
      <w:rPr>
        <w:rFonts w:hint="default"/>
        <w:lang w:val="zh-CN" w:eastAsia="zh-CN" w:bidi="zh-CN"/>
      </w:rPr>
    </w:lvl>
  </w:abstractNum>
  <w:abstractNum w:abstractNumId="22">
    <w:nsid w:val="3B7AA3BE"/>
    <w:multiLevelType w:val="hybridMultilevel"/>
    <w:tmpl w:val="00000000"/>
    <w:lvl w:ilvl="0">
      <w:start w:val="1"/>
      <w:numFmt w:val="lowerLetter"/>
      <w:lvlText w:val="%1."/>
      <w:lvlJc w:val="left"/>
      <w:pPr>
        <w:ind w:left="1923" w:hanging="375"/>
        <w:jc w:val="left"/>
      </w:pPr>
      <w:rPr>
        <w:rFonts w:ascii="Times New Roman" w:eastAsia="Times New Roman" w:hAnsi="Times New Roman" w:cs="Times New Roman" w:hint="default"/>
        <w:color w:val="0000FF"/>
        <w:spacing w:val="-53"/>
        <w:w w:val="100"/>
        <w:sz w:val="24"/>
        <w:szCs w:val="24"/>
        <w:lang w:val="zh-CN" w:eastAsia="zh-CN" w:bidi="zh-CN"/>
      </w:rPr>
    </w:lvl>
    <w:lvl w:ilvl="1">
      <w:start w:val="0"/>
      <w:numFmt w:val="bullet"/>
      <w:lvlText w:val="•"/>
      <w:lvlJc w:val="left"/>
      <w:pPr>
        <w:ind w:left="2690" w:hanging="375"/>
      </w:pPr>
      <w:rPr>
        <w:rFonts w:hint="default"/>
        <w:lang w:val="zh-CN" w:eastAsia="zh-CN" w:bidi="zh-CN"/>
      </w:rPr>
    </w:lvl>
    <w:lvl w:ilvl="2">
      <w:start w:val="0"/>
      <w:numFmt w:val="bullet"/>
      <w:lvlText w:val="•"/>
      <w:lvlJc w:val="left"/>
      <w:pPr>
        <w:ind w:left="3461" w:hanging="375"/>
      </w:pPr>
      <w:rPr>
        <w:rFonts w:hint="default"/>
        <w:lang w:val="zh-CN" w:eastAsia="zh-CN" w:bidi="zh-CN"/>
      </w:rPr>
    </w:lvl>
    <w:lvl w:ilvl="3">
      <w:start w:val="0"/>
      <w:numFmt w:val="bullet"/>
      <w:lvlText w:val="•"/>
      <w:lvlJc w:val="left"/>
      <w:pPr>
        <w:ind w:left="4231" w:hanging="375"/>
      </w:pPr>
      <w:rPr>
        <w:rFonts w:hint="default"/>
        <w:lang w:val="zh-CN" w:eastAsia="zh-CN" w:bidi="zh-CN"/>
      </w:rPr>
    </w:lvl>
    <w:lvl w:ilvl="4">
      <w:start w:val="0"/>
      <w:numFmt w:val="bullet"/>
      <w:lvlText w:val="•"/>
      <w:lvlJc w:val="left"/>
      <w:pPr>
        <w:ind w:left="5002" w:hanging="375"/>
      </w:pPr>
      <w:rPr>
        <w:rFonts w:hint="default"/>
        <w:lang w:val="zh-CN" w:eastAsia="zh-CN" w:bidi="zh-CN"/>
      </w:rPr>
    </w:lvl>
    <w:lvl w:ilvl="5">
      <w:start w:val="0"/>
      <w:numFmt w:val="bullet"/>
      <w:lvlText w:val="•"/>
      <w:lvlJc w:val="left"/>
      <w:pPr>
        <w:ind w:left="5773" w:hanging="375"/>
      </w:pPr>
      <w:rPr>
        <w:rFonts w:hint="default"/>
        <w:lang w:val="zh-CN" w:eastAsia="zh-CN" w:bidi="zh-CN"/>
      </w:rPr>
    </w:lvl>
    <w:lvl w:ilvl="6">
      <w:start w:val="0"/>
      <w:numFmt w:val="bullet"/>
      <w:lvlText w:val="•"/>
      <w:lvlJc w:val="left"/>
      <w:pPr>
        <w:ind w:left="6543" w:hanging="375"/>
      </w:pPr>
      <w:rPr>
        <w:rFonts w:hint="default"/>
        <w:lang w:val="zh-CN" w:eastAsia="zh-CN" w:bidi="zh-CN"/>
      </w:rPr>
    </w:lvl>
    <w:lvl w:ilvl="7">
      <w:start w:val="0"/>
      <w:numFmt w:val="bullet"/>
      <w:lvlText w:val="•"/>
      <w:lvlJc w:val="left"/>
      <w:pPr>
        <w:ind w:left="7314" w:hanging="375"/>
      </w:pPr>
      <w:rPr>
        <w:rFonts w:hint="default"/>
        <w:lang w:val="zh-CN" w:eastAsia="zh-CN" w:bidi="zh-CN"/>
      </w:rPr>
    </w:lvl>
    <w:lvl w:ilvl="8">
      <w:start w:val="0"/>
      <w:numFmt w:val="bullet"/>
      <w:lvlText w:val="•"/>
      <w:lvlJc w:val="left"/>
      <w:pPr>
        <w:ind w:left="8084" w:hanging="375"/>
      </w:pPr>
      <w:rPr>
        <w:rFonts w:hint="default"/>
        <w:lang w:val="zh-CN" w:eastAsia="zh-CN" w:bidi="zh-CN"/>
      </w:rPr>
    </w:lvl>
  </w:abstractNum>
  <w:abstractNum w:abstractNumId="23">
    <w:nsid w:val="46B74E1C"/>
    <w:multiLevelType w:val="hybridMultilevel"/>
    <w:tmpl w:val="00000000"/>
    <w:lvl w:ilvl="0">
      <w:start w:val="1"/>
      <w:numFmt w:val="lowerLetter"/>
      <w:lvlText w:val="%1."/>
      <w:lvlJc w:val="left"/>
      <w:pPr>
        <w:ind w:left="1028" w:hanging="332"/>
        <w:jc w:val="left"/>
      </w:pPr>
      <w:rPr>
        <w:rFonts w:ascii="Times New Roman" w:eastAsia="Times New Roman" w:hAnsi="Times New Roman" w:cs="Times New Roman" w:hint="default"/>
        <w:color w:val="0000FF"/>
        <w:spacing w:val="-99"/>
        <w:w w:val="100"/>
        <w:sz w:val="24"/>
        <w:szCs w:val="24"/>
        <w:lang w:val="zh-CN" w:eastAsia="zh-CN" w:bidi="zh-CN"/>
      </w:rPr>
    </w:lvl>
    <w:lvl w:ilvl="1">
      <w:start w:val="0"/>
      <w:numFmt w:val="bullet"/>
      <w:lvlText w:val="•"/>
      <w:lvlJc w:val="left"/>
      <w:pPr>
        <w:ind w:left="1880" w:hanging="332"/>
      </w:pPr>
      <w:rPr>
        <w:rFonts w:hint="default"/>
        <w:lang w:val="zh-CN" w:eastAsia="zh-CN" w:bidi="zh-CN"/>
      </w:rPr>
    </w:lvl>
    <w:lvl w:ilvl="2">
      <w:start w:val="0"/>
      <w:numFmt w:val="bullet"/>
      <w:lvlText w:val="•"/>
      <w:lvlJc w:val="left"/>
      <w:pPr>
        <w:ind w:left="2741" w:hanging="332"/>
      </w:pPr>
      <w:rPr>
        <w:rFonts w:hint="default"/>
        <w:lang w:val="zh-CN" w:eastAsia="zh-CN" w:bidi="zh-CN"/>
      </w:rPr>
    </w:lvl>
    <w:lvl w:ilvl="3">
      <w:start w:val="0"/>
      <w:numFmt w:val="bullet"/>
      <w:lvlText w:val="•"/>
      <w:lvlJc w:val="left"/>
      <w:pPr>
        <w:ind w:left="3601" w:hanging="332"/>
      </w:pPr>
      <w:rPr>
        <w:rFonts w:hint="default"/>
        <w:lang w:val="zh-CN" w:eastAsia="zh-CN" w:bidi="zh-CN"/>
      </w:rPr>
    </w:lvl>
    <w:lvl w:ilvl="4">
      <w:start w:val="0"/>
      <w:numFmt w:val="bullet"/>
      <w:lvlText w:val="•"/>
      <w:lvlJc w:val="left"/>
      <w:pPr>
        <w:ind w:left="4462" w:hanging="332"/>
      </w:pPr>
      <w:rPr>
        <w:rFonts w:hint="default"/>
        <w:lang w:val="zh-CN" w:eastAsia="zh-CN" w:bidi="zh-CN"/>
      </w:rPr>
    </w:lvl>
    <w:lvl w:ilvl="5">
      <w:start w:val="0"/>
      <w:numFmt w:val="bullet"/>
      <w:lvlText w:val="•"/>
      <w:lvlJc w:val="left"/>
      <w:pPr>
        <w:ind w:left="5323" w:hanging="332"/>
      </w:pPr>
      <w:rPr>
        <w:rFonts w:hint="default"/>
        <w:lang w:val="zh-CN" w:eastAsia="zh-CN" w:bidi="zh-CN"/>
      </w:rPr>
    </w:lvl>
    <w:lvl w:ilvl="6">
      <w:start w:val="0"/>
      <w:numFmt w:val="bullet"/>
      <w:lvlText w:val="•"/>
      <w:lvlJc w:val="left"/>
      <w:pPr>
        <w:ind w:left="6183" w:hanging="332"/>
      </w:pPr>
      <w:rPr>
        <w:rFonts w:hint="default"/>
        <w:lang w:val="zh-CN" w:eastAsia="zh-CN" w:bidi="zh-CN"/>
      </w:rPr>
    </w:lvl>
    <w:lvl w:ilvl="7">
      <w:start w:val="0"/>
      <w:numFmt w:val="bullet"/>
      <w:lvlText w:val="•"/>
      <w:lvlJc w:val="left"/>
      <w:pPr>
        <w:ind w:left="7044" w:hanging="332"/>
      </w:pPr>
      <w:rPr>
        <w:rFonts w:hint="default"/>
        <w:lang w:val="zh-CN" w:eastAsia="zh-CN" w:bidi="zh-CN"/>
      </w:rPr>
    </w:lvl>
    <w:lvl w:ilvl="8">
      <w:start w:val="0"/>
      <w:numFmt w:val="bullet"/>
      <w:lvlText w:val="•"/>
      <w:lvlJc w:val="left"/>
      <w:pPr>
        <w:ind w:left="7904" w:hanging="332"/>
      </w:pPr>
      <w:rPr>
        <w:rFonts w:hint="default"/>
        <w:lang w:val="zh-CN" w:eastAsia="zh-CN" w:bidi="zh-CN"/>
      </w:rPr>
    </w:lvl>
  </w:abstractNum>
  <w:abstractNum w:abstractNumId="24">
    <w:nsid w:val="4CA67FB8"/>
    <w:multiLevelType w:val="hybridMultilevel"/>
    <w:tmpl w:val="00000000"/>
    <w:lvl w:ilvl="0">
      <w:start w:val="1"/>
      <w:numFmt w:val="decimal"/>
      <w:lvlText w:val="（%1）"/>
      <w:lvlJc w:val="left"/>
      <w:pPr>
        <w:ind w:left="1028" w:hanging="656"/>
        <w:jc w:val="left"/>
      </w:pPr>
      <w:rPr>
        <w:rFonts w:ascii="宋体" w:eastAsia="宋体" w:hAnsi="宋体" w:cs="宋体" w:hint="default"/>
        <w:spacing w:val="-99"/>
        <w:w w:val="100"/>
        <w:sz w:val="24"/>
        <w:szCs w:val="24"/>
        <w:lang w:val="zh-CN" w:eastAsia="zh-CN" w:bidi="zh-CN"/>
      </w:rPr>
    </w:lvl>
    <w:lvl w:ilvl="1">
      <w:start w:val="0"/>
      <w:numFmt w:val="bullet"/>
      <w:lvlText w:val="•"/>
      <w:lvlJc w:val="left"/>
      <w:pPr>
        <w:ind w:left="1880" w:hanging="656"/>
      </w:pPr>
      <w:rPr>
        <w:rFonts w:hint="default"/>
        <w:lang w:val="zh-CN" w:eastAsia="zh-CN" w:bidi="zh-CN"/>
      </w:rPr>
    </w:lvl>
    <w:lvl w:ilvl="2">
      <w:start w:val="0"/>
      <w:numFmt w:val="bullet"/>
      <w:lvlText w:val="•"/>
      <w:lvlJc w:val="left"/>
      <w:pPr>
        <w:ind w:left="2741" w:hanging="656"/>
      </w:pPr>
      <w:rPr>
        <w:rFonts w:hint="default"/>
        <w:lang w:val="zh-CN" w:eastAsia="zh-CN" w:bidi="zh-CN"/>
      </w:rPr>
    </w:lvl>
    <w:lvl w:ilvl="3">
      <w:start w:val="0"/>
      <w:numFmt w:val="bullet"/>
      <w:lvlText w:val="•"/>
      <w:lvlJc w:val="left"/>
      <w:pPr>
        <w:ind w:left="3601" w:hanging="656"/>
      </w:pPr>
      <w:rPr>
        <w:rFonts w:hint="default"/>
        <w:lang w:val="zh-CN" w:eastAsia="zh-CN" w:bidi="zh-CN"/>
      </w:rPr>
    </w:lvl>
    <w:lvl w:ilvl="4">
      <w:start w:val="0"/>
      <w:numFmt w:val="bullet"/>
      <w:lvlText w:val="•"/>
      <w:lvlJc w:val="left"/>
      <w:pPr>
        <w:ind w:left="4462" w:hanging="656"/>
      </w:pPr>
      <w:rPr>
        <w:rFonts w:hint="default"/>
        <w:lang w:val="zh-CN" w:eastAsia="zh-CN" w:bidi="zh-CN"/>
      </w:rPr>
    </w:lvl>
    <w:lvl w:ilvl="5">
      <w:start w:val="0"/>
      <w:numFmt w:val="bullet"/>
      <w:lvlText w:val="•"/>
      <w:lvlJc w:val="left"/>
      <w:pPr>
        <w:ind w:left="5323" w:hanging="656"/>
      </w:pPr>
      <w:rPr>
        <w:rFonts w:hint="default"/>
        <w:lang w:val="zh-CN" w:eastAsia="zh-CN" w:bidi="zh-CN"/>
      </w:rPr>
    </w:lvl>
    <w:lvl w:ilvl="6">
      <w:start w:val="0"/>
      <w:numFmt w:val="bullet"/>
      <w:lvlText w:val="•"/>
      <w:lvlJc w:val="left"/>
      <w:pPr>
        <w:ind w:left="6183" w:hanging="656"/>
      </w:pPr>
      <w:rPr>
        <w:rFonts w:hint="default"/>
        <w:lang w:val="zh-CN" w:eastAsia="zh-CN" w:bidi="zh-CN"/>
      </w:rPr>
    </w:lvl>
    <w:lvl w:ilvl="7">
      <w:start w:val="0"/>
      <w:numFmt w:val="bullet"/>
      <w:lvlText w:val="•"/>
      <w:lvlJc w:val="left"/>
      <w:pPr>
        <w:ind w:left="7044" w:hanging="656"/>
      </w:pPr>
      <w:rPr>
        <w:rFonts w:hint="default"/>
        <w:lang w:val="zh-CN" w:eastAsia="zh-CN" w:bidi="zh-CN"/>
      </w:rPr>
    </w:lvl>
    <w:lvl w:ilvl="8">
      <w:start w:val="0"/>
      <w:numFmt w:val="bullet"/>
      <w:lvlText w:val="•"/>
      <w:lvlJc w:val="left"/>
      <w:pPr>
        <w:ind w:left="7904" w:hanging="656"/>
      </w:pPr>
      <w:rPr>
        <w:rFonts w:hint="default"/>
        <w:lang w:val="zh-CN" w:eastAsia="zh-CN" w:bidi="zh-CN"/>
      </w:rPr>
    </w:lvl>
  </w:abstractNum>
  <w:abstractNum w:abstractNumId="25">
    <w:nsid w:val="51D70153"/>
    <w:multiLevelType w:val="hybridMultilevel"/>
    <w:tmpl w:val="00000000"/>
    <w:lvl w:ilvl="0">
      <w:start w:val="1"/>
      <w:numFmt w:val="lowerLetter"/>
      <w:lvlText w:val="%1."/>
      <w:lvlJc w:val="left"/>
      <w:pPr>
        <w:ind w:left="870" w:hanging="279"/>
        <w:jc w:val="left"/>
      </w:pPr>
      <w:rPr>
        <w:rFonts w:ascii="宋体" w:eastAsia="宋体" w:hAnsi="宋体" w:cs="宋体" w:hint="default"/>
        <w:w w:val="100"/>
        <w:sz w:val="24"/>
        <w:szCs w:val="24"/>
        <w:lang w:val="zh-CN" w:eastAsia="zh-CN" w:bidi="zh-CN"/>
      </w:rPr>
    </w:lvl>
    <w:lvl w:ilvl="1">
      <w:start w:val="0"/>
      <w:numFmt w:val="bullet"/>
      <w:lvlText w:val="•"/>
      <w:lvlJc w:val="left"/>
      <w:pPr>
        <w:ind w:left="1552" w:hanging="279"/>
      </w:pPr>
      <w:rPr>
        <w:rFonts w:hint="default"/>
        <w:lang w:val="zh-CN" w:eastAsia="zh-CN" w:bidi="zh-CN"/>
      </w:rPr>
    </w:lvl>
    <w:lvl w:ilvl="2">
      <w:start w:val="0"/>
      <w:numFmt w:val="bullet"/>
      <w:lvlText w:val="•"/>
      <w:lvlJc w:val="left"/>
      <w:pPr>
        <w:ind w:left="2225" w:hanging="279"/>
      </w:pPr>
      <w:rPr>
        <w:rFonts w:hint="default"/>
        <w:lang w:val="zh-CN" w:eastAsia="zh-CN" w:bidi="zh-CN"/>
      </w:rPr>
    </w:lvl>
    <w:lvl w:ilvl="3">
      <w:start w:val="0"/>
      <w:numFmt w:val="bullet"/>
      <w:lvlText w:val="•"/>
      <w:lvlJc w:val="left"/>
      <w:pPr>
        <w:ind w:left="2898" w:hanging="279"/>
      </w:pPr>
      <w:rPr>
        <w:rFonts w:hint="default"/>
        <w:lang w:val="zh-CN" w:eastAsia="zh-CN" w:bidi="zh-CN"/>
      </w:rPr>
    </w:lvl>
    <w:lvl w:ilvl="4">
      <w:start w:val="0"/>
      <w:numFmt w:val="bullet"/>
      <w:lvlText w:val="•"/>
      <w:lvlJc w:val="left"/>
      <w:pPr>
        <w:ind w:left="3570" w:hanging="279"/>
      </w:pPr>
      <w:rPr>
        <w:rFonts w:hint="default"/>
        <w:lang w:val="zh-CN" w:eastAsia="zh-CN" w:bidi="zh-CN"/>
      </w:rPr>
    </w:lvl>
    <w:lvl w:ilvl="5">
      <w:start w:val="0"/>
      <w:numFmt w:val="bullet"/>
      <w:lvlText w:val="•"/>
      <w:lvlJc w:val="left"/>
      <w:pPr>
        <w:ind w:left="4243" w:hanging="279"/>
      </w:pPr>
      <w:rPr>
        <w:rFonts w:hint="default"/>
        <w:lang w:val="zh-CN" w:eastAsia="zh-CN" w:bidi="zh-CN"/>
      </w:rPr>
    </w:lvl>
    <w:lvl w:ilvl="6">
      <w:start w:val="0"/>
      <w:numFmt w:val="bullet"/>
      <w:lvlText w:val="•"/>
      <w:lvlJc w:val="left"/>
      <w:pPr>
        <w:ind w:left="4916" w:hanging="279"/>
      </w:pPr>
      <w:rPr>
        <w:rFonts w:hint="default"/>
        <w:lang w:val="zh-CN" w:eastAsia="zh-CN" w:bidi="zh-CN"/>
      </w:rPr>
    </w:lvl>
    <w:lvl w:ilvl="7">
      <w:start w:val="0"/>
      <w:numFmt w:val="bullet"/>
      <w:lvlText w:val="•"/>
      <w:lvlJc w:val="left"/>
      <w:pPr>
        <w:ind w:left="5588" w:hanging="279"/>
      </w:pPr>
      <w:rPr>
        <w:rFonts w:hint="default"/>
        <w:lang w:val="zh-CN" w:eastAsia="zh-CN" w:bidi="zh-CN"/>
      </w:rPr>
    </w:lvl>
    <w:lvl w:ilvl="8">
      <w:start w:val="0"/>
      <w:numFmt w:val="bullet"/>
      <w:lvlText w:val="•"/>
      <w:lvlJc w:val="left"/>
      <w:pPr>
        <w:ind w:left="6261" w:hanging="279"/>
      </w:pPr>
      <w:rPr>
        <w:rFonts w:hint="default"/>
        <w:lang w:val="zh-CN" w:eastAsia="zh-CN" w:bidi="zh-CN"/>
      </w:rPr>
    </w:lvl>
  </w:abstractNum>
  <w:abstractNum w:abstractNumId="26">
    <w:nsid w:val="5590A5D9"/>
    <w:multiLevelType w:val="hybridMultilevel"/>
    <w:tmpl w:val="00000000"/>
    <w:lvl w:ilvl="0">
      <w:start w:val="1"/>
      <w:numFmt w:val="lowerLetter"/>
      <w:lvlText w:val="%1."/>
      <w:lvlJc w:val="left"/>
      <w:pPr>
        <w:ind w:left="111" w:hanging="241"/>
        <w:jc w:val="left"/>
      </w:pPr>
      <w:rPr>
        <w:rFonts w:ascii="宋体" w:eastAsia="宋体" w:hAnsi="宋体" w:cs="宋体" w:hint="default"/>
        <w:spacing w:val="-17"/>
        <w:w w:val="100"/>
        <w:sz w:val="22"/>
        <w:szCs w:val="22"/>
        <w:lang w:val="zh-CN" w:eastAsia="zh-CN" w:bidi="zh-CN"/>
      </w:rPr>
    </w:lvl>
    <w:lvl w:ilvl="1">
      <w:start w:val="0"/>
      <w:numFmt w:val="bullet"/>
      <w:lvlText w:val="•"/>
      <w:lvlJc w:val="left"/>
      <w:pPr>
        <w:ind w:left="868" w:hanging="241"/>
      </w:pPr>
      <w:rPr>
        <w:rFonts w:hint="default"/>
        <w:lang w:val="zh-CN" w:eastAsia="zh-CN" w:bidi="zh-CN"/>
      </w:rPr>
    </w:lvl>
    <w:lvl w:ilvl="2">
      <w:start w:val="0"/>
      <w:numFmt w:val="bullet"/>
      <w:lvlText w:val="•"/>
      <w:lvlJc w:val="left"/>
      <w:pPr>
        <w:ind w:left="1617" w:hanging="241"/>
      </w:pPr>
      <w:rPr>
        <w:rFonts w:hint="default"/>
        <w:lang w:val="zh-CN" w:eastAsia="zh-CN" w:bidi="zh-CN"/>
      </w:rPr>
    </w:lvl>
    <w:lvl w:ilvl="3">
      <w:start w:val="0"/>
      <w:numFmt w:val="bullet"/>
      <w:lvlText w:val="•"/>
      <w:lvlJc w:val="left"/>
      <w:pPr>
        <w:ind w:left="2366" w:hanging="241"/>
      </w:pPr>
      <w:rPr>
        <w:rFonts w:hint="default"/>
        <w:lang w:val="zh-CN" w:eastAsia="zh-CN" w:bidi="zh-CN"/>
      </w:rPr>
    </w:lvl>
    <w:lvl w:ilvl="4">
      <w:start w:val="0"/>
      <w:numFmt w:val="bullet"/>
      <w:lvlText w:val="•"/>
      <w:lvlJc w:val="left"/>
      <w:pPr>
        <w:ind w:left="3114" w:hanging="241"/>
      </w:pPr>
      <w:rPr>
        <w:rFonts w:hint="default"/>
        <w:lang w:val="zh-CN" w:eastAsia="zh-CN" w:bidi="zh-CN"/>
      </w:rPr>
    </w:lvl>
    <w:lvl w:ilvl="5">
      <w:start w:val="0"/>
      <w:numFmt w:val="bullet"/>
      <w:lvlText w:val="•"/>
      <w:lvlJc w:val="left"/>
      <w:pPr>
        <w:ind w:left="3863" w:hanging="241"/>
      </w:pPr>
      <w:rPr>
        <w:rFonts w:hint="default"/>
        <w:lang w:val="zh-CN" w:eastAsia="zh-CN" w:bidi="zh-CN"/>
      </w:rPr>
    </w:lvl>
    <w:lvl w:ilvl="6">
      <w:start w:val="0"/>
      <w:numFmt w:val="bullet"/>
      <w:lvlText w:val="•"/>
      <w:lvlJc w:val="left"/>
      <w:pPr>
        <w:ind w:left="4612" w:hanging="241"/>
      </w:pPr>
      <w:rPr>
        <w:rFonts w:hint="default"/>
        <w:lang w:val="zh-CN" w:eastAsia="zh-CN" w:bidi="zh-CN"/>
      </w:rPr>
    </w:lvl>
    <w:lvl w:ilvl="7">
      <w:start w:val="0"/>
      <w:numFmt w:val="bullet"/>
      <w:lvlText w:val="•"/>
      <w:lvlJc w:val="left"/>
      <w:pPr>
        <w:ind w:left="5360" w:hanging="241"/>
      </w:pPr>
      <w:rPr>
        <w:rFonts w:hint="default"/>
        <w:lang w:val="zh-CN" w:eastAsia="zh-CN" w:bidi="zh-CN"/>
      </w:rPr>
    </w:lvl>
    <w:lvl w:ilvl="8">
      <w:start w:val="0"/>
      <w:numFmt w:val="bullet"/>
      <w:lvlText w:val="•"/>
      <w:lvlJc w:val="left"/>
      <w:pPr>
        <w:ind w:left="6109" w:hanging="241"/>
      </w:pPr>
      <w:rPr>
        <w:rFonts w:hint="default"/>
        <w:lang w:val="zh-CN" w:eastAsia="zh-CN" w:bidi="zh-CN"/>
      </w:rPr>
    </w:lvl>
  </w:abstractNum>
  <w:abstractNum w:abstractNumId="27">
    <w:nsid w:val="56422342"/>
    <w:multiLevelType w:val="hybridMultilevel"/>
    <w:tmpl w:val="00000000"/>
    <w:lvl w:ilvl="0">
      <w:start w:val="2"/>
      <w:numFmt w:val="decimal"/>
      <w:lvlText w:val="（%1）"/>
      <w:lvlJc w:val="left"/>
      <w:pPr>
        <w:ind w:left="1280" w:hanging="648"/>
        <w:jc w:val="left"/>
      </w:pPr>
      <w:rPr>
        <w:rFonts w:hint="default"/>
        <w:spacing w:val="9"/>
        <w:w w:val="100"/>
        <w:lang w:val="zh-CN" w:eastAsia="zh-CN" w:bidi="zh-CN"/>
      </w:rPr>
    </w:lvl>
    <w:lvl w:ilvl="1">
      <w:start w:val="0"/>
      <w:numFmt w:val="bullet"/>
      <w:lvlText w:val="•"/>
      <w:lvlJc w:val="left"/>
      <w:pPr>
        <w:ind w:left="1912" w:hanging="648"/>
      </w:pPr>
      <w:rPr>
        <w:rFonts w:hint="default"/>
        <w:lang w:val="zh-CN" w:eastAsia="zh-CN" w:bidi="zh-CN"/>
      </w:rPr>
    </w:lvl>
    <w:lvl w:ilvl="2">
      <w:start w:val="0"/>
      <w:numFmt w:val="bullet"/>
      <w:lvlText w:val="•"/>
      <w:lvlJc w:val="left"/>
      <w:pPr>
        <w:ind w:left="2545" w:hanging="648"/>
      </w:pPr>
      <w:rPr>
        <w:rFonts w:hint="default"/>
        <w:lang w:val="zh-CN" w:eastAsia="zh-CN" w:bidi="zh-CN"/>
      </w:rPr>
    </w:lvl>
    <w:lvl w:ilvl="3">
      <w:start w:val="0"/>
      <w:numFmt w:val="bullet"/>
      <w:lvlText w:val="•"/>
      <w:lvlJc w:val="left"/>
      <w:pPr>
        <w:ind w:left="3178" w:hanging="648"/>
      </w:pPr>
      <w:rPr>
        <w:rFonts w:hint="default"/>
        <w:lang w:val="zh-CN" w:eastAsia="zh-CN" w:bidi="zh-CN"/>
      </w:rPr>
    </w:lvl>
    <w:lvl w:ilvl="4">
      <w:start w:val="0"/>
      <w:numFmt w:val="bullet"/>
      <w:lvlText w:val="•"/>
      <w:lvlJc w:val="left"/>
      <w:pPr>
        <w:ind w:left="3810" w:hanging="648"/>
      </w:pPr>
      <w:rPr>
        <w:rFonts w:hint="default"/>
        <w:lang w:val="zh-CN" w:eastAsia="zh-CN" w:bidi="zh-CN"/>
      </w:rPr>
    </w:lvl>
    <w:lvl w:ilvl="5">
      <w:start w:val="0"/>
      <w:numFmt w:val="bullet"/>
      <w:lvlText w:val="•"/>
      <w:lvlJc w:val="left"/>
      <w:pPr>
        <w:ind w:left="4443" w:hanging="648"/>
      </w:pPr>
      <w:rPr>
        <w:rFonts w:hint="default"/>
        <w:lang w:val="zh-CN" w:eastAsia="zh-CN" w:bidi="zh-CN"/>
      </w:rPr>
    </w:lvl>
    <w:lvl w:ilvl="6">
      <w:start w:val="0"/>
      <w:numFmt w:val="bullet"/>
      <w:lvlText w:val="•"/>
      <w:lvlJc w:val="left"/>
      <w:pPr>
        <w:ind w:left="5076" w:hanging="648"/>
      </w:pPr>
      <w:rPr>
        <w:rFonts w:hint="default"/>
        <w:lang w:val="zh-CN" w:eastAsia="zh-CN" w:bidi="zh-CN"/>
      </w:rPr>
    </w:lvl>
    <w:lvl w:ilvl="7">
      <w:start w:val="0"/>
      <w:numFmt w:val="bullet"/>
      <w:lvlText w:val="•"/>
      <w:lvlJc w:val="left"/>
      <w:pPr>
        <w:ind w:left="5708" w:hanging="648"/>
      </w:pPr>
      <w:rPr>
        <w:rFonts w:hint="default"/>
        <w:lang w:val="zh-CN" w:eastAsia="zh-CN" w:bidi="zh-CN"/>
      </w:rPr>
    </w:lvl>
    <w:lvl w:ilvl="8">
      <w:start w:val="0"/>
      <w:numFmt w:val="bullet"/>
      <w:lvlText w:val="•"/>
      <w:lvlJc w:val="left"/>
      <w:pPr>
        <w:ind w:left="6341" w:hanging="648"/>
      </w:pPr>
      <w:rPr>
        <w:rFonts w:hint="default"/>
        <w:lang w:val="zh-CN" w:eastAsia="zh-CN" w:bidi="zh-CN"/>
      </w:rPr>
    </w:lvl>
  </w:abstractNum>
  <w:abstractNum w:abstractNumId="28">
    <w:nsid w:val="59A38186"/>
    <w:multiLevelType w:val="hybridMultilevel"/>
    <w:tmpl w:val="00000000"/>
    <w:lvl w:ilvl="0">
      <w:start w:val="1"/>
      <w:numFmt w:val="decimal"/>
      <w:lvlText w:val="（%1）"/>
      <w:lvlJc w:val="left"/>
      <w:pPr>
        <w:ind w:left="696" w:hanging="608"/>
        <w:jc w:val="left"/>
      </w:pPr>
      <w:rPr>
        <w:rFonts w:ascii="宋体" w:eastAsia="宋体" w:hAnsi="宋体" w:cs="宋体" w:hint="default"/>
        <w:w w:val="100"/>
        <w:sz w:val="22"/>
        <w:szCs w:val="22"/>
        <w:lang w:val="zh-CN" w:eastAsia="zh-CN" w:bidi="zh-CN"/>
      </w:rPr>
    </w:lvl>
    <w:lvl w:ilvl="1">
      <w:start w:val="0"/>
      <w:numFmt w:val="bullet"/>
      <w:lvlText w:val="•"/>
      <w:lvlJc w:val="left"/>
      <w:pPr>
        <w:ind w:left="1592" w:hanging="608"/>
      </w:pPr>
      <w:rPr>
        <w:rFonts w:hint="default"/>
        <w:lang w:val="zh-CN" w:eastAsia="zh-CN" w:bidi="zh-CN"/>
      </w:rPr>
    </w:lvl>
    <w:lvl w:ilvl="2">
      <w:start w:val="0"/>
      <w:numFmt w:val="bullet"/>
      <w:lvlText w:val="•"/>
      <w:lvlJc w:val="left"/>
      <w:pPr>
        <w:ind w:left="2485" w:hanging="608"/>
      </w:pPr>
      <w:rPr>
        <w:rFonts w:hint="default"/>
        <w:lang w:val="zh-CN" w:eastAsia="zh-CN" w:bidi="zh-CN"/>
      </w:rPr>
    </w:lvl>
    <w:lvl w:ilvl="3">
      <w:start w:val="0"/>
      <w:numFmt w:val="bullet"/>
      <w:lvlText w:val="•"/>
      <w:lvlJc w:val="left"/>
      <w:pPr>
        <w:ind w:left="3377" w:hanging="608"/>
      </w:pPr>
      <w:rPr>
        <w:rFonts w:hint="default"/>
        <w:lang w:val="zh-CN" w:eastAsia="zh-CN" w:bidi="zh-CN"/>
      </w:rPr>
    </w:lvl>
    <w:lvl w:ilvl="4">
      <w:start w:val="0"/>
      <w:numFmt w:val="bullet"/>
      <w:lvlText w:val="•"/>
      <w:lvlJc w:val="left"/>
      <w:pPr>
        <w:ind w:left="4270" w:hanging="608"/>
      </w:pPr>
      <w:rPr>
        <w:rFonts w:hint="default"/>
        <w:lang w:val="zh-CN" w:eastAsia="zh-CN" w:bidi="zh-CN"/>
      </w:rPr>
    </w:lvl>
    <w:lvl w:ilvl="5">
      <w:start w:val="0"/>
      <w:numFmt w:val="bullet"/>
      <w:lvlText w:val="•"/>
      <w:lvlJc w:val="left"/>
      <w:pPr>
        <w:ind w:left="5163" w:hanging="608"/>
      </w:pPr>
      <w:rPr>
        <w:rFonts w:hint="default"/>
        <w:lang w:val="zh-CN" w:eastAsia="zh-CN" w:bidi="zh-CN"/>
      </w:rPr>
    </w:lvl>
    <w:lvl w:ilvl="6">
      <w:start w:val="0"/>
      <w:numFmt w:val="bullet"/>
      <w:lvlText w:val="•"/>
      <w:lvlJc w:val="left"/>
      <w:pPr>
        <w:ind w:left="6055" w:hanging="608"/>
      </w:pPr>
      <w:rPr>
        <w:rFonts w:hint="default"/>
        <w:lang w:val="zh-CN" w:eastAsia="zh-CN" w:bidi="zh-CN"/>
      </w:rPr>
    </w:lvl>
    <w:lvl w:ilvl="7">
      <w:start w:val="0"/>
      <w:numFmt w:val="bullet"/>
      <w:lvlText w:val="•"/>
      <w:lvlJc w:val="left"/>
      <w:pPr>
        <w:ind w:left="6948" w:hanging="608"/>
      </w:pPr>
      <w:rPr>
        <w:rFonts w:hint="default"/>
        <w:lang w:val="zh-CN" w:eastAsia="zh-CN" w:bidi="zh-CN"/>
      </w:rPr>
    </w:lvl>
    <w:lvl w:ilvl="8">
      <w:start w:val="0"/>
      <w:numFmt w:val="bullet"/>
      <w:lvlText w:val="•"/>
      <w:lvlJc w:val="left"/>
      <w:pPr>
        <w:ind w:left="7840" w:hanging="608"/>
      </w:pPr>
      <w:rPr>
        <w:rFonts w:hint="default"/>
        <w:lang w:val="zh-CN" w:eastAsia="zh-CN" w:bidi="zh-CN"/>
      </w:rPr>
    </w:lvl>
  </w:abstractNum>
  <w:abstractNum w:abstractNumId="29">
    <w:nsid w:val="646D2FC9"/>
    <w:multiLevelType w:val="hybridMultilevel"/>
    <w:tmpl w:val="00000000"/>
    <w:lvl w:ilvl="0">
      <w:start w:val="7"/>
      <w:numFmt w:val="decimal"/>
      <w:lvlText w:val="（%1）"/>
      <w:lvlJc w:val="left"/>
      <w:pPr>
        <w:ind w:left="1194" w:hanging="601"/>
        <w:jc w:val="left"/>
      </w:pPr>
      <w:rPr>
        <w:rFonts w:ascii="宋体" w:eastAsia="宋体" w:hAnsi="宋体" w:cs="宋体" w:hint="default"/>
        <w:spacing w:val="-60"/>
        <w:w w:val="100"/>
        <w:sz w:val="22"/>
        <w:szCs w:val="22"/>
        <w:lang w:val="zh-CN" w:eastAsia="zh-CN" w:bidi="zh-CN"/>
      </w:rPr>
    </w:lvl>
    <w:lvl w:ilvl="1">
      <w:start w:val="0"/>
      <w:numFmt w:val="bullet"/>
      <w:lvlText w:val="•"/>
      <w:lvlJc w:val="left"/>
      <w:pPr>
        <w:ind w:left="1961" w:hanging="601"/>
      </w:pPr>
      <w:rPr>
        <w:rFonts w:hint="default"/>
        <w:lang w:val="zh-CN" w:eastAsia="zh-CN" w:bidi="zh-CN"/>
      </w:rPr>
    </w:lvl>
    <w:lvl w:ilvl="2">
      <w:start w:val="0"/>
      <w:numFmt w:val="bullet"/>
      <w:lvlText w:val="•"/>
      <w:lvlJc w:val="left"/>
      <w:pPr>
        <w:ind w:left="2722" w:hanging="601"/>
      </w:pPr>
      <w:rPr>
        <w:rFonts w:hint="default"/>
        <w:lang w:val="zh-CN" w:eastAsia="zh-CN" w:bidi="zh-CN"/>
      </w:rPr>
    </w:lvl>
    <w:lvl w:ilvl="3">
      <w:start w:val="0"/>
      <w:numFmt w:val="bullet"/>
      <w:lvlText w:val="•"/>
      <w:lvlJc w:val="left"/>
      <w:pPr>
        <w:ind w:left="3483" w:hanging="601"/>
      </w:pPr>
      <w:rPr>
        <w:rFonts w:hint="default"/>
        <w:lang w:val="zh-CN" w:eastAsia="zh-CN" w:bidi="zh-CN"/>
      </w:rPr>
    </w:lvl>
    <w:lvl w:ilvl="4">
      <w:start w:val="0"/>
      <w:numFmt w:val="bullet"/>
      <w:lvlText w:val="•"/>
      <w:lvlJc w:val="left"/>
      <w:pPr>
        <w:ind w:left="4244" w:hanging="601"/>
      </w:pPr>
      <w:rPr>
        <w:rFonts w:hint="default"/>
        <w:lang w:val="zh-CN" w:eastAsia="zh-CN" w:bidi="zh-CN"/>
      </w:rPr>
    </w:lvl>
    <w:lvl w:ilvl="5">
      <w:start w:val="0"/>
      <w:numFmt w:val="bullet"/>
      <w:lvlText w:val="•"/>
      <w:lvlJc w:val="left"/>
      <w:pPr>
        <w:ind w:left="5005" w:hanging="601"/>
      </w:pPr>
      <w:rPr>
        <w:rFonts w:hint="default"/>
        <w:lang w:val="zh-CN" w:eastAsia="zh-CN" w:bidi="zh-CN"/>
      </w:rPr>
    </w:lvl>
    <w:lvl w:ilvl="6">
      <w:start w:val="0"/>
      <w:numFmt w:val="bullet"/>
      <w:lvlText w:val="•"/>
      <w:lvlJc w:val="left"/>
      <w:pPr>
        <w:ind w:left="5766" w:hanging="601"/>
      </w:pPr>
      <w:rPr>
        <w:rFonts w:hint="default"/>
        <w:lang w:val="zh-CN" w:eastAsia="zh-CN" w:bidi="zh-CN"/>
      </w:rPr>
    </w:lvl>
    <w:lvl w:ilvl="7">
      <w:start w:val="0"/>
      <w:numFmt w:val="bullet"/>
      <w:lvlText w:val="•"/>
      <w:lvlJc w:val="left"/>
      <w:pPr>
        <w:ind w:left="6527" w:hanging="601"/>
      </w:pPr>
      <w:rPr>
        <w:rFonts w:hint="default"/>
        <w:lang w:val="zh-CN" w:eastAsia="zh-CN" w:bidi="zh-CN"/>
      </w:rPr>
    </w:lvl>
    <w:lvl w:ilvl="8">
      <w:start w:val="0"/>
      <w:numFmt w:val="bullet"/>
      <w:lvlText w:val="•"/>
      <w:lvlJc w:val="left"/>
      <w:pPr>
        <w:ind w:left="7288" w:hanging="601"/>
      </w:pPr>
      <w:rPr>
        <w:rFonts w:hint="default"/>
        <w:lang w:val="zh-CN" w:eastAsia="zh-CN" w:bidi="zh-CN"/>
      </w:rPr>
    </w:lvl>
  </w:abstractNum>
  <w:abstractNum w:abstractNumId="30">
    <w:nsid w:val="6C859FE7"/>
    <w:multiLevelType w:val="hybridMultilevel"/>
    <w:tmpl w:val="00000000"/>
    <w:lvl w:ilvl="0">
      <w:start w:val="1"/>
      <w:numFmt w:val="decimal"/>
      <w:lvlText w:val="（%1）"/>
      <w:lvlJc w:val="left"/>
      <w:pPr>
        <w:ind w:left="1777"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564" w:hanging="601"/>
      </w:pPr>
      <w:rPr>
        <w:rFonts w:hint="default"/>
        <w:lang w:val="zh-CN" w:eastAsia="zh-CN" w:bidi="zh-CN"/>
      </w:rPr>
    </w:lvl>
    <w:lvl w:ilvl="2">
      <w:start w:val="0"/>
      <w:numFmt w:val="bullet"/>
      <w:lvlText w:val="•"/>
      <w:lvlJc w:val="left"/>
      <w:pPr>
        <w:ind w:left="3349" w:hanging="601"/>
      </w:pPr>
      <w:rPr>
        <w:rFonts w:hint="default"/>
        <w:lang w:val="zh-CN" w:eastAsia="zh-CN" w:bidi="zh-CN"/>
      </w:rPr>
    </w:lvl>
    <w:lvl w:ilvl="3">
      <w:start w:val="0"/>
      <w:numFmt w:val="bullet"/>
      <w:lvlText w:val="•"/>
      <w:lvlJc w:val="left"/>
      <w:pPr>
        <w:ind w:left="4133" w:hanging="601"/>
      </w:pPr>
      <w:rPr>
        <w:rFonts w:hint="default"/>
        <w:lang w:val="zh-CN" w:eastAsia="zh-CN" w:bidi="zh-CN"/>
      </w:rPr>
    </w:lvl>
    <w:lvl w:ilvl="4">
      <w:start w:val="0"/>
      <w:numFmt w:val="bullet"/>
      <w:lvlText w:val="•"/>
      <w:lvlJc w:val="left"/>
      <w:pPr>
        <w:ind w:left="4918" w:hanging="601"/>
      </w:pPr>
      <w:rPr>
        <w:rFonts w:hint="default"/>
        <w:lang w:val="zh-CN" w:eastAsia="zh-CN" w:bidi="zh-CN"/>
      </w:rPr>
    </w:lvl>
    <w:lvl w:ilvl="5">
      <w:start w:val="0"/>
      <w:numFmt w:val="bullet"/>
      <w:lvlText w:val="•"/>
      <w:lvlJc w:val="left"/>
      <w:pPr>
        <w:ind w:left="5703" w:hanging="601"/>
      </w:pPr>
      <w:rPr>
        <w:rFonts w:hint="default"/>
        <w:lang w:val="zh-CN" w:eastAsia="zh-CN" w:bidi="zh-CN"/>
      </w:rPr>
    </w:lvl>
    <w:lvl w:ilvl="6">
      <w:start w:val="0"/>
      <w:numFmt w:val="bullet"/>
      <w:lvlText w:val="•"/>
      <w:lvlJc w:val="left"/>
      <w:pPr>
        <w:ind w:left="6487" w:hanging="601"/>
      </w:pPr>
      <w:rPr>
        <w:rFonts w:hint="default"/>
        <w:lang w:val="zh-CN" w:eastAsia="zh-CN" w:bidi="zh-CN"/>
      </w:rPr>
    </w:lvl>
    <w:lvl w:ilvl="7">
      <w:start w:val="0"/>
      <w:numFmt w:val="bullet"/>
      <w:lvlText w:val="•"/>
      <w:lvlJc w:val="left"/>
      <w:pPr>
        <w:ind w:left="7272" w:hanging="601"/>
      </w:pPr>
      <w:rPr>
        <w:rFonts w:hint="default"/>
        <w:lang w:val="zh-CN" w:eastAsia="zh-CN" w:bidi="zh-CN"/>
      </w:rPr>
    </w:lvl>
    <w:lvl w:ilvl="8">
      <w:start w:val="0"/>
      <w:numFmt w:val="bullet"/>
      <w:lvlText w:val="•"/>
      <w:lvlJc w:val="left"/>
      <w:pPr>
        <w:ind w:left="8056" w:hanging="601"/>
      </w:pPr>
      <w:rPr>
        <w:rFonts w:hint="default"/>
        <w:lang w:val="zh-CN" w:eastAsia="zh-CN" w:bidi="zh-CN"/>
      </w:rPr>
    </w:lvl>
  </w:abstractNum>
  <w:abstractNum w:abstractNumId="31">
    <w:nsid w:val="6CDCEF70"/>
    <w:multiLevelType w:val="hybridMultilevel"/>
    <w:tmpl w:val="00000000"/>
    <w:lvl w:ilvl="0">
      <w:start w:val="1"/>
      <w:numFmt w:val="lowerLetter"/>
      <w:lvlText w:val="%1."/>
      <w:lvlJc w:val="left"/>
      <w:pPr>
        <w:ind w:left="111" w:hanging="241"/>
        <w:jc w:val="left"/>
      </w:pPr>
      <w:rPr>
        <w:rFonts w:ascii="宋体" w:eastAsia="宋体" w:hAnsi="宋体" w:cs="宋体" w:hint="default"/>
        <w:spacing w:val="-34"/>
        <w:w w:val="100"/>
        <w:sz w:val="22"/>
        <w:szCs w:val="22"/>
        <w:lang w:val="zh-CN" w:eastAsia="zh-CN" w:bidi="zh-CN"/>
      </w:rPr>
    </w:lvl>
    <w:lvl w:ilvl="1">
      <w:start w:val="0"/>
      <w:numFmt w:val="bullet"/>
      <w:lvlText w:val="•"/>
      <w:lvlJc w:val="left"/>
      <w:pPr>
        <w:ind w:left="868" w:hanging="241"/>
      </w:pPr>
      <w:rPr>
        <w:rFonts w:hint="default"/>
        <w:lang w:val="zh-CN" w:eastAsia="zh-CN" w:bidi="zh-CN"/>
      </w:rPr>
    </w:lvl>
    <w:lvl w:ilvl="2">
      <w:start w:val="0"/>
      <w:numFmt w:val="bullet"/>
      <w:lvlText w:val="•"/>
      <w:lvlJc w:val="left"/>
      <w:pPr>
        <w:ind w:left="1617" w:hanging="241"/>
      </w:pPr>
      <w:rPr>
        <w:rFonts w:hint="default"/>
        <w:lang w:val="zh-CN" w:eastAsia="zh-CN" w:bidi="zh-CN"/>
      </w:rPr>
    </w:lvl>
    <w:lvl w:ilvl="3">
      <w:start w:val="0"/>
      <w:numFmt w:val="bullet"/>
      <w:lvlText w:val="•"/>
      <w:lvlJc w:val="left"/>
      <w:pPr>
        <w:ind w:left="2366" w:hanging="241"/>
      </w:pPr>
      <w:rPr>
        <w:rFonts w:hint="default"/>
        <w:lang w:val="zh-CN" w:eastAsia="zh-CN" w:bidi="zh-CN"/>
      </w:rPr>
    </w:lvl>
    <w:lvl w:ilvl="4">
      <w:start w:val="0"/>
      <w:numFmt w:val="bullet"/>
      <w:lvlText w:val="•"/>
      <w:lvlJc w:val="left"/>
      <w:pPr>
        <w:ind w:left="3114" w:hanging="241"/>
      </w:pPr>
      <w:rPr>
        <w:rFonts w:hint="default"/>
        <w:lang w:val="zh-CN" w:eastAsia="zh-CN" w:bidi="zh-CN"/>
      </w:rPr>
    </w:lvl>
    <w:lvl w:ilvl="5">
      <w:start w:val="0"/>
      <w:numFmt w:val="bullet"/>
      <w:lvlText w:val="•"/>
      <w:lvlJc w:val="left"/>
      <w:pPr>
        <w:ind w:left="3863" w:hanging="241"/>
      </w:pPr>
      <w:rPr>
        <w:rFonts w:hint="default"/>
        <w:lang w:val="zh-CN" w:eastAsia="zh-CN" w:bidi="zh-CN"/>
      </w:rPr>
    </w:lvl>
    <w:lvl w:ilvl="6">
      <w:start w:val="0"/>
      <w:numFmt w:val="bullet"/>
      <w:lvlText w:val="•"/>
      <w:lvlJc w:val="left"/>
      <w:pPr>
        <w:ind w:left="4612" w:hanging="241"/>
      </w:pPr>
      <w:rPr>
        <w:rFonts w:hint="default"/>
        <w:lang w:val="zh-CN" w:eastAsia="zh-CN" w:bidi="zh-CN"/>
      </w:rPr>
    </w:lvl>
    <w:lvl w:ilvl="7">
      <w:start w:val="0"/>
      <w:numFmt w:val="bullet"/>
      <w:lvlText w:val="•"/>
      <w:lvlJc w:val="left"/>
      <w:pPr>
        <w:ind w:left="5360" w:hanging="241"/>
      </w:pPr>
      <w:rPr>
        <w:rFonts w:hint="default"/>
        <w:lang w:val="zh-CN" w:eastAsia="zh-CN" w:bidi="zh-CN"/>
      </w:rPr>
    </w:lvl>
    <w:lvl w:ilvl="8">
      <w:start w:val="0"/>
      <w:numFmt w:val="bullet"/>
      <w:lvlText w:val="•"/>
      <w:lvlJc w:val="left"/>
      <w:pPr>
        <w:ind w:left="6109" w:hanging="241"/>
      </w:pPr>
      <w:rPr>
        <w:rFonts w:hint="default"/>
        <w:lang w:val="zh-CN" w:eastAsia="zh-CN" w:bidi="zh-CN"/>
      </w:rPr>
    </w:lvl>
  </w:abstractNum>
  <w:abstractNum w:abstractNumId="32">
    <w:nsid w:val="78920E80"/>
    <w:multiLevelType w:val="hybridMultilevel"/>
    <w:tmpl w:val="00000000"/>
    <w:lvl w:ilvl="0">
      <w:start w:val="1"/>
      <w:numFmt w:val="decimal"/>
      <w:lvlText w:val="%1"/>
      <w:lvlJc w:val="left"/>
      <w:pPr>
        <w:ind w:left="1356" w:hanging="180"/>
        <w:jc w:val="left"/>
      </w:pPr>
      <w:rPr>
        <w:rFonts w:ascii="Times New Roman" w:eastAsia="Times New Roman" w:hAnsi="Times New Roman" w:cs="Times New Roman" w:hint="default"/>
        <w:w w:val="100"/>
        <w:sz w:val="24"/>
        <w:szCs w:val="24"/>
        <w:lang w:val="zh-CN" w:eastAsia="zh-CN" w:bidi="zh-CN"/>
      </w:rPr>
    </w:lvl>
    <w:lvl w:ilvl="1">
      <w:start w:val="0"/>
      <w:numFmt w:val="bullet"/>
      <w:lvlText w:val="•"/>
      <w:lvlJc w:val="left"/>
      <w:pPr>
        <w:ind w:left="2186" w:hanging="180"/>
      </w:pPr>
      <w:rPr>
        <w:rFonts w:hint="default"/>
        <w:lang w:val="zh-CN" w:eastAsia="zh-CN" w:bidi="zh-CN"/>
      </w:rPr>
    </w:lvl>
    <w:lvl w:ilvl="2">
      <w:start w:val="0"/>
      <w:numFmt w:val="bullet"/>
      <w:lvlText w:val="•"/>
      <w:lvlJc w:val="left"/>
      <w:pPr>
        <w:ind w:left="3013" w:hanging="180"/>
      </w:pPr>
      <w:rPr>
        <w:rFonts w:hint="default"/>
        <w:lang w:val="zh-CN" w:eastAsia="zh-CN" w:bidi="zh-CN"/>
      </w:rPr>
    </w:lvl>
    <w:lvl w:ilvl="3">
      <w:start w:val="0"/>
      <w:numFmt w:val="bullet"/>
      <w:lvlText w:val="•"/>
      <w:lvlJc w:val="left"/>
      <w:pPr>
        <w:ind w:left="3839" w:hanging="180"/>
      </w:pPr>
      <w:rPr>
        <w:rFonts w:hint="default"/>
        <w:lang w:val="zh-CN" w:eastAsia="zh-CN" w:bidi="zh-CN"/>
      </w:rPr>
    </w:lvl>
    <w:lvl w:ilvl="4">
      <w:start w:val="0"/>
      <w:numFmt w:val="bullet"/>
      <w:lvlText w:val="•"/>
      <w:lvlJc w:val="left"/>
      <w:pPr>
        <w:ind w:left="4666" w:hanging="180"/>
      </w:pPr>
      <w:rPr>
        <w:rFonts w:hint="default"/>
        <w:lang w:val="zh-CN" w:eastAsia="zh-CN" w:bidi="zh-CN"/>
      </w:rPr>
    </w:lvl>
    <w:lvl w:ilvl="5">
      <w:start w:val="0"/>
      <w:numFmt w:val="bullet"/>
      <w:lvlText w:val="•"/>
      <w:lvlJc w:val="left"/>
      <w:pPr>
        <w:ind w:left="5493" w:hanging="180"/>
      </w:pPr>
      <w:rPr>
        <w:rFonts w:hint="default"/>
        <w:lang w:val="zh-CN" w:eastAsia="zh-CN" w:bidi="zh-CN"/>
      </w:rPr>
    </w:lvl>
    <w:lvl w:ilvl="6">
      <w:start w:val="0"/>
      <w:numFmt w:val="bullet"/>
      <w:lvlText w:val="•"/>
      <w:lvlJc w:val="left"/>
      <w:pPr>
        <w:ind w:left="6319" w:hanging="180"/>
      </w:pPr>
      <w:rPr>
        <w:rFonts w:hint="default"/>
        <w:lang w:val="zh-CN" w:eastAsia="zh-CN" w:bidi="zh-CN"/>
      </w:rPr>
    </w:lvl>
    <w:lvl w:ilvl="7">
      <w:start w:val="0"/>
      <w:numFmt w:val="bullet"/>
      <w:lvlText w:val="•"/>
      <w:lvlJc w:val="left"/>
      <w:pPr>
        <w:ind w:left="7146" w:hanging="180"/>
      </w:pPr>
      <w:rPr>
        <w:rFonts w:hint="default"/>
        <w:lang w:val="zh-CN" w:eastAsia="zh-CN" w:bidi="zh-CN"/>
      </w:rPr>
    </w:lvl>
    <w:lvl w:ilvl="8">
      <w:start w:val="0"/>
      <w:numFmt w:val="bullet"/>
      <w:lvlText w:val="•"/>
      <w:lvlJc w:val="left"/>
      <w:pPr>
        <w:ind w:left="7972" w:hanging="180"/>
      </w:pPr>
      <w:rPr>
        <w:rFonts w:hint="default"/>
        <w:lang w:val="zh-CN" w:eastAsia="zh-CN" w:bidi="zh-CN"/>
      </w:rPr>
    </w:lvl>
  </w:abstractNum>
  <w:abstractNum w:abstractNumId="33">
    <w:nsid w:val="78B10B6B"/>
    <w:multiLevelType w:val="hybridMultilevel"/>
    <w:tmpl w:val="00000000"/>
    <w:lvl w:ilvl="0">
      <w:start w:val="2"/>
      <w:numFmt w:val="decimal"/>
      <w:lvlText w:val="%1"/>
      <w:lvlJc w:val="left"/>
      <w:pPr>
        <w:ind w:left="1536" w:hanging="360"/>
        <w:jc w:val="left"/>
      </w:pPr>
      <w:rPr>
        <w:rFonts w:hint="default"/>
        <w:lang w:val="zh-CN" w:eastAsia="zh-CN" w:bidi="zh-CN"/>
      </w:rPr>
    </w:lvl>
    <w:lvl w:ilvl="1">
      <w:start w:val="2"/>
      <w:numFmt w:val="decimal"/>
      <w:lvlText w:val="%1.%2"/>
      <w:lvlJc w:val="left"/>
      <w:pPr>
        <w:ind w:left="1536" w:hanging="360"/>
        <w:jc w:val="left"/>
      </w:pPr>
      <w:rPr>
        <w:rFonts w:hint="default"/>
        <w:b/>
        <w:bCs/>
        <w:w w:val="99"/>
        <w:lang w:val="zh-CN" w:eastAsia="zh-CN" w:bidi="zh-CN"/>
      </w:rPr>
    </w:lvl>
    <w:lvl w:ilvl="2">
      <w:start w:val="1"/>
      <w:numFmt w:val="decimal"/>
      <w:lvlText w:val="%1.%2.%3"/>
      <w:lvlJc w:val="left"/>
      <w:pPr>
        <w:ind w:left="1716" w:hanging="540"/>
        <w:jc w:val="left"/>
      </w:pPr>
      <w:rPr>
        <w:rFonts w:hint="default"/>
        <w:b/>
        <w:bCs/>
        <w:w w:val="99"/>
        <w:lang w:val="zh-CN" w:eastAsia="zh-CN" w:bidi="zh-CN"/>
      </w:rPr>
    </w:lvl>
    <w:lvl w:ilvl="3">
      <w:start w:val="0"/>
      <w:numFmt w:val="bullet"/>
      <w:lvlText w:val="•"/>
      <w:lvlJc w:val="left"/>
      <w:pPr>
        <w:ind w:left="3476" w:hanging="540"/>
      </w:pPr>
      <w:rPr>
        <w:rFonts w:hint="default"/>
        <w:lang w:val="zh-CN" w:eastAsia="zh-CN" w:bidi="zh-CN"/>
      </w:rPr>
    </w:lvl>
    <w:lvl w:ilvl="4">
      <w:start w:val="0"/>
      <w:numFmt w:val="bullet"/>
      <w:lvlText w:val="•"/>
      <w:lvlJc w:val="left"/>
      <w:pPr>
        <w:ind w:left="4355" w:hanging="540"/>
      </w:pPr>
      <w:rPr>
        <w:rFonts w:hint="default"/>
        <w:lang w:val="zh-CN" w:eastAsia="zh-CN" w:bidi="zh-CN"/>
      </w:rPr>
    </w:lvl>
    <w:lvl w:ilvl="5">
      <w:start w:val="0"/>
      <w:numFmt w:val="bullet"/>
      <w:lvlText w:val="•"/>
      <w:lvlJc w:val="left"/>
      <w:pPr>
        <w:ind w:left="5233" w:hanging="540"/>
      </w:pPr>
      <w:rPr>
        <w:rFonts w:hint="default"/>
        <w:lang w:val="zh-CN" w:eastAsia="zh-CN" w:bidi="zh-CN"/>
      </w:rPr>
    </w:lvl>
    <w:lvl w:ilvl="6">
      <w:start w:val="0"/>
      <w:numFmt w:val="bullet"/>
      <w:lvlText w:val="•"/>
      <w:lvlJc w:val="left"/>
      <w:pPr>
        <w:ind w:left="6112" w:hanging="540"/>
      </w:pPr>
      <w:rPr>
        <w:rFonts w:hint="default"/>
        <w:lang w:val="zh-CN" w:eastAsia="zh-CN" w:bidi="zh-CN"/>
      </w:rPr>
    </w:lvl>
    <w:lvl w:ilvl="7">
      <w:start w:val="0"/>
      <w:numFmt w:val="bullet"/>
      <w:lvlText w:val="•"/>
      <w:lvlJc w:val="left"/>
      <w:pPr>
        <w:ind w:left="6990" w:hanging="540"/>
      </w:pPr>
      <w:rPr>
        <w:rFonts w:hint="default"/>
        <w:lang w:val="zh-CN" w:eastAsia="zh-CN" w:bidi="zh-CN"/>
      </w:rPr>
    </w:lvl>
    <w:lvl w:ilvl="8">
      <w:start w:val="0"/>
      <w:numFmt w:val="bullet"/>
      <w:lvlText w:val="•"/>
      <w:lvlJc w:val="left"/>
      <w:pPr>
        <w:ind w:left="7869" w:hanging="540"/>
      </w:pPr>
      <w:rPr>
        <w:rFonts w:hint="default"/>
        <w:lang w:val="zh-CN" w:eastAsia="zh-CN" w:bidi="zh-CN"/>
      </w:rPr>
    </w:lvl>
  </w:abstractNum>
  <w:abstractNum w:abstractNumId="34">
    <w:nsid w:val="7C99B08D"/>
    <w:multiLevelType w:val="hybridMultilevel"/>
    <w:tmpl w:val="00000000"/>
    <w:lvl w:ilvl="0">
      <w:start w:val="2"/>
      <w:numFmt w:val="decimal"/>
      <w:lvlText w:val="%1"/>
      <w:lvlJc w:val="left"/>
      <w:pPr>
        <w:ind w:left="1536" w:hanging="360"/>
        <w:jc w:val="left"/>
      </w:pPr>
      <w:rPr>
        <w:rFonts w:hint="default"/>
        <w:lang w:val="zh-CN" w:eastAsia="zh-CN" w:bidi="zh-CN"/>
      </w:rPr>
    </w:lvl>
    <w:lvl w:ilvl="1">
      <w:start w:val="2"/>
      <w:numFmt w:val="decimal"/>
      <w:lvlText w:val="%1.%2"/>
      <w:lvlJc w:val="left"/>
      <w:pPr>
        <w:ind w:left="1536" w:hanging="360"/>
        <w:jc w:val="left"/>
      </w:pPr>
      <w:rPr>
        <w:rFonts w:hint="default"/>
        <w:b/>
        <w:bCs/>
        <w:w w:val="99"/>
        <w:lang w:val="zh-CN" w:eastAsia="zh-CN" w:bidi="zh-CN"/>
      </w:rPr>
    </w:lvl>
    <w:lvl w:ilvl="2">
      <w:start w:val="1"/>
      <w:numFmt w:val="decimal"/>
      <w:lvlText w:val="%1.%2.%3"/>
      <w:lvlJc w:val="left"/>
      <w:pPr>
        <w:ind w:left="1716" w:hanging="540"/>
        <w:jc w:val="left"/>
      </w:pPr>
      <w:rPr>
        <w:rFonts w:hint="default"/>
        <w:b/>
        <w:bCs/>
        <w:w w:val="99"/>
        <w:lang w:val="zh-CN" w:eastAsia="zh-CN" w:bidi="zh-CN"/>
      </w:rPr>
    </w:lvl>
    <w:lvl w:ilvl="3">
      <w:start w:val="0"/>
      <w:numFmt w:val="bullet"/>
      <w:lvlText w:val="•"/>
      <w:lvlJc w:val="left"/>
      <w:pPr>
        <w:ind w:left="3476" w:hanging="540"/>
      </w:pPr>
      <w:rPr>
        <w:rFonts w:hint="default"/>
        <w:lang w:val="zh-CN" w:eastAsia="zh-CN" w:bidi="zh-CN"/>
      </w:rPr>
    </w:lvl>
    <w:lvl w:ilvl="4">
      <w:start w:val="0"/>
      <w:numFmt w:val="bullet"/>
      <w:lvlText w:val="•"/>
      <w:lvlJc w:val="left"/>
      <w:pPr>
        <w:ind w:left="4355" w:hanging="540"/>
      </w:pPr>
      <w:rPr>
        <w:rFonts w:hint="default"/>
        <w:lang w:val="zh-CN" w:eastAsia="zh-CN" w:bidi="zh-CN"/>
      </w:rPr>
    </w:lvl>
    <w:lvl w:ilvl="5">
      <w:start w:val="0"/>
      <w:numFmt w:val="bullet"/>
      <w:lvlText w:val="•"/>
      <w:lvlJc w:val="left"/>
      <w:pPr>
        <w:ind w:left="5233" w:hanging="540"/>
      </w:pPr>
      <w:rPr>
        <w:rFonts w:hint="default"/>
        <w:lang w:val="zh-CN" w:eastAsia="zh-CN" w:bidi="zh-CN"/>
      </w:rPr>
    </w:lvl>
    <w:lvl w:ilvl="6">
      <w:start w:val="0"/>
      <w:numFmt w:val="bullet"/>
      <w:lvlText w:val="•"/>
      <w:lvlJc w:val="left"/>
      <w:pPr>
        <w:ind w:left="6112" w:hanging="540"/>
      </w:pPr>
      <w:rPr>
        <w:rFonts w:hint="default"/>
        <w:lang w:val="zh-CN" w:eastAsia="zh-CN" w:bidi="zh-CN"/>
      </w:rPr>
    </w:lvl>
    <w:lvl w:ilvl="7">
      <w:start w:val="0"/>
      <w:numFmt w:val="bullet"/>
      <w:lvlText w:val="•"/>
      <w:lvlJc w:val="left"/>
      <w:pPr>
        <w:ind w:left="6990" w:hanging="540"/>
      </w:pPr>
      <w:rPr>
        <w:rFonts w:hint="default"/>
        <w:lang w:val="zh-CN" w:eastAsia="zh-CN" w:bidi="zh-CN"/>
      </w:rPr>
    </w:lvl>
    <w:lvl w:ilvl="8">
      <w:start w:val="0"/>
      <w:numFmt w:val="bullet"/>
      <w:lvlText w:val="•"/>
      <w:lvlJc w:val="left"/>
      <w:pPr>
        <w:ind w:left="7869" w:hanging="540"/>
      </w:pPr>
      <w:rPr>
        <w:rFonts w:hint="default"/>
        <w:lang w:val="zh-CN" w:eastAsia="zh-CN" w:bidi="zh-CN"/>
      </w:rPr>
    </w:lvl>
  </w:abstractNum>
  <w:abstractNum w:abstractNumId="35">
    <w:nsid w:val="7CA80FA5"/>
    <w:multiLevelType w:val="hybridMultilevel"/>
    <w:tmpl w:val="00000000"/>
    <w:lvl w:ilvl="0">
      <w:start w:val="1"/>
      <w:numFmt w:val="decimal"/>
      <w:lvlText w:val="（%1）"/>
      <w:lvlJc w:val="left"/>
      <w:pPr>
        <w:ind w:left="119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1903" w:hanging="601"/>
      </w:pPr>
      <w:rPr>
        <w:rFonts w:hint="default"/>
        <w:lang w:val="zh-CN" w:eastAsia="zh-CN" w:bidi="zh-CN"/>
      </w:rPr>
    </w:lvl>
    <w:lvl w:ilvl="2">
      <w:start w:val="0"/>
      <w:numFmt w:val="bullet"/>
      <w:lvlText w:val="•"/>
      <w:lvlJc w:val="left"/>
      <w:pPr>
        <w:ind w:left="2607" w:hanging="601"/>
      </w:pPr>
      <w:rPr>
        <w:rFonts w:hint="default"/>
        <w:lang w:val="zh-CN" w:eastAsia="zh-CN" w:bidi="zh-CN"/>
      </w:rPr>
    </w:lvl>
    <w:lvl w:ilvl="3">
      <w:start w:val="0"/>
      <w:numFmt w:val="bullet"/>
      <w:lvlText w:val="•"/>
      <w:lvlJc w:val="left"/>
      <w:pPr>
        <w:ind w:left="3311" w:hanging="601"/>
      </w:pPr>
      <w:rPr>
        <w:rFonts w:hint="default"/>
        <w:lang w:val="zh-CN" w:eastAsia="zh-CN" w:bidi="zh-CN"/>
      </w:rPr>
    </w:lvl>
    <w:lvl w:ilvl="4">
      <w:start w:val="0"/>
      <w:numFmt w:val="bullet"/>
      <w:lvlText w:val="•"/>
      <w:lvlJc w:val="left"/>
      <w:pPr>
        <w:ind w:left="4015" w:hanging="601"/>
      </w:pPr>
      <w:rPr>
        <w:rFonts w:hint="default"/>
        <w:lang w:val="zh-CN" w:eastAsia="zh-CN" w:bidi="zh-CN"/>
      </w:rPr>
    </w:lvl>
    <w:lvl w:ilvl="5">
      <w:start w:val="0"/>
      <w:numFmt w:val="bullet"/>
      <w:lvlText w:val="•"/>
      <w:lvlJc w:val="left"/>
      <w:pPr>
        <w:ind w:left="4719" w:hanging="601"/>
      </w:pPr>
      <w:rPr>
        <w:rFonts w:hint="default"/>
        <w:lang w:val="zh-CN" w:eastAsia="zh-CN" w:bidi="zh-CN"/>
      </w:rPr>
    </w:lvl>
    <w:lvl w:ilvl="6">
      <w:start w:val="0"/>
      <w:numFmt w:val="bullet"/>
      <w:lvlText w:val="•"/>
      <w:lvlJc w:val="left"/>
      <w:pPr>
        <w:ind w:left="5422" w:hanging="601"/>
      </w:pPr>
      <w:rPr>
        <w:rFonts w:hint="default"/>
        <w:lang w:val="zh-CN" w:eastAsia="zh-CN" w:bidi="zh-CN"/>
      </w:rPr>
    </w:lvl>
    <w:lvl w:ilvl="7">
      <w:start w:val="0"/>
      <w:numFmt w:val="bullet"/>
      <w:lvlText w:val="•"/>
      <w:lvlJc w:val="left"/>
      <w:pPr>
        <w:ind w:left="6126" w:hanging="601"/>
      </w:pPr>
      <w:rPr>
        <w:rFonts w:hint="default"/>
        <w:lang w:val="zh-CN" w:eastAsia="zh-CN" w:bidi="zh-CN"/>
      </w:rPr>
    </w:lvl>
    <w:lvl w:ilvl="8">
      <w:start w:val="0"/>
      <w:numFmt w:val="bullet"/>
      <w:lvlText w:val="•"/>
      <w:lvlJc w:val="left"/>
      <w:pPr>
        <w:ind w:left="6830" w:hanging="601"/>
      </w:pPr>
      <w:rPr>
        <w:rFonts w:hint="default"/>
        <w:lang w:val="zh-CN" w:eastAsia="zh-CN" w:bidi="zh-CN"/>
      </w:rPr>
    </w:lvl>
  </w:abstractNum>
  <w:abstractNum w:abstractNumId="36">
    <w:nsid w:val="7D4BEF3A"/>
    <w:multiLevelType w:val="hybridMultilevel"/>
    <w:tmpl w:val="00000000"/>
    <w:lvl w:ilvl="0">
      <w:start w:val="1"/>
      <w:numFmt w:val="decimal"/>
      <w:lvlText w:val="（%1）"/>
      <w:lvlJc w:val="left"/>
      <w:pPr>
        <w:ind w:left="696" w:hanging="608"/>
        <w:jc w:val="left"/>
      </w:pPr>
      <w:rPr>
        <w:rFonts w:hint="default"/>
        <w:w w:val="100"/>
        <w:lang w:val="zh-CN" w:eastAsia="zh-CN" w:bidi="zh-CN"/>
      </w:rPr>
    </w:lvl>
    <w:lvl w:ilvl="1">
      <w:start w:val="0"/>
      <w:numFmt w:val="bullet"/>
      <w:lvlText w:val="•"/>
      <w:lvlJc w:val="left"/>
      <w:pPr>
        <w:ind w:left="1592" w:hanging="608"/>
      </w:pPr>
      <w:rPr>
        <w:rFonts w:hint="default"/>
        <w:lang w:val="zh-CN" w:eastAsia="zh-CN" w:bidi="zh-CN"/>
      </w:rPr>
    </w:lvl>
    <w:lvl w:ilvl="2">
      <w:start w:val="0"/>
      <w:numFmt w:val="bullet"/>
      <w:lvlText w:val="•"/>
      <w:lvlJc w:val="left"/>
      <w:pPr>
        <w:ind w:left="2485" w:hanging="608"/>
      </w:pPr>
      <w:rPr>
        <w:rFonts w:hint="default"/>
        <w:lang w:val="zh-CN" w:eastAsia="zh-CN" w:bidi="zh-CN"/>
      </w:rPr>
    </w:lvl>
    <w:lvl w:ilvl="3">
      <w:start w:val="0"/>
      <w:numFmt w:val="bullet"/>
      <w:lvlText w:val="•"/>
      <w:lvlJc w:val="left"/>
      <w:pPr>
        <w:ind w:left="3377" w:hanging="608"/>
      </w:pPr>
      <w:rPr>
        <w:rFonts w:hint="default"/>
        <w:lang w:val="zh-CN" w:eastAsia="zh-CN" w:bidi="zh-CN"/>
      </w:rPr>
    </w:lvl>
    <w:lvl w:ilvl="4">
      <w:start w:val="0"/>
      <w:numFmt w:val="bullet"/>
      <w:lvlText w:val="•"/>
      <w:lvlJc w:val="left"/>
      <w:pPr>
        <w:ind w:left="4270" w:hanging="608"/>
      </w:pPr>
      <w:rPr>
        <w:rFonts w:hint="default"/>
        <w:lang w:val="zh-CN" w:eastAsia="zh-CN" w:bidi="zh-CN"/>
      </w:rPr>
    </w:lvl>
    <w:lvl w:ilvl="5">
      <w:start w:val="0"/>
      <w:numFmt w:val="bullet"/>
      <w:lvlText w:val="•"/>
      <w:lvlJc w:val="left"/>
      <w:pPr>
        <w:ind w:left="5163" w:hanging="608"/>
      </w:pPr>
      <w:rPr>
        <w:rFonts w:hint="default"/>
        <w:lang w:val="zh-CN" w:eastAsia="zh-CN" w:bidi="zh-CN"/>
      </w:rPr>
    </w:lvl>
    <w:lvl w:ilvl="6">
      <w:start w:val="0"/>
      <w:numFmt w:val="bullet"/>
      <w:lvlText w:val="•"/>
      <w:lvlJc w:val="left"/>
      <w:pPr>
        <w:ind w:left="6055" w:hanging="608"/>
      </w:pPr>
      <w:rPr>
        <w:rFonts w:hint="default"/>
        <w:lang w:val="zh-CN" w:eastAsia="zh-CN" w:bidi="zh-CN"/>
      </w:rPr>
    </w:lvl>
    <w:lvl w:ilvl="7">
      <w:start w:val="0"/>
      <w:numFmt w:val="bullet"/>
      <w:lvlText w:val="•"/>
      <w:lvlJc w:val="left"/>
      <w:pPr>
        <w:ind w:left="6948" w:hanging="608"/>
      </w:pPr>
      <w:rPr>
        <w:rFonts w:hint="default"/>
        <w:lang w:val="zh-CN" w:eastAsia="zh-CN" w:bidi="zh-CN"/>
      </w:rPr>
    </w:lvl>
    <w:lvl w:ilvl="8">
      <w:start w:val="0"/>
      <w:numFmt w:val="bullet"/>
      <w:lvlText w:val="•"/>
      <w:lvlJc w:val="left"/>
      <w:pPr>
        <w:ind w:left="7840" w:hanging="608"/>
      </w:pPr>
      <w:rPr>
        <w:rFonts w:hint="default"/>
        <w:lang w:val="zh-CN" w:eastAsia="zh-CN" w:bidi="zh-CN"/>
      </w:rPr>
    </w:lvl>
  </w:abstractNum>
  <w:abstractNum w:abstractNumId="37">
    <w:nsid w:val="7E7063B2"/>
    <w:multiLevelType w:val="hybridMultilevel"/>
    <w:tmpl w:val="00000000"/>
    <w:lvl w:ilvl="0">
      <w:start w:val="3"/>
      <w:numFmt w:val="lowerLetter"/>
      <w:lvlText w:val="%1."/>
      <w:lvlJc w:val="left"/>
      <w:pPr>
        <w:ind w:left="832" w:hanging="241"/>
        <w:jc w:val="left"/>
      </w:pPr>
      <w:rPr>
        <w:rFonts w:ascii="宋体" w:eastAsia="宋体" w:hAnsi="宋体" w:cs="宋体" w:hint="default"/>
        <w:w w:val="100"/>
        <w:sz w:val="22"/>
        <w:szCs w:val="22"/>
        <w:lang w:val="zh-CN" w:eastAsia="zh-CN" w:bidi="zh-CN"/>
      </w:rPr>
    </w:lvl>
    <w:lvl w:ilvl="1">
      <w:start w:val="0"/>
      <w:numFmt w:val="bullet"/>
      <w:lvlText w:val="•"/>
      <w:lvlJc w:val="left"/>
      <w:pPr>
        <w:ind w:left="1516" w:hanging="241"/>
      </w:pPr>
      <w:rPr>
        <w:rFonts w:hint="default"/>
        <w:lang w:val="zh-CN" w:eastAsia="zh-CN" w:bidi="zh-CN"/>
      </w:rPr>
    </w:lvl>
    <w:lvl w:ilvl="2">
      <w:start w:val="0"/>
      <w:numFmt w:val="bullet"/>
      <w:lvlText w:val="•"/>
      <w:lvlJc w:val="left"/>
      <w:pPr>
        <w:ind w:left="2193" w:hanging="241"/>
      </w:pPr>
      <w:rPr>
        <w:rFonts w:hint="default"/>
        <w:lang w:val="zh-CN" w:eastAsia="zh-CN" w:bidi="zh-CN"/>
      </w:rPr>
    </w:lvl>
    <w:lvl w:ilvl="3">
      <w:start w:val="0"/>
      <w:numFmt w:val="bullet"/>
      <w:lvlText w:val="•"/>
      <w:lvlJc w:val="left"/>
      <w:pPr>
        <w:ind w:left="2870" w:hanging="241"/>
      </w:pPr>
      <w:rPr>
        <w:rFonts w:hint="default"/>
        <w:lang w:val="zh-CN" w:eastAsia="zh-CN" w:bidi="zh-CN"/>
      </w:rPr>
    </w:lvl>
    <w:lvl w:ilvl="4">
      <w:start w:val="0"/>
      <w:numFmt w:val="bullet"/>
      <w:lvlText w:val="•"/>
      <w:lvlJc w:val="left"/>
      <w:pPr>
        <w:ind w:left="3546" w:hanging="241"/>
      </w:pPr>
      <w:rPr>
        <w:rFonts w:hint="default"/>
        <w:lang w:val="zh-CN" w:eastAsia="zh-CN" w:bidi="zh-CN"/>
      </w:rPr>
    </w:lvl>
    <w:lvl w:ilvl="5">
      <w:start w:val="0"/>
      <w:numFmt w:val="bullet"/>
      <w:lvlText w:val="•"/>
      <w:lvlJc w:val="left"/>
      <w:pPr>
        <w:ind w:left="4223" w:hanging="241"/>
      </w:pPr>
      <w:rPr>
        <w:rFonts w:hint="default"/>
        <w:lang w:val="zh-CN" w:eastAsia="zh-CN" w:bidi="zh-CN"/>
      </w:rPr>
    </w:lvl>
    <w:lvl w:ilvl="6">
      <w:start w:val="0"/>
      <w:numFmt w:val="bullet"/>
      <w:lvlText w:val="•"/>
      <w:lvlJc w:val="left"/>
      <w:pPr>
        <w:ind w:left="4900" w:hanging="241"/>
      </w:pPr>
      <w:rPr>
        <w:rFonts w:hint="default"/>
        <w:lang w:val="zh-CN" w:eastAsia="zh-CN" w:bidi="zh-CN"/>
      </w:rPr>
    </w:lvl>
    <w:lvl w:ilvl="7">
      <w:start w:val="0"/>
      <w:numFmt w:val="bullet"/>
      <w:lvlText w:val="•"/>
      <w:lvlJc w:val="left"/>
      <w:pPr>
        <w:ind w:left="5576" w:hanging="241"/>
      </w:pPr>
      <w:rPr>
        <w:rFonts w:hint="default"/>
        <w:lang w:val="zh-CN" w:eastAsia="zh-CN" w:bidi="zh-CN"/>
      </w:rPr>
    </w:lvl>
    <w:lvl w:ilvl="8">
      <w:start w:val="0"/>
      <w:numFmt w:val="bullet"/>
      <w:lvlText w:val="•"/>
      <w:lvlJc w:val="left"/>
      <w:pPr>
        <w:ind w:left="6253" w:hanging="241"/>
      </w:pPr>
      <w:rPr>
        <w:rFonts w:hint="default"/>
        <w:lang w:val="zh-CN" w:eastAsia="zh-CN" w:bidi="zh-CN"/>
      </w:rPr>
    </w:lvl>
  </w:abstractNum>
  <w:num w:numId="1">
    <w:abstractNumId w:val="14"/>
  </w:num>
  <w:num w:numId="2">
    <w:abstractNumId w:val="0"/>
  </w:num>
  <w:num w:numId="3">
    <w:abstractNumId w:val="16"/>
  </w:num>
  <w:num w:numId="4">
    <w:abstractNumId w:val="21"/>
  </w:num>
  <w:num w:numId="5">
    <w:abstractNumId w:val="18"/>
  </w:num>
  <w:num w:numId="6">
    <w:abstractNumId w:val="1"/>
  </w:num>
  <w:num w:numId="7">
    <w:abstractNumId w:val="17"/>
  </w:num>
  <w:num w:numId="8">
    <w:abstractNumId w:val="22"/>
  </w:num>
  <w:num w:numId="9">
    <w:abstractNumId w:val="19"/>
  </w:num>
  <w:num w:numId="10">
    <w:abstractNumId w:val="11"/>
  </w:num>
  <w:num w:numId="11">
    <w:abstractNumId w:val="23"/>
  </w:num>
  <w:num w:numId="12">
    <w:abstractNumId w:val="9"/>
  </w:num>
  <w:num w:numId="13">
    <w:abstractNumId w:val="10"/>
  </w:num>
  <w:num w:numId="14">
    <w:abstractNumId w:val="20"/>
  </w:num>
  <w:num w:numId="15">
    <w:abstractNumId w:val="24"/>
  </w:num>
  <w:num w:numId="16">
    <w:abstractNumId w:val="8"/>
  </w:num>
  <w:num w:numId="17">
    <w:abstractNumId w:val="37"/>
  </w:num>
  <w:num w:numId="18">
    <w:abstractNumId w:val="25"/>
  </w:num>
  <w:num w:numId="19">
    <w:abstractNumId w:val="31"/>
  </w:num>
  <w:num w:numId="20">
    <w:abstractNumId w:val="26"/>
  </w:num>
  <w:num w:numId="21">
    <w:abstractNumId w:val="4"/>
  </w:num>
  <w:num w:numId="22">
    <w:abstractNumId w:val="7"/>
  </w:num>
  <w:num w:numId="23">
    <w:abstractNumId w:val="6"/>
  </w:num>
  <w:num w:numId="24">
    <w:abstractNumId w:val="27"/>
  </w:num>
  <w:num w:numId="25">
    <w:abstractNumId w:val="15"/>
  </w:num>
  <w:num w:numId="26">
    <w:abstractNumId w:val="35"/>
  </w:num>
  <w:num w:numId="27">
    <w:abstractNumId w:val="12"/>
  </w:num>
  <w:num w:numId="28">
    <w:abstractNumId w:val="29"/>
  </w:num>
  <w:num w:numId="29">
    <w:abstractNumId w:val="36"/>
  </w:num>
  <w:num w:numId="30">
    <w:abstractNumId w:val="3"/>
  </w:num>
  <w:num w:numId="31">
    <w:abstractNumId w:val="28"/>
  </w:num>
  <w:num w:numId="32">
    <w:abstractNumId w:val="30"/>
  </w:num>
  <w:num w:numId="33">
    <w:abstractNumId w:val="2"/>
  </w:num>
  <w:num w:numId="34">
    <w:abstractNumId w:val="32"/>
  </w:num>
  <w:num w:numId="35">
    <w:abstractNumId w:val="33"/>
  </w:num>
  <w:num w:numId="36">
    <w:abstractNumId w:val="13"/>
  </w:num>
  <w:num w:numId="37">
    <w:abstractNumId w:val="34"/>
  </w:num>
  <w:num w:numId="3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zh-CN" w:eastAsia="zh-CN" w:bidi="zh-CN"/>
    </w:rPr>
  </w:style>
  <w:style w:type="paragraph" w:styleId="Heading1">
    <w:name w:val="heading 1"/>
    <w:basedOn w:val="Normal"/>
    <w:uiPriority w:val="1"/>
    <w:qFormat/>
    <w:pPr>
      <w:spacing w:before="124"/>
      <w:ind w:right="81"/>
      <w:jc w:val="center"/>
      <w:outlineLvl w:val="0"/>
    </w:pPr>
    <w:rPr>
      <w:rFonts w:ascii="黑体" w:eastAsia="黑体" w:hAnsi="黑体" w:cs="黑体"/>
      <w:sz w:val="30"/>
      <w:szCs w:val="30"/>
      <w:lang w:val="zh-CN" w:eastAsia="zh-CN" w:bidi="zh-CN"/>
    </w:rPr>
  </w:style>
  <w:style w:type="paragraph" w:styleId="Heading2">
    <w:name w:val="heading 2"/>
    <w:basedOn w:val="Normal"/>
    <w:uiPriority w:val="1"/>
    <w:qFormat/>
    <w:pPr>
      <w:ind w:left="1548"/>
      <w:outlineLvl w:val="1"/>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ListParagraph">
    <w:name w:val="List Paragraph"/>
    <w:basedOn w:val="Normal"/>
    <w:uiPriority w:val="1"/>
    <w:qFormat/>
    <w:pPr>
      <w:ind w:left="1028" w:firstLine="520"/>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 w:type="table" w:customStyle="1" w:styleId="TableNormal8">
    <w:name w:val="Table Normal_8"/>
    <w:uiPriority w:val="2"/>
    <w:semiHidden/>
    <w:unhideWhenUsed/>
    <w:qFormat/>
    <w:tblPr>
      <w:tblInd w:w="0" w:type="dxa"/>
      <w:tblCellMar>
        <w:top w:w="0" w:type="dxa"/>
        <w:left w:w="0" w:type="dxa"/>
        <w:bottom w:w="0" w:type="dxa"/>
        <w:right w:w="0" w:type="dxa"/>
      </w:tblCellMar>
    </w:tblPr>
  </w:style>
  <w:style w:type="table" w:customStyle="1" w:styleId="TableNormal9">
    <w:name w:val="Table Normal_9"/>
    <w:uiPriority w:val="2"/>
    <w:semiHidden/>
    <w:unhideWhenUsed/>
    <w:qFormat/>
    <w:tblPr>
      <w:tblInd w:w="0" w:type="dxa"/>
      <w:tblCellMar>
        <w:top w:w="0" w:type="dxa"/>
        <w:left w:w="0" w:type="dxa"/>
        <w:bottom w:w="0" w:type="dxa"/>
        <w:right w:w="0" w:type="dxa"/>
      </w:tblCellMar>
    </w:tblPr>
  </w:style>
  <w:style w:type="table" w:customStyle="1" w:styleId="TableNormal10">
    <w:name w:val="Table Normal_10"/>
    <w:uiPriority w:val="2"/>
    <w:semiHidden/>
    <w:unhideWhenUsed/>
    <w:qFormat/>
    <w:tblPr>
      <w:tblInd w:w="0" w:type="dxa"/>
      <w:tblCellMar>
        <w:top w:w="0" w:type="dxa"/>
        <w:left w:w="0" w:type="dxa"/>
        <w:bottom w:w="0" w:type="dxa"/>
        <w:right w:w="0" w:type="dxa"/>
      </w:tblCellMar>
    </w:tblPr>
  </w:style>
  <w:style w:type="table" w:customStyle="1" w:styleId="TableNormal11">
    <w:name w:val="Table Normal_11"/>
    <w:uiPriority w:val="2"/>
    <w:semiHidden/>
    <w:unhideWhenUsed/>
    <w:qFormat/>
    <w:tblPr>
      <w:tblInd w:w="0" w:type="dxa"/>
      <w:tblCellMar>
        <w:top w:w="0" w:type="dxa"/>
        <w:left w:w="0" w:type="dxa"/>
        <w:bottom w:w="0" w:type="dxa"/>
        <w:right w:w="0" w:type="dxa"/>
      </w:tblCellMar>
    </w:tblPr>
  </w:style>
  <w:style w:type="table" w:customStyle="1" w:styleId="TableNormal12">
    <w:name w:val="Table Normal_12"/>
    <w:uiPriority w:val="2"/>
    <w:semiHidden/>
    <w:unhideWhenUsed/>
    <w:qFormat/>
    <w:tblPr>
      <w:tblInd w:w="0" w:type="dxa"/>
      <w:tblCellMar>
        <w:top w:w="0" w:type="dxa"/>
        <w:left w:w="0" w:type="dxa"/>
        <w:bottom w:w="0" w:type="dxa"/>
        <w:right w:w="0" w:type="dxa"/>
      </w:tblCellMar>
    </w:tblPr>
  </w:style>
  <w:style w:type="table" w:customStyle="1" w:styleId="TableNormal13">
    <w:name w:val="Table Normal_13"/>
    <w:uiPriority w:val="2"/>
    <w:semiHidden/>
    <w:unhideWhenUsed/>
    <w:qFormat/>
    <w:tblPr>
      <w:tblInd w:w="0" w:type="dxa"/>
      <w:tblCellMar>
        <w:top w:w="0" w:type="dxa"/>
        <w:left w:w="0" w:type="dxa"/>
        <w:bottom w:w="0" w:type="dxa"/>
        <w:right w:w="0" w:type="dxa"/>
      </w:tblCellMar>
    </w:tblPr>
  </w:style>
  <w:style w:type="table" w:customStyle="1" w:styleId="TableNormal14">
    <w:name w:val="Table Normal_14"/>
    <w:uiPriority w:val="2"/>
    <w:semiHidden/>
    <w:unhideWhenUsed/>
    <w:qFormat/>
    <w:tblPr>
      <w:tblInd w:w="0" w:type="dxa"/>
      <w:tblCellMar>
        <w:top w:w="0" w:type="dxa"/>
        <w:left w:w="0" w:type="dxa"/>
        <w:bottom w:w="0" w:type="dxa"/>
        <w:right w:w="0" w:type="dxa"/>
      </w:tblCellMar>
    </w:tblPr>
  </w:style>
  <w:style w:type="table" w:customStyle="1" w:styleId="TableNormal15">
    <w:name w:val="Table Normal_15"/>
    <w:uiPriority w:val="2"/>
    <w:semiHidden/>
    <w:unhideWhenUsed/>
    <w:qFormat/>
    <w:tblPr>
      <w:tblInd w:w="0" w:type="dxa"/>
      <w:tblCellMar>
        <w:top w:w="0" w:type="dxa"/>
        <w:left w:w="0" w:type="dxa"/>
        <w:bottom w:w="0" w:type="dxa"/>
        <w:right w:w="0" w:type="dxa"/>
      </w:tblCellMar>
    </w:tblPr>
  </w:style>
  <w:style w:type="table" w:customStyle="1" w:styleId="TableNormal16">
    <w:name w:val="Table Normal_16"/>
    <w:uiPriority w:val="2"/>
    <w:semiHidden/>
    <w:unhideWhenUsed/>
    <w:qFormat/>
    <w:tblPr>
      <w:tblInd w:w="0" w:type="dxa"/>
      <w:tblCellMar>
        <w:top w:w="0" w:type="dxa"/>
        <w:left w:w="0" w:type="dxa"/>
        <w:bottom w:w="0" w:type="dxa"/>
        <w:right w:w="0" w:type="dxa"/>
      </w:tblCellMar>
    </w:tblPr>
  </w:style>
  <w:style w:type="table" w:customStyle="1" w:styleId="TableNormal17">
    <w:name w:val="Table Normal_17"/>
    <w:uiPriority w:val="2"/>
    <w:semiHidden/>
    <w:unhideWhenUsed/>
    <w:qFormat/>
    <w:tblPr>
      <w:tblInd w:w="0" w:type="dxa"/>
      <w:tblCellMar>
        <w:top w:w="0" w:type="dxa"/>
        <w:left w:w="0" w:type="dxa"/>
        <w:bottom w:w="0" w:type="dxa"/>
        <w:right w:w="0" w:type="dxa"/>
      </w:tblCellMar>
    </w:tblPr>
  </w:style>
  <w:style w:type="table" w:customStyle="1" w:styleId="TableNormal18">
    <w:name w:val="Table Normal_18"/>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image" Target="media/image1.jpeg" /><Relationship Id="rId36" Type="http://schemas.openxmlformats.org/officeDocument/2006/relationships/image" Target="media/image2.jpeg" /><Relationship Id="rId37" Type="http://schemas.openxmlformats.org/officeDocument/2006/relationships/footer" Target="footer32.xml" /><Relationship Id="rId38" Type="http://schemas.openxmlformats.org/officeDocument/2006/relationships/image" Target="media/image3.jpeg" /><Relationship Id="rId39" Type="http://schemas.openxmlformats.org/officeDocument/2006/relationships/image" Target="media/image4.jpeg" /><Relationship Id="rId4" Type="http://schemas.openxmlformats.org/officeDocument/2006/relationships/footer" Target="footer1.xml" /><Relationship Id="rId40" Type="http://schemas.openxmlformats.org/officeDocument/2006/relationships/image" Target="media/image5.jpeg" /><Relationship Id="rId41" Type="http://schemas.openxmlformats.org/officeDocument/2006/relationships/image" Target="media/image6.jpeg" /><Relationship Id="rId42" Type="http://schemas.openxmlformats.org/officeDocument/2006/relationships/image" Target="media/image7.jpeg" /><Relationship Id="rId43" Type="http://schemas.openxmlformats.org/officeDocument/2006/relationships/image" Target="media/image8.jpeg" /><Relationship Id="rId44" Type="http://schemas.openxmlformats.org/officeDocument/2006/relationships/footer" Target="footer33.xml" /><Relationship Id="rId45" Type="http://schemas.openxmlformats.org/officeDocument/2006/relationships/image" Target="media/image9.jpeg" /><Relationship Id="rId46" Type="http://schemas.openxmlformats.org/officeDocument/2006/relationships/image" Target="media/image10.jpeg" /><Relationship Id="rId47" Type="http://schemas.openxmlformats.org/officeDocument/2006/relationships/footer" Target="footer34.xml" /><Relationship Id="rId48" Type="http://schemas.openxmlformats.org/officeDocument/2006/relationships/hyperlink" Target="https://d.book118.com/565224303040011124" TargetMode="External" /><Relationship Id="rId49" Type="http://schemas.openxmlformats.org/officeDocument/2006/relationships/footer" Target="footer35.xml" /><Relationship Id="rId5" Type="http://schemas.openxmlformats.org/officeDocument/2006/relationships/footer" Target="footer2.xml"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lhj</dc:creator>
  <cp:revision>0</cp:revision>
  <dcterms:created xsi:type="dcterms:W3CDTF">2024-03-12T07:58:49Z</dcterms:created>
  <dcterms:modified xsi:type="dcterms:W3CDTF">2024-03-12T07:58:49Z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2023-11-06T00:00:00Z</vt:filetime>
  </property>
  <property fmtid="{D5CDD505-2E9C-101B-9397-08002B2CF9AE}" pid="3" name="Creator">
    <vt:lpwstr>WPS 文字</vt:lpwstr>
  </property>
  <property fmtid="{D5CDD505-2E9C-101B-9397-08002B2CF9AE}" pid="4" name="LastSaved">
    <vt:filetime>2024-03-12T00:00:00Z</vt:filetime>
  </property>
</Properties>
</file>