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杀鼠剂战略市场规划报告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1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8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2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val="en-GB"/>
          </w:rPr>
          <w:t>三、SWOT分析说明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4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_Toc20944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9" w:history="1">
        <w:r>
          <w:rPr>
            <w:rFonts w:ascii="仿宋" w:eastAsia="仿宋" w:hAnsi="仿宋" w:cs="仿宋" w:hint="eastAsia"/>
            <w:lang w:val="en-GB"/>
          </w:rPr>
          <w:t>四、杀鼠剂行业前景</w:t>
        </w:r>
        <w:r>
          <w:tab/>
        </w:r>
        <w:r>
          <w:fldChar w:fldCharType="begin"/>
        </w:r>
        <w:r>
          <w:instrText xml:space="preserve"> PAGEREF _Toc27539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val="en-GB"/>
          </w:rPr>
          <w:t>(一)、市场增长预测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7" w:history="1">
        <w:r>
          <w:rPr>
            <w:rFonts w:ascii="仿宋" w:eastAsia="仿宋" w:hAnsi="仿宋" w:cs="仿宋" w:hint="eastAsia"/>
            <w:lang w:val="en-GB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_Toc27297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val="en-GB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3" w:history="1">
        <w:r>
          <w:rPr>
            <w:rFonts w:ascii="仿宋" w:eastAsia="仿宋" w:hAnsi="仿宋" w:cs="仿宋" w:hint="eastAsia"/>
            <w:lang w:val="en-GB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_Toc27013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val="en-GB"/>
          </w:rPr>
          <w:t>五、杀鼠剂行业发展现状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" w:history="1">
        <w:r>
          <w:rPr>
            <w:rFonts w:ascii="仿宋" w:eastAsia="仿宋" w:hAnsi="仿宋" w:cs="仿宋" w:hint="eastAsia"/>
            <w:lang w:val="en-GB"/>
          </w:rPr>
          <w:t>(一)、杀鼠剂行业整体概况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val="en-GB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val="en-GB"/>
          </w:rPr>
          <w:t>(三)、政策与法规</w:t>
        </w:r>
        <w:r>
          <w:tab/>
        </w:r>
        <w:r>
          <w:fldChar w:fldCharType="begin"/>
        </w:r>
        <w:r>
          <w:instrText xml:space="preserve"> PAGEREF _Toc7505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val="en-GB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1" w:history="1">
        <w:r>
          <w:rPr>
            <w:rFonts w:ascii="仿宋" w:eastAsia="仿宋" w:hAnsi="仿宋" w:cs="仿宋" w:hint="eastAsia"/>
            <w:lang w:val="en-GB"/>
          </w:rPr>
          <w:t>六、杀鼠剂整合营销</w:t>
        </w:r>
        <w:r>
          <w:tab/>
        </w:r>
        <w:r>
          <w:fldChar w:fldCharType="begin"/>
        </w:r>
        <w:r>
          <w:instrText xml:space="preserve"> PAGEREF _Toc24021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_Toc15057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2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_Toc26632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7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_Toc9357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val="en-GB"/>
          </w:rPr>
          <w:t>七、杀鼠剂新型运营方式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val="en-GB"/>
          </w:rPr>
          <w:t>八、杀鼠剂消费者市场分析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_Toc2534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8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_Toc19388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2" w:history="1">
        <w:r>
          <w:rPr>
            <w:rFonts w:ascii="仿宋" w:eastAsia="仿宋" w:hAnsi="仿宋" w:cs="仿宋" w:hint="eastAsia"/>
            <w:lang w:val="en-GB"/>
          </w:rPr>
          <w:t>九、杀鼠剂促销策略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9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_Toc21379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31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3" w:history="1">
        <w:r>
          <w:rPr>
            <w:rFonts w:ascii="仿宋" w:eastAsia="仿宋" w:hAnsi="仿宋" w:cs="仿宋" w:hint="eastAsia"/>
            <w:lang w:val="en-GB"/>
          </w:rPr>
          <w:t>十、市场趋势与消费者洞察</w:t>
        </w:r>
        <w:r>
          <w:tab/>
        </w:r>
        <w:r>
          <w:fldChar w:fldCharType="begin"/>
        </w:r>
        <w:r>
          <w:instrText xml:space="preserve"> PAGEREF _Toc16453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8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_Toc1693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val="en-GB"/>
          </w:rPr>
          <w:t>十一、杀鼠剂行业高质量发展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1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_Toc14151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0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_Toc22810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4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4" w:history="1">
        <w:r>
          <w:rPr>
            <w:rFonts w:ascii="仿宋" w:eastAsia="仿宋" w:hAnsi="仿宋" w:cs="仿宋" w:hint="eastAsia"/>
            <w:lang w:val="en-GB"/>
          </w:rPr>
          <w:t>十二、市场营销与销售策略</w:t>
        </w:r>
        <w:r>
          <w:tab/>
        </w:r>
        <w:r>
          <w:fldChar w:fldCharType="begin"/>
        </w:r>
        <w:r>
          <w:instrText xml:space="preserve"> PAGEREF _Toc8954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0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_Toc16840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val="en-GB"/>
          </w:rPr>
          <w:t>十三、杀鼠剂可持续发展战略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8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val="en-GB"/>
          </w:rPr>
          <w:t>十四、杀鼠剂人才战略与团队建设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_Toc28417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971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杀鼠剂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0785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3325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为确保公司员工在不断变化的市场和杀鼠剂行业中保持竞争力，公司将进行全面的培训需求分析与计划，以提高员工整体素质和适应公司发展需求。下面是公司在培训需求分析与计划方面的详细安排：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市场动态与杀鼠剂行业趋势分析：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 通过跟踪市场动态和杀鼠剂行业趋势，公司将及时获取关于新技术、新趋势的信息。基于这些信息，公司将制定培训计划，使员工紧跟杀鼠剂行业发展步伐，提高他们对市场的洞察力和适应力。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针对公司所处业务领域的最新发展，公司将定期进行专业知识更新培训。这有助于确保员工了解杀鼠剂行业前沿信息，保持专业知识的新鲜度，提高其在专业领域内的竞争力。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6528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8834"/>
      <w:r>
        <w:rPr>
          <w:rFonts w:ascii="仿宋" w:eastAsia="仿宋" w:hAnsi="仿宋" w:cs="仿宋" w:hint="eastAsia"/>
          <w:sz w:val="28"/>
          <w:lang w:val="en-GB"/>
        </w:rPr>
        <w:t>(三)、职业发展规划与晋升通道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职业发展规划的重要性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https://d.book118.com/565234134022011111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杀鼠剂战略市场规划报告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6A3A00"/>
    <w:rsid w:val="019E643E"/>
    <w:rsid w:val="066A3A00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65234134022011111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2024-01-10T23:14:00Z</dcterms:created>
  <dcterms:modified xsi:type="dcterms:W3CDTF">2024-01-10T23:14:57Z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733A0E618F6D4E5881EC413D1C2305C2_11</vt:lpwstr>
  </property>
  <property fmtid="{D5CDD505-2E9C-101B-9397-08002B2CF9AE}" pid="3" name="KSOProductBuildVer">
    <vt:lpwstr>2052-12.1.0.16120</vt:lpwstr>
  </property>
</Properties>
</file>