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2018-2023年新疆应用职业技术学院高职单招（数学／语文／英语）历年常考试题库含答案解析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“人有悲欢离合，月有阴晴圆缺”这两句诗出自（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A.李煜《虞美人》（春花秋月何时了）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B.柳永《八声甘州》（对潇潇暮雨洒江天）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C.苏轼《水调歌头》（明月几时有）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D.李清照《声声慢》（寻寻觅觅）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柳永《八声甘州（对潇潇暮雨洒江天）》着力抒写的思想情绪是（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A.爱情失意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B.羁旅行役之苦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D.伤春惜时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《灯下漫笔》选自鲁迅著名的杂文集（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A.《热风》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B.《南腔北调集》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下列诗歌中，同属乐府诗的是（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A.李白《行路难》、陆游《关山月》、曹操《短歌行》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B.王维《山居秋暝》、曹操《短歌行》、李白《行路难》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C.陆游《关山月》、曹操《短歌行》、屈原《国殇》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D.陆游《关山月》、白居易《杜陵叟》、王维《山居秋暝》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柳永《八声甘州（对潇潇暮雨洒江天）》中贯穿全词的句子是（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A.是处红衰翠减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B.惟有长江水，无语东流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C.不忍登高临远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D.叹年来踪迹，何事苦淹留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《红楼梦》的体裁是（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A.长篇章回白话小说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B.长篇文言文小说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C.诗体韵文小说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D.现实主义小说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“茕茕孑立，形影相吊”一语出自（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A.李斯《谏逐客书》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B.李密《陈情表》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C.李清照《声声慢》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D.曹操《短歌行》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屈原的《国殇》选自（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A.《离骚》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D.《天问》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韩愈的作品集是（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A.《饮冰室文集》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B.《临川先生文集》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C.《昌黎先生集》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D.《柳河东集》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下列句子中，含有“名词用如动词”的是（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A.万川归之，不知何时止而盈。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B.彼以艰苦忍耐之力，冒其逆而突过之。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C.故人不独亲其亲，不独子其子。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D.远人不服，则修文德以来之。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下列诗句中，罗敷通过夸夫震慑刺史的是（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B.脱帽著帩头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C.使君一何愚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D.为人洁白皙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“出师未捷身先死，长使英雄泪满襟”。此句中所指人物和作者分别是（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A.岳飞，辛弃疾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B.周瑜，杜甫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C.诸葛亮，杜甫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D.诸葛亮，李白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https://d.book118.com/565303010331011112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565303010331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