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spacing w:line="240" w:lineRule="auto"/>
        <w:jc w:val="center"/>
        <w:rPr>
          <w:rFonts w:ascii="Times New Roman" w:hAnsi="Times New Roman" w:eastAsiaTheme="minorEastAsia"/>
          <w:snapToGrid w:val="0"/>
        </w:rPr>
      </w:pPr>
      <w:bookmarkStart w:id="0" w:name="_Toc80620563"/>
      <w:r>
        <w:rPr>
          <w:rFonts w:ascii="Times New Roman" w:hAnsi="Times New Roman" w:eastAsiaTheme="minorEastAsia"/>
          <w:snapToGrid w:val="0"/>
        </w:rPr>
        <w:t>一、建设项目基本情况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31"/>
        <w:gridCol w:w="2239"/>
        <w:gridCol w:w="130"/>
        <w:gridCol w:w="2152"/>
        <w:gridCol w:w="291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bookmarkEnd w:id="0"/>
            <w:r>
              <w:rPr>
                <w:rFonts w:eastAsiaTheme="minorEastAsia"/>
                <w:b/>
                <w:sz w:val="24"/>
              </w:rPr>
              <w:t>建设项目名称</w:t>
            </w:r>
          </w:p>
        </w:tc>
        <w:tc>
          <w:tcPr>
            <w:tcW w:w="7439" w:type="dxa"/>
            <w:gridSpan w:val="4"/>
            <w:vAlign w:val="center"/>
          </w:tcPr>
          <w:p>
            <w:pPr>
              <w:adjustRightInd w:val="0"/>
              <w:snapToGrid w:val="0"/>
              <w:jc w:val="center"/>
              <w:rPr>
                <w:rFonts w:eastAsiaTheme="minorEastAsia"/>
                <w:sz w:val="24"/>
              </w:rPr>
            </w:pPr>
            <w:bookmarkStart w:id="1" w:name="_GoBack"/>
            <w:r>
              <w:rPr>
                <w:rFonts w:eastAsiaTheme="minorEastAsia"/>
                <w:sz w:val="24"/>
              </w:rPr>
              <w:t>生物质锅炉技改项目</w:t>
            </w:r>
            <w:bookmarkEnd w:id="1"/>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项目代码</w:t>
            </w:r>
          </w:p>
        </w:tc>
        <w:tc>
          <w:tcPr>
            <w:tcW w:w="7439" w:type="dxa"/>
            <w:gridSpan w:val="4"/>
            <w:vAlign w:val="center"/>
          </w:tcPr>
          <w:p>
            <w:pPr>
              <w:adjustRightInd w:val="0"/>
              <w:snapToGrid w:val="0"/>
              <w:jc w:val="center"/>
              <w:rPr>
                <w:rFonts w:eastAsiaTheme="minorEastAsia"/>
                <w:sz w:val="24"/>
              </w:rPr>
            </w:pPr>
            <w:r>
              <w:rPr>
                <w:rFonts w:eastAsiaTheme="minorEastAsia"/>
                <w:sz w:val="24"/>
              </w:rPr>
              <w:t>2305-610523-04-02-728455</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建设单位联系人</w:t>
            </w:r>
          </w:p>
        </w:tc>
        <w:tc>
          <w:tcPr>
            <w:tcW w:w="2239" w:type="dxa"/>
            <w:vAlign w:val="center"/>
          </w:tcPr>
          <w:p>
            <w:pPr>
              <w:adjustRightInd w:val="0"/>
              <w:snapToGrid w:val="0"/>
              <w:jc w:val="center"/>
              <w:rPr>
                <w:rFonts w:eastAsiaTheme="minorEastAsia"/>
                <w:sz w:val="24"/>
              </w:rPr>
            </w:pPr>
          </w:p>
        </w:tc>
        <w:tc>
          <w:tcPr>
            <w:tcW w:w="2282" w:type="dxa"/>
            <w:gridSpan w:val="2"/>
            <w:vAlign w:val="center"/>
          </w:tcPr>
          <w:p>
            <w:pPr>
              <w:adjustRightInd w:val="0"/>
              <w:snapToGrid w:val="0"/>
              <w:jc w:val="center"/>
              <w:rPr>
                <w:rFonts w:eastAsiaTheme="minorEastAsia"/>
                <w:b/>
                <w:sz w:val="24"/>
              </w:rPr>
            </w:pPr>
            <w:r>
              <w:rPr>
                <w:rFonts w:eastAsiaTheme="minorEastAsia"/>
                <w:b/>
                <w:sz w:val="24"/>
              </w:rPr>
              <w:t>联系方式</w:t>
            </w:r>
          </w:p>
        </w:tc>
        <w:tc>
          <w:tcPr>
            <w:tcW w:w="2918" w:type="dxa"/>
            <w:vAlign w:val="center"/>
          </w:tcPr>
          <w:p>
            <w:pPr>
              <w:adjustRightInd w:val="0"/>
              <w:snapToGrid w:val="0"/>
              <w:jc w:val="center"/>
              <w:rPr>
                <w:rFonts w:eastAsiaTheme="minorEastAsia"/>
                <w:sz w:val="24"/>
              </w:rPr>
            </w:pP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建设地点</w:t>
            </w:r>
          </w:p>
        </w:tc>
        <w:tc>
          <w:tcPr>
            <w:tcW w:w="7439" w:type="dxa"/>
            <w:gridSpan w:val="4"/>
            <w:vAlign w:val="center"/>
          </w:tcPr>
          <w:p>
            <w:pPr>
              <w:adjustRightInd w:val="0"/>
              <w:snapToGrid w:val="0"/>
              <w:jc w:val="center"/>
              <w:rPr>
                <w:rFonts w:eastAsiaTheme="minorEastAsia"/>
                <w:sz w:val="24"/>
              </w:rPr>
            </w:pPr>
            <w:r>
              <w:rPr>
                <w:rFonts w:eastAsiaTheme="minorEastAsia"/>
                <w:sz w:val="24"/>
              </w:rPr>
              <w:t>陕西省渭南市大荔县官池镇经开区</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地理坐标</w:t>
            </w:r>
          </w:p>
        </w:tc>
        <w:tc>
          <w:tcPr>
            <w:tcW w:w="7439" w:type="dxa"/>
            <w:gridSpan w:val="4"/>
            <w:vAlign w:val="center"/>
          </w:tcPr>
          <w:p>
            <w:pPr>
              <w:jc w:val="center"/>
              <w:rPr>
                <w:rFonts w:eastAsiaTheme="minorEastAsia"/>
                <w:sz w:val="24"/>
              </w:rPr>
            </w:pPr>
            <w:r>
              <w:rPr>
                <w:sz w:val="24"/>
              </w:rPr>
              <w:t>（</w:t>
            </w:r>
            <w:r>
              <w:rPr>
                <w:sz w:val="24"/>
                <w:u w:val="single"/>
              </w:rPr>
              <w:t xml:space="preserve"> 109 </w:t>
            </w:r>
            <w:r>
              <w:rPr>
                <w:sz w:val="24"/>
              </w:rPr>
              <w:t>度</w:t>
            </w:r>
            <w:r>
              <w:rPr>
                <w:sz w:val="24"/>
                <w:u w:val="single"/>
              </w:rPr>
              <w:t xml:space="preserve"> 56 </w:t>
            </w:r>
            <w:r>
              <w:rPr>
                <w:sz w:val="24"/>
              </w:rPr>
              <w:t>分</w:t>
            </w:r>
            <w:r>
              <w:rPr>
                <w:sz w:val="24"/>
                <w:u w:val="single"/>
              </w:rPr>
              <w:t xml:space="preserve"> 41.673 </w:t>
            </w:r>
            <w:r>
              <w:rPr>
                <w:sz w:val="24"/>
              </w:rPr>
              <w:t>秒，</w:t>
            </w:r>
            <w:r>
              <w:rPr>
                <w:sz w:val="24"/>
                <w:u w:val="single"/>
              </w:rPr>
              <w:t xml:space="preserve"> 34 </w:t>
            </w:r>
            <w:r>
              <w:rPr>
                <w:sz w:val="24"/>
              </w:rPr>
              <w:t>度</w:t>
            </w:r>
            <w:r>
              <w:rPr>
                <w:sz w:val="24"/>
                <w:u w:val="single"/>
              </w:rPr>
              <w:t xml:space="preserve"> 43 </w:t>
            </w:r>
            <w:r>
              <w:rPr>
                <w:sz w:val="24"/>
              </w:rPr>
              <w:t>分</w:t>
            </w:r>
            <w:r>
              <w:rPr>
                <w:sz w:val="24"/>
                <w:u w:val="single"/>
              </w:rPr>
              <w:t xml:space="preserve"> 18.237 </w:t>
            </w:r>
            <w:r>
              <w:rPr>
                <w:sz w:val="24"/>
              </w:rPr>
              <w:t>秒）</w:t>
            </w:r>
          </w:p>
        </w:tc>
      </w:tr>
      <w:tr>
        <w:tblPrEx>
          <w:tblW w:w="0" w:type="auto"/>
          <w:jc w:val="center"/>
          <w:tblCellMar>
            <w:top w:w="0" w:type="dxa"/>
            <w:left w:w="0" w:type="dxa"/>
            <w:bottom w:w="0" w:type="dxa"/>
            <w:right w:w="0" w:type="dxa"/>
          </w:tblCellMar>
        </w:tblPrEx>
        <w:trPr>
          <w:trHeight w:val="561"/>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国民经济</w:t>
            </w:r>
          </w:p>
          <w:p>
            <w:pPr>
              <w:adjustRightInd w:val="0"/>
              <w:snapToGrid w:val="0"/>
              <w:jc w:val="center"/>
              <w:rPr>
                <w:rFonts w:eastAsiaTheme="minorEastAsia"/>
                <w:b/>
                <w:sz w:val="24"/>
              </w:rPr>
            </w:pPr>
            <w:r>
              <w:rPr>
                <w:rFonts w:eastAsiaTheme="minorEastAsia"/>
                <w:b/>
                <w:sz w:val="24"/>
              </w:rPr>
              <w:t>行业类别</w:t>
            </w:r>
          </w:p>
        </w:tc>
        <w:tc>
          <w:tcPr>
            <w:tcW w:w="2369" w:type="dxa"/>
            <w:gridSpan w:val="2"/>
            <w:vAlign w:val="center"/>
          </w:tcPr>
          <w:p>
            <w:pPr>
              <w:adjustRightInd w:val="0"/>
              <w:snapToGrid w:val="0"/>
              <w:jc w:val="center"/>
              <w:rPr>
                <w:rFonts w:eastAsiaTheme="minorEastAsia"/>
                <w:sz w:val="24"/>
              </w:rPr>
            </w:pPr>
            <w:r>
              <w:rPr>
                <w:rFonts w:eastAsiaTheme="minorEastAsia"/>
                <w:sz w:val="24"/>
              </w:rPr>
              <w:t>D4430 热力生产和供应</w:t>
            </w:r>
          </w:p>
        </w:tc>
        <w:tc>
          <w:tcPr>
            <w:tcW w:w="2152" w:type="dxa"/>
            <w:vAlign w:val="center"/>
          </w:tcPr>
          <w:p>
            <w:pPr>
              <w:adjustRightInd w:val="0"/>
              <w:snapToGrid w:val="0"/>
              <w:jc w:val="center"/>
              <w:rPr>
                <w:rFonts w:eastAsiaTheme="minorEastAsia"/>
                <w:b/>
                <w:sz w:val="24"/>
              </w:rPr>
            </w:pPr>
            <w:bookmarkStart w:id="2" w:name="_Hlk49843745"/>
            <w:r>
              <w:rPr>
                <w:rFonts w:eastAsiaTheme="minorEastAsia"/>
                <w:b/>
                <w:sz w:val="24"/>
              </w:rPr>
              <w:t>建设项目</w:t>
            </w:r>
          </w:p>
          <w:p>
            <w:pPr>
              <w:adjustRightInd w:val="0"/>
              <w:snapToGrid w:val="0"/>
              <w:jc w:val="center"/>
              <w:rPr>
                <w:rFonts w:eastAsiaTheme="minorEastAsia"/>
                <w:b/>
                <w:sz w:val="24"/>
              </w:rPr>
            </w:pPr>
            <w:r>
              <w:rPr>
                <w:rFonts w:eastAsiaTheme="minorEastAsia"/>
                <w:b/>
                <w:sz w:val="24"/>
              </w:rPr>
              <w:t>行业类别</w:t>
            </w:r>
            <w:bookmarkEnd w:id="2"/>
          </w:p>
        </w:tc>
        <w:tc>
          <w:tcPr>
            <w:tcW w:w="2918" w:type="dxa"/>
            <w:vAlign w:val="center"/>
          </w:tcPr>
          <w:p>
            <w:pPr>
              <w:adjustRightInd w:val="0"/>
              <w:snapToGrid w:val="0"/>
              <w:rPr>
                <w:rFonts w:eastAsiaTheme="minorEastAsia"/>
                <w:sz w:val="24"/>
              </w:rPr>
            </w:pPr>
            <w:r>
              <w:rPr>
                <w:rFonts w:eastAsiaTheme="minorEastAsia"/>
                <w:sz w:val="24"/>
              </w:rPr>
              <w:t>四十一、电力、热力生产和供应业 91热力生产和供应工程（包括建设单位自建自用的供热工程） 使用其他高污染燃料的（依据来源于《关于生物质锅炉等项目环评类别判定事宜的复函》环办环评函〔2021〕264号）</w:t>
            </w:r>
          </w:p>
        </w:tc>
      </w:tr>
      <w:tr>
        <w:tblPrEx>
          <w:tblW w:w="0" w:type="auto"/>
          <w:jc w:val="center"/>
          <w:tblCellMar>
            <w:top w:w="0" w:type="dxa"/>
            <w:left w:w="0" w:type="dxa"/>
            <w:bottom w:w="0" w:type="dxa"/>
            <w:right w:w="0" w:type="dxa"/>
          </w:tblCellMar>
        </w:tblPrEx>
        <w:trPr>
          <w:trHeight w:val="1219"/>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建设性质</w:t>
            </w:r>
          </w:p>
        </w:tc>
        <w:tc>
          <w:tcPr>
            <w:tcW w:w="2369" w:type="dxa"/>
            <w:gridSpan w:val="2"/>
            <w:vAlign w:val="center"/>
          </w:tcPr>
          <w:p>
            <w:pPr>
              <w:jc w:val="left"/>
              <w:rPr>
                <w:rFonts w:eastAsiaTheme="minorEastAsia"/>
                <w:sz w:val="24"/>
              </w:rPr>
            </w:pPr>
            <w:r>
              <w:rPr>
                <w:rFonts w:eastAsiaTheme="minorEastAsia"/>
                <w:sz w:val="24"/>
              </w:rPr>
              <w:t>□新建（迁建）</w:t>
            </w:r>
          </w:p>
          <w:p>
            <w:pPr>
              <w:jc w:val="left"/>
              <w:rPr>
                <w:rFonts w:eastAsiaTheme="minorEastAsia"/>
                <w:sz w:val="24"/>
              </w:rPr>
            </w:pPr>
            <w:r>
              <w:rPr>
                <w:rFonts w:eastAsiaTheme="minorEastAsia"/>
                <w:sz w:val="24"/>
              </w:rPr>
              <w:t>□改建</w:t>
            </w:r>
          </w:p>
          <w:p>
            <w:pPr>
              <w:jc w:val="left"/>
              <w:rPr>
                <w:rFonts w:eastAsiaTheme="minorEastAsia"/>
                <w:sz w:val="24"/>
              </w:rPr>
            </w:pPr>
            <w:r>
              <w:rPr>
                <w:rFonts w:eastAsiaTheme="minorEastAsia"/>
                <w:sz w:val="24"/>
              </w:rPr>
              <w:t>□扩建</w:t>
            </w:r>
          </w:p>
          <w:p>
            <w:pPr>
              <w:jc w:val="left"/>
              <w:rPr>
                <w:rFonts w:eastAsiaTheme="minorEastAsia"/>
                <w:sz w:val="24"/>
              </w:rPr>
            </w:pPr>
            <w:r>
              <w:rPr>
                <w:rFonts w:eastAsiaTheme="minorEastAsia"/>
                <w:sz w:val="24"/>
              </w:rPr>
              <w:t>√技术改造</w:t>
            </w:r>
          </w:p>
        </w:tc>
        <w:tc>
          <w:tcPr>
            <w:tcW w:w="2152" w:type="dxa"/>
            <w:vAlign w:val="center"/>
          </w:tcPr>
          <w:p>
            <w:pPr>
              <w:adjustRightInd w:val="0"/>
              <w:snapToGrid w:val="0"/>
              <w:jc w:val="center"/>
              <w:rPr>
                <w:rFonts w:eastAsiaTheme="minorEastAsia"/>
                <w:b/>
                <w:sz w:val="24"/>
              </w:rPr>
            </w:pPr>
            <w:r>
              <w:rPr>
                <w:rFonts w:eastAsiaTheme="minorEastAsia"/>
                <w:b/>
                <w:sz w:val="24"/>
              </w:rPr>
              <w:t>建设项目</w:t>
            </w:r>
          </w:p>
          <w:p>
            <w:pPr>
              <w:adjustRightInd w:val="0"/>
              <w:snapToGrid w:val="0"/>
              <w:jc w:val="center"/>
              <w:rPr>
                <w:rFonts w:eastAsiaTheme="minorEastAsia"/>
                <w:b/>
                <w:sz w:val="24"/>
              </w:rPr>
            </w:pPr>
            <w:r>
              <w:rPr>
                <w:rFonts w:eastAsiaTheme="minorEastAsia"/>
                <w:b/>
                <w:sz w:val="24"/>
              </w:rPr>
              <w:t>申报情形</w:t>
            </w:r>
          </w:p>
        </w:tc>
        <w:tc>
          <w:tcPr>
            <w:tcW w:w="2918" w:type="dxa"/>
            <w:vAlign w:val="center"/>
          </w:tcPr>
          <w:p>
            <w:pPr>
              <w:jc w:val="left"/>
              <w:rPr>
                <w:rFonts w:eastAsiaTheme="minorEastAsia"/>
                <w:sz w:val="24"/>
              </w:rPr>
            </w:pPr>
            <w:r>
              <w:rPr>
                <w:rFonts w:eastAsiaTheme="minorEastAsia"/>
                <w:sz w:val="24"/>
              </w:rPr>
              <w:t xml:space="preserve">√首次申报项目             </w:t>
            </w:r>
          </w:p>
          <w:p>
            <w:pPr>
              <w:jc w:val="left"/>
              <w:rPr>
                <w:rFonts w:eastAsiaTheme="minorEastAsia"/>
                <w:sz w:val="24"/>
              </w:rPr>
            </w:pPr>
            <w:r>
              <w:rPr>
                <w:rFonts w:eastAsiaTheme="minorEastAsia"/>
                <w:sz w:val="24"/>
              </w:rPr>
              <w:t>□不予批准后再次申报项目</w:t>
            </w:r>
          </w:p>
          <w:p>
            <w:pPr>
              <w:jc w:val="left"/>
              <w:rPr>
                <w:rFonts w:eastAsiaTheme="minorEastAsia"/>
                <w:sz w:val="24"/>
              </w:rPr>
            </w:pPr>
            <w:r>
              <w:rPr>
                <w:rFonts w:eastAsiaTheme="minorEastAsia"/>
                <w:sz w:val="24"/>
              </w:rPr>
              <w:t xml:space="preserve">□超五年重新审核项目     </w:t>
            </w:r>
          </w:p>
          <w:p>
            <w:pPr>
              <w:jc w:val="left"/>
              <w:rPr>
                <w:rFonts w:eastAsiaTheme="minorEastAsia"/>
                <w:sz w:val="24"/>
              </w:rPr>
            </w:pPr>
            <w:r>
              <w:rPr>
                <w:rFonts w:eastAsiaTheme="minorEastAsia"/>
                <w:sz w:val="24"/>
              </w:rPr>
              <w:t>□重大变动重新报批项目</w:t>
            </w:r>
          </w:p>
        </w:tc>
      </w:tr>
      <w:tr>
        <w:tblPrEx>
          <w:tblW w:w="0" w:type="auto"/>
          <w:jc w:val="center"/>
          <w:tblCellMar>
            <w:top w:w="0" w:type="dxa"/>
            <w:left w:w="0" w:type="dxa"/>
            <w:bottom w:w="0" w:type="dxa"/>
            <w:right w:w="0" w:type="dxa"/>
          </w:tblCellMar>
        </w:tblPrEx>
        <w:trPr>
          <w:trHeight w:val="851"/>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项目审批</w:t>
            </w:r>
          </w:p>
          <w:p>
            <w:pPr>
              <w:adjustRightInd w:val="0"/>
              <w:snapToGrid w:val="0"/>
              <w:jc w:val="center"/>
              <w:rPr>
                <w:rFonts w:eastAsiaTheme="minorEastAsia"/>
                <w:b/>
                <w:sz w:val="24"/>
              </w:rPr>
            </w:pPr>
            <w:r>
              <w:rPr>
                <w:rFonts w:eastAsiaTheme="minorEastAsia"/>
                <w:b/>
                <w:sz w:val="24"/>
              </w:rPr>
              <w:t>（核准/</w:t>
            </w:r>
          </w:p>
          <w:p>
            <w:pPr>
              <w:adjustRightInd w:val="0"/>
              <w:snapToGrid w:val="0"/>
              <w:jc w:val="center"/>
              <w:rPr>
                <w:rFonts w:eastAsiaTheme="minorEastAsia"/>
                <w:b/>
                <w:sz w:val="24"/>
              </w:rPr>
            </w:pPr>
            <w:r>
              <w:rPr>
                <w:rFonts w:eastAsiaTheme="minorEastAsia"/>
                <w:b/>
                <w:sz w:val="24"/>
              </w:rPr>
              <w:t>备案）部门（选填）</w:t>
            </w:r>
          </w:p>
        </w:tc>
        <w:tc>
          <w:tcPr>
            <w:tcW w:w="2369" w:type="dxa"/>
            <w:gridSpan w:val="2"/>
            <w:vAlign w:val="center"/>
          </w:tcPr>
          <w:p>
            <w:pPr>
              <w:adjustRightInd w:val="0"/>
              <w:snapToGrid w:val="0"/>
              <w:jc w:val="center"/>
              <w:rPr>
                <w:rFonts w:eastAsiaTheme="minorEastAsia"/>
                <w:sz w:val="24"/>
              </w:rPr>
            </w:pPr>
            <w:r>
              <w:rPr>
                <w:rFonts w:eastAsiaTheme="minorEastAsia"/>
                <w:sz w:val="24"/>
              </w:rPr>
              <w:t>大荔县行政审批服务局</w:t>
            </w:r>
          </w:p>
        </w:tc>
        <w:tc>
          <w:tcPr>
            <w:tcW w:w="2152" w:type="dxa"/>
            <w:vAlign w:val="center"/>
          </w:tcPr>
          <w:p>
            <w:pPr>
              <w:adjustRightInd w:val="0"/>
              <w:snapToGrid w:val="0"/>
              <w:jc w:val="center"/>
              <w:rPr>
                <w:rFonts w:eastAsiaTheme="minorEastAsia"/>
                <w:b/>
                <w:sz w:val="24"/>
              </w:rPr>
            </w:pPr>
            <w:r>
              <w:rPr>
                <w:rFonts w:eastAsiaTheme="minorEastAsia"/>
                <w:b/>
                <w:sz w:val="24"/>
              </w:rPr>
              <w:t>项目审批（核准/</w:t>
            </w:r>
          </w:p>
          <w:p>
            <w:pPr>
              <w:adjustRightInd w:val="0"/>
              <w:snapToGrid w:val="0"/>
              <w:jc w:val="center"/>
              <w:rPr>
                <w:rFonts w:eastAsiaTheme="minorEastAsia"/>
                <w:b/>
                <w:sz w:val="24"/>
              </w:rPr>
            </w:pPr>
            <w:r>
              <w:rPr>
                <w:rFonts w:eastAsiaTheme="minorEastAsia"/>
                <w:b/>
                <w:sz w:val="24"/>
              </w:rPr>
              <w:t>备案）文号（选填）</w:t>
            </w:r>
          </w:p>
        </w:tc>
        <w:tc>
          <w:tcPr>
            <w:tcW w:w="2918" w:type="dxa"/>
            <w:vAlign w:val="center"/>
          </w:tcPr>
          <w:p>
            <w:pPr>
              <w:adjustRightInd w:val="0"/>
              <w:snapToGrid w:val="0"/>
              <w:jc w:val="center"/>
              <w:rPr>
                <w:rFonts w:eastAsiaTheme="minorEastAsia"/>
                <w:sz w:val="24"/>
              </w:rPr>
            </w:pPr>
            <w:r>
              <w:rPr>
                <w:rFonts w:eastAsiaTheme="minorEastAsia"/>
                <w:sz w:val="24"/>
              </w:rPr>
              <w:t>2305-610523-04-02-728455</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总投资</w:t>
            </w:r>
          </w:p>
          <w:p>
            <w:pPr>
              <w:adjustRightInd w:val="0"/>
              <w:snapToGrid w:val="0"/>
              <w:jc w:val="center"/>
              <w:rPr>
                <w:rFonts w:eastAsiaTheme="minorEastAsia"/>
                <w:b/>
                <w:sz w:val="24"/>
              </w:rPr>
            </w:pPr>
            <w:r>
              <w:rPr>
                <w:rFonts w:eastAsiaTheme="minorEastAsia"/>
                <w:b/>
                <w:sz w:val="24"/>
              </w:rPr>
              <w:t>（万元）</w:t>
            </w:r>
          </w:p>
        </w:tc>
        <w:tc>
          <w:tcPr>
            <w:tcW w:w="2369" w:type="dxa"/>
            <w:gridSpan w:val="2"/>
            <w:vAlign w:val="center"/>
          </w:tcPr>
          <w:p>
            <w:pPr>
              <w:adjustRightInd w:val="0"/>
              <w:snapToGrid w:val="0"/>
              <w:jc w:val="center"/>
              <w:rPr>
                <w:rFonts w:eastAsiaTheme="minorEastAsia"/>
                <w:sz w:val="24"/>
              </w:rPr>
            </w:pPr>
            <w:r>
              <w:rPr>
                <w:rFonts w:eastAsiaTheme="minorEastAsia"/>
                <w:sz w:val="24"/>
              </w:rPr>
              <w:t>1000</w:t>
            </w:r>
          </w:p>
        </w:tc>
        <w:tc>
          <w:tcPr>
            <w:tcW w:w="2152"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环保投资（万元）</w:t>
            </w:r>
          </w:p>
        </w:tc>
        <w:tc>
          <w:tcPr>
            <w:tcW w:w="2918" w:type="dxa"/>
            <w:vAlign w:val="center"/>
          </w:tcPr>
          <w:p>
            <w:pPr>
              <w:adjustRightInd w:val="0"/>
              <w:snapToGrid w:val="0"/>
              <w:jc w:val="center"/>
              <w:rPr>
                <w:rFonts w:eastAsiaTheme="minorEastAsia"/>
                <w:sz w:val="24"/>
              </w:rPr>
            </w:pPr>
            <w:r>
              <w:rPr>
                <w:rFonts w:eastAsiaTheme="minorEastAsia"/>
                <w:sz w:val="24"/>
              </w:rPr>
              <w:t>31</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环保投资占比（%）</w:t>
            </w:r>
          </w:p>
        </w:tc>
        <w:tc>
          <w:tcPr>
            <w:tcW w:w="2369" w:type="dxa"/>
            <w:gridSpan w:val="2"/>
            <w:vAlign w:val="center"/>
          </w:tcPr>
          <w:p>
            <w:pPr>
              <w:adjustRightInd w:val="0"/>
              <w:snapToGrid w:val="0"/>
              <w:jc w:val="center"/>
              <w:rPr>
                <w:rFonts w:eastAsiaTheme="minorEastAsia"/>
                <w:sz w:val="24"/>
              </w:rPr>
            </w:pPr>
            <w:r>
              <w:rPr>
                <w:rFonts w:eastAsiaTheme="minorEastAsia"/>
                <w:sz w:val="24"/>
              </w:rPr>
              <w:t>3.1</w:t>
            </w:r>
          </w:p>
        </w:tc>
        <w:tc>
          <w:tcPr>
            <w:tcW w:w="2152"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施工工期</w:t>
            </w:r>
          </w:p>
        </w:tc>
        <w:tc>
          <w:tcPr>
            <w:tcW w:w="2918" w:type="dxa"/>
            <w:vAlign w:val="center"/>
          </w:tcPr>
          <w:p>
            <w:pPr>
              <w:adjustRightInd w:val="0"/>
              <w:snapToGrid w:val="0"/>
              <w:jc w:val="center"/>
              <w:rPr>
                <w:rFonts w:eastAsiaTheme="minorEastAsia"/>
                <w:sz w:val="24"/>
              </w:rPr>
            </w:pPr>
            <w:r>
              <w:rPr>
                <w:rFonts w:eastAsiaTheme="minorEastAsia"/>
                <w:sz w:val="24"/>
              </w:rPr>
              <w:t>3个月</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是否开工</w:t>
            </w:r>
          </w:p>
        </w:tc>
        <w:tc>
          <w:tcPr>
            <w:tcW w:w="2369" w:type="dxa"/>
            <w:gridSpan w:val="2"/>
            <w:vAlign w:val="center"/>
          </w:tcPr>
          <w:p>
            <w:pPr>
              <w:adjustRightInd w:val="0"/>
              <w:snapToGrid w:val="0"/>
              <w:rPr>
                <w:rFonts w:eastAsiaTheme="minorEastAsia"/>
                <w:sz w:val="24"/>
              </w:rPr>
            </w:pPr>
            <w:r>
              <w:rPr>
                <w:rFonts w:eastAsiaTheme="minorEastAsia"/>
                <w:sz w:val="24"/>
              </w:rPr>
              <w:t>√否</w:t>
            </w:r>
          </w:p>
        </w:tc>
        <w:tc>
          <w:tcPr>
            <w:tcW w:w="2152" w:type="dxa"/>
            <w:tcMar>
              <w:top w:w="16" w:type="dxa"/>
              <w:left w:w="16" w:type="dxa"/>
              <w:right w:w="16" w:type="dxa"/>
            </w:tcMar>
            <w:vAlign w:val="center"/>
          </w:tcPr>
          <w:p>
            <w:pPr>
              <w:adjustRightInd w:val="0"/>
              <w:snapToGrid w:val="0"/>
              <w:jc w:val="center"/>
              <w:rPr>
                <w:rFonts w:eastAsiaTheme="minorEastAsia"/>
                <w:b/>
                <w:spacing w:val="-6"/>
                <w:sz w:val="24"/>
              </w:rPr>
            </w:pPr>
            <w:r>
              <w:rPr>
                <w:rFonts w:eastAsiaTheme="minorEastAsia"/>
                <w:b/>
                <w:spacing w:val="-6"/>
                <w:sz w:val="24"/>
              </w:rPr>
              <w:t>用地（用海）</w:t>
            </w:r>
          </w:p>
        </w:tc>
        <w:tc>
          <w:tcPr>
            <w:tcW w:w="2918" w:type="dxa"/>
            <w:vAlign w:val="center"/>
          </w:tcPr>
          <w:p>
            <w:pPr>
              <w:adjustRightInd w:val="0"/>
              <w:snapToGrid w:val="0"/>
              <w:jc w:val="center"/>
              <w:rPr>
                <w:rFonts w:eastAsiaTheme="minorEastAsia"/>
                <w:sz w:val="24"/>
              </w:rPr>
            </w:pPr>
            <w:r>
              <w:rPr>
                <w:rFonts w:eastAsiaTheme="minorEastAsia"/>
                <w:sz w:val="24"/>
              </w:rPr>
              <w:t>1824</w:t>
            </w:r>
          </w:p>
        </w:tc>
      </w:tr>
    </w:tbl>
    <w:p>
      <w:pPr>
        <w:sectPr>
          <w:footerReference w:type="default" r:id="rId6"/>
          <w:pgSz w:w="11906" w:h="16838"/>
          <w:pgMar w:top="1701" w:right="1531" w:bottom="1701" w:left="1531" w:header="851" w:footer="1077" w:gutter="0"/>
          <w:pgNumType w:start="1"/>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31"/>
        <w:gridCol w:w="2369"/>
        <w:gridCol w:w="2152"/>
        <w:gridCol w:w="291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w:t>
            </w:r>
          </w:p>
        </w:tc>
        <w:tc>
          <w:tcPr>
            <w:tcW w:w="2369" w:type="dxa"/>
            <w:vAlign w:val="center"/>
          </w:tcPr>
          <w:p>
            <w:pPr>
              <w:adjustRightInd w:val="0"/>
              <w:snapToGrid w:val="0"/>
              <w:rPr>
                <w:rFonts w:eastAsiaTheme="minorEastAsia"/>
                <w:sz w:val="24"/>
              </w:rPr>
            </w:pPr>
            <w:r>
              <w:rPr>
                <w:rFonts w:ascii="Wingdings 2" w:hAnsi="Wingdings 2" w:eastAsiaTheme="minorEastAsia"/>
                <w:sz w:val="24"/>
              </w:rPr>
              <w:sym w:font="Wingdings 2" w:char="F0A3"/>
            </w:r>
            <w:r>
              <w:rPr>
                <w:rFonts w:eastAsiaTheme="minorEastAsia"/>
                <w:sz w:val="24"/>
              </w:rPr>
              <w:t>是：</w:t>
            </w:r>
            <w:r>
              <w:rPr>
                <w:rFonts w:eastAsiaTheme="minorEastAsia"/>
                <w:sz w:val="24"/>
                <w:u w:val="single"/>
              </w:rPr>
              <w:t xml:space="preserve">        </w:t>
            </w:r>
          </w:p>
        </w:tc>
        <w:tc>
          <w:tcPr>
            <w:tcW w:w="2152"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pacing w:val="-6"/>
                <w:sz w:val="24"/>
              </w:rPr>
              <w:t>面积（m</w:t>
            </w:r>
            <w:r>
              <w:rPr>
                <w:rFonts w:eastAsiaTheme="minorEastAsia"/>
                <w:b/>
                <w:spacing w:val="-6"/>
                <w:sz w:val="24"/>
                <w:vertAlign w:val="superscript"/>
              </w:rPr>
              <w:t>2</w:t>
            </w:r>
            <w:r>
              <w:rPr>
                <w:rFonts w:eastAsiaTheme="minorEastAsia"/>
                <w:b/>
                <w:spacing w:val="-6"/>
                <w:sz w:val="24"/>
              </w:rPr>
              <w:t>）</w:t>
            </w:r>
          </w:p>
        </w:tc>
        <w:tc>
          <w:tcPr>
            <w:tcW w:w="2918" w:type="dxa"/>
            <w:vAlign w:val="center"/>
          </w:tcPr>
          <w:p/>
        </w:tc>
      </w:tr>
      <w:tr>
        <w:tblPrEx>
          <w:tblW w:w="0" w:type="auto"/>
          <w:jc w:val="center"/>
          <w:tblCellMar>
            <w:top w:w="0" w:type="dxa"/>
            <w:left w:w="108" w:type="dxa"/>
            <w:bottom w:w="0" w:type="dxa"/>
            <w:right w:w="108" w:type="dxa"/>
          </w:tblCellMar>
        </w:tblPrEx>
        <w:trPr>
          <w:trHeight w:val="1350"/>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kern w:val="0"/>
                <w:sz w:val="24"/>
              </w:rPr>
              <w:t>专项评价设置情况</w:t>
            </w:r>
          </w:p>
        </w:tc>
        <w:tc>
          <w:tcPr>
            <w:tcW w:w="7439" w:type="dxa"/>
            <w:gridSpan w:val="3"/>
            <w:vAlign w:val="center"/>
          </w:tcPr>
          <w:p>
            <w:pPr>
              <w:autoSpaceDE w:val="0"/>
              <w:autoSpaceDN w:val="0"/>
              <w:adjustRightInd w:val="0"/>
              <w:snapToGrid w:val="0"/>
              <w:jc w:val="center"/>
              <w:rPr>
                <w:rFonts w:eastAsiaTheme="minorEastAsia"/>
                <w:kern w:val="0"/>
                <w:sz w:val="24"/>
              </w:rPr>
            </w:pPr>
            <w:r>
              <w:rPr>
                <w:rFonts w:eastAsiaTheme="minorEastAsia"/>
                <w:kern w:val="0"/>
                <w:sz w:val="24"/>
              </w:rPr>
              <w:t>无</w:t>
            </w:r>
          </w:p>
        </w:tc>
      </w:tr>
      <w:tr>
        <w:tblPrEx>
          <w:tblW w:w="0" w:type="auto"/>
          <w:jc w:val="center"/>
          <w:tblCellMar>
            <w:top w:w="0" w:type="dxa"/>
            <w:left w:w="108" w:type="dxa"/>
            <w:bottom w:w="0" w:type="dxa"/>
            <w:right w:w="108" w:type="dxa"/>
          </w:tblCellMar>
        </w:tblPrEx>
        <w:trPr>
          <w:trHeight w:val="844"/>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sz w:val="24"/>
              </w:rPr>
              <w:t>规划情况</w:t>
            </w:r>
          </w:p>
        </w:tc>
        <w:tc>
          <w:tcPr>
            <w:tcW w:w="7439" w:type="dxa"/>
            <w:gridSpan w:val="3"/>
            <w:vAlign w:val="center"/>
          </w:tcPr>
          <w:p>
            <w:pPr>
              <w:autoSpaceDE w:val="0"/>
              <w:autoSpaceDN w:val="0"/>
              <w:adjustRightInd w:val="0"/>
              <w:snapToGrid w:val="0"/>
              <w:jc w:val="center"/>
              <w:rPr>
                <w:rFonts w:eastAsiaTheme="minorEastAsia"/>
                <w:kern w:val="0"/>
                <w:sz w:val="24"/>
              </w:rPr>
            </w:pPr>
            <w:r>
              <w:rPr>
                <w:rFonts w:eastAsiaTheme="minorEastAsia"/>
                <w:kern w:val="0"/>
                <w:sz w:val="24"/>
              </w:rPr>
              <w:t>《大荔经济技术开发区新区总体规划（2020-2035年）》</w:t>
            </w:r>
          </w:p>
        </w:tc>
      </w:tr>
      <w:tr>
        <w:tblPrEx>
          <w:tblW w:w="0" w:type="auto"/>
          <w:jc w:val="center"/>
          <w:tblCellMar>
            <w:top w:w="0" w:type="dxa"/>
            <w:left w:w="108" w:type="dxa"/>
            <w:bottom w:w="0" w:type="dxa"/>
            <w:right w:w="108" w:type="dxa"/>
          </w:tblCellMar>
        </w:tblPrEx>
        <w:trPr>
          <w:trHeight w:val="2405"/>
          <w:jc w:val="center"/>
        </w:trPr>
        <w:tc>
          <w:tcPr>
            <w:tcW w:w="1431" w:type="dxa"/>
            <w:vAlign w:val="center"/>
          </w:tcPr>
          <w:p>
            <w:pPr>
              <w:adjustRightInd w:val="0"/>
              <w:snapToGrid w:val="0"/>
              <w:jc w:val="center"/>
              <w:rPr>
                <w:rFonts w:eastAsiaTheme="minorEastAsia"/>
                <w:b/>
                <w:sz w:val="24"/>
              </w:rPr>
            </w:pPr>
            <w:r>
              <w:rPr>
                <w:rFonts w:eastAsiaTheme="minorEastAsia"/>
                <w:b/>
                <w:sz w:val="24"/>
              </w:rPr>
              <w:t>规划环境影响评价情况</w:t>
            </w:r>
          </w:p>
        </w:tc>
        <w:tc>
          <w:tcPr>
            <w:tcW w:w="7439" w:type="dxa"/>
            <w:gridSpan w:val="3"/>
            <w:vAlign w:val="center"/>
          </w:tcPr>
          <w:p>
            <w:pPr>
              <w:snapToGrid w:val="0"/>
              <w:jc w:val="center"/>
              <w:rPr>
                <w:b/>
                <w:sz w:val="24"/>
                <w:szCs w:val="20"/>
              </w:rPr>
            </w:pPr>
            <w:r>
              <w:rPr>
                <w:b/>
                <w:sz w:val="24"/>
                <w:szCs w:val="20"/>
              </w:rPr>
              <w:t>表1-1    大荔经济技术开发区规划环境影响评价概况</w:t>
            </w:r>
          </w:p>
          <w:tbl>
            <w:tblPr>
              <w:tblStyle w:val="TableNormal"/>
              <w:tblW w:w="4896"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0" w:type="dxa"/>
                <w:left w:w="28" w:type="dxa"/>
                <w:bottom w:w="0" w:type="dxa"/>
                <w:right w:w="28" w:type="dxa"/>
              </w:tblCellMar>
            </w:tblPr>
            <w:tblGrid>
              <w:gridCol w:w="1376"/>
              <w:gridCol w:w="5667"/>
            </w:tblGrid>
            <w:tr>
              <w:tblPrEx>
                <w:tblW w:w="4896"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0" w:type="dxa"/>
                  <w:left w:w="28" w:type="dxa"/>
                  <w:bottom w:w="0" w:type="dxa"/>
                  <w:right w:w="28" w:type="dxa"/>
                </w:tblCellMar>
              </w:tblPrEx>
              <w:trPr>
                <w:trHeight w:val="369"/>
                <w:jc w:val="center"/>
              </w:trPr>
              <w:tc>
                <w:tcPr>
                  <w:tcW w:w="977" w:type="pct"/>
                  <w:tcBorders>
                    <w:top w:val="single" w:sz="12" w:space="0" w:color="auto"/>
                    <w:left w:val="single" w:sz="12" w:space="0" w:color="auto"/>
                  </w:tcBorders>
                  <w:tcMar>
                    <w:left w:w="28" w:type="dxa"/>
                    <w:right w:w="28" w:type="dxa"/>
                  </w:tcMar>
                  <w:vAlign w:val="center"/>
                </w:tcPr>
                <w:p>
                  <w:pPr>
                    <w:spacing w:line="240" w:lineRule="exact"/>
                    <w:jc w:val="center"/>
                    <w:rPr>
                      <w:szCs w:val="21"/>
                    </w:rPr>
                  </w:pPr>
                  <w:r>
                    <w:rPr>
                      <w:szCs w:val="21"/>
                    </w:rPr>
                    <w:t>类别</w:t>
                  </w:r>
                </w:p>
              </w:tc>
              <w:tc>
                <w:tcPr>
                  <w:tcW w:w="4023" w:type="pct"/>
                  <w:tcBorders>
                    <w:top w:val="single" w:sz="12" w:space="0" w:color="auto"/>
                    <w:right w:val="single" w:sz="12" w:space="0" w:color="auto"/>
                  </w:tcBorders>
                  <w:tcMar>
                    <w:left w:w="28" w:type="dxa"/>
                    <w:right w:w="28" w:type="dxa"/>
                  </w:tcMar>
                  <w:vAlign w:val="center"/>
                </w:tcPr>
                <w:p>
                  <w:pPr>
                    <w:spacing w:line="240" w:lineRule="exact"/>
                    <w:jc w:val="center"/>
                    <w:rPr>
                      <w:szCs w:val="21"/>
                    </w:rPr>
                  </w:pPr>
                  <w:r>
                    <w:rPr>
                      <w:szCs w:val="21"/>
                    </w:rPr>
                    <w:t>内容</w:t>
                  </w:r>
                </w:p>
              </w:tc>
            </w:tr>
            <w:tr>
              <w:tblPrEx>
                <w:tblW w:w="4896" w:type="pct"/>
                <w:jc w:val="center"/>
                <w:tblCellMar>
                  <w:top w:w="0" w:type="dxa"/>
                  <w:left w:w="28" w:type="dxa"/>
                  <w:bottom w:w="0" w:type="dxa"/>
                  <w:right w:w="28" w:type="dxa"/>
                </w:tblCellMar>
              </w:tblPrEx>
              <w:trPr>
                <w:trHeight w:val="369"/>
                <w:jc w:val="center"/>
              </w:trPr>
              <w:tc>
                <w:tcPr>
                  <w:tcW w:w="977" w:type="pct"/>
                  <w:tcBorders>
                    <w:left w:val="single" w:sz="12" w:space="0" w:color="auto"/>
                    <w:bottom w:val="single" w:sz="6" w:space="0" w:color="auto"/>
                  </w:tcBorders>
                  <w:tcMar>
                    <w:left w:w="28" w:type="dxa"/>
                    <w:right w:w="28" w:type="dxa"/>
                  </w:tcMar>
                  <w:vAlign w:val="center"/>
                </w:tcPr>
                <w:p>
                  <w:pPr>
                    <w:jc w:val="center"/>
                    <w:rPr>
                      <w:szCs w:val="21"/>
                    </w:rPr>
                  </w:pPr>
                  <w:r>
                    <w:rPr>
                      <w:szCs w:val="21"/>
                    </w:rPr>
                    <w:t>名称</w:t>
                  </w:r>
                </w:p>
              </w:tc>
              <w:tc>
                <w:tcPr>
                  <w:tcW w:w="4023" w:type="pct"/>
                  <w:tcBorders>
                    <w:bottom w:val="single" w:sz="6" w:space="0" w:color="auto"/>
                    <w:right w:val="single" w:sz="12" w:space="0" w:color="auto"/>
                  </w:tcBorders>
                  <w:tcMar>
                    <w:left w:w="28" w:type="dxa"/>
                    <w:right w:w="28" w:type="dxa"/>
                  </w:tcMar>
                  <w:vAlign w:val="center"/>
                </w:tcPr>
                <w:p>
                  <w:pPr>
                    <w:jc w:val="left"/>
                    <w:rPr>
                      <w:szCs w:val="21"/>
                    </w:rPr>
                  </w:pPr>
                  <w:r>
                    <w:rPr>
                      <w:szCs w:val="21"/>
                    </w:rPr>
                    <w:t>《大荔经济技术开发区新区总体规划（2020-2035年）环境影响报告书》</w:t>
                  </w:r>
                </w:p>
              </w:tc>
            </w:tr>
            <w:tr>
              <w:tblPrEx>
                <w:tblW w:w="4896" w:type="pct"/>
                <w:jc w:val="center"/>
                <w:tblCellMar>
                  <w:top w:w="0" w:type="dxa"/>
                  <w:left w:w="28" w:type="dxa"/>
                  <w:bottom w:w="0" w:type="dxa"/>
                  <w:right w:w="28" w:type="dxa"/>
                </w:tblCellMar>
              </w:tblPrEx>
              <w:trPr>
                <w:trHeight w:val="369"/>
                <w:jc w:val="center"/>
              </w:trPr>
              <w:tc>
                <w:tcPr>
                  <w:tcW w:w="977" w:type="pct"/>
                  <w:tcBorders>
                    <w:left w:val="single" w:sz="12" w:space="0" w:color="auto"/>
                    <w:bottom w:val="single" w:sz="6" w:space="0" w:color="auto"/>
                  </w:tcBorders>
                  <w:tcMar>
                    <w:left w:w="28" w:type="dxa"/>
                    <w:right w:w="28" w:type="dxa"/>
                  </w:tcMar>
                  <w:vAlign w:val="center"/>
                </w:tcPr>
                <w:p>
                  <w:pPr>
                    <w:jc w:val="center"/>
                    <w:rPr>
                      <w:szCs w:val="21"/>
                    </w:rPr>
                  </w:pPr>
                  <w:r>
                    <w:rPr>
                      <w:szCs w:val="21"/>
                    </w:rPr>
                    <w:t>审查机关</w:t>
                  </w:r>
                </w:p>
              </w:tc>
              <w:tc>
                <w:tcPr>
                  <w:tcW w:w="4023" w:type="pct"/>
                  <w:tcBorders>
                    <w:bottom w:val="single" w:sz="6" w:space="0" w:color="auto"/>
                    <w:right w:val="single" w:sz="12" w:space="0" w:color="auto"/>
                  </w:tcBorders>
                  <w:tcMar>
                    <w:left w:w="28" w:type="dxa"/>
                    <w:right w:w="28" w:type="dxa"/>
                  </w:tcMar>
                  <w:vAlign w:val="center"/>
                </w:tcPr>
                <w:p>
                  <w:pPr>
                    <w:jc w:val="left"/>
                    <w:rPr>
                      <w:szCs w:val="21"/>
                    </w:rPr>
                  </w:pPr>
                  <w:r>
                    <w:rPr>
                      <w:szCs w:val="21"/>
                    </w:rPr>
                    <w:t>渭南市生态环境局</w:t>
                  </w:r>
                </w:p>
              </w:tc>
            </w:tr>
            <w:tr>
              <w:tblPrEx>
                <w:tblW w:w="4896" w:type="pct"/>
                <w:jc w:val="center"/>
                <w:tblCellMar>
                  <w:top w:w="0" w:type="dxa"/>
                  <w:left w:w="28" w:type="dxa"/>
                  <w:bottom w:w="0" w:type="dxa"/>
                  <w:right w:w="28" w:type="dxa"/>
                </w:tblCellMar>
              </w:tblPrEx>
              <w:trPr>
                <w:trHeight w:val="369"/>
                <w:jc w:val="center"/>
              </w:trPr>
              <w:tc>
                <w:tcPr>
                  <w:tcW w:w="977" w:type="pct"/>
                  <w:tcBorders>
                    <w:top w:val="single" w:sz="6" w:space="0" w:color="auto"/>
                    <w:left w:val="single" w:sz="12" w:space="0" w:color="auto"/>
                  </w:tcBorders>
                  <w:tcMar>
                    <w:left w:w="28" w:type="dxa"/>
                    <w:right w:w="28" w:type="dxa"/>
                  </w:tcMar>
                  <w:vAlign w:val="center"/>
                </w:tcPr>
                <w:p>
                  <w:pPr>
                    <w:jc w:val="center"/>
                    <w:rPr>
                      <w:szCs w:val="21"/>
                    </w:rPr>
                  </w:pPr>
                  <w:r>
                    <w:rPr>
                      <w:szCs w:val="21"/>
                    </w:rPr>
                    <w:t>审查文件名称及文号</w:t>
                  </w:r>
                </w:p>
              </w:tc>
              <w:tc>
                <w:tcPr>
                  <w:tcW w:w="4023" w:type="pct"/>
                  <w:tcBorders>
                    <w:bottom w:val="single" w:sz="12" w:space="0" w:color="auto"/>
                    <w:right w:val="single" w:sz="12" w:space="0" w:color="auto"/>
                  </w:tcBorders>
                  <w:tcMar>
                    <w:left w:w="28" w:type="dxa"/>
                    <w:right w:w="28" w:type="dxa"/>
                  </w:tcMar>
                  <w:vAlign w:val="center"/>
                </w:tcPr>
                <w:p>
                  <w:pPr>
                    <w:jc w:val="left"/>
                    <w:rPr>
                      <w:szCs w:val="21"/>
                    </w:rPr>
                  </w:pPr>
                  <w:r>
                    <w:rPr>
                      <w:szCs w:val="21"/>
                    </w:rPr>
                    <w:t>《关于大荔经济技术开发区新区总体规划（2020-2035年）环境影响报告书审查意见的函》（渭环函﹝2020﹞278号）</w:t>
                  </w:r>
                </w:p>
              </w:tc>
            </w:tr>
          </w:tbl>
          <w:p>
            <w:pPr>
              <w:autoSpaceDE w:val="0"/>
              <w:autoSpaceDN w:val="0"/>
              <w:adjustRightInd w:val="0"/>
              <w:snapToGrid w:val="0"/>
              <w:jc w:val="center"/>
              <w:rPr>
                <w:rFonts w:eastAsiaTheme="minorEastAsia"/>
                <w:kern w:val="0"/>
                <w:sz w:val="24"/>
              </w:rPr>
            </w:pPr>
          </w:p>
        </w:tc>
      </w:tr>
      <w:tr>
        <w:tblPrEx>
          <w:tblW w:w="0" w:type="auto"/>
          <w:jc w:val="center"/>
          <w:tblCellMar>
            <w:top w:w="0" w:type="dxa"/>
            <w:left w:w="108" w:type="dxa"/>
            <w:bottom w:w="0" w:type="dxa"/>
            <w:right w:w="108" w:type="dxa"/>
          </w:tblCellMar>
        </w:tblPrEx>
        <w:trPr>
          <w:trHeight w:val="1837"/>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kern w:val="0"/>
                <w:sz w:val="24"/>
              </w:rPr>
              <w:t>规划及规划环境</w:t>
            </w:r>
          </w:p>
          <w:p>
            <w:pPr>
              <w:autoSpaceDE w:val="0"/>
              <w:autoSpaceDN w:val="0"/>
              <w:adjustRightInd w:val="0"/>
              <w:snapToGrid w:val="0"/>
              <w:jc w:val="center"/>
              <w:rPr>
                <w:rFonts w:eastAsiaTheme="minorEastAsia"/>
                <w:b/>
                <w:kern w:val="0"/>
                <w:sz w:val="24"/>
              </w:rPr>
            </w:pPr>
            <w:r>
              <w:rPr>
                <w:rFonts w:eastAsiaTheme="minorEastAsia"/>
                <w:b/>
                <w:kern w:val="0"/>
                <w:sz w:val="24"/>
              </w:rPr>
              <w:t>影响评价符合性分析</w:t>
            </w:r>
          </w:p>
        </w:tc>
        <w:tc>
          <w:tcPr>
            <w:tcW w:w="7439" w:type="dxa"/>
            <w:gridSpan w:val="3"/>
            <w:vAlign w:val="center"/>
          </w:tcPr>
          <w:p>
            <w:pPr>
              <w:autoSpaceDE w:val="0"/>
              <w:autoSpaceDN w:val="0"/>
              <w:adjustRightInd w:val="0"/>
              <w:snapToGrid w:val="0"/>
              <w:spacing w:line="360" w:lineRule="auto"/>
              <w:ind w:firstLine="480" w:firstLineChars="200"/>
              <w:rPr>
                <w:kern w:val="0"/>
                <w:sz w:val="24"/>
              </w:rPr>
            </w:pPr>
            <w:r>
              <w:rPr>
                <w:kern w:val="0"/>
                <w:sz w:val="24"/>
              </w:rPr>
              <w:t>1、与《大荔经济技术开发区新区总体规划（2020-2035）》符合性分析</w:t>
            </w:r>
          </w:p>
          <w:p>
            <w:pPr>
              <w:autoSpaceDE w:val="0"/>
              <w:autoSpaceDN w:val="0"/>
              <w:adjustRightInd w:val="0"/>
              <w:snapToGrid w:val="0"/>
              <w:spacing w:line="360" w:lineRule="auto"/>
              <w:ind w:firstLine="480" w:firstLineChars="200"/>
              <w:rPr>
                <w:kern w:val="0"/>
                <w:sz w:val="24"/>
              </w:rPr>
            </w:pPr>
            <w:r>
              <w:rPr>
                <w:kern w:val="0"/>
                <w:sz w:val="24"/>
              </w:rPr>
              <w:t>大荔经济技术开发区新区规划范围为大荔县城主城区以南4km，韦罗高速以西，污水厂以南，东、南以环园路为界，总面积31.23km</w:t>
            </w:r>
            <w:r>
              <w:rPr>
                <w:kern w:val="0"/>
                <w:sz w:val="24"/>
                <w:vertAlign w:val="superscript"/>
              </w:rPr>
              <w:t>2</w:t>
            </w:r>
            <w:r>
              <w:rPr>
                <w:kern w:val="0"/>
                <w:sz w:val="24"/>
              </w:rPr>
              <w:t>。规划定位及发展目标：以大荔省级经济技术开发区现有产业为基础，依托该区域土地资源优势，进一步做大做强现有产业，同时加速引进以正威纳米谷为代表的新材料产业，同步发展其他上下游产业。规划产业布局为“一带、两轴、十一片区”。</w:t>
            </w:r>
          </w:p>
          <w:p>
            <w:pPr>
              <w:autoSpaceDE w:val="0"/>
              <w:autoSpaceDN w:val="0"/>
              <w:adjustRightInd w:val="0"/>
              <w:snapToGrid w:val="0"/>
              <w:spacing w:line="360" w:lineRule="auto"/>
              <w:ind w:firstLine="480" w:firstLineChars="200"/>
              <w:rPr>
                <w:kern w:val="0"/>
                <w:sz w:val="24"/>
              </w:rPr>
            </w:pPr>
            <w:r>
              <w:rPr>
                <w:kern w:val="0"/>
                <w:sz w:val="24"/>
              </w:rPr>
              <w:t>本项目位于综合产业基地（详见附图4），为工业用地区域（详见附图5）；不属于综合产业基地准入负面清单中的禁止新建项目（禁止新建项目为纸浆制造类），符合《大荔经济技术开发区新区总体规划（2020-2035）》。</w:t>
            </w:r>
          </w:p>
          <w:p>
            <w:pPr>
              <w:autoSpaceDE w:val="0"/>
              <w:autoSpaceDN w:val="0"/>
              <w:adjustRightInd w:val="0"/>
              <w:snapToGrid w:val="0"/>
              <w:spacing w:line="360" w:lineRule="auto"/>
              <w:ind w:firstLine="480" w:firstLineChars="200"/>
              <w:rPr>
                <w:kern w:val="0"/>
                <w:sz w:val="24"/>
              </w:rPr>
            </w:pPr>
            <w:r>
              <w:rPr>
                <w:kern w:val="0"/>
                <w:sz w:val="24"/>
              </w:rPr>
              <w:t>2、与规划环境影响评价符合性分析</w:t>
            </w:r>
          </w:p>
          <w:p>
            <w:pPr>
              <w:autoSpaceDE w:val="0"/>
              <w:autoSpaceDN w:val="0"/>
              <w:adjustRightInd w:val="0"/>
              <w:snapToGrid w:val="0"/>
              <w:spacing w:line="360" w:lineRule="auto"/>
              <w:ind w:firstLine="480" w:firstLineChars="200"/>
              <w:rPr>
                <w:kern w:val="0"/>
                <w:sz w:val="24"/>
              </w:rPr>
            </w:pPr>
            <w:r>
              <w:rPr>
                <w:kern w:val="0"/>
                <w:sz w:val="24"/>
              </w:rPr>
              <w:t>具体分析情况见表1-2。</w:t>
            </w:r>
          </w:p>
        </w:tc>
      </w:tr>
    </w:tbl>
    <w:p>
      <w:pPr>
        <w:sectPr>
          <w:footerReference w:type="default" r:id="rId7"/>
          <w:type w:val="nextPage"/>
          <w:pgSz w:w="11906" w:h="16838"/>
          <w:pgMar w:top="1701" w:right="1531" w:bottom="1701" w:left="1531" w:header="851" w:footer="1077" w:gutter="0"/>
          <w:pgNumType w:start="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837"/>
          <w:jc w:val="center"/>
        </w:trPr>
        <w:tc>
          <w:tcPr>
            <w:tcW w:w="1431" w:type="dxa"/>
            <w:vAlign w:val="center"/>
          </w:tcPr>
          <w:p/>
        </w:tc>
        <w:tc>
          <w:tcPr>
            <w:tcW w:w="7439" w:type="dxa"/>
            <w:vAlign w:val="center"/>
          </w:tcPr>
          <w:p>
            <w:pPr>
              <w:snapToGrid w:val="0"/>
              <w:jc w:val="center"/>
              <w:rPr>
                <w:b/>
                <w:sz w:val="24"/>
                <w:szCs w:val="20"/>
              </w:rPr>
            </w:pPr>
            <w:r>
              <w:rPr>
                <w:b/>
                <w:sz w:val="24"/>
                <w:szCs w:val="20"/>
              </w:rPr>
              <w:t>表1-2    与园区规划环评相符性分析</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0" w:type="dxa"/>
                <w:left w:w="28" w:type="dxa"/>
                <w:bottom w:w="0" w:type="dxa"/>
                <w:right w:w="28" w:type="dxa"/>
              </w:tblCellMar>
            </w:tblPr>
            <w:tblGrid>
              <w:gridCol w:w="1421"/>
              <w:gridCol w:w="3298"/>
              <w:gridCol w:w="1767"/>
              <w:gridCol w:w="707"/>
            </w:tblGrid>
            <w:tr>
              <w:tblPrEx>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0" w:type="dxa"/>
                  <w:left w:w="28" w:type="dxa"/>
                  <w:bottom w:w="0" w:type="dxa"/>
                  <w:right w:w="28" w:type="dxa"/>
                </w:tblCellMar>
              </w:tblPrEx>
              <w:trPr>
                <w:trHeight w:val="369"/>
                <w:jc w:val="center"/>
              </w:trPr>
              <w:tc>
                <w:tcPr>
                  <w:tcW w:w="817" w:type="pct"/>
                  <w:tcBorders>
                    <w:top w:val="single" w:sz="12" w:space="0" w:color="auto"/>
                    <w:left w:val="single" w:sz="12" w:space="0" w:color="auto"/>
                  </w:tcBorders>
                  <w:tcMar>
                    <w:left w:w="28" w:type="dxa"/>
                    <w:right w:w="28" w:type="dxa"/>
                  </w:tcMar>
                  <w:vAlign w:val="center"/>
                </w:tcPr>
                <w:p>
                  <w:pPr>
                    <w:spacing w:line="240" w:lineRule="exact"/>
                    <w:jc w:val="center"/>
                    <w:rPr>
                      <w:szCs w:val="21"/>
                    </w:rPr>
                  </w:pPr>
                  <w:r>
                    <w:rPr>
                      <w:szCs w:val="21"/>
                    </w:rPr>
                    <w:t>规划或政策名称</w:t>
                  </w:r>
                </w:p>
              </w:tc>
              <w:tc>
                <w:tcPr>
                  <w:tcW w:w="2349" w:type="pct"/>
                  <w:tcBorders>
                    <w:top w:val="single" w:sz="12" w:space="0" w:color="auto"/>
                  </w:tcBorders>
                  <w:tcMar>
                    <w:left w:w="28" w:type="dxa"/>
                    <w:right w:w="28" w:type="dxa"/>
                  </w:tcMar>
                  <w:vAlign w:val="center"/>
                </w:tcPr>
                <w:p>
                  <w:pPr>
                    <w:spacing w:line="240" w:lineRule="exact"/>
                    <w:jc w:val="center"/>
                    <w:rPr>
                      <w:szCs w:val="21"/>
                    </w:rPr>
                  </w:pPr>
                  <w:r>
                    <w:rPr>
                      <w:szCs w:val="21"/>
                    </w:rPr>
                    <w:t>规划或政策相关内容</w:t>
                  </w:r>
                </w:p>
              </w:tc>
              <w:tc>
                <w:tcPr>
                  <w:tcW w:w="1285" w:type="pct"/>
                  <w:tcBorders>
                    <w:top w:val="single" w:sz="12" w:space="0" w:color="auto"/>
                  </w:tcBorders>
                  <w:tcMar>
                    <w:left w:w="28" w:type="dxa"/>
                    <w:right w:w="28" w:type="dxa"/>
                  </w:tcMar>
                  <w:vAlign w:val="center"/>
                </w:tcPr>
                <w:p>
                  <w:pPr>
                    <w:spacing w:line="240" w:lineRule="exact"/>
                    <w:jc w:val="center"/>
                    <w:rPr>
                      <w:szCs w:val="21"/>
                    </w:rPr>
                  </w:pPr>
                  <w:r>
                    <w:rPr>
                      <w:szCs w:val="21"/>
                    </w:rPr>
                    <w:t>本项目情况</w:t>
                  </w:r>
                </w:p>
              </w:tc>
              <w:tc>
                <w:tcPr>
                  <w:tcW w:w="548" w:type="pct"/>
                  <w:tcBorders>
                    <w:top w:val="single" w:sz="12" w:space="0" w:color="auto"/>
                    <w:right w:val="single" w:sz="12" w:space="0" w:color="auto"/>
                  </w:tcBorders>
                  <w:tcMar>
                    <w:left w:w="28" w:type="dxa"/>
                    <w:right w:w="28" w:type="dxa"/>
                  </w:tcMar>
                  <w:vAlign w:val="center"/>
                </w:tcPr>
                <w:p>
                  <w:pPr>
                    <w:spacing w:line="240" w:lineRule="exact"/>
                    <w:jc w:val="center"/>
                    <w:rPr>
                      <w:szCs w:val="21"/>
                    </w:rPr>
                  </w:pPr>
                  <w:r>
                    <w:rPr>
                      <w:szCs w:val="21"/>
                    </w:rPr>
                    <w:t>符合性</w:t>
                  </w:r>
                </w:p>
              </w:tc>
            </w:tr>
            <w:tr>
              <w:tblPrEx>
                <w:tblW w:w="5000" w:type="pct"/>
                <w:jc w:val="center"/>
                <w:tblCellMar>
                  <w:top w:w="0" w:type="dxa"/>
                  <w:left w:w="28" w:type="dxa"/>
                  <w:bottom w:w="0" w:type="dxa"/>
                  <w:right w:w="28" w:type="dxa"/>
                </w:tblCellMar>
              </w:tblPrEx>
              <w:trPr>
                <w:trHeight w:val="827"/>
                <w:jc w:val="center"/>
              </w:trPr>
              <w:tc>
                <w:tcPr>
                  <w:tcW w:w="817" w:type="pct"/>
                  <w:tcBorders>
                    <w:left w:val="single" w:sz="12" w:space="0" w:color="auto"/>
                  </w:tcBorders>
                  <w:tcMar>
                    <w:left w:w="28" w:type="dxa"/>
                    <w:right w:w="28" w:type="dxa"/>
                  </w:tcMar>
                  <w:vAlign w:val="center"/>
                </w:tcPr>
                <w:p>
                  <w:pPr>
                    <w:jc w:val="center"/>
                    <w:rPr>
                      <w:szCs w:val="21"/>
                    </w:rPr>
                  </w:pPr>
                  <w:r>
                    <w:rPr>
                      <w:szCs w:val="21"/>
                    </w:rPr>
                    <w:t>《大荔经济技术开发区新区总体规划（2020-2035年）环境影响报告书》</w:t>
                  </w:r>
                </w:p>
              </w:tc>
              <w:tc>
                <w:tcPr>
                  <w:tcW w:w="2349" w:type="pct"/>
                  <w:tcMar>
                    <w:left w:w="28" w:type="dxa"/>
                    <w:right w:w="28" w:type="dxa"/>
                  </w:tcMar>
                  <w:vAlign w:val="center"/>
                </w:tcPr>
                <w:p>
                  <w:pPr>
                    <w:jc w:val="left"/>
                    <w:rPr>
                      <w:bCs/>
                      <w:szCs w:val="21"/>
                    </w:rPr>
                  </w:pPr>
                  <w:r>
                    <w:rPr>
                      <w:bCs/>
                      <w:szCs w:val="21"/>
                    </w:rPr>
                    <w:t>（1）禁止引入的项目</w:t>
                  </w:r>
                </w:p>
                <w:p>
                  <w:pPr>
                    <w:rPr>
                      <w:bCs/>
                      <w:szCs w:val="21"/>
                    </w:rPr>
                  </w:pPr>
                  <w:r>
                    <w:rPr>
                      <w:bCs/>
                      <w:szCs w:val="21"/>
                    </w:rPr>
                    <w:t>国家产业政策中明确淘汰类项目；</w:t>
                  </w:r>
                </w:p>
                <w:p>
                  <w:pPr>
                    <w:rPr>
                      <w:bCs/>
                      <w:szCs w:val="21"/>
                    </w:rPr>
                  </w:pPr>
                  <w:r>
                    <w:rPr>
                      <w:bCs/>
                      <w:szCs w:val="21"/>
                    </w:rPr>
                    <w:t>新、改、扩建项目要明确污染物排放总量指标来源，否则不得入驻本开发区，不得以“零排放”、“零污染”等任何类似名义为企业入区开绿灯；</w:t>
                  </w:r>
                </w:p>
                <w:p>
                  <w:pPr>
                    <w:rPr>
                      <w:bCs/>
                      <w:szCs w:val="21"/>
                    </w:rPr>
                  </w:pPr>
                  <w:r>
                    <w:rPr>
                      <w:bCs/>
                      <w:szCs w:val="21"/>
                    </w:rPr>
                    <w:t>新入驻的企业，其所属行业、建设地点必须符合本开发区的产业定位及功能分区，并具备相应的环境保护措施，不符合规划的企业不得入驻；</w:t>
                  </w:r>
                </w:p>
                <w:p>
                  <w:pPr>
                    <w:rPr>
                      <w:bCs/>
                      <w:szCs w:val="21"/>
                    </w:rPr>
                  </w:pPr>
                  <w:r>
                    <w:rPr>
                      <w:bCs/>
                      <w:szCs w:val="21"/>
                    </w:rPr>
                    <w:t>严禁入驻国家明令淘汰或限制的工艺落后、污染严重的产业、排污量较大的项目；严禁入驻资源消耗高、综合利用率低、产生废物量大且按近期技术水平不能综合利用的行业；</w:t>
                  </w:r>
                </w:p>
                <w:p>
                  <w:pPr>
                    <w:rPr>
                      <w:bCs/>
                      <w:szCs w:val="21"/>
                    </w:rPr>
                  </w:pPr>
                  <w:r>
                    <w:rPr>
                      <w:bCs/>
                      <w:szCs w:val="21"/>
                    </w:rPr>
                    <w:t>不得引进生产和使用有毒有害物品的企业。</w:t>
                  </w:r>
                </w:p>
                <w:p>
                  <w:pPr>
                    <w:rPr>
                      <w:bCs/>
                      <w:szCs w:val="21"/>
                    </w:rPr>
                  </w:pPr>
                  <w:r>
                    <w:rPr>
                      <w:bCs/>
                      <w:szCs w:val="21"/>
                    </w:rPr>
                    <w:t>排放“三致”污染物、难降解的有机污染物、重金属、恶臭气体和含盐量高的项目，污水预处理后达不到污水处理厂进水标准的项目。工艺废气中含有难处理的、有毒有害物质的项目。具有放射性、电磁污染的项目。</w:t>
                  </w:r>
                </w:p>
                <w:p>
                  <w:pPr>
                    <w:jc w:val="left"/>
                    <w:rPr>
                      <w:bCs/>
                      <w:szCs w:val="21"/>
                    </w:rPr>
                  </w:pPr>
                  <w:r>
                    <w:rPr>
                      <w:bCs/>
                      <w:szCs w:val="21"/>
                    </w:rPr>
                    <w:t>（2）慎重发展的产业</w:t>
                  </w:r>
                </w:p>
                <w:p>
                  <w:pPr>
                    <w:rPr>
                      <w:bCs/>
                      <w:szCs w:val="21"/>
                    </w:rPr>
                  </w:pPr>
                  <w:r>
                    <w:rPr>
                      <w:bCs/>
                      <w:szCs w:val="21"/>
                    </w:rPr>
                    <w:t>国家产业政策中明确限制类项目；</w:t>
                  </w:r>
                </w:p>
                <w:p>
                  <w:pPr>
                    <w:rPr>
                      <w:bCs/>
                      <w:szCs w:val="21"/>
                    </w:rPr>
                  </w:pPr>
                  <w:r>
                    <w:rPr>
                      <w:bCs/>
                      <w:szCs w:val="21"/>
                    </w:rPr>
                    <w:t>严格限制污染排放量大的企业入驻，特别是生产工艺中有特异污染因子排放的项目应慎重；</w:t>
                  </w:r>
                </w:p>
                <w:p>
                  <w:pPr>
                    <w:rPr>
                      <w:bCs/>
                      <w:szCs w:val="21"/>
                    </w:rPr>
                  </w:pPr>
                  <w:r>
                    <w:rPr>
                      <w:bCs/>
                      <w:szCs w:val="21"/>
                    </w:rPr>
                    <w:t>属于规划既定行业，但污染类型复杂、环境风险较大的产业、项目或工艺；</w:t>
                  </w:r>
                </w:p>
                <w:p>
                  <w:pPr>
                    <w:spacing w:after="0"/>
                    <w:rPr>
                      <w:bCs/>
                      <w:szCs w:val="21"/>
                    </w:rPr>
                  </w:pPr>
                </w:p>
              </w:tc>
              <w:tc>
                <w:tcPr>
                  <w:tcW w:w="1285" w:type="pct"/>
                  <w:tcMar>
                    <w:left w:w="28" w:type="dxa"/>
                    <w:right w:w="28" w:type="dxa"/>
                  </w:tcMar>
                  <w:vAlign w:val="center"/>
                </w:tcPr>
                <w:p>
                  <w:pPr>
                    <w:rPr>
                      <w:szCs w:val="21"/>
                    </w:rPr>
                  </w:pPr>
                  <w:r>
                    <w:rPr>
                      <w:szCs w:val="21"/>
                    </w:rPr>
                    <w:t>（1）本项目符合国家产业政策要求，属于《产业结构调整指导目录（2019年本）》中鼓励类项目；并配套了相应的环境保护措施；不属于高水耗、高物耗、高能耗企业，且排放的污染物较少，废气中不含难处理、有毒有害物质；项目无放射性和电磁污染。</w:t>
                  </w:r>
                </w:p>
                <w:p>
                  <w:pPr>
                    <w:rPr>
                      <w:szCs w:val="21"/>
                    </w:rPr>
                  </w:pPr>
                  <w:r>
                    <w:rPr>
                      <w:szCs w:val="21"/>
                    </w:rPr>
                    <w:t>（2）项目产生的废气经处理后可达标排放，一般固废分类收集后暂存于密闭渣棚、定期外售。危险废物暂存厂内危废间暂存间，定期交由资质单位处置。</w:t>
                  </w:r>
                </w:p>
                <w:p>
                  <w:pPr>
                    <w:rPr>
                      <w:szCs w:val="21"/>
                    </w:rPr>
                  </w:pPr>
                  <w:r>
                    <w:rPr>
                      <w:szCs w:val="21"/>
                    </w:rPr>
                    <w:t>本项目污染类型简单，环境风险较小。</w:t>
                  </w:r>
                  <w:r>
                    <w:rPr>
                      <w:szCs w:val="21"/>
                    </w:rPr>
                    <w:cr/>
                  </w:r>
                </w:p>
                <w:p>
                  <w:pPr>
                    <w:rPr>
                      <w:szCs w:val="21"/>
                    </w:rPr>
                  </w:pPr>
                  <w:r>
                    <w:rPr>
                      <w:szCs w:val="21"/>
                    </w:rPr>
                    <w:t>（3）本项目为热力生产及供应业，不属于综合产业基地负面清单中的禁止新建项目类别。</w:t>
                  </w:r>
                </w:p>
              </w:tc>
              <w:tc>
                <w:tcPr>
                  <w:tcW w:w="548" w:type="pct"/>
                  <w:tcBorders>
                    <w:right w:val="single" w:sz="12" w:space="0" w:color="auto"/>
                  </w:tcBorders>
                  <w:tcMar>
                    <w:left w:w="28" w:type="dxa"/>
                    <w:right w:w="28" w:type="dxa"/>
                  </w:tcMar>
                  <w:vAlign w:val="center"/>
                </w:tcPr>
                <w:p>
                  <w:pPr>
                    <w:spacing w:line="240" w:lineRule="exact"/>
                    <w:jc w:val="center"/>
                    <w:rPr>
                      <w:szCs w:val="21"/>
                    </w:rPr>
                  </w:pPr>
                  <w:r>
                    <w:rPr>
                      <w:szCs w:val="21"/>
                    </w:rPr>
                    <w:t>符合</w:t>
                  </w:r>
                </w:p>
              </w:tc>
            </w:tr>
          </w:tbl>
          <w:p/>
        </w:tc>
      </w:tr>
    </w:tbl>
    <w:p>
      <w:pPr>
        <w:sectPr>
          <w:footerReference w:type="default" r:id="rId8"/>
          <w:type w:val="nextPage"/>
          <w:pgSz w:w="11906" w:h="16838"/>
          <w:pgMar w:top="1701" w:right="1531" w:bottom="1701" w:left="1531" w:header="851" w:footer="1077" w:gutter="0"/>
          <w:pgNumType w:start="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837"/>
          <w:jc w:val="center"/>
        </w:trPr>
        <w:tc>
          <w:tcPr>
            <w:tcW w:w="1431" w:type="dxa"/>
            <w:vAlign w:val="center"/>
          </w:tcPr>
          <w:p/>
        </w:tc>
        <w:tc>
          <w:tcPr>
            <w:tcW w:w="7439" w:type="dxa"/>
            <w:vAlign w:val="center"/>
          </w:tcPr>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0" w:type="dxa"/>
                <w:left w:w="28" w:type="dxa"/>
                <w:bottom w:w="0" w:type="dxa"/>
                <w:right w:w="28" w:type="dxa"/>
              </w:tblCellMar>
            </w:tblPr>
            <w:tblGrid>
              <w:gridCol w:w="1421"/>
              <w:gridCol w:w="3298"/>
              <w:gridCol w:w="1767"/>
              <w:gridCol w:w="707"/>
            </w:tblGrid>
            <w:tr>
              <w:tblPrEx>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0" w:type="dxa"/>
                  <w:left w:w="28" w:type="dxa"/>
                  <w:bottom w:w="0" w:type="dxa"/>
                  <w:right w:w="28" w:type="dxa"/>
                </w:tblCellMar>
              </w:tblPrEx>
              <w:trPr>
                <w:trHeight w:val="827"/>
                <w:jc w:val="center"/>
              </w:trPr>
              <w:tc>
                <w:tcPr>
                  <w:tcW w:w="817" w:type="pct"/>
                  <w:vMerge w:val="restart"/>
                  <w:tcBorders>
                    <w:left w:val="single" w:sz="12" w:space="0" w:color="auto"/>
                  </w:tcBorders>
                  <w:tcMar>
                    <w:left w:w="28" w:type="dxa"/>
                    <w:right w:w="28" w:type="dxa"/>
                  </w:tcMar>
                  <w:vAlign w:val="center"/>
                </w:tcPr>
                <w:p/>
              </w:tc>
              <w:tc>
                <w:tcPr>
                  <w:tcW w:w="2349" w:type="pct"/>
                  <w:tcMar>
                    <w:left w:w="28" w:type="dxa"/>
                    <w:right w:w="28" w:type="dxa"/>
                  </w:tcMar>
                  <w:vAlign w:val="center"/>
                </w:tcPr>
                <w:p>
                  <w:pPr>
                    <w:spacing w:before="0"/>
                    <w:rPr>
                      <w:bCs/>
                      <w:szCs w:val="21"/>
                    </w:rPr>
                  </w:pPr>
                  <w:r>
                    <w:rPr>
                      <w:bCs/>
                      <w:szCs w:val="21"/>
                    </w:rPr>
                    <w:t>产生的废物按自有技术水平无法治理或妥善处置的；</w:t>
                  </w:r>
                </w:p>
                <w:p>
                  <w:pPr>
                    <w:rPr>
                      <w:bCs/>
                      <w:szCs w:val="21"/>
                    </w:rPr>
                  </w:pPr>
                  <w:r>
                    <w:rPr>
                      <w:bCs/>
                      <w:szCs w:val="21"/>
                    </w:rPr>
                    <w:t>现有污染治理技术不成熟，或现有技术经济条件难以承受污染物治理成本的；</w:t>
                  </w:r>
                </w:p>
                <w:p>
                  <w:pPr>
                    <w:jc w:val="left"/>
                    <w:rPr>
                      <w:bCs/>
                      <w:szCs w:val="21"/>
                    </w:rPr>
                  </w:pPr>
                  <w:r>
                    <w:rPr>
                      <w:bCs/>
                      <w:szCs w:val="21"/>
                    </w:rPr>
                    <w:t>（3）行业准入负面清单</w:t>
                  </w:r>
                </w:p>
                <w:p>
                  <w:pPr>
                    <w:jc w:val="left"/>
                    <w:rPr>
                      <w:bCs/>
                      <w:szCs w:val="21"/>
                    </w:rPr>
                  </w:pPr>
                  <w:r>
                    <w:rPr>
                      <w:bCs/>
                      <w:szCs w:val="21"/>
                    </w:rPr>
                    <w:t>综合产业基地区域产业准入负面清单为禁止新建纸浆制造行业。</w:t>
                  </w:r>
                </w:p>
              </w:tc>
              <w:tc>
                <w:tcPr>
                  <w:tcW w:w="1285" w:type="pct"/>
                  <w:tcMar>
                    <w:left w:w="28" w:type="dxa"/>
                    <w:right w:w="28" w:type="dxa"/>
                  </w:tcMar>
                  <w:vAlign w:val="center"/>
                </w:tcPr>
                <w:p/>
              </w:tc>
              <w:tc>
                <w:tcPr>
                  <w:tcW w:w="548" w:type="pct"/>
                  <w:tcBorders>
                    <w:right w:val="single" w:sz="12" w:space="0" w:color="auto"/>
                  </w:tcBorders>
                  <w:tcMar>
                    <w:left w:w="28" w:type="dxa"/>
                    <w:right w:w="28" w:type="dxa"/>
                  </w:tcMar>
                  <w:vAlign w:val="center"/>
                </w:tcPr>
                <w:p/>
              </w:tc>
            </w:tr>
            <w:tr>
              <w:tblPrEx>
                <w:tblW w:w="5000" w:type="pct"/>
                <w:jc w:val="center"/>
                <w:tblCellMar>
                  <w:top w:w="0" w:type="dxa"/>
                  <w:left w:w="28" w:type="dxa"/>
                  <w:bottom w:w="0" w:type="dxa"/>
                  <w:right w:w="28" w:type="dxa"/>
                </w:tblCellMar>
              </w:tblPrEx>
              <w:trPr>
                <w:trHeight w:val="827"/>
                <w:jc w:val="center"/>
              </w:trPr>
              <w:tc>
                <w:tcPr>
                  <w:tcW w:w="817" w:type="pct"/>
                  <w:vMerge/>
                  <w:tcBorders>
                    <w:left w:val="single" w:sz="12" w:space="0" w:color="auto"/>
                  </w:tcBorders>
                  <w:tcMar>
                    <w:left w:w="28" w:type="dxa"/>
                    <w:right w:w="28" w:type="dxa"/>
                  </w:tcMar>
                  <w:vAlign w:val="center"/>
                </w:tcPr>
                <w:p>
                  <w:pPr>
                    <w:jc w:val="center"/>
                    <w:rPr>
                      <w:szCs w:val="21"/>
                    </w:rPr>
                  </w:pPr>
                </w:p>
              </w:tc>
              <w:tc>
                <w:tcPr>
                  <w:tcW w:w="2349" w:type="pct"/>
                  <w:tcMar>
                    <w:left w:w="28" w:type="dxa"/>
                    <w:right w:w="28" w:type="dxa"/>
                  </w:tcMar>
                  <w:vAlign w:val="center"/>
                </w:tcPr>
                <w:p>
                  <w:pPr>
                    <w:jc w:val="left"/>
                    <w:rPr>
                      <w:bCs/>
                      <w:szCs w:val="21"/>
                    </w:rPr>
                  </w:pPr>
                  <w:r>
                    <w:rPr>
                      <w:bCs/>
                      <w:szCs w:val="21"/>
                    </w:rPr>
                    <w:t>2.2.9.8供热工程规划</w:t>
                  </w:r>
                </w:p>
                <w:p>
                  <w:pPr>
                    <w:rPr>
                      <w:bCs/>
                      <w:szCs w:val="21"/>
                    </w:rPr>
                  </w:pPr>
                  <w:r>
                    <w:rPr>
                      <w:bCs/>
                      <w:szCs w:val="21"/>
                    </w:rPr>
                    <w:t>生活垃圾发电和生物质发电设施余热为附近企业供热。园区不新建集中供热设施。</w:t>
                  </w:r>
                </w:p>
              </w:tc>
              <w:tc>
                <w:tcPr>
                  <w:tcW w:w="1285" w:type="pct"/>
                  <w:tcMar>
                    <w:left w:w="28" w:type="dxa"/>
                    <w:right w:w="28" w:type="dxa"/>
                  </w:tcMar>
                  <w:vAlign w:val="center"/>
                </w:tcPr>
                <w:p>
                  <w:pPr>
                    <w:rPr>
                      <w:szCs w:val="21"/>
                    </w:rPr>
                  </w:pPr>
                  <w:r>
                    <w:rPr>
                      <w:szCs w:val="21"/>
                    </w:rPr>
                    <w:t>项目将企业原有的三台生物质锅炉（2台20t/h生物质锅炉、1台10t生物质锅炉）技改为1台45t生物质锅炉，不属于新建集中供热设施。</w:t>
                  </w:r>
                </w:p>
              </w:tc>
              <w:tc>
                <w:tcPr>
                  <w:tcW w:w="548" w:type="pct"/>
                  <w:tcBorders>
                    <w:right w:val="single" w:sz="12" w:space="0" w:color="auto"/>
                  </w:tcBorders>
                  <w:tcMar>
                    <w:left w:w="28" w:type="dxa"/>
                    <w:right w:w="28" w:type="dxa"/>
                  </w:tcMar>
                  <w:vAlign w:val="center"/>
                </w:tcPr>
                <w:p>
                  <w:pPr>
                    <w:spacing w:line="240" w:lineRule="exact"/>
                    <w:jc w:val="center"/>
                    <w:rPr>
                      <w:szCs w:val="21"/>
                    </w:rPr>
                  </w:pPr>
                  <w:r>
                    <w:rPr>
                      <w:szCs w:val="21"/>
                    </w:rPr>
                    <w:t>符合</w:t>
                  </w:r>
                </w:p>
              </w:tc>
            </w:tr>
            <w:tr>
              <w:tblPrEx>
                <w:tblW w:w="5000" w:type="pct"/>
                <w:jc w:val="center"/>
                <w:tblCellMar>
                  <w:top w:w="0" w:type="dxa"/>
                  <w:left w:w="28" w:type="dxa"/>
                  <w:bottom w:w="0" w:type="dxa"/>
                  <w:right w:w="28" w:type="dxa"/>
                </w:tblCellMar>
              </w:tblPrEx>
              <w:trPr>
                <w:trHeight w:val="827"/>
                <w:jc w:val="center"/>
              </w:trPr>
              <w:tc>
                <w:tcPr>
                  <w:tcW w:w="817" w:type="pct"/>
                  <w:vMerge/>
                  <w:tcBorders>
                    <w:left w:val="single" w:sz="12" w:space="0" w:color="auto"/>
                  </w:tcBorders>
                  <w:tcMar>
                    <w:left w:w="28" w:type="dxa"/>
                    <w:right w:w="28" w:type="dxa"/>
                  </w:tcMar>
                  <w:vAlign w:val="center"/>
                </w:tcPr>
                <w:p>
                  <w:pPr>
                    <w:jc w:val="center"/>
                    <w:rPr>
                      <w:szCs w:val="21"/>
                    </w:rPr>
                  </w:pPr>
                </w:p>
              </w:tc>
              <w:tc>
                <w:tcPr>
                  <w:tcW w:w="2349" w:type="pct"/>
                  <w:tcMar>
                    <w:left w:w="28" w:type="dxa"/>
                    <w:right w:w="28" w:type="dxa"/>
                  </w:tcMar>
                  <w:vAlign w:val="center"/>
                </w:tcPr>
                <w:p>
                  <w:pPr>
                    <w:jc w:val="left"/>
                    <w:rPr>
                      <w:bCs/>
                      <w:szCs w:val="21"/>
                    </w:rPr>
                  </w:pPr>
                  <w:r>
                    <w:rPr>
                      <w:bCs/>
                      <w:szCs w:val="21"/>
                    </w:rPr>
                    <w:t>10.1.1尽快制定区域颗粒物削减方案</w:t>
                  </w:r>
                </w:p>
                <w:p>
                  <w:pPr>
                    <w:jc w:val="left"/>
                    <w:rPr>
                      <w:bCs/>
                      <w:szCs w:val="21"/>
                    </w:rPr>
                  </w:pPr>
                  <w:r>
                    <w:rPr>
                      <w:bCs/>
                      <w:szCs w:val="21"/>
                    </w:rPr>
                    <w:t>（2）加快能源结构调整，淘汰燃煤锅炉</w:t>
                  </w:r>
                </w:p>
                <w:p>
                  <w:pPr>
                    <w:jc w:val="left"/>
                    <w:rPr>
                      <w:bCs/>
                      <w:szCs w:val="21"/>
                    </w:rPr>
                  </w:pPr>
                  <w:r>
                    <w:rPr>
                      <w:bCs/>
                      <w:szCs w:val="21"/>
                    </w:rPr>
                    <w:t>大力发展集中供热。加快集中供热管网建设，集中供热管网范围内，不再批准新建燃煤供热锅炉。</w:t>
                  </w:r>
                </w:p>
              </w:tc>
              <w:tc>
                <w:tcPr>
                  <w:tcW w:w="1285" w:type="pct"/>
                  <w:tcMar>
                    <w:left w:w="28" w:type="dxa"/>
                    <w:right w:w="28" w:type="dxa"/>
                  </w:tcMar>
                  <w:vAlign w:val="center"/>
                </w:tcPr>
                <w:p>
                  <w:pPr>
                    <w:rPr>
                      <w:szCs w:val="21"/>
                    </w:rPr>
                  </w:pPr>
                  <w:r>
                    <w:rPr>
                      <w:szCs w:val="21"/>
                    </w:rPr>
                    <w:t>项目将企业原有的三台生物质锅炉（2台20t/h生物质锅炉、1台10t生物质锅炉）技改为1台45t生物质锅炉，不属于新建集中供热设施。</w:t>
                  </w:r>
                </w:p>
              </w:tc>
              <w:tc>
                <w:tcPr>
                  <w:tcW w:w="548" w:type="pct"/>
                  <w:tcBorders>
                    <w:right w:val="single" w:sz="12" w:space="0" w:color="auto"/>
                  </w:tcBorders>
                  <w:tcMar>
                    <w:left w:w="28" w:type="dxa"/>
                    <w:right w:w="28" w:type="dxa"/>
                  </w:tcMar>
                  <w:vAlign w:val="center"/>
                </w:tcPr>
                <w:p>
                  <w:pPr>
                    <w:spacing w:line="240" w:lineRule="exact"/>
                    <w:jc w:val="center"/>
                    <w:rPr>
                      <w:szCs w:val="21"/>
                    </w:rPr>
                  </w:pPr>
                  <w:r>
                    <w:rPr>
                      <w:szCs w:val="21"/>
                    </w:rPr>
                    <w:t>符合</w:t>
                  </w:r>
                </w:p>
              </w:tc>
            </w:tr>
            <w:tr>
              <w:tblPrEx>
                <w:tblW w:w="5000" w:type="pct"/>
                <w:jc w:val="center"/>
                <w:tblCellMar>
                  <w:top w:w="0" w:type="dxa"/>
                  <w:left w:w="28" w:type="dxa"/>
                  <w:bottom w:w="0" w:type="dxa"/>
                  <w:right w:w="28" w:type="dxa"/>
                </w:tblCellMar>
              </w:tblPrEx>
              <w:trPr>
                <w:trHeight w:val="827"/>
                <w:jc w:val="center"/>
              </w:trPr>
              <w:tc>
                <w:tcPr>
                  <w:tcW w:w="817" w:type="pct"/>
                  <w:tcBorders>
                    <w:left w:val="single" w:sz="12" w:space="0" w:color="auto"/>
                  </w:tcBorders>
                  <w:tcMar>
                    <w:left w:w="28" w:type="dxa"/>
                    <w:right w:w="28" w:type="dxa"/>
                  </w:tcMar>
                  <w:vAlign w:val="center"/>
                </w:tcPr>
                <w:p>
                  <w:pPr>
                    <w:jc w:val="center"/>
                    <w:rPr>
                      <w:szCs w:val="21"/>
                    </w:rPr>
                  </w:pPr>
                  <w:r>
                    <w:rPr>
                      <w:szCs w:val="21"/>
                      <w:u w:color="000000"/>
                    </w:rPr>
                    <w:t>《关于大荔经济技术开发区新区总体规划（2020-2035年）环境影响报告书审查意见的函》（渭环函﹝2020﹞278号）</w:t>
                  </w:r>
                </w:p>
              </w:tc>
              <w:tc>
                <w:tcPr>
                  <w:tcW w:w="2349" w:type="pct"/>
                  <w:tcMar>
                    <w:left w:w="28" w:type="dxa"/>
                    <w:right w:w="28" w:type="dxa"/>
                  </w:tcMar>
                  <w:vAlign w:val="center"/>
                </w:tcPr>
                <w:p>
                  <w:pPr>
                    <w:pStyle w:val="PlainText"/>
                    <w:spacing w:line="240" w:lineRule="exact"/>
                    <w:rPr>
                      <w:rFonts w:ascii="Times New Roman" w:hAnsi="Times New Roman"/>
                      <w:bCs/>
                      <w:szCs w:val="21"/>
                      <w:shd w:val="clear" w:color="auto" w:fill="FFFFFF"/>
                    </w:rPr>
                  </w:pPr>
                  <w:r>
                    <w:rPr>
                      <w:rFonts w:ascii="Times New Roman" w:hAnsi="Times New Roman"/>
                      <w:bCs/>
                      <w:szCs w:val="21"/>
                      <w:shd w:val="clear" w:color="auto" w:fill="FFFFFF"/>
                    </w:rPr>
                    <w:t>园区行业准入控制建议为：“重点引进工艺先进，技术创新，无污染或低污染、规模适中、效益好、带动作用强的项目，严禁生产方式落后、产品质量低劣、环境污染严重和能源消耗高的项目进入园区。”</w:t>
                  </w:r>
                </w:p>
              </w:tc>
              <w:tc>
                <w:tcPr>
                  <w:tcW w:w="1285" w:type="pct"/>
                  <w:tcMar>
                    <w:left w:w="28" w:type="dxa"/>
                    <w:right w:w="28" w:type="dxa"/>
                  </w:tcMar>
                  <w:vAlign w:val="center"/>
                </w:tcPr>
                <w:p>
                  <w:pPr>
                    <w:rPr>
                      <w:kern w:val="0"/>
                      <w:szCs w:val="21"/>
                    </w:rPr>
                  </w:pPr>
                  <w:r>
                    <w:rPr>
                      <w:kern w:val="0"/>
                      <w:szCs w:val="21"/>
                    </w:rPr>
                    <w:t>本项目符合国家产业政策要求，属于《产业结构调整指导目录（2019年本）》中鼓励类项目；并配套了相应的环境保护措施；不属于污染严重和能源消耗高的项目。</w:t>
                  </w:r>
                </w:p>
                <w:p>
                  <w:pPr>
                    <w:rPr>
                      <w:kern w:val="0"/>
                      <w:szCs w:val="21"/>
                    </w:rPr>
                  </w:pPr>
                  <w:r>
                    <w:rPr>
                      <w:kern w:val="0"/>
                      <w:szCs w:val="21"/>
                    </w:rPr>
                    <w:t>项目污染类型简单，环境风险较小。</w:t>
                  </w:r>
                </w:p>
              </w:tc>
              <w:tc>
                <w:tcPr>
                  <w:tcW w:w="548" w:type="pct"/>
                  <w:tcBorders>
                    <w:right w:val="single" w:sz="12" w:space="0" w:color="auto"/>
                  </w:tcBorders>
                  <w:tcMar>
                    <w:left w:w="28" w:type="dxa"/>
                    <w:right w:w="28" w:type="dxa"/>
                  </w:tcMar>
                  <w:vAlign w:val="center"/>
                </w:tcPr>
                <w:p>
                  <w:pPr>
                    <w:spacing w:line="240" w:lineRule="exact"/>
                    <w:jc w:val="center"/>
                    <w:rPr>
                      <w:szCs w:val="21"/>
                    </w:rPr>
                  </w:pPr>
                  <w:r>
                    <w:rPr>
                      <w:szCs w:val="21"/>
                      <w:u w:color="000000"/>
                    </w:rPr>
                    <w:t>符合</w:t>
                  </w:r>
                </w:p>
              </w:tc>
            </w:tr>
          </w:tbl>
          <w:p>
            <w:pPr>
              <w:autoSpaceDE w:val="0"/>
              <w:autoSpaceDN w:val="0"/>
              <w:adjustRightInd w:val="0"/>
              <w:snapToGrid w:val="0"/>
              <w:spacing w:line="360" w:lineRule="auto"/>
              <w:ind w:firstLine="480" w:firstLineChars="200"/>
              <w:jc w:val="left"/>
              <w:rPr>
                <w:rFonts w:eastAsiaTheme="minorEastAsia"/>
              </w:rPr>
            </w:pPr>
            <w:r>
              <w:rPr>
                <w:sz w:val="24"/>
              </w:rPr>
              <w:t>综上所述，本项目符合《大荔经济技术开发区新区总体规划（2020-2035年）环境影响报告书》及批复要求。</w:t>
            </w:r>
          </w:p>
        </w:tc>
      </w:tr>
    </w:tbl>
    <w:p>
      <w:pPr>
        <w:sectPr>
          <w:footerReference w:type="default" r:id="rId9"/>
          <w:type w:val="nextPage"/>
          <w:pgSz w:w="11906" w:h="16838"/>
          <w:pgMar w:top="1701" w:right="1531" w:bottom="1701" w:left="1531" w:header="851" w:footer="1077" w:gutter="0"/>
          <w:pgNumType w:start="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kern w:val="0"/>
                <w:sz w:val="24"/>
              </w:rPr>
              <w:t>其他符合性分析</w:t>
            </w:r>
          </w:p>
        </w:tc>
        <w:tc>
          <w:tcPr>
            <w:tcW w:w="7439" w:type="dxa"/>
            <w:vAlign w:val="center"/>
          </w:tcPr>
          <w:p>
            <w:pPr>
              <w:autoSpaceDE w:val="0"/>
              <w:autoSpaceDN w:val="0"/>
              <w:adjustRightInd w:val="0"/>
              <w:snapToGrid w:val="0"/>
              <w:spacing w:before="120" w:beforeLines="50" w:line="360" w:lineRule="auto"/>
              <w:jc w:val="left"/>
              <w:rPr>
                <w:rFonts w:eastAsiaTheme="minorEastAsia"/>
                <w:b/>
                <w:kern w:val="0"/>
                <w:sz w:val="24"/>
              </w:rPr>
            </w:pPr>
            <w:r>
              <w:rPr>
                <w:rFonts w:eastAsiaTheme="minorEastAsia"/>
                <w:b/>
                <w:kern w:val="0"/>
                <w:sz w:val="24"/>
              </w:rPr>
              <w:t>1、产业政策符合性分析</w:t>
            </w:r>
          </w:p>
          <w:p>
            <w:pPr>
              <w:autoSpaceDE w:val="0"/>
              <w:autoSpaceDN w:val="0"/>
              <w:adjustRightInd w:val="0"/>
              <w:snapToGrid w:val="0"/>
              <w:spacing w:line="360" w:lineRule="auto"/>
              <w:ind w:firstLine="480" w:firstLineChars="200"/>
              <w:jc w:val="left"/>
              <w:rPr>
                <w:rFonts w:eastAsiaTheme="minorEastAsia"/>
                <w:kern w:val="0"/>
                <w:sz w:val="24"/>
              </w:rPr>
            </w:pPr>
            <w:r>
              <w:rPr>
                <w:rFonts w:eastAsiaTheme="minorEastAsia"/>
                <w:kern w:val="0"/>
                <w:sz w:val="24"/>
              </w:rPr>
              <w:t>项目属于《产业结构调整指导目录（2019年本）》中的鼓励类-“18农村可再生资源综合利用开发工程（沼气工程、生物天然气工程、“三沼”综合利用、沼气发电，生物质能清洁供热，秸秆气化清洁能源利用工程，废弃菌棒利用，太阳能利用）”；不属于《陕西省限制投资类产业指导目录》（陕发改产业〔2007〕97号）中限制投资类项目；项目工艺、设备不含《部分工业行业淘汰落后生产工艺装备和产品指导目录》（工产业〔2010〕第122号）中淘汰落后的生产工艺装备。同时，项目已经由大荔县行政审批服务局备案确认（详见附件2）。</w:t>
            </w:r>
          </w:p>
          <w:p>
            <w:pPr>
              <w:autoSpaceDE w:val="0"/>
              <w:autoSpaceDN w:val="0"/>
              <w:adjustRightInd w:val="0"/>
              <w:snapToGrid w:val="0"/>
              <w:spacing w:line="360" w:lineRule="auto"/>
              <w:jc w:val="left"/>
              <w:rPr>
                <w:rFonts w:eastAsiaTheme="minorEastAsia"/>
                <w:b/>
                <w:kern w:val="0"/>
                <w:sz w:val="24"/>
              </w:rPr>
            </w:pPr>
            <w:r>
              <w:rPr>
                <w:rFonts w:eastAsiaTheme="minorEastAsia"/>
                <w:b/>
                <w:kern w:val="0"/>
                <w:sz w:val="24"/>
              </w:rPr>
              <w:t>2、相关环保政策符合性分析</w:t>
            </w:r>
          </w:p>
          <w:p>
            <w:pPr>
              <w:pStyle w:val="NormalIndent"/>
              <w:spacing w:before="0" w:line="360" w:lineRule="auto"/>
              <w:ind w:firstLine="480"/>
              <w:rPr>
                <w:rFonts w:ascii="Times New Roman" w:hAnsi="Times New Roman" w:eastAsiaTheme="minorEastAsia"/>
                <w:szCs w:val="24"/>
              </w:rPr>
            </w:pPr>
            <w:r>
              <w:rPr>
                <w:rFonts w:ascii="Times New Roman" w:hAnsi="Times New Roman" w:eastAsiaTheme="minorEastAsia"/>
                <w:szCs w:val="24"/>
              </w:rPr>
              <w:t>本项目与相关环保政策相符性分析见表1-3。</w:t>
            </w:r>
          </w:p>
          <w:p>
            <w:pPr>
              <w:adjustRightInd w:val="0"/>
              <w:snapToGrid w:val="0"/>
              <w:spacing w:after="48" w:afterLines="20"/>
              <w:jc w:val="center"/>
              <w:rPr>
                <w:rFonts w:eastAsiaTheme="minorEastAsia"/>
                <w:b/>
                <w:sz w:val="24"/>
              </w:rPr>
            </w:pPr>
            <w:r>
              <w:rPr>
                <w:rFonts w:eastAsiaTheme="minorEastAsia"/>
                <w:b/>
                <w:sz w:val="24"/>
              </w:rPr>
              <w:t>表1-3   相关环保政策相符性分析一览表</w:t>
            </w:r>
          </w:p>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1552"/>
              <w:gridCol w:w="3103"/>
              <w:gridCol w:w="1965"/>
              <w:gridCol w:w="573"/>
            </w:tblGrid>
            <w:tr>
              <w:tblPrEx>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c>
                <w:tcPr>
                  <w:tcW w:w="1079" w:type="pct"/>
                  <w:vAlign w:val="center"/>
                </w:tcPr>
                <w:p>
                  <w:pPr>
                    <w:jc w:val="center"/>
                    <w:rPr>
                      <w:rFonts w:eastAsiaTheme="minorEastAsia"/>
                      <w:szCs w:val="21"/>
                    </w:rPr>
                  </w:pPr>
                  <w:r>
                    <w:rPr>
                      <w:rFonts w:eastAsiaTheme="minorEastAsia"/>
                      <w:szCs w:val="21"/>
                    </w:rPr>
                    <w:t>规划或政策名称</w:t>
                  </w:r>
                </w:p>
              </w:tc>
              <w:tc>
                <w:tcPr>
                  <w:tcW w:w="2157" w:type="pct"/>
                  <w:vAlign w:val="center"/>
                </w:tcPr>
                <w:p>
                  <w:pPr>
                    <w:jc w:val="center"/>
                    <w:rPr>
                      <w:rFonts w:eastAsiaTheme="minorEastAsia"/>
                      <w:szCs w:val="21"/>
                    </w:rPr>
                  </w:pPr>
                  <w:r>
                    <w:rPr>
                      <w:rFonts w:eastAsiaTheme="minorEastAsia"/>
                      <w:szCs w:val="21"/>
                    </w:rPr>
                    <w:t>规划或政策相关内容</w:t>
                  </w:r>
                </w:p>
              </w:tc>
              <w:tc>
                <w:tcPr>
                  <w:tcW w:w="1366" w:type="pct"/>
                  <w:vAlign w:val="center"/>
                </w:tcPr>
                <w:p>
                  <w:pPr>
                    <w:jc w:val="center"/>
                    <w:rPr>
                      <w:rFonts w:eastAsiaTheme="minorEastAsia"/>
                      <w:szCs w:val="21"/>
                    </w:rPr>
                  </w:pPr>
                  <w:r>
                    <w:rPr>
                      <w:rFonts w:eastAsiaTheme="minorEastAsia"/>
                      <w:szCs w:val="21"/>
                    </w:rPr>
                    <w:t>本项目情况</w:t>
                  </w:r>
                </w:p>
              </w:tc>
              <w:tc>
                <w:tcPr>
                  <w:tcW w:w="398" w:type="pct"/>
                  <w:vAlign w:val="center"/>
                </w:tcPr>
                <w:p>
                  <w:pPr>
                    <w:jc w:val="center"/>
                    <w:rPr>
                      <w:rFonts w:eastAsiaTheme="minorEastAsia"/>
                      <w:szCs w:val="21"/>
                    </w:rPr>
                  </w:pPr>
                  <w:r>
                    <w:rPr>
                      <w:rFonts w:eastAsiaTheme="minorEastAsia"/>
                      <w:szCs w:val="21"/>
                    </w:rPr>
                    <w:t>符合性</w:t>
                  </w:r>
                </w:p>
              </w:tc>
            </w:tr>
            <w:tr>
              <w:tblPrEx>
                <w:tblW w:w="5000" w:type="pct"/>
                <w:tblInd w:w="0" w:type="dxa"/>
                <w:tblCellMar>
                  <w:top w:w="0" w:type="dxa"/>
                  <w:left w:w="0" w:type="dxa"/>
                  <w:bottom w:w="0" w:type="dxa"/>
                  <w:right w:w="0" w:type="dxa"/>
                </w:tblCellMar>
              </w:tblPrEx>
              <w:tc>
                <w:tcPr>
                  <w:tcW w:w="1079" w:type="pct"/>
                  <w:vAlign w:val="center"/>
                </w:tcPr>
                <w:p>
                  <w:pPr>
                    <w:adjustRightInd w:val="0"/>
                    <w:snapToGrid w:val="0"/>
                    <w:spacing w:line="240" w:lineRule="atLeast"/>
                    <w:jc w:val="center"/>
                    <w:rPr>
                      <w:rFonts w:eastAsiaTheme="minorEastAsia"/>
                      <w:szCs w:val="21"/>
                    </w:rPr>
                  </w:pPr>
                  <w:r>
                    <w:rPr>
                      <w:rFonts w:eastAsiaTheme="minorEastAsia"/>
                      <w:szCs w:val="21"/>
                    </w:rPr>
                    <w:t>《陕西省大气污染防治条例（2019年修正）》</w:t>
                  </w:r>
                </w:p>
              </w:tc>
              <w:tc>
                <w:tcPr>
                  <w:tcW w:w="2157" w:type="pct"/>
                  <w:vAlign w:val="center"/>
                </w:tcPr>
                <w:p>
                  <w:pPr>
                    <w:autoSpaceDE w:val="0"/>
                    <w:autoSpaceDN w:val="0"/>
                    <w:adjustRightInd w:val="0"/>
                    <w:spacing w:line="240" w:lineRule="atLeast"/>
                    <w:jc w:val="left"/>
                    <w:rPr>
                      <w:rFonts w:eastAsiaTheme="minorEastAsia"/>
                      <w:szCs w:val="21"/>
                      <w:lang w:val="en-GB"/>
                    </w:rPr>
                  </w:pPr>
                  <w:r>
                    <w:rPr>
                      <w:rFonts w:eastAsiaTheme="minorEastAsia"/>
                      <w:szCs w:val="21"/>
                    </w:rPr>
                    <w:t>第三十三条 企业应当优先采用能源和原材料利用效率高、污染物排放量少的清洁生产技术、工艺和装备，减少大气污染物的产生和排放。</w:t>
                  </w:r>
                </w:p>
              </w:tc>
              <w:tc>
                <w:tcPr>
                  <w:tcW w:w="1366" w:type="pct"/>
                  <w:vAlign w:val="center"/>
                </w:tcPr>
                <w:p>
                  <w:pPr>
                    <w:autoSpaceDE w:val="0"/>
                    <w:autoSpaceDN w:val="0"/>
                    <w:adjustRightInd w:val="0"/>
                    <w:spacing w:line="240" w:lineRule="atLeast"/>
                    <w:jc w:val="left"/>
                    <w:rPr>
                      <w:rFonts w:eastAsiaTheme="minorEastAsia"/>
                      <w:szCs w:val="21"/>
                      <w:lang w:val="en-GB"/>
                    </w:rPr>
                  </w:pPr>
                  <w:r>
                    <w:rPr>
                      <w:rFonts w:eastAsiaTheme="minorEastAsia"/>
                      <w:szCs w:val="21"/>
                    </w:rPr>
                    <w:t>本项目以生物质为燃料，污染物产生量相对较小。</w:t>
                  </w:r>
                </w:p>
              </w:tc>
              <w:tc>
                <w:tcPr>
                  <w:tcW w:w="398" w:type="pct"/>
                  <w:vAlign w:val="center"/>
                </w:tcPr>
                <w:p>
                  <w:pPr>
                    <w:spacing w:line="240" w:lineRule="atLeast"/>
                    <w:jc w:val="center"/>
                    <w:rPr>
                      <w:rFonts w:eastAsiaTheme="minorEastAsia"/>
                      <w:szCs w:val="21"/>
                    </w:rPr>
                  </w:pPr>
                  <w:r>
                    <w:rPr>
                      <w:rFonts w:eastAsiaTheme="minorEastAsia"/>
                      <w:kern w:val="0"/>
                      <w:szCs w:val="21"/>
                    </w:rPr>
                    <w:t>符合</w:t>
                  </w:r>
                </w:p>
              </w:tc>
            </w:tr>
            <w:tr>
              <w:tblPrEx>
                <w:tblW w:w="5000" w:type="pct"/>
                <w:tblInd w:w="0" w:type="dxa"/>
                <w:tblCellMar>
                  <w:top w:w="0" w:type="dxa"/>
                  <w:left w:w="0" w:type="dxa"/>
                  <w:bottom w:w="0" w:type="dxa"/>
                  <w:right w:w="0" w:type="dxa"/>
                </w:tblCellMar>
              </w:tblPrEx>
              <w:tc>
                <w:tcPr>
                  <w:tcW w:w="1079" w:type="pct"/>
                  <w:vAlign w:val="center"/>
                </w:tcPr>
                <w:p>
                  <w:pPr>
                    <w:jc w:val="center"/>
                    <w:rPr>
                      <w:rFonts w:eastAsiaTheme="minorEastAsia"/>
                      <w:szCs w:val="21"/>
                    </w:rPr>
                  </w:pPr>
                  <w:r>
                    <w:rPr>
                      <w:rFonts w:eastAsiaTheme="minorEastAsia"/>
                      <w:szCs w:val="21"/>
                    </w:rPr>
                    <w:t>《渭南市人民政府办公室关于印发“十四五”生态环境保护规划的通</w:t>
                  </w:r>
                  <w:r>
                    <w:rPr>
                      <w:rFonts w:eastAsiaTheme="minorEastAsia"/>
                      <w:szCs w:val="21"/>
                    </w:rPr>
                    <w:cr/>
                  </w:r>
                  <w:r>
                    <w:rPr>
                      <w:rFonts w:eastAsiaTheme="minorEastAsia"/>
                      <w:szCs w:val="21"/>
                    </w:rPr>
                    <w:t>》（渭政办发〔2022〕20号）</w:t>
                  </w:r>
                </w:p>
              </w:tc>
              <w:tc>
                <w:tcPr>
                  <w:tcW w:w="2157" w:type="pct"/>
                  <w:vAlign w:val="center"/>
                </w:tcPr>
                <w:p>
                  <w:pPr>
                    <w:jc w:val="center"/>
                    <w:rPr>
                      <w:rFonts w:eastAsiaTheme="minorEastAsia"/>
                      <w:bCs/>
                    </w:rPr>
                  </w:pPr>
                  <w:r>
                    <w:rPr>
                      <w:rFonts w:eastAsiaTheme="minorEastAsia"/>
                      <w:bCs/>
                    </w:rPr>
                    <w:t>第四节   全面推进大气污染防治，提升人民群众蓝天获得感，坚持源头防治、综合施策，稳步推进大气污染防治攻坚行动，聚焦细颗粒物和臭氧协同控制，推进氮氧化物和挥发性有机物协同减排，强化区域协同治理和重污染天气应对，以全市大气环境质量明显改善为目标，深入开展重点区域和重点行业污染攻坚，突出抓好工业污染整治、散煤清洁替代和柴油车污染防治，补齐扬尘、烟花爆竹燃放等短板，提升城市精细化管理水平。</w:t>
                  </w:r>
                </w:p>
              </w:tc>
              <w:tc>
                <w:tcPr>
                  <w:tcW w:w="1366" w:type="pct"/>
                  <w:vAlign w:val="center"/>
                </w:tcPr>
                <w:p>
                  <w:pPr>
                    <w:jc w:val="center"/>
                    <w:rPr>
                      <w:rFonts w:eastAsiaTheme="minorEastAsia"/>
                      <w:szCs w:val="21"/>
                    </w:rPr>
                  </w:pPr>
                  <w:r>
                    <w:rPr>
                      <w:rFonts w:eastAsiaTheme="minorEastAsia"/>
                      <w:szCs w:val="21"/>
                    </w:rPr>
                    <w:t>本项目产生的废气主要为生物质燃烧废气，废气经处理后可达标排放。项目废气中其它污染物排放情况均满足相关标准，对周围空气环境影响较小。</w:t>
                  </w:r>
                </w:p>
              </w:tc>
              <w:tc>
                <w:tcPr>
                  <w:tcW w:w="398" w:type="pct"/>
                  <w:vAlign w:val="center"/>
                </w:tcPr>
                <w:p>
                  <w:pPr>
                    <w:jc w:val="center"/>
                    <w:rPr>
                      <w:rFonts w:eastAsiaTheme="minorEastAsia"/>
                      <w:szCs w:val="21"/>
                    </w:rPr>
                  </w:pPr>
                  <w:r>
                    <w:rPr>
                      <w:rFonts w:eastAsiaTheme="minorEastAsia"/>
                      <w:szCs w:val="21"/>
                    </w:rPr>
                    <w:t>符合</w:t>
                  </w:r>
                </w:p>
              </w:tc>
            </w:tr>
            <w:tr>
              <w:tblPrEx>
                <w:tblW w:w="5000" w:type="pct"/>
                <w:tblInd w:w="0" w:type="dxa"/>
                <w:tblCellMar>
                  <w:top w:w="0" w:type="dxa"/>
                  <w:left w:w="0" w:type="dxa"/>
                  <w:bottom w:w="0" w:type="dxa"/>
                  <w:right w:w="0" w:type="dxa"/>
                </w:tblCellMar>
              </w:tblPrEx>
              <w:tc>
                <w:tcPr>
                  <w:tcW w:w="1079" w:type="pct"/>
                  <w:vAlign w:val="center"/>
                </w:tcPr>
                <w:p>
                  <w:pPr>
                    <w:spacing w:after="0"/>
                    <w:jc w:val="center"/>
                    <w:rPr>
                      <w:rFonts w:eastAsiaTheme="minorEastAsia"/>
                      <w:szCs w:val="21"/>
                    </w:rPr>
                  </w:pPr>
                </w:p>
              </w:tc>
              <w:tc>
                <w:tcPr>
                  <w:tcW w:w="2157" w:type="pct"/>
                  <w:vAlign w:val="center"/>
                </w:tcPr>
                <w:p>
                  <w:pPr>
                    <w:spacing w:after="0"/>
                    <w:rPr>
                      <w:rFonts w:eastAsiaTheme="minorEastAsia"/>
                    </w:rPr>
                  </w:pPr>
                </w:p>
              </w:tc>
              <w:tc>
                <w:tcPr>
                  <w:tcW w:w="1366" w:type="pct"/>
                  <w:vAlign w:val="center"/>
                </w:tcPr>
                <w:p>
                  <w:pPr>
                    <w:spacing w:after="0"/>
                    <w:jc w:val="center"/>
                    <w:rPr>
                      <w:rFonts w:eastAsiaTheme="minorEastAsia"/>
                    </w:rPr>
                  </w:pPr>
                </w:p>
              </w:tc>
              <w:tc>
                <w:tcPr>
                  <w:tcW w:w="398" w:type="pct"/>
                  <w:vAlign w:val="center"/>
                </w:tcPr>
                <w:p>
                  <w:pPr>
                    <w:widowControl/>
                    <w:adjustRightInd w:val="0"/>
                    <w:snapToGrid w:val="0"/>
                    <w:jc w:val="center"/>
                    <w:rPr>
                      <w:rFonts w:eastAsiaTheme="minorEastAsia"/>
                    </w:rPr>
                  </w:pPr>
                  <w:r>
                    <w:rPr>
                      <w:rFonts w:eastAsiaTheme="minorEastAsia"/>
                    </w:rPr>
                    <w:t>符合</w:t>
                  </w:r>
                </w:p>
              </w:tc>
            </w:tr>
          </w:tbl>
          <w:p/>
        </w:tc>
      </w:tr>
    </w:tbl>
    <w:p>
      <w:pPr>
        <w:sectPr>
          <w:footerReference w:type="default" r:id="rId10"/>
          <w:type w:val="nextPage"/>
          <w:pgSz w:w="11906" w:h="16838"/>
          <w:pgMar w:top="1701" w:right="1531" w:bottom="1701" w:left="1531" w:header="851" w:footer="1077" w:gutter="0"/>
          <w:pgNumType w:start="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1552"/>
              <w:gridCol w:w="3103"/>
              <w:gridCol w:w="1965"/>
              <w:gridCol w:w="573"/>
            </w:tblGrid>
            <w:tr>
              <w:tblPrEx>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c>
                <w:tcPr>
                  <w:tcW w:w="1079" w:type="pct"/>
                  <w:vAlign w:val="center"/>
                </w:tcPr>
                <w:p>
                  <w:pPr>
                    <w:spacing w:before="0"/>
                    <w:jc w:val="center"/>
                    <w:rPr>
                      <w:rFonts w:eastAsiaTheme="minorEastAsia"/>
                      <w:szCs w:val="21"/>
                    </w:rPr>
                  </w:pPr>
                  <w:r>
                    <w:rPr>
                      <w:rFonts w:eastAsiaTheme="minorEastAsia"/>
                      <w:szCs w:val="21"/>
                    </w:rPr>
                    <w:t>《渭南市国民经济和社会发展第十四个五年规划和二〇三五年远景目标纲要》渭政发〔2021〕11号）</w:t>
                  </w:r>
                </w:p>
              </w:tc>
              <w:tc>
                <w:tcPr>
                  <w:tcW w:w="2157" w:type="pct"/>
                  <w:vAlign w:val="center"/>
                </w:tcPr>
                <w:p>
                  <w:pPr>
                    <w:spacing w:before="0"/>
                    <w:rPr>
                      <w:rFonts w:eastAsiaTheme="minorEastAsia"/>
                    </w:rPr>
                  </w:pPr>
                  <w:r>
                    <w:rPr>
                      <w:rFonts w:eastAsiaTheme="minorEastAsia"/>
                    </w:rPr>
                    <w:t>全面推进大气污染防治。积极应对气候变化，调整优化产业、能源、运输和用地结构，做好碳达峰、碳中和工作，有效控制温室气体排放。以持续改善大气环境质量为核心，深入开展汾渭平原及关中地区大气污染联防联控行动，加强重点行业污染治理和超低排放改造，减少污染物排放。狠抓工业污染源减排，重点开展钢铁、焦化、建材等行业超低排放改造，加强工业炉窑综合整治和煤炭清洁利用，推进挥发性有机物污染防治。</w:t>
                  </w:r>
                </w:p>
              </w:tc>
              <w:tc>
                <w:tcPr>
                  <w:tcW w:w="1366" w:type="pct"/>
                  <w:vAlign w:val="center"/>
                </w:tcPr>
                <w:p>
                  <w:pPr>
                    <w:spacing w:before="0"/>
                    <w:jc w:val="center"/>
                    <w:rPr>
                      <w:rFonts w:eastAsiaTheme="minorEastAsia"/>
                    </w:rPr>
                  </w:pPr>
                  <w:r>
                    <w:rPr>
                      <w:rFonts w:eastAsiaTheme="minorEastAsia"/>
                    </w:rPr>
                    <w:t>项目产生的废气主要为生物质燃烧废气，经处理后废气均能稳定达标排放。</w:t>
                  </w:r>
                </w:p>
              </w:tc>
              <w:tc>
                <w:tcPr>
                  <w:tcW w:w="398" w:type="pct"/>
                  <w:vAlign w:val="center"/>
                </w:tcPr>
                <w:p/>
              </w:tc>
            </w:tr>
            <w:tr>
              <w:tblPrEx>
                <w:tblW w:w="5000" w:type="pct"/>
                <w:tblInd w:w="0" w:type="dxa"/>
                <w:tblCellMar>
                  <w:top w:w="0" w:type="dxa"/>
                  <w:left w:w="0" w:type="dxa"/>
                  <w:bottom w:w="0" w:type="dxa"/>
                  <w:right w:w="0" w:type="dxa"/>
                </w:tblCellMar>
              </w:tblPrEx>
              <w:tc>
                <w:tcPr>
                  <w:tcW w:w="1079" w:type="pct"/>
                  <w:vAlign w:val="center"/>
                </w:tcPr>
                <w:p>
                  <w:pPr>
                    <w:tabs>
                      <w:tab w:val="left" w:pos="5302"/>
                    </w:tabs>
                    <w:adjustRightInd w:val="0"/>
                    <w:snapToGrid w:val="0"/>
                    <w:jc w:val="center"/>
                    <w:rPr>
                      <w:rFonts w:eastAsiaTheme="minorEastAsia"/>
                      <w:kern w:val="0"/>
                      <w:szCs w:val="21"/>
                      <w:lang w:bidi="ar"/>
                    </w:rPr>
                  </w:pPr>
                  <w:r>
                    <w:rPr>
                      <w:rFonts w:eastAsiaTheme="minorEastAsia"/>
                      <w:kern w:val="0"/>
                      <w:szCs w:val="21"/>
                      <w:lang w:bidi="ar"/>
                    </w:rPr>
                    <w:t>《陕西省生态环境厅关于进一步加强关中地区涉气重点行业项目环评管理的通知》（陕环环评函[2023]76号）</w:t>
                  </w:r>
                </w:p>
              </w:tc>
              <w:tc>
                <w:tcPr>
                  <w:tcW w:w="2157" w:type="pct"/>
                  <w:vAlign w:val="center"/>
                </w:tcPr>
                <w:p>
                  <w:pPr>
                    <w:numPr>
                      <w:ilvl w:val="0"/>
                      <w:numId w:val="1"/>
                    </w:numPr>
                    <w:tabs>
                      <w:tab w:val="left" w:pos="5302"/>
                    </w:tabs>
                    <w:adjustRightInd w:val="0"/>
                    <w:snapToGrid w:val="0"/>
                    <w:jc w:val="left"/>
                    <w:rPr>
                      <w:rFonts w:eastAsiaTheme="minorEastAsia"/>
                      <w:kern w:val="0"/>
                      <w:szCs w:val="21"/>
                      <w:lang w:bidi="ar"/>
                    </w:rPr>
                  </w:pPr>
                  <w:r>
                    <w:rPr>
                      <w:rFonts w:eastAsiaTheme="minorEastAsia"/>
                      <w:kern w:val="0"/>
                      <w:szCs w:val="21"/>
                      <w:lang w:bidi="ar"/>
                    </w:rPr>
                    <w:t>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39个重点行业清单见附件。</w:t>
                  </w:r>
                </w:p>
                <w:p>
                  <w:pPr>
                    <w:pStyle w:val="Footer"/>
                    <w:rPr>
                      <w:rFonts w:eastAsiaTheme="minorEastAsia"/>
                      <w:szCs w:val="21"/>
                      <w:lang w:bidi="ar"/>
                    </w:rPr>
                  </w:pPr>
                  <w:r>
                    <w:rPr>
                      <w:rFonts w:eastAsiaTheme="minorEastAsia"/>
                      <w:sz w:val="21"/>
                      <w:szCs w:val="21"/>
                      <w:lang w:bidi="ar"/>
                    </w:rPr>
                    <w:t>二、关中地区涉气重点行业新、改、扩建项目环境影响报告书(表)应编制环保绩效管理篇章，按照环办大气函[2020]340号文件从建设项目的装备水平(生产工艺)、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366" w:type="pct"/>
                  <w:vAlign w:val="center"/>
                </w:tcPr>
                <w:p>
                  <w:pPr>
                    <w:jc w:val="center"/>
                    <w:rPr>
                      <w:rFonts w:eastAsiaTheme="minorEastAsia"/>
                    </w:rPr>
                  </w:pPr>
                  <w:r>
                    <w:rPr>
                      <w:rFonts w:eastAsiaTheme="minorEastAsia"/>
                    </w:rPr>
                    <w:t>项目为生物质锅炉技改项目，主要污染物为生物质燃烧废气，不属于《重污染天气重点行业应急减排措施制定技术指南（2020年修订版）》（环办大气函[2020]340号）中涉气重点行业，因此本项目可不考虑环保绩效评级。</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c>
                <w:tcPr>
                  <w:tcW w:w="1079" w:type="pct"/>
                  <w:vMerge w:val="restart"/>
                  <w:vAlign w:val="center"/>
                </w:tcPr>
                <w:p>
                  <w:pPr>
                    <w:tabs>
                      <w:tab w:val="left" w:pos="5302"/>
                    </w:tabs>
                    <w:adjustRightInd w:val="0"/>
                    <w:snapToGrid w:val="0"/>
                    <w:jc w:val="center"/>
                    <w:rPr>
                      <w:rFonts w:eastAsiaTheme="minorEastAsia"/>
                      <w:kern w:val="0"/>
                      <w:szCs w:val="21"/>
                      <w:lang w:bidi="ar"/>
                    </w:rPr>
                  </w:pPr>
                  <w:r>
                    <w:rPr>
                      <w:rFonts w:eastAsiaTheme="minorEastAsia"/>
                      <w:kern w:val="0"/>
                      <w:szCs w:val="21"/>
                      <w:lang w:bidi="ar"/>
                    </w:rPr>
                    <w:t>《陕西省大气污染治理专项行动方案（2023-2027年）》</w:t>
                  </w:r>
                </w:p>
              </w:tc>
              <w:tc>
                <w:tcPr>
                  <w:tcW w:w="2157" w:type="pct"/>
                  <w:vAlign w:val="center"/>
                </w:tcPr>
                <w:p>
                  <w:pPr>
                    <w:widowControl/>
                    <w:rPr>
                      <w:rFonts w:eastAsiaTheme="minorEastAsia"/>
                      <w:kern w:val="0"/>
                      <w:szCs w:val="21"/>
                      <w:lang w:bidi="ar"/>
                    </w:rPr>
                  </w:pPr>
                  <w:r>
                    <w:rPr>
                      <w:rFonts w:eastAsiaTheme="minorEastAsia"/>
                      <w:kern w:val="0"/>
                      <w:szCs w:val="21"/>
                      <w:lang w:bidi="ar"/>
                    </w:rPr>
                    <w:t>关中地区严禁新增钢铁、焦化、水泥熟料、平板玻璃、电解铝、氧化铝、煤化工产能，合理控制煤制油气产能规模，严控新增炼油产能。</w:t>
                  </w:r>
                </w:p>
              </w:tc>
              <w:tc>
                <w:tcPr>
                  <w:tcW w:w="1366" w:type="pct"/>
                  <w:vAlign w:val="center"/>
                </w:tcPr>
                <w:p>
                  <w:pPr>
                    <w:jc w:val="center"/>
                    <w:rPr>
                      <w:rFonts w:eastAsiaTheme="minorEastAsia"/>
                    </w:rPr>
                  </w:pPr>
                  <w:r>
                    <w:rPr>
                      <w:rFonts w:eastAsiaTheme="minorEastAsia"/>
                    </w:rPr>
                    <w:t>项目为生物质锅炉技改项目，不属于严禁新增和控制的产能。</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c>
                <w:tcPr>
                  <w:tcW w:w="1079" w:type="pct"/>
                  <w:vMerge/>
                  <w:vAlign w:val="center"/>
                </w:tcPr>
                <w:p>
                  <w:pPr>
                    <w:tabs>
                      <w:tab w:val="left" w:pos="5302"/>
                    </w:tabs>
                    <w:adjustRightInd w:val="0"/>
                    <w:snapToGrid w:val="0"/>
                    <w:jc w:val="center"/>
                    <w:rPr>
                      <w:rFonts w:eastAsiaTheme="minorEastAsia"/>
                      <w:kern w:val="0"/>
                      <w:szCs w:val="21"/>
                      <w:lang w:bidi="ar"/>
                    </w:rPr>
                  </w:pPr>
                </w:p>
              </w:tc>
              <w:tc>
                <w:tcPr>
                  <w:tcW w:w="2157" w:type="pct"/>
                  <w:vAlign w:val="center"/>
                </w:tcPr>
                <w:p>
                  <w:pPr>
                    <w:widowControl/>
                    <w:rPr>
                      <w:rFonts w:eastAsiaTheme="minorEastAsia"/>
                      <w:kern w:val="0"/>
                      <w:szCs w:val="21"/>
                      <w:lang w:bidi="ar"/>
                    </w:rPr>
                  </w:pPr>
                  <w:r>
                    <w:rPr>
                      <w:rFonts w:eastAsiaTheme="minorEastAsia"/>
                      <w:kern w:val="0"/>
                      <w:szCs w:val="21"/>
                      <w:lang w:bidi="ar"/>
                    </w:rPr>
                    <w:t>强化非道路移动机械排放控制区管控，到2025 年不符合第三阶段和在用非道路移动机械排放标准三类限值的机械禁止使用，具备条件的可更换国四及以上排放标准的发动机。</w:t>
                  </w:r>
                </w:p>
              </w:tc>
              <w:tc>
                <w:tcPr>
                  <w:tcW w:w="1366" w:type="pct"/>
                  <w:vAlign w:val="center"/>
                </w:tcPr>
                <w:p>
                  <w:pPr>
                    <w:jc w:val="center"/>
                    <w:rPr>
                      <w:rFonts w:eastAsiaTheme="minorEastAsia"/>
                    </w:rPr>
                  </w:pPr>
                  <w:r>
                    <w:rPr>
                      <w:rFonts w:eastAsiaTheme="minorEastAsia"/>
                    </w:rPr>
                    <w:t>本项目装载设备采用机械符合非道路移动机械排放标准三类限值。</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c>
                <w:tcPr>
                  <w:tcW w:w="1079" w:type="pct"/>
                  <w:vAlign w:val="center"/>
                </w:tcPr>
                <w:p>
                  <w:pPr>
                    <w:tabs>
                      <w:tab w:val="left" w:pos="5302"/>
                    </w:tabs>
                    <w:adjustRightInd w:val="0"/>
                    <w:snapToGrid w:val="0"/>
                    <w:spacing w:after="0"/>
                    <w:jc w:val="center"/>
                    <w:rPr>
                      <w:rFonts w:eastAsiaTheme="minorEastAsia"/>
                      <w:kern w:val="0"/>
                      <w:szCs w:val="21"/>
                      <w:lang w:bidi="ar"/>
                    </w:rPr>
                  </w:pPr>
                </w:p>
              </w:tc>
              <w:tc>
                <w:tcPr>
                  <w:tcW w:w="2157" w:type="pct"/>
                  <w:vAlign w:val="center"/>
                </w:tcPr>
                <w:p>
                  <w:pPr>
                    <w:widowControl/>
                    <w:spacing w:after="0"/>
                    <w:rPr>
                      <w:rFonts w:eastAsiaTheme="minorEastAsia"/>
                      <w:kern w:val="0"/>
                      <w:szCs w:val="21"/>
                      <w:lang w:bidi="ar"/>
                    </w:rPr>
                  </w:pPr>
                </w:p>
              </w:tc>
              <w:tc>
                <w:tcPr>
                  <w:tcW w:w="1366" w:type="pct"/>
                  <w:vAlign w:val="center"/>
                </w:tcPr>
                <w:p>
                  <w:pPr>
                    <w:spacing w:after="0"/>
                    <w:jc w:val="center"/>
                    <w:rPr>
                      <w:rFonts w:eastAsiaTheme="minorEastAsia"/>
                    </w:rPr>
                  </w:pPr>
                </w:p>
              </w:tc>
              <w:tc>
                <w:tcPr>
                  <w:tcW w:w="398" w:type="pct"/>
                  <w:vAlign w:val="center"/>
                </w:tcPr>
                <w:p>
                  <w:pPr>
                    <w:widowControl/>
                    <w:adjustRightInd w:val="0"/>
                    <w:snapToGrid w:val="0"/>
                    <w:jc w:val="center"/>
                    <w:rPr>
                      <w:rFonts w:eastAsiaTheme="minorEastAsia"/>
                    </w:rPr>
                  </w:pPr>
                  <w:r>
                    <w:rPr>
                      <w:rFonts w:eastAsiaTheme="minorEastAsia"/>
                    </w:rPr>
                    <w:t>符合</w:t>
                  </w:r>
                </w:p>
              </w:tc>
            </w:tr>
          </w:tbl>
          <w:p/>
        </w:tc>
      </w:tr>
    </w:tbl>
    <w:p>
      <w:pPr>
        <w:sectPr>
          <w:footerReference w:type="default" r:id="rId11"/>
          <w:type w:val="nextPage"/>
          <w:pgSz w:w="11906" w:h="16838"/>
          <w:pgMar w:top="1701" w:right="1531" w:bottom="1701" w:left="1531" w:header="851" w:footer="1077" w:gutter="0"/>
          <w:pgNumType w:start="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1552"/>
              <w:gridCol w:w="3103"/>
              <w:gridCol w:w="1965"/>
              <w:gridCol w:w="573"/>
            </w:tblGrid>
            <w:tr>
              <w:tblPrEx>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c>
                <w:tcPr>
                  <w:tcW w:w="1079" w:type="pct"/>
                  <w:vMerge w:val="restart"/>
                  <w:vAlign w:val="center"/>
                </w:tcPr>
                <w:p>
                  <w:pPr>
                    <w:tabs>
                      <w:tab w:val="left" w:pos="5302"/>
                    </w:tabs>
                    <w:adjustRightInd w:val="0"/>
                    <w:snapToGrid w:val="0"/>
                    <w:spacing w:before="0"/>
                    <w:jc w:val="center"/>
                    <w:rPr>
                      <w:rFonts w:eastAsiaTheme="minorEastAsia"/>
                      <w:kern w:val="0"/>
                      <w:szCs w:val="21"/>
                      <w:lang w:bidi="ar"/>
                    </w:rPr>
                  </w:pPr>
                  <w:r>
                    <w:rPr>
                      <w:rFonts w:eastAsiaTheme="minorEastAsia"/>
                      <w:kern w:val="0"/>
                      <w:szCs w:val="21"/>
                      <w:lang w:bidi="ar"/>
                    </w:rPr>
                    <w:t>《渭南市大气污染治理专项行动方案（2023-2027年）》</w:t>
                  </w:r>
                </w:p>
              </w:tc>
              <w:tc>
                <w:tcPr>
                  <w:tcW w:w="2157" w:type="pct"/>
                  <w:vAlign w:val="center"/>
                </w:tcPr>
                <w:p>
                  <w:pPr>
                    <w:widowControl/>
                    <w:spacing w:before="0"/>
                    <w:rPr>
                      <w:rFonts w:eastAsiaTheme="minorEastAsia"/>
                      <w:kern w:val="0"/>
                      <w:szCs w:val="21"/>
                      <w:lang w:bidi="ar"/>
                    </w:rPr>
                  </w:pPr>
                  <w:r>
                    <w:rPr>
                      <w:rFonts w:eastAsiaTheme="minorEastAsia"/>
                      <w:kern w:val="0"/>
                      <w:szCs w:val="21"/>
                      <w:lang w:bidi="ar"/>
                    </w:rPr>
                    <w:t>严禁新增钢铁、焦化、水泥熟料、平板玻璃、电解铝、氧化铝、煤化工产能，合理控制煤制油气产能规模，严控新增炼油产能。</w:t>
                  </w:r>
                </w:p>
              </w:tc>
              <w:tc>
                <w:tcPr>
                  <w:tcW w:w="1366" w:type="pct"/>
                  <w:vAlign w:val="center"/>
                </w:tcPr>
                <w:p>
                  <w:pPr>
                    <w:spacing w:before="0"/>
                    <w:jc w:val="center"/>
                    <w:rPr>
                      <w:rFonts w:eastAsiaTheme="minorEastAsia"/>
                    </w:rPr>
                  </w:pPr>
                  <w:r>
                    <w:rPr>
                      <w:rFonts w:eastAsiaTheme="minorEastAsia"/>
                    </w:rPr>
                    <w:t>项目为生物质锅炉技改项目，不属于严禁新增和控制的产能。</w:t>
                  </w:r>
                </w:p>
              </w:tc>
              <w:tc>
                <w:tcPr>
                  <w:tcW w:w="398" w:type="pct"/>
                  <w:vAlign w:val="center"/>
                </w:tcPr>
                <w:p/>
              </w:tc>
            </w:tr>
            <w:tr>
              <w:tblPrEx>
                <w:tblW w:w="5000" w:type="pct"/>
                <w:tblInd w:w="0" w:type="dxa"/>
                <w:tblCellMar>
                  <w:top w:w="0" w:type="dxa"/>
                  <w:left w:w="0" w:type="dxa"/>
                  <w:bottom w:w="0" w:type="dxa"/>
                  <w:right w:w="0" w:type="dxa"/>
                </w:tblCellMar>
              </w:tblPrEx>
              <w:trPr>
                <w:trHeight w:val="85"/>
              </w:trPr>
              <w:tc>
                <w:tcPr>
                  <w:tcW w:w="1079" w:type="pct"/>
                  <w:vMerge/>
                  <w:vAlign w:val="center"/>
                </w:tcPr>
                <w:p>
                  <w:pPr>
                    <w:tabs>
                      <w:tab w:val="left" w:pos="5302"/>
                    </w:tabs>
                    <w:adjustRightInd w:val="0"/>
                    <w:snapToGrid w:val="0"/>
                    <w:jc w:val="center"/>
                    <w:rPr>
                      <w:rFonts w:eastAsiaTheme="minorEastAsia"/>
                      <w:kern w:val="0"/>
                      <w:szCs w:val="21"/>
                      <w:lang w:bidi="ar"/>
                    </w:rPr>
                  </w:pPr>
                </w:p>
              </w:tc>
              <w:tc>
                <w:tcPr>
                  <w:tcW w:w="2157" w:type="pct"/>
                  <w:vAlign w:val="center"/>
                </w:tcPr>
                <w:p>
                  <w:pPr>
                    <w:widowControl/>
                    <w:rPr>
                      <w:rFonts w:eastAsiaTheme="minorEastAsia"/>
                      <w:kern w:val="0"/>
                      <w:szCs w:val="21"/>
                      <w:lang w:bidi="ar"/>
                    </w:rPr>
                  </w:pPr>
                  <w:r>
                    <w:rPr>
                      <w:rFonts w:eastAsiaTheme="minorEastAsia"/>
                      <w:kern w:val="0"/>
                      <w:szCs w:val="21"/>
                      <w:lang w:bidi="ar"/>
                    </w:rPr>
                    <w:t>强化非道路移动机械排放控制区管控，到2025 年不符合第三阶段和在用非道路移动机械排放标准三类限值的机械禁止使用，具备条件的可更换国四及以上排放标准的发动机。</w:t>
                  </w:r>
                </w:p>
              </w:tc>
              <w:tc>
                <w:tcPr>
                  <w:tcW w:w="1366" w:type="pct"/>
                  <w:vAlign w:val="center"/>
                </w:tcPr>
                <w:p>
                  <w:pPr>
                    <w:jc w:val="center"/>
                    <w:rPr>
                      <w:rFonts w:eastAsiaTheme="minorEastAsia"/>
                    </w:rPr>
                  </w:pPr>
                  <w:r>
                    <w:rPr>
                      <w:rFonts w:eastAsiaTheme="minorEastAsia"/>
                    </w:rPr>
                    <w:t>本项目装载设备采用机械符合非道路移动机械排放标准三类限值。</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Merge w:val="restart"/>
                  <w:vAlign w:val="center"/>
                </w:tcPr>
                <w:p>
                  <w:pPr>
                    <w:tabs>
                      <w:tab w:val="left" w:pos="5302"/>
                    </w:tabs>
                    <w:adjustRightInd w:val="0"/>
                    <w:snapToGrid w:val="0"/>
                    <w:jc w:val="center"/>
                    <w:rPr>
                      <w:rFonts w:eastAsiaTheme="minorEastAsia"/>
                      <w:kern w:val="0"/>
                      <w:szCs w:val="21"/>
                      <w:lang w:bidi="ar"/>
                    </w:rPr>
                  </w:pPr>
                  <w:r>
                    <w:rPr>
                      <w:rFonts w:eastAsiaTheme="minorEastAsia" w:hint="eastAsia"/>
                      <w:kern w:val="0"/>
                      <w:szCs w:val="21"/>
                      <w:lang w:bidi="ar"/>
                    </w:rPr>
                    <w:t>中共大荔县委、大荔县人民政府关于印发《大荔县大气污染治理专项行动方案</w:t>
                  </w:r>
                </w:p>
                <w:p>
                  <w:pPr>
                    <w:tabs>
                      <w:tab w:val="left" w:pos="5302"/>
                    </w:tabs>
                    <w:adjustRightInd w:val="0"/>
                    <w:snapToGrid w:val="0"/>
                    <w:jc w:val="center"/>
                    <w:rPr>
                      <w:rFonts w:eastAsiaTheme="minorEastAsia"/>
                      <w:kern w:val="0"/>
                      <w:szCs w:val="21"/>
                      <w:lang w:bidi="ar"/>
                    </w:rPr>
                  </w:pPr>
                  <w:r>
                    <w:rPr>
                      <w:rFonts w:eastAsiaTheme="minorEastAsia" w:hint="eastAsia"/>
                      <w:kern w:val="0"/>
                      <w:szCs w:val="21"/>
                      <w:lang w:bidi="ar"/>
                    </w:rPr>
                    <w:t>（2023-2027年）》的通知（荔发〔2023〕4号）</w:t>
                  </w:r>
                </w:p>
              </w:tc>
              <w:tc>
                <w:tcPr>
                  <w:tcW w:w="2157" w:type="pct"/>
                  <w:vAlign w:val="center"/>
                </w:tcPr>
                <w:p>
                  <w:pPr>
                    <w:widowControl/>
                    <w:adjustRightInd w:val="0"/>
                    <w:snapToGrid w:val="0"/>
                  </w:pPr>
                  <w:r>
                    <w:rPr>
                      <w:rFonts w:hint="eastAsia"/>
                    </w:rPr>
                    <w:t>产业发展结构调整。严禁新增钢铁、焦化、冶炼、水泥熟料、平板玻璃、电解铝、氧化铝、煤化工产能，合理控制煤制油气产能规模，严控新增炼油产能。</w:t>
                  </w:r>
                </w:p>
              </w:tc>
              <w:tc>
                <w:tcPr>
                  <w:tcW w:w="1366" w:type="pct"/>
                  <w:vAlign w:val="center"/>
                </w:tcPr>
                <w:p>
                  <w:pPr>
                    <w:jc w:val="center"/>
                    <w:rPr>
                      <w:rFonts w:eastAsiaTheme="minorEastAsia"/>
                    </w:rPr>
                  </w:pPr>
                  <w:r>
                    <w:rPr>
                      <w:rFonts w:eastAsiaTheme="minorEastAsia"/>
                    </w:rPr>
                    <w:t>本项目不属于禁止新增产能的行业。</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Merge/>
                  <w:vAlign w:val="center"/>
                </w:tcPr>
                <w:p>
                  <w:pPr>
                    <w:tabs>
                      <w:tab w:val="left" w:pos="5302"/>
                    </w:tabs>
                    <w:adjustRightInd w:val="0"/>
                    <w:snapToGrid w:val="0"/>
                    <w:jc w:val="center"/>
                    <w:rPr>
                      <w:rFonts w:eastAsiaTheme="minorEastAsia"/>
                      <w:kern w:val="0"/>
                      <w:szCs w:val="21"/>
                      <w:lang w:bidi="ar"/>
                    </w:rPr>
                  </w:pPr>
                </w:p>
              </w:tc>
              <w:tc>
                <w:tcPr>
                  <w:tcW w:w="2157" w:type="pct"/>
                  <w:vAlign w:val="center"/>
                </w:tcPr>
                <w:p>
                  <w:pPr>
                    <w:widowControl/>
                    <w:adjustRightInd w:val="0"/>
                    <w:snapToGrid w:val="0"/>
                  </w:pPr>
                  <w:r>
                    <w:rPr>
                      <w:rFonts w:hint="eastAsia"/>
                    </w:rPr>
                    <w:t>县域范围内新、改、扩建涉气重点行业企业应达到B级及以上水平。</w:t>
                  </w:r>
                </w:p>
              </w:tc>
              <w:tc>
                <w:tcPr>
                  <w:tcW w:w="1366" w:type="pct"/>
                  <w:vAlign w:val="center"/>
                </w:tcPr>
                <w:p>
                  <w:pPr>
                    <w:jc w:val="center"/>
                    <w:rPr>
                      <w:rFonts w:eastAsiaTheme="minorEastAsia"/>
                    </w:rPr>
                  </w:pPr>
                  <w:r>
                    <w:rPr>
                      <w:rFonts w:eastAsiaTheme="minorEastAsia"/>
                    </w:rPr>
                    <w:t>项目不属于涉气重点行业企业。</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Align w:val="center"/>
                </w:tcPr>
                <w:p>
                  <w:pPr>
                    <w:tabs>
                      <w:tab w:val="left" w:pos="5302"/>
                    </w:tabs>
                    <w:adjustRightInd w:val="0"/>
                    <w:snapToGrid w:val="0"/>
                    <w:jc w:val="center"/>
                    <w:rPr>
                      <w:rFonts w:eastAsiaTheme="minorEastAsia"/>
                      <w:kern w:val="0"/>
                      <w:szCs w:val="21"/>
                      <w:lang w:bidi="ar"/>
                    </w:rPr>
                  </w:pPr>
                  <w:r>
                    <w:rPr>
                      <w:rFonts w:eastAsiaTheme="minorEastAsia" w:hint="eastAsia"/>
                      <w:kern w:val="0"/>
                      <w:szCs w:val="21"/>
                      <w:lang w:bidi="ar"/>
                    </w:rPr>
                    <w:t>关于发布《高污染燃料目录》的通知（国环规大气〔2017〕2号）</w:t>
                  </w:r>
                </w:p>
              </w:tc>
              <w:tc>
                <w:tcPr>
                  <w:tcW w:w="2157" w:type="pct"/>
                  <w:vAlign w:val="center"/>
                </w:tcPr>
                <w:p>
                  <w:pPr>
                    <w:widowControl/>
                    <w:rPr>
                      <w:rFonts w:eastAsiaTheme="minorEastAsia"/>
                      <w:kern w:val="0"/>
                      <w:szCs w:val="21"/>
                      <w:lang w:bidi="ar"/>
                    </w:rPr>
                  </w:pPr>
                  <w:r>
                    <w:rPr>
                      <w:rFonts w:eastAsiaTheme="minorEastAsia" w:hint="eastAsia"/>
                      <w:kern w:val="0"/>
                      <w:szCs w:val="21"/>
                      <w:lang w:bidi="ar"/>
                    </w:rPr>
                    <w:t>禁燃区内禁止燃用的燃料组合中Ⅲ类（严格）：“非专用锅炉或未配置高效除尘设施的专用锅炉燃用的生物质成型燃料。”</w:t>
                  </w:r>
                </w:p>
              </w:tc>
              <w:tc>
                <w:tcPr>
                  <w:tcW w:w="1366" w:type="pct"/>
                  <w:vMerge w:val="restart"/>
                  <w:vAlign w:val="center"/>
                </w:tcPr>
                <w:p>
                  <w:pPr>
                    <w:jc w:val="center"/>
                    <w:rPr>
                      <w:rFonts w:eastAsiaTheme="minorEastAsia"/>
                    </w:rPr>
                  </w:pPr>
                  <w:r>
                    <w:rPr>
                      <w:rFonts w:eastAsiaTheme="minorEastAsia" w:hint="eastAsia"/>
                    </w:rPr>
                    <w:t>本项目位于大荔县，属于I1I类高污染燃料禁燃区。</w:t>
                  </w:r>
                </w:p>
                <w:p>
                  <w:pPr>
                    <w:jc w:val="center"/>
                    <w:rPr>
                      <w:rFonts w:eastAsiaTheme="minorEastAsia"/>
                    </w:rPr>
                  </w:pPr>
                  <w:r>
                    <w:rPr>
                      <w:rFonts w:eastAsiaTheme="minorEastAsia" w:hint="eastAsia"/>
                    </w:rPr>
                    <w:t>本项目采用生物质燃烧锅炉燃烧生物质成型燃料，不属于禁燃区内禁止燃用的燃料组合中Ⅲ类（严格）。</w:t>
                  </w:r>
                </w:p>
              </w:tc>
              <w:tc>
                <w:tcPr>
                  <w:tcW w:w="398" w:type="pct"/>
                  <w:vMerge w:val="restar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Align w:val="center"/>
                </w:tcPr>
                <w:p>
                  <w:pPr>
                    <w:tabs>
                      <w:tab w:val="left" w:pos="5302"/>
                    </w:tabs>
                    <w:adjustRightInd w:val="0"/>
                    <w:snapToGrid w:val="0"/>
                    <w:jc w:val="center"/>
                    <w:rPr>
                      <w:rFonts w:eastAsiaTheme="minorEastAsia"/>
                      <w:kern w:val="0"/>
                      <w:szCs w:val="21"/>
                      <w:lang w:bidi="ar"/>
                    </w:rPr>
                  </w:pPr>
                  <w:r>
                    <w:rPr>
                      <w:rFonts w:eastAsiaTheme="minorEastAsia" w:hint="eastAsia"/>
                      <w:kern w:val="0"/>
                      <w:szCs w:val="21"/>
                      <w:lang w:bidi="ar"/>
                    </w:rPr>
                    <w:t>《大荔县人民政府关于执行高污染燃料禁燃区要求的通知》（荔政发〔2023〕39号）</w:t>
                  </w:r>
                </w:p>
              </w:tc>
              <w:tc>
                <w:tcPr>
                  <w:tcW w:w="2157" w:type="pct"/>
                  <w:vAlign w:val="center"/>
                </w:tcPr>
                <w:p>
                  <w:pPr>
                    <w:widowControl/>
                    <w:rPr>
                      <w:rFonts w:eastAsiaTheme="minorEastAsia"/>
                      <w:kern w:val="0"/>
                      <w:szCs w:val="21"/>
                      <w:lang w:bidi="ar"/>
                    </w:rPr>
                  </w:pPr>
                  <w:r>
                    <w:rPr>
                      <w:rFonts w:eastAsiaTheme="minorEastAsia" w:hint="eastAsia"/>
                      <w:kern w:val="0"/>
                      <w:szCs w:val="21"/>
                      <w:lang w:bidi="ar"/>
                    </w:rPr>
                    <w:t>为推进我县大气环境质量持续改善，巩固清洁能源替代和散煤治理成效，严防散煤复烧，按照《渭南市大气污染专项行动方案（2023-2027年）》、《渭南市2023年空气质量改善进位方案》、《渭南市生态环境保护委员会办公室关于调整高污染燃料禁燃区的通知》和《大荔县2023年空气质量改善进位方案》要求，将平原地区划定为Ⅲ类高污染燃料禁燃区。根据有关文件规定，我县各镇(街道)行政辖区为平原地区。</w:t>
                  </w:r>
                </w:p>
              </w:tc>
              <w:tc>
                <w:tcPr>
                  <w:tcW w:w="1366" w:type="pct"/>
                  <w:vMerge/>
                  <w:vAlign w:val="center"/>
                </w:tcPr>
                <w:p>
                  <w:pPr>
                    <w:jc w:val="center"/>
                    <w:rPr>
                      <w:rFonts w:eastAsiaTheme="minorEastAsia"/>
                    </w:rPr>
                  </w:pPr>
                </w:p>
              </w:tc>
              <w:tc>
                <w:tcPr>
                  <w:tcW w:w="398" w:type="pct"/>
                  <w:vMerge/>
                  <w:vAlign w:val="center"/>
                </w:tcPr>
                <w:p>
                  <w:pPr>
                    <w:widowControl/>
                    <w:adjustRightInd w:val="0"/>
                    <w:snapToGrid w:val="0"/>
                    <w:jc w:val="center"/>
                    <w:rPr>
                      <w:rFonts w:eastAsiaTheme="minorEastAsia"/>
                    </w:rPr>
                  </w:pPr>
                </w:p>
              </w:tc>
            </w:tr>
          </w:tbl>
          <w:p>
            <w:pPr>
              <w:pStyle w:val="Default1"/>
              <w:spacing w:before="120" w:beforeLines="50" w:line="360" w:lineRule="auto"/>
              <w:ind w:firstLine="480" w:firstLineChars="200"/>
              <w:rPr>
                <w:rFonts w:ascii="Times New Roman" w:eastAsiaTheme="minorEastAsia" w:cs="Times New Roman"/>
                <w:color w:val="auto"/>
              </w:rPr>
            </w:pPr>
            <w:r>
              <w:rPr>
                <w:rFonts w:ascii="Times New Roman" w:eastAsiaTheme="minorEastAsia" w:cs="Times New Roman"/>
                <w:color w:val="auto"/>
              </w:rPr>
              <w:t>由上表可知，本项目符合相关环保政策要求。</w:t>
            </w:r>
          </w:p>
          <w:p>
            <w:pPr>
              <w:autoSpaceDE w:val="0"/>
              <w:autoSpaceDN w:val="0"/>
              <w:spacing w:before="120" w:beforeLines="50" w:line="360" w:lineRule="auto"/>
              <w:ind w:firstLine="480" w:firstLineChars="200"/>
              <w:rPr>
                <w:rFonts w:eastAsiaTheme="minorEastAsia"/>
                <w:b/>
                <w:bCs/>
                <w:kern w:val="0"/>
                <w:sz w:val="24"/>
              </w:rPr>
            </w:pPr>
            <w:r>
              <w:rPr>
                <w:rFonts w:eastAsiaTheme="minorEastAsia"/>
                <w:b/>
                <w:bCs/>
                <w:kern w:val="0"/>
                <w:sz w:val="24"/>
              </w:rPr>
              <w:t>3、与“三线一单”相符性</w:t>
            </w:r>
          </w:p>
          <w:p>
            <w:pPr>
              <w:pStyle w:val="Default1"/>
              <w:spacing w:before="120" w:beforeLines="50" w:after="0" w:line="360" w:lineRule="auto"/>
              <w:ind w:firstLine="480" w:firstLineChars="200"/>
              <w:rPr>
                <w:rFonts w:ascii="Times New Roman" w:eastAsiaTheme="minorEastAsia" w:cs="Times New Roman"/>
                <w:color w:val="auto"/>
              </w:rPr>
            </w:pPr>
          </w:p>
        </w:tc>
      </w:tr>
    </w:tbl>
    <w:p>
      <w:pPr>
        <w:sectPr>
          <w:footerReference w:type="default" r:id="rId12"/>
          <w:type w:val="nextPage"/>
          <w:pgSz w:w="11906" w:h="16838"/>
          <w:pgMar w:top="1701" w:right="1531" w:bottom="1701" w:left="1531" w:header="851" w:footer="1077" w:gutter="0"/>
          <w:pgNumType w:start="7"/>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p>
            <w:pPr>
              <w:pStyle w:val="Default1"/>
              <w:spacing w:before="0" w:line="360" w:lineRule="auto"/>
              <w:ind w:firstLine="480" w:firstLineChars="200"/>
              <w:rPr>
                <w:rFonts w:ascii="Times New Roman" w:eastAsiaTheme="minorEastAsia" w:cs="Times New Roman"/>
                <w:color w:val="auto"/>
              </w:rPr>
            </w:pPr>
            <w:r>
              <w:rPr>
                <w:rFonts w:ascii="Times New Roman" w:eastAsiaTheme="minorEastAsia" w:cs="Times New Roman"/>
                <w:color w:val="auto"/>
              </w:rPr>
              <w:t>根据《渭南市人民政府关于印发渭南市“三线一单”生态环境分区管控方案的通知》〔2021〕35号），以及陕西省生态环境厅官网（http://sthjt.shaanxi.gov.cn/）中陕西省“三线一单”数据应用系统（http://113.140.66.228:50054/sigin）冲突分析结果导出的陕西省“三线一单”生态环境管控单元对照分析报告（附件3），项目涉及的生态环境管控单元准入清单详见表1-4。</w:t>
            </w:r>
          </w:p>
          <w:p>
            <w:pPr>
              <w:adjustRightInd w:val="0"/>
              <w:snapToGrid w:val="0"/>
              <w:spacing w:after="48" w:afterLines="20"/>
              <w:jc w:val="center"/>
              <w:rPr>
                <w:rFonts w:eastAsiaTheme="minorEastAsia"/>
                <w:b/>
                <w:sz w:val="24"/>
              </w:rPr>
            </w:pPr>
          </w:p>
          <w:p>
            <w:pPr>
              <w:adjustRightInd w:val="0"/>
              <w:snapToGrid w:val="0"/>
              <w:spacing w:after="48" w:afterLines="20"/>
              <w:jc w:val="center"/>
              <w:rPr>
                <w:rFonts w:eastAsiaTheme="minorEastAsia"/>
                <w:b/>
                <w:sz w:val="24"/>
              </w:rPr>
            </w:pPr>
          </w:p>
          <w:p>
            <w:pPr>
              <w:adjustRightInd w:val="0"/>
              <w:snapToGrid w:val="0"/>
              <w:spacing w:after="48" w:afterLines="20"/>
              <w:jc w:val="center"/>
              <w:rPr>
                <w:rFonts w:eastAsiaTheme="minorEastAsia"/>
                <w:b/>
                <w:sz w:val="24"/>
              </w:rPr>
            </w:pPr>
            <w:r>
              <w:rPr>
                <w:rFonts w:eastAsiaTheme="minorEastAsia"/>
                <w:b/>
                <w:sz w:val="24"/>
              </w:rPr>
              <w:t>表1-4   管控要求符合性分析一览表</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276"/>
              <w:gridCol w:w="275"/>
              <w:gridCol w:w="288"/>
              <w:gridCol w:w="680"/>
              <w:gridCol w:w="955"/>
              <w:gridCol w:w="817"/>
              <w:gridCol w:w="819"/>
              <w:gridCol w:w="2520"/>
              <w:gridCol w:w="563"/>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rPr>
                <w:jc w:val="center"/>
              </w:trPr>
              <w:tc>
                <w:tcPr>
                  <w:tcW w:w="192" w:type="pct"/>
                  <w:tcBorders>
                    <w:tl2br w:val="nil"/>
                    <w:tr2bl w:val="nil"/>
                  </w:tcBorders>
                  <w:tcMar>
                    <w:left w:w="28" w:type="dxa"/>
                    <w:right w:w="28" w:type="dxa"/>
                  </w:tcMar>
                  <w:vAlign w:val="center"/>
                </w:tcPr>
                <w:p>
                  <w:pPr>
                    <w:jc w:val="center"/>
                    <w:rPr>
                      <w:szCs w:val="21"/>
                    </w:rPr>
                  </w:pPr>
                  <w:r>
                    <w:rPr>
                      <w:szCs w:val="21"/>
                    </w:rPr>
                    <w:t>序号</w:t>
                  </w:r>
                </w:p>
              </w:tc>
              <w:tc>
                <w:tcPr>
                  <w:tcW w:w="191" w:type="pct"/>
                  <w:tcBorders>
                    <w:tl2br w:val="nil"/>
                    <w:tr2bl w:val="nil"/>
                  </w:tcBorders>
                  <w:tcMar>
                    <w:left w:w="28" w:type="dxa"/>
                    <w:right w:w="28" w:type="dxa"/>
                  </w:tcMar>
                  <w:vAlign w:val="center"/>
                </w:tcPr>
                <w:p>
                  <w:pPr>
                    <w:jc w:val="center"/>
                    <w:rPr>
                      <w:szCs w:val="21"/>
                    </w:rPr>
                  </w:pPr>
                  <w:r>
                    <w:rPr>
                      <w:szCs w:val="21"/>
                    </w:rPr>
                    <w:t>市</w:t>
                  </w:r>
                </w:p>
              </w:tc>
              <w:tc>
                <w:tcPr>
                  <w:tcW w:w="200" w:type="pct"/>
                  <w:tcBorders>
                    <w:tl2br w:val="nil"/>
                    <w:tr2bl w:val="nil"/>
                  </w:tcBorders>
                  <w:tcMar>
                    <w:left w:w="28" w:type="dxa"/>
                    <w:right w:w="28" w:type="dxa"/>
                  </w:tcMar>
                  <w:vAlign w:val="center"/>
                </w:tcPr>
                <w:p>
                  <w:pPr>
                    <w:jc w:val="center"/>
                    <w:rPr>
                      <w:szCs w:val="21"/>
                    </w:rPr>
                  </w:pPr>
                  <w:r>
                    <w:rPr>
                      <w:szCs w:val="21"/>
                    </w:rPr>
                    <w:t>区县</w:t>
                  </w:r>
                </w:p>
              </w:tc>
              <w:tc>
                <w:tcPr>
                  <w:tcW w:w="473" w:type="pct"/>
                  <w:tcBorders>
                    <w:tl2br w:val="nil"/>
                    <w:tr2bl w:val="nil"/>
                  </w:tcBorders>
                  <w:tcMar>
                    <w:left w:w="28" w:type="dxa"/>
                    <w:right w:w="28" w:type="dxa"/>
                  </w:tcMar>
                  <w:vAlign w:val="center"/>
                </w:tcPr>
                <w:p>
                  <w:pPr>
                    <w:jc w:val="center"/>
                    <w:rPr>
                      <w:szCs w:val="21"/>
                    </w:rPr>
                  </w:pPr>
                  <w:r>
                    <w:rPr>
                      <w:szCs w:val="21"/>
                    </w:rPr>
                    <w:t>环境管控单元名称</w:t>
                  </w:r>
                </w:p>
              </w:tc>
              <w:tc>
                <w:tcPr>
                  <w:tcW w:w="664" w:type="pct"/>
                  <w:tcBorders>
                    <w:tl2br w:val="nil"/>
                    <w:tr2bl w:val="nil"/>
                  </w:tcBorders>
                  <w:vAlign w:val="center"/>
                </w:tcPr>
                <w:p>
                  <w:pPr>
                    <w:jc w:val="center"/>
                    <w:rPr>
                      <w:szCs w:val="21"/>
                    </w:rPr>
                  </w:pPr>
                  <w:r>
                    <w:rPr>
                      <w:szCs w:val="21"/>
                    </w:rPr>
                    <w:t>单元要素属性</w:t>
                  </w:r>
                </w:p>
              </w:tc>
              <w:tc>
                <w:tcPr>
                  <w:tcW w:w="568" w:type="pct"/>
                  <w:tcBorders>
                    <w:tl2br w:val="nil"/>
                    <w:tr2bl w:val="nil"/>
                  </w:tcBorders>
                  <w:vAlign w:val="center"/>
                </w:tcPr>
                <w:p>
                  <w:pPr>
                    <w:jc w:val="center"/>
                    <w:rPr>
                      <w:szCs w:val="21"/>
                    </w:rPr>
                  </w:pPr>
                  <w:r>
                    <w:rPr>
                      <w:szCs w:val="21"/>
                    </w:rPr>
                    <w:t>管控单元分类</w:t>
                  </w:r>
                </w:p>
              </w:tc>
              <w:tc>
                <w:tcPr>
                  <w:tcW w:w="2321" w:type="pct"/>
                  <w:gridSpan w:val="2"/>
                  <w:tcBorders>
                    <w:tl2br w:val="nil"/>
                    <w:tr2bl w:val="nil"/>
                  </w:tcBorders>
                  <w:vAlign w:val="center"/>
                </w:tcPr>
                <w:p>
                  <w:pPr>
                    <w:jc w:val="center"/>
                    <w:rPr>
                      <w:szCs w:val="21"/>
                    </w:rPr>
                  </w:pPr>
                  <w:r>
                    <w:rPr>
                      <w:szCs w:val="21"/>
                    </w:rPr>
                    <w:t>管控要求</w:t>
                  </w:r>
                </w:p>
              </w:tc>
              <w:tc>
                <w:tcPr>
                  <w:tcW w:w="391" w:type="pct"/>
                  <w:tcBorders>
                    <w:tl2br w:val="nil"/>
                    <w:tr2bl w:val="nil"/>
                  </w:tcBorders>
                  <w:vAlign w:val="center"/>
                </w:tcPr>
                <w:p>
                  <w:pPr>
                    <w:jc w:val="center"/>
                    <w:rPr>
                      <w:szCs w:val="21"/>
                    </w:rPr>
                  </w:pPr>
                  <w:r>
                    <w:rPr>
                      <w:szCs w:val="21"/>
                    </w:rPr>
                    <w:t>面积/长度</w:t>
                  </w:r>
                </w:p>
              </w:tc>
            </w:tr>
            <w:tr>
              <w:tblPrEx>
                <w:tblW w:w="5000" w:type="pct"/>
                <w:jc w:val="center"/>
                <w:tblCellMar>
                  <w:top w:w="0" w:type="dxa"/>
                  <w:left w:w="0" w:type="dxa"/>
                  <w:bottom w:w="0" w:type="dxa"/>
                  <w:right w:w="0" w:type="dxa"/>
                </w:tblCellMar>
              </w:tblPrEx>
              <w:trPr>
                <w:jc w:val="center"/>
              </w:trPr>
              <w:tc>
                <w:tcPr>
                  <w:tcW w:w="192" w:type="pct"/>
                  <w:vMerge w:val="restart"/>
                  <w:tcBorders>
                    <w:tl2br w:val="nil"/>
                    <w:tr2bl w:val="nil"/>
                  </w:tcBorders>
                  <w:tcMar>
                    <w:left w:w="28" w:type="dxa"/>
                    <w:right w:w="28" w:type="dxa"/>
                  </w:tcMar>
                  <w:vAlign w:val="center"/>
                </w:tcPr>
                <w:p>
                  <w:pPr>
                    <w:jc w:val="center"/>
                    <w:rPr>
                      <w:szCs w:val="21"/>
                    </w:rPr>
                  </w:pPr>
                  <w:r>
                    <w:rPr>
                      <w:szCs w:val="21"/>
                    </w:rPr>
                    <w:t>1</w:t>
                  </w:r>
                </w:p>
              </w:tc>
              <w:tc>
                <w:tcPr>
                  <w:tcW w:w="191" w:type="pct"/>
                  <w:vMerge w:val="restart"/>
                  <w:tcBorders>
                    <w:tl2br w:val="nil"/>
                    <w:tr2bl w:val="nil"/>
                  </w:tcBorders>
                  <w:tcMar>
                    <w:left w:w="28" w:type="dxa"/>
                    <w:right w:w="28" w:type="dxa"/>
                  </w:tcMar>
                  <w:vAlign w:val="center"/>
                </w:tcPr>
                <w:p>
                  <w:pPr>
                    <w:jc w:val="center"/>
                  </w:pPr>
                  <w:r>
                    <w:t>渭南市</w:t>
                  </w:r>
                </w:p>
              </w:tc>
              <w:tc>
                <w:tcPr>
                  <w:tcW w:w="200" w:type="pct"/>
                  <w:vMerge w:val="restart"/>
                  <w:tcBorders>
                    <w:tl2br w:val="nil"/>
                    <w:tr2bl w:val="nil"/>
                  </w:tcBorders>
                  <w:tcMar>
                    <w:left w:w="28" w:type="dxa"/>
                    <w:right w:w="28" w:type="dxa"/>
                  </w:tcMar>
                  <w:vAlign w:val="center"/>
                </w:tcPr>
                <w:p>
                  <w:pPr>
                    <w:jc w:val="center"/>
                    <w:rPr>
                      <w:szCs w:val="21"/>
                    </w:rPr>
                  </w:pPr>
                  <w:r>
                    <w:rPr>
                      <w:szCs w:val="21"/>
                    </w:rPr>
                    <w:t>大荔县</w:t>
                  </w:r>
                </w:p>
              </w:tc>
              <w:tc>
                <w:tcPr>
                  <w:tcW w:w="473" w:type="pct"/>
                  <w:vMerge w:val="restart"/>
                  <w:tcBorders>
                    <w:tl2br w:val="nil"/>
                    <w:tr2bl w:val="nil"/>
                  </w:tcBorders>
                  <w:tcMar>
                    <w:left w:w="28" w:type="dxa"/>
                    <w:right w:w="28" w:type="dxa"/>
                  </w:tcMar>
                  <w:vAlign w:val="center"/>
                </w:tcPr>
                <w:p>
                  <w:pPr>
                    <w:jc w:val="center"/>
                    <w:rPr>
                      <w:szCs w:val="21"/>
                    </w:rPr>
                  </w:pPr>
                  <w:r>
                    <w:rPr>
                      <w:rFonts w:hint="eastAsia"/>
                      <w:szCs w:val="21"/>
                    </w:rPr>
                    <w:t>陕西省渭南市大荔县重点管控单元</w:t>
                  </w:r>
                </w:p>
              </w:tc>
              <w:tc>
                <w:tcPr>
                  <w:tcW w:w="664" w:type="pct"/>
                  <w:vMerge w:val="restart"/>
                  <w:tcBorders>
                    <w:tl2br w:val="nil"/>
                    <w:tr2bl w:val="nil"/>
                  </w:tcBorders>
                  <w:vAlign w:val="center"/>
                </w:tcPr>
                <w:p>
                  <w:pPr>
                    <w:jc w:val="center"/>
                    <w:rPr>
                      <w:szCs w:val="21"/>
                    </w:rPr>
                  </w:pPr>
                  <w:r>
                    <w:rPr>
                      <w:rFonts w:hint="eastAsia"/>
                      <w:szCs w:val="21"/>
                    </w:rPr>
                    <w:t>大气环境受体敏感区环境</w:t>
                  </w:r>
                </w:p>
              </w:tc>
              <w:tc>
                <w:tcPr>
                  <w:tcW w:w="568" w:type="pct"/>
                  <w:vMerge w:val="restart"/>
                  <w:tcBorders>
                    <w:tl2br w:val="nil"/>
                    <w:tr2bl w:val="nil"/>
                  </w:tcBorders>
                  <w:vAlign w:val="center"/>
                </w:tcPr>
                <w:p>
                  <w:pPr>
                    <w:jc w:val="center"/>
                    <w:rPr>
                      <w:szCs w:val="21"/>
                    </w:rPr>
                  </w:pPr>
                  <w:r>
                    <w:rPr>
                      <w:szCs w:val="21"/>
                    </w:rPr>
                    <w:t>重点管控单元</w:t>
                  </w:r>
                </w:p>
              </w:tc>
              <w:tc>
                <w:tcPr>
                  <w:tcW w:w="569" w:type="pct"/>
                  <w:tcBorders>
                    <w:tl2br w:val="nil"/>
                    <w:tr2bl w:val="nil"/>
                  </w:tcBorders>
                  <w:vAlign w:val="center"/>
                </w:tcPr>
                <w:p>
                  <w:pPr>
                    <w:jc w:val="center"/>
                    <w:rPr>
                      <w:szCs w:val="21"/>
                    </w:rPr>
                  </w:pPr>
                  <w:r>
                    <w:rPr>
                      <w:szCs w:val="21"/>
                    </w:rPr>
                    <w:t>空间布局约束</w:t>
                  </w:r>
                </w:p>
              </w:tc>
              <w:tc>
                <w:tcPr>
                  <w:tcW w:w="1752" w:type="pct"/>
                  <w:tcBorders>
                    <w:tl2br w:val="nil"/>
                    <w:tr2bl w:val="nil"/>
                  </w:tcBorders>
                  <w:vAlign w:val="center"/>
                </w:tcPr>
                <w:p>
                  <w:pPr>
                    <w:jc w:val="left"/>
                  </w:pPr>
                  <w:r>
                    <w:rPr>
                      <w:rFonts w:hint="eastAsia"/>
                    </w:rPr>
                    <w:t>严格控制新增煤电、石化、化工、钢铁、有色金属冶炼、建材等“两高”行业项目；加快城市建成区重污染企业搬迁改造或关闭退出。</w:t>
                  </w:r>
                </w:p>
              </w:tc>
              <w:tc>
                <w:tcPr>
                  <w:tcW w:w="391" w:type="pct"/>
                  <w:vMerge w:val="restart"/>
                  <w:tcBorders>
                    <w:tl2br w:val="nil"/>
                    <w:tr2bl w:val="nil"/>
                  </w:tcBorders>
                  <w:vAlign w:val="center"/>
                </w:tcPr>
                <w:p>
                  <w:pPr>
                    <w:jc w:val="center"/>
                    <w:rPr>
                      <w:szCs w:val="21"/>
                    </w:rPr>
                  </w:pPr>
                  <w:r>
                    <w:rPr>
                      <w:rFonts w:hint="eastAsia"/>
                      <w:szCs w:val="21"/>
                    </w:rPr>
                    <w:t>1824</w:t>
                  </w:r>
                  <w:r>
                    <w:rPr>
                      <w:szCs w:val="21"/>
                    </w:rPr>
                    <w:t>平方米</w:t>
                  </w:r>
                </w:p>
              </w:tc>
            </w:tr>
            <w:tr>
              <w:tblPrEx>
                <w:tblW w:w="5000" w:type="pct"/>
                <w:jc w:val="center"/>
                <w:tblCellMar>
                  <w:top w:w="0" w:type="dxa"/>
                  <w:left w:w="0" w:type="dxa"/>
                  <w:bottom w:w="0" w:type="dxa"/>
                  <w:right w:w="0" w:type="dxa"/>
                </w:tblCellMar>
              </w:tblPrEx>
              <w:trPr>
                <w:jc w:val="center"/>
              </w:trPr>
              <w:tc>
                <w:tcPr>
                  <w:tcW w:w="192" w:type="pct"/>
                  <w:vMerge/>
                  <w:tcBorders>
                    <w:tl2br w:val="nil"/>
                    <w:tr2bl w:val="nil"/>
                  </w:tcBorders>
                  <w:tcMar>
                    <w:left w:w="28" w:type="dxa"/>
                    <w:right w:w="28" w:type="dxa"/>
                  </w:tcMar>
                  <w:vAlign w:val="center"/>
                </w:tcPr>
                <w:p>
                  <w:pPr>
                    <w:jc w:val="center"/>
                    <w:rPr>
                      <w:szCs w:val="21"/>
                    </w:rPr>
                  </w:pPr>
                </w:p>
              </w:tc>
              <w:tc>
                <w:tcPr>
                  <w:tcW w:w="191" w:type="pct"/>
                  <w:vMerge/>
                  <w:tcBorders>
                    <w:tl2br w:val="nil"/>
                    <w:tr2bl w:val="nil"/>
                  </w:tcBorders>
                  <w:tcMar>
                    <w:left w:w="28" w:type="dxa"/>
                    <w:right w:w="28" w:type="dxa"/>
                  </w:tcMar>
                  <w:vAlign w:val="center"/>
                </w:tcPr>
                <w:p>
                  <w:pPr>
                    <w:jc w:val="center"/>
                  </w:pPr>
                </w:p>
              </w:tc>
              <w:tc>
                <w:tcPr>
                  <w:tcW w:w="200" w:type="pct"/>
                  <w:vMerge/>
                  <w:tcBorders>
                    <w:tl2br w:val="nil"/>
                    <w:tr2bl w:val="nil"/>
                  </w:tcBorders>
                  <w:tcMar>
                    <w:left w:w="28" w:type="dxa"/>
                    <w:right w:w="28" w:type="dxa"/>
                  </w:tcMar>
                  <w:vAlign w:val="center"/>
                </w:tcPr>
                <w:p>
                  <w:pPr>
                    <w:jc w:val="center"/>
                    <w:rPr>
                      <w:szCs w:val="21"/>
                    </w:rPr>
                  </w:pPr>
                </w:p>
              </w:tc>
              <w:tc>
                <w:tcPr>
                  <w:tcW w:w="473" w:type="pct"/>
                  <w:vMerge/>
                  <w:tcBorders>
                    <w:tl2br w:val="nil"/>
                    <w:tr2bl w:val="nil"/>
                  </w:tcBorders>
                  <w:tcMar>
                    <w:left w:w="28" w:type="dxa"/>
                    <w:right w:w="28" w:type="dxa"/>
                  </w:tcMar>
                  <w:vAlign w:val="center"/>
                </w:tcPr>
                <w:p>
                  <w:pPr>
                    <w:jc w:val="center"/>
                    <w:rPr>
                      <w:szCs w:val="21"/>
                    </w:rPr>
                  </w:pPr>
                </w:p>
              </w:tc>
              <w:tc>
                <w:tcPr>
                  <w:tcW w:w="664" w:type="pct"/>
                  <w:vMerge/>
                  <w:tcBorders>
                    <w:tl2br w:val="nil"/>
                    <w:tr2bl w:val="nil"/>
                  </w:tcBorders>
                  <w:vAlign w:val="center"/>
                </w:tcPr>
                <w:p>
                  <w:pPr>
                    <w:jc w:val="center"/>
                    <w:rPr>
                      <w:szCs w:val="21"/>
                    </w:rPr>
                  </w:pPr>
                </w:p>
              </w:tc>
              <w:tc>
                <w:tcPr>
                  <w:tcW w:w="568" w:type="pct"/>
                  <w:vMerge/>
                  <w:tcBorders>
                    <w:tl2br w:val="nil"/>
                    <w:tr2bl w:val="nil"/>
                  </w:tcBorders>
                  <w:vAlign w:val="center"/>
                </w:tcPr>
                <w:p>
                  <w:pPr>
                    <w:jc w:val="center"/>
                    <w:rPr>
                      <w:szCs w:val="21"/>
                    </w:rPr>
                  </w:pPr>
                </w:p>
              </w:tc>
              <w:tc>
                <w:tcPr>
                  <w:tcW w:w="569" w:type="pct"/>
                  <w:tcBorders>
                    <w:tl2br w:val="nil"/>
                    <w:tr2bl w:val="nil"/>
                  </w:tcBorders>
                  <w:vAlign w:val="center"/>
                </w:tcPr>
                <w:p>
                  <w:pPr>
                    <w:autoSpaceDE w:val="0"/>
                    <w:autoSpaceDN w:val="0"/>
                    <w:adjustRightInd w:val="0"/>
                    <w:jc w:val="center"/>
                    <w:rPr>
                      <w:kern w:val="0"/>
                      <w:szCs w:val="21"/>
                    </w:rPr>
                  </w:pPr>
                  <w:r>
                    <w:rPr>
                      <w:kern w:val="0"/>
                      <w:szCs w:val="21"/>
                    </w:rPr>
                    <w:t>污染物排放管控</w:t>
                  </w:r>
                </w:p>
              </w:tc>
              <w:tc>
                <w:tcPr>
                  <w:tcW w:w="1752" w:type="pct"/>
                  <w:tcBorders>
                    <w:tl2br w:val="nil"/>
                    <w:tr2bl w:val="nil"/>
                  </w:tcBorders>
                  <w:vAlign w:val="center"/>
                </w:tcPr>
                <w:p>
                  <w:pPr>
                    <w:rPr>
                      <w:kern w:val="0"/>
                      <w:szCs w:val="21"/>
                    </w:rPr>
                  </w:pPr>
                  <w:r>
                    <w:rPr>
                      <w:rFonts w:hint="eastAsia"/>
                    </w:rPr>
                    <w:t>区域内保留企业采用先进生产工艺、严格落实污染治理设施，污染物执行超低排放或特别排放限值；控制机动车增速，推动汽车全面实现新能源化；加大餐饮油烟治理力度，排放油烟的饮食业单位全部安装油烟净化装置并实现达标排放。</w:t>
                  </w:r>
                </w:p>
              </w:tc>
              <w:tc>
                <w:tcPr>
                  <w:tcW w:w="391" w:type="pct"/>
                  <w:vMerge/>
                  <w:tcBorders>
                    <w:tl2br w:val="nil"/>
                    <w:tr2bl w:val="nil"/>
                  </w:tcBorders>
                  <w:vAlign w:val="center"/>
                </w:tcPr>
                <w:p>
                  <w:pPr>
                    <w:jc w:val="center"/>
                    <w:rPr>
                      <w:szCs w:val="21"/>
                    </w:rPr>
                  </w:pPr>
                </w:p>
              </w:tc>
            </w:tr>
            <w:tr>
              <w:tblPrEx>
                <w:tblW w:w="5000" w:type="pct"/>
                <w:jc w:val="center"/>
                <w:tblCellMar>
                  <w:top w:w="0" w:type="dxa"/>
                  <w:left w:w="0" w:type="dxa"/>
                  <w:bottom w:w="0" w:type="dxa"/>
                  <w:right w:w="0" w:type="dxa"/>
                </w:tblCellMar>
              </w:tblPrEx>
              <w:trPr>
                <w:jc w:val="center"/>
              </w:trPr>
              <w:tc>
                <w:tcPr>
                  <w:tcW w:w="192" w:type="pct"/>
                  <w:vMerge/>
                  <w:tcBorders>
                    <w:tl2br w:val="nil"/>
                    <w:tr2bl w:val="nil"/>
                  </w:tcBorders>
                  <w:tcMar>
                    <w:left w:w="28" w:type="dxa"/>
                    <w:right w:w="28" w:type="dxa"/>
                  </w:tcMar>
                  <w:vAlign w:val="center"/>
                </w:tcPr>
                <w:p>
                  <w:pPr>
                    <w:jc w:val="center"/>
                    <w:rPr>
                      <w:szCs w:val="21"/>
                    </w:rPr>
                  </w:pPr>
                </w:p>
              </w:tc>
              <w:tc>
                <w:tcPr>
                  <w:tcW w:w="191" w:type="pct"/>
                  <w:vMerge/>
                  <w:tcBorders>
                    <w:tl2br w:val="nil"/>
                    <w:tr2bl w:val="nil"/>
                  </w:tcBorders>
                  <w:tcMar>
                    <w:left w:w="28" w:type="dxa"/>
                    <w:right w:w="28" w:type="dxa"/>
                  </w:tcMar>
                  <w:vAlign w:val="center"/>
                </w:tcPr>
                <w:p>
                  <w:pPr>
                    <w:jc w:val="center"/>
                  </w:pPr>
                </w:p>
              </w:tc>
              <w:tc>
                <w:tcPr>
                  <w:tcW w:w="200" w:type="pct"/>
                  <w:vMerge/>
                  <w:tcBorders>
                    <w:tl2br w:val="nil"/>
                    <w:tr2bl w:val="nil"/>
                  </w:tcBorders>
                  <w:tcMar>
                    <w:left w:w="28" w:type="dxa"/>
                    <w:right w:w="28" w:type="dxa"/>
                  </w:tcMar>
                  <w:vAlign w:val="center"/>
                </w:tcPr>
                <w:p>
                  <w:pPr>
                    <w:jc w:val="center"/>
                    <w:rPr>
                      <w:szCs w:val="21"/>
                    </w:rPr>
                  </w:pPr>
                </w:p>
              </w:tc>
              <w:tc>
                <w:tcPr>
                  <w:tcW w:w="473" w:type="pct"/>
                  <w:vMerge/>
                  <w:tcBorders>
                    <w:tl2br w:val="nil"/>
                    <w:tr2bl w:val="nil"/>
                  </w:tcBorders>
                  <w:tcMar>
                    <w:left w:w="28" w:type="dxa"/>
                    <w:right w:w="28" w:type="dxa"/>
                  </w:tcMar>
                  <w:vAlign w:val="center"/>
                </w:tcPr>
                <w:p>
                  <w:pPr>
                    <w:jc w:val="center"/>
                    <w:rPr>
                      <w:szCs w:val="21"/>
                    </w:rPr>
                  </w:pPr>
                </w:p>
              </w:tc>
              <w:tc>
                <w:tcPr>
                  <w:tcW w:w="664" w:type="pct"/>
                  <w:vMerge w:val="restart"/>
                  <w:tcBorders>
                    <w:tl2br w:val="nil"/>
                    <w:tr2bl w:val="nil"/>
                  </w:tcBorders>
                  <w:vAlign w:val="center"/>
                </w:tcPr>
                <w:p>
                  <w:pPr>
                    <w:jc w:val="center"/>
                    <w:rPr>
                      <w:szCs w:val="21"/>
                    </w:rPr>
                  </w:pPr>
                  <w:r>
                    <w:rPr>
                      <w:rFonts w:hint="eastAsia"/>
                      <w:szCs w:val="21"/>
                    </w:rPr>
                    <w:t>大气环境弱扩散区</w:t>
                  </w:r>
                </w:p>
              </w:tc>
              <w:tc>
                <w:tcPr>
                  <w:tcW w:w="568" w:type="pct"/>
                  <w:vMerge w:val="restart"/>
                  <w:tcBorders>
                    <w:tl2br w:val="nil"/>
                    <w:tr2bl w:val="nil"/>
                  </w:tcBorders>
                  <w:vAlign w:val="center"/>
                </w:tcPr>
                <w:p>
                  <w:pPr>
                    <w:jc w:val="center"/>
                    <w:rPr>
                      <w:szCs w:val="21"/>
                    </w:rPr>
                  </w:pPr>
                  <w:r>
                    <w:rPr>
                      <w:rFonts w:hint="eastAsia"/>
                      <w:szCs w:val="21"/>
                    </w:rPr>
                    <w:t>重点管控单元</w:t>
                  </w:r>
                </w:p>
              </w:tc>
              <w:tc>
                <w:tcPr>
                  <w:tcW w:w="569" w:type="pct"/>
                  <w:tcBorders>
                    <w:tl2br w:val="nil"/>
                    <w:tr2bl w:val="nil"/>
                  </w:tcBorders>
                  <w:vAlign w:val="center"/>
                </w:tcPr>
                <w:p>
                  <w:pPr>
                    <w:autoSpaceDE w:val="0"/>
                    <w:autoSpaceDN w:val="0"/>
                    <w:adjustRightInd w:val="0"/>
                    <w:jc w:val="center"/>
                    <w:rPr>
                      <w:kern w:val="0"/>
                      <w:szCs w:val="21"/>
                    </w:rPr>
                  </w:pPr>
                  <w:r>
                    <w:rPr>
                      <w:kern w:val="0"/>
                      <w:szCs w:val="21"/>
                    </w:rPr>
                    <w:t>空间布局约束</w:t>
                  </w:r>
                </w:p>
              </w:tc>
              <w:tc>
                <w:tcPr>
                  <w:tcW w:w="1752" w:type="pct"/>
                  <w:tcBorders>
                    <w:tl2br w:val="nil"/>
                    <w:tr2bl w:val="nil"/>
                  </w:tcBorders>
                  <w:vAlign w:val="center"/>
                </w:tcPr>
                <w:p>
                  <w:r>
                    <w:rPr>
                      <w:rFonts w:hint="eastAsia"/>
                    </w:rPr>
                    <w:t>严格控制新增煤电、石化、化工、钢铁、有色金属冶炼、建材等“两高”行业项目。</w:t>
                  </w:r>
                </w:p>
              </w:tc>
              <w:tc>
                <w:tcPr>
                  <w:tcW w:w="391" w:type="pct"/>
                  <w:vMerge/>
                  <w:tcBorders>
                    <w:tl2br w:val="nil"/>
                    <w:tr2bl w:val="nil"/>
                  </w:tcBorders>
                  <w:vAlign w:val="center"/>
                </w:tcPr>
                <w:p>
                  <w:pPr>
                    <w:jc w:val="center"/>
                    <w:rPr>
                      <w:szCs w:val="21"/>
                    </w:rPr>
                  </w:pPr>
                </w:p>
              </w:tc>
            </w:tr>
            <w:tr>
              <w:tblPrEx>
                <w:tblW w:w="5000" w:type="pct"/>
                <w:jc w:val="center"/>
                <w:tblCellMar>
                  <w:top w:w="0" w:type="dxa"/>
                  <w:left w:w="0" w:type="dxa"/>
                  <w:bottom w:w="0" w:type="dxa"/>
                  <w:right w:w="0" w:type="dxa"/>
                </w:tblCellMar>
              </w:tblPrEx>
              <w:trPr>
                <w:jc w:val="center"/>
              </w:trPr>
              <w:tc>
                <w:tcPr>
                  <w:tcW w:w="192" w:type="pct"/>
                  <w:vMerge/>
                  <w:tcBorders>
                    <w:tl2br w:val="nil"/>
                    <w:tr2bl w:val="nil"/>
                  </w:tcBorders>
                  <w:tcMar>
                    <w:left w:w="28" w:type="dxa"/>
                    <w:right w:w="28" w:type="dxa"/>
                  </w:tcMar>
                  <w:vAlign w:val="center"/>
                </w:tcPr>
                <w:p>
                  <w:pPr>
                    <w:jc w:val="center"/>
                    <w:rPr>
                      <w:szCs w:val="21"/>
                    </w:rPr>
                  </w:pPr>
                </w:p>
              </w:tc>
              <w:tc>
                <w:tcPr>
                  <w:tcW w:w="191" w:type="pct"/>
                  <w:vMerge/>
                  <w:tcBorders>
                    <w:tl2br w:val="nil"/>
                    <w:tr2bl w:val="nil"/>
                  </w:tcBorders>
                  <w:tcMar>
                    <w:left w:w="28" w:type="dxa"/>
                    <w:right w:w="28" w:type="dxa"/>
                  </w:tcMar>
                  <w:vAlign w:val="center"/>
                </w:tcPr>
                <w:p>
                  <w:pPr>
                    <w:jc w:val="center"/>
                  </w:pPr>
                </w:p>
              </w:tc>
              <w:tc>
                <w:tcPr>
                  <w:tcW w:w="200" w:type="pct"/>
                  <w:vMerge/>
                  <w:tcBorders>
                    <w:tl2br w:val="nil"/>
                    <w:tr2bl w:val="nil"/>
                  </w:tcBorders>
                  <w:tcMar>
                    <w:left w:w="28" w:type="dxa"/>
                    <w:right w:w="28" w:type="dxa"/>
                  </w:tcMar>
                  <w:vAlign w:val="center"/>
                </w:tcPr>
                <w:p>
                  <w:pPr>
                    <w:jc w:val="center"/>
                    <w:rPr>
                      <w:szCs w:val="21"/>
                    </w:rPr>
                  </w:pPr>
                </w:p>
              </w:tc>
              <w:tc>
                <w:tcPr>
                  <w:tcW w:w="473" w:type="pct"/>
                  <w:vMerge/>
                  <w:tcBorders>
                    <w:tl2br w:val="nil"/>
                    <w:tr2bl w:val="nil"/>
                  </w:tcBorders>
                  <w:tcMar>
                    <w:left w:w="28" w:type="dxa"/>
                    <w:right w:w="28" w:type="dxa"/>
                  </w:tcMar>
                  <w:vAlign w:val="center"/>
                </w:tcPr>
                <w:p>
                  <w:pPr>
                    <w:jc w:val="center"/>
                    <w:rPr>
                      <w:szCs w:val="21"/>
                    </w:rPr>
                  </w:pPr>
                </w:p>
              </w:tc>
              <w:tc>
                <w:tcPr>
                  <w:tcW w:w="664" w:type="pct"/>
                  <w:vMerge/>
                  <w:tcBorders>
                    <w:tl2br w:val="nil"/>
                    <w:tr2bl w:val="nil"/>
                  </w:tcBorders>
                  <w:vAlign w:val="center"/>
                </w:tcPr>
                <w:p>
                  <w:pPr>
                    <w:jc w:val="center"/>
                    <w:rPr>
                      <w:szCs w:val="21"/>
                    </w:rPr>
                  </w:pPr>
                </w:p>
              </w:tc>
              <w:tc>
                <w:tcPr>
                  <w:tcW w:w="568" w:type="pct"/>
                  <w:vMerge/>
                  <w:tcBorders>
                    <w:tl2br w:val="nil"/>
                    <w:tr2bl w:val="nil"/>
                  </w:tcBorders>
                  <w:vAlign w:val="center"/>
                </w:tcPr>
                <w:p>
                  <w:pPr>
                    <w:jc w:val="center"/>
                    <w:rPr>
                      <w:szCs w:val="21"/>
                    </w:rPr>
                  </w:pPr>
                </w:p>
              </w:tc>
              <w:tc>
                <w:tcPr>
                  <w:tcW w:w="569" w:type="pct"/>
                  <w:tcBorders>
                    <w:tl2br w:val="nil"/>
                    <w:tr2bl w:val="nil"/>
                  </w:tcBorders>
                  <w:vAlign w:val="center"/>
                </w:tcPr>
                <w:p>
                  <w:pPr>
                    <w:autoSpaceDE w:val="0"/>
                    <w:autoSpaceDN w:val="0"/>
                    <w:adjustRightInd w:val="0"/>
                    <w:jc w:val="center"/>
                    <w:rPr>
                      <w:kern w:val="0"/>
                      <w:szCs w:val="21"/>
                    </w:rPr>
                  </w:pPr>
                  <w:r>
                    <w:rPr>
                      <w:kern w:val="0"/>
                      <w:szCs w:val="21"/>
                    </w:rPr>
                    <w:t>污染物排放管控</w:t>
                  </w:r>
                </w:p>
              </w:tc>
              <w:tc>
                <w:tcPr>
                  <w:tcW w:w="1752" w:type="pct"/>
                  <w:tcBorders>
                    <w:tl2br w:val="nil"/>
                    <w:tr2bl w:val="nil"/>
                  </w:tcBorders>
                  <w:vAlign w:val="center"/>
                </w:tcPr>
                <w:p>
                  <w:r>
                    <w:rPr>
                      <w:rFonts w:hint="eastAsia"/>
                    </w:rPr>
                    <w:t>加强大气污染物减排力度，推进散煤替代和清洁利用，推进“煤改电”、“煤改气”工程；严禁秸秆燃烧，强化扬尘管控。</w:t>
                  </w:r>
                </w:p>
              </w:tc>
              <w:tc>
                <w:tcPr>
                  <w:tcW w:w="391" w:type="pct"/>
                  <w:vMerge/>
                  <w:tcBorders>
                    <w:tl2br w:val="nil"/>
                    <w:tr2bl w:val="nil"/>
                  </w:tcBorders>
                  <w:vAlign w:val="center"/>
                </w:tcPr>
                <w:p>
                  <w:pPr>
                    <w:jc w:val="center"/>
                    <w:rPr>
                      <w:szCs w:val="21"/>
                    </w:rPr>
                  </w:pPr>
                </w:p>
              </w:tc>
            </w:tr>
          </w:tbl>
          <w:p>
            <w:pPr>
              <w:adjustRightInd w:val="0"/>
              <w:snapToGrid w:val="0"/>
              <w:spacing w:after="48" w:afterLines="20"/>
              <w:jc w:val="center"/>
              <w:rPr>
                <w:rFonts w:eastAsiaTheme="minorEastAsia"/>
                <w:b/>
                <w:sz w:val="24"/>
              </w:rPr>
            </w:pPr>
            <w:r>
              <w:rPr>
                <w:rFonts w:eastAsiaTheme="minorEastAsia"/>
                <w:b/>
                <w:sz w:val="24"/>
              </w:rPr>
              <w:t>表1-5    “三线一单”符合性分析</w:t>
            </w:r>
          </w:p>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875"/>
              <w:gridCol w:w="5504"/>
              <w:gridCol w:w="814"/>
            </w:tblGrid>
            <w:tr>
              <w:tblPrEx>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c>
                <w:tcPr>
                  <w:tcW w:w="608" w:type="pct"/>
                  <w:vAlign w:val="center"/>
                </w:tcPr>
                <w:p>
                  <w:pPr>
                    <w:spacing w:line="240" w:lineRule="exact"/>
                    <w:jc w:val="center"/>
                    <w:rPr>
                      <w:rFonts w:eastAsiaTheme="minorEastAsia"/>
                      <w:bCs/>
                      <w:szCs w:val="21"/>
                    </w:rPr>
                  </w:pPr>
                  <w:r>
                    <w:rPr>
                      <w:rFonts w:eastAsiaTheme="minorEastAsia"/>
                      <w:bCs/>
                      <w:szCs w:val="21"/>
                    </w:rPr>
                    <w:t>项目</w:t>
                  </w:r>
                </w:p>
              </w:tc>
              <w:tc>
                <w:tcPr>
                  <w:tcW w:w="3826" w:type="pct"/>
                  <w:vAlign w:val="center"/>
                </w:tcPr>
                <w:p>
                  <w:pPr>
                    <w:spacing w:line="240" w:lineRule="exact"/>
                    <w:jc w:val="center"/>
                    <w:rPr>
                      <w:rFonts w:eastAsiaTheme="minorEastAsia"/>
                      <w:bCs/>
                      <w:szCs w:val="21"/>
                    </w:rPr>
                  </w:pPr>
                  <w:r>
                    <w:rPr>
                      <w:rFonts w:eastAsiaTheme="minorEastAsia"/>
                      <w:bCs/>
                      <w:szCs w:val="21"/>
                    </w:rPr>
                    <w:t>内容</w:t>
                  </w:r>
                </w:p>
              </w:tc>
              <w:tc>
                <w:tcPr>
                  <w:tcW w:w="566" w:type="pct"/>
                  <w:vAlign w:val="center"/>
                </w:tcPr>
                <w:p>
                  <w:pPr>
                    <w:spacing w:line="240" w:lineRule="exact"/>
                    <w:jc w:val="center"/>
                    <w:rPr>
                      <w:rFonts w:eastAsiaTheme="minorEastAsia"/>
                      <w:bCs/>
                      <w:szCs w:val="21"/>
                    </w:rPr>
                  </w:pPr>
                  <w:r>
                    <w:rPr>
                      <w:rFonts w:eastAsiaTheme="minorEastAsia"/>
                      <w:bCs/>
                      <w:szCs w:val="21"/>
                    </w:rPr>
                    <w:t>符合性</w:t>
                  </w: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生态保护红线</w:t>
                  </w:r>
                </w:p>
              </w:tc>
              <w:tc>
                <w:tcPr>
                  <w:tcW w:w="3826" w:type="pct"/>
                  <w:vAlign w:val="center"/>
                </w:tcPr>
                <w:p>
                  <w:pPr>
                    <w:spacing w:after="0"/>
                    <w:rPr>
                      <w:rFonts w:eastAsiaTheme="minorEastAsia"/>
                      <w:szCs w:val="21"/>
                    </w:rPr>
                  </w:pPr>
                </w:p>
              </w:tc>
              <w:tc>
                <w:tcPr>
                  <w:tcW w:w="566" w:type="pct"/>
                  <w:vAlign w:val="center"/>
                </w:tcPr>
                <w:p>
                  <w:pPr>
                    <w:spacing w:line="240" w:lineRule="exact"/>
                    <w:jc w:val="center"/>
                    <w:rPr>
                      <w:rFonts w:eastAsiaTheme="minorEastAsia"/>
                      <w:szCs w:val="21"/>
                    </w:rPr>
                  </w:pPr>
                  <w:r>
                    <w:rPr>
                      <w:rFonts w:eastAsiaTheme="minorEastAsia"/>
                      <w:szCs w:val="21"/>
                    </w:rPr>
                    <w:t>符合</w:t>
                  </w:r>
                </w:p>
              </w:tc>
            </w:tr>
          </w:tbl>
          <w:p/>
        </w:tc>
      </w:tr>
    </w:tbl>
    <w:p>
      <w:pPr>
        <w:sectPr>
          <w:footerReference w:type="default" r:id="rId13"/>
          <w:type w:val="nextPage"/>
          <w:pgSz w:w="11906" w:h="16838"/>
          <w:pgMar w:top="1701" w:right="1531" w:bottom="1701" w:left="1531" w:header="851" w:footer="1077" w:gutter="0"/>
          <w:pgNumType w:start="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875"/>
              <w:gridCol w:w="5504"/>
              <w:gridCol w:w="814"/>
            </w:tblGrid>
            <w:tr>
              <w:tblPrEx>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c>
                <w:tcPr>
                  <w:tcW w:w="608" w:type="pct"/>
                  <w:vAlign w:val="center"/>
                </w:tcPr>
                <w:p/>
              </w:tc>
              <w:tc>
                <w:tcPr>
                  <w:tcW w:w="3826" w:type="pct"/>
                  <w:vAlign w:val="center"/>
                </w:tcPr>
                <w:p>
                  <w:pPr>
                    <w:spacing w:before="0"/>
                    <w:rPr>
                      <w:rFonts w:eastAsiaTheme="minorEastAsia"/>
                      <w:szCs w:val="21"/>
                    </w:rPr>
                  </w:pPr>
                  <w:r>
                    <w:rPr>
                      <w:rFonts w:eastAsiaTheme="minorEastAsia"/>
                    </w:rPr>
                    <w:t>项目所在地位于陕西省渭南市大荔县官池镇经开区，项目所在地属于重点管控区，周围无自然保护区、风景名胜区等环境敏感点，不涉及生态保护红线。</w:t>
                  </w:r>
                </w:p>
              </w:tc>
              <w:tc>
                <w:tcPr>
                  <w:tcW w:w="566" w:type="pct"/>
                  <w:vAlign w:val="center"/>
                </w:tcP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环境质量底线</w:t>
                  </w:r>
                </w:p>
              </w:tc>
              <w:tc>
                <w:tcPr>
                  <w:tcW w:w="3826" w:type="pct"/>
                  <w:vAlign w:val="center"/>
                </w:tcPr>
                <w:p>
                  <w:pPr>
                    <w:rPr>
                      <w:rFonts w:eastAsiaTheme="minorEastAsia"/>
                      <w:szCs w:val="21"/>
                    </w:rPr>
                  </w:pPr>
                  <w:r>
                    <w:rPr>
                      <w:rFonts w:eastAsiaTheme="minorEastAsia"/>
                    </w:rPr>
                    <w:t>本项目运营期采取本次环评提出的治理措施后，废气、噪声均可实现达标排放，固体废物均得到合理的处理和处置，建设项目未触及环境质量底线要求。</w:t>
                  </w:r>
                </w:p>
              </w:tc>
              <w:tc>
                <w:tcPr>
                  <w:tcW w:w="566" w:type="pct"/>
                  <w:vAlign w:val="center"/>
                </w:tcPr>
                <w:p>
                  <w:pPr>
                    <w:spacing w:line="240" w:lineRule="exact"/>
                    <w:jc w:val="center"/>
                    <w:rPr>
                      <w:rFonts w:eastAsiaTheme="minorEastAsia"/>
                      <w:szCs w:val="21"/>
                    </w:rPr>
                  </w:pPr>
                  <w:r>
                    <w:rPr>
                      <w:rFonts w:eastAsiaTheme="minorEastAsia"/>
                      <w:szCs w:val="21"/>
                    </w:rPr>
                    <w:t>符合</w:t>
                  </w: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资源利用上线</w:t>
                  </w:r>
                </w:p>
              </w:tc>
              <w:tc>
                <w:tcPr>
                  <w:tcW w:w="3826" w:type="pct"/>
                  <w:vAlign w:val="center"/>
                </w:tcPr>
                <w:p>
                  <w:pPr>
                    <w:rPr>
                      <w:rFonts w:eastAsiaTheme="minorEastAsia"/>
                      <w:kern w:val="0"/>
                      <w:szCs w:val="21"/>
                    </w:rPr>
                  </w:pPr>
                  <w:r>
                    <w:rPr>
                      <w:rFonts w:eastAsiaTheme="minorEastAsia"/>
                    </w:rPr>
                    <w:t>本项目新鲜水由市政管网接入，电能主要依托当地电网供给，项目不属于高耗水、耗电企业。因此本项目满足资源利用上线的要求。</w:t>
                  </w:r>
                </w:p>
              </w:tc>
              <w:tc>
                <w:tcPr>
                  <w:tcW w:w="566" w:type="pct"/>
                  <w:vAlign w:val="center"/>
                </w:tcPr>
                <w:p>
                  <w:pPr>
                    <w:spacing w:line="240" w:lineRule="exact"/>
                    <w:jc w:val="center"/>
                    <w:rPr>
                      <w:rFonts w:eastAsiaTheme="minorEastAsia"/>
                      <w:szCs w:val="21"/>
                    </w:rPr>
                  </w:pPr>
                  <w:r>
                    <w:rPr>
                      <w:rFonts w:eastAsiaTheme="minorEastAsia"/>
                      <w:szCs w:val="21"/>
                    </w:rPr>
                    <w:t>符合</w:t>
                  </w: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环境准入负面清单</w:t>
                  </w:r>
                </w:p>
              </w:tc>
              <w:tc>
                <w:tcPr>
                  <w:tcW w:w="3826" w:type="pct"/>
                  <w:vAlign w:val="center"/>
                </w:tcPr>
                <w:p>
                  <w:pPr>
                    <w:rPr>
                      <w:rFonts w:eastAsiaTheme="minorEastAsia"/>
                      <w:szCs w:val="21"/>
                    </w:rPr>
                  </w:pPr>
                  <w:r>
                    <w:rPr>
                      <w:rFonts w:eastAsiaTheme="minorEastAsia"/>
                    </w:rPr>
                    <w:t>本项目不属于限制类和淘汰类项目，符合国家产业政策的要求，项目未列入环境准入负面清单中。</w:t>
                  </w:r>
                </w:p>
              </w:tc>
              <w:tc>
                <w:tcPr>
                  <w:tcW w:w="566" w:type="pct"/>
                  <w:vAlign w:val="center"/>
                </w:tcPr>
                <w:p>
                  <w:pPr>
                    <w:spacing w:line="240" w:lineRule="exact"/>
                    <w:jc w:val="center"/>
                    <w:rPr>
                      <w:rFonts w:eastAsiaTheme="minorEastAsia"/>
                      <w:szCs w:val="21"/>
                    </w:rPr>
                  </w:pPr>
                  <w:r>
                    <w:rPr>
                      <w:rFonts w:eastAsiaTheme="minorEastAsia"/>
                      <w:szCs w:val="21"/>
                    </w:rPr>
                    <w:t>符合</w:t>
                  </w:r>
                </w:p>
              </w:tc>
            </w:tr>
          </w:tbl>
          <w:p>
            <w:pPr>
              <w:widowControl/>
              <w:spacing w:line="360" w:lineRule="auto"/>
              <w:ind w:firstLine="480" w:firstLineChars="200"/>
              <w:rPr>
                <w:rFonts w:eastAsiaTheme="minorEastAsia"/>
                <w:bCs/>
                <w:sz w:val="24"/>
                <w:szCs w:val="22"/>
              </w:rPr>
            </w:pPr>
            <w:r>
              <w:rPr>
                <w:rFonts w:eastAsiaTheme="minorEastAsia"/>
                <w:bCs/>
                <w:sz w:val="24"/>
                <w:szCs w:val="22"/>
              </w:rPr>
              <w:t>综上所述，本项目位于重点管控单元（附图6），项目为生物质锅炉技改项目，不属于“两高”行业，废气经处理后可以满足相关的排放标准，对区域环境影响较小，符合“三线一单”的相关管控要求。</w:t>
            </w:r>
          </w:p>
          <w:p>
            <w:pPr>
              <w:autoSpaceDE w:val="0"/>
              <w:autoSpaceDN w:val="0"/>
              <w:adjustRightInd w:val="0"/>
              <w:snapToGrid w:val="0"/>
              <w:spacing w:line="360" w:lineRule="auto"/>
              <w:jc w:val="left"/>
              <w:rPr>
                <w:rFonts w:eastAsiaTheme="minorEastAsia"/>
                <w:b/>
                <w:kern w:val="0"/>
                <w:sz w:val="24"/>
              </w:rPr>
            </w:pPr>
            <w:r>
              <w:rPr>
                <w:rFonts w:eastAsiaTheme="minorEastAsia"/>
                <w:b/>
                <w:kern w:val="0"/>
                <w:sz w:val="24"/>
              </w:rPr>
              <w:t>4、选址合理性分析</w:t>
            </w:r>
          </w:p>
          <w:p>
            <w:pPr>
              <w:widowControl/>
              <w:spacing w:line="360" w:lineRule="auto"/>
              <w:ind w:firstLine="480" w:firstLineChars="200"/>
              <w:rPr>
                <w:rFonts w:eastAsiaTheme="minorEastAsia"/>
                <w:bCs/>
                <w:sz w:val="24"/>
                <w:szCs w:val="22"/>
              </w:rPr>
            </w:pPr>
            <w:r>
              <w:rPr>
                <w:rFonts w:eastAsiaTheme="minorEastAsia"/>
                <w:bCs/>
                <w:sz w:val="24"/>
                <w:szCs w:val="22"/>
              </w:rPr>
              <w:t>项目位于陕西省渭南市大荔县官池镇经开区陕西丰仓原粮食产业开发有限公司厂区内，项目在现有生物质锅炉房内进行技改，不新增占地（土地手续见附件4）。</w:t>
            </w:r>
          </w:p>
          <w:p>
            <w:pPr>
              <w:widowControl/>
              <w:spacing w:line="360" w:lineRule="auto"/>
              <w:ind w:firstLine="480" w:firstLineChars="200"/>
              <w:rPr>
                <w:rFonts w:eastAsiaTheme="minorEastAsia"/>
                <w:bCs/>
                <w:sz w:val="24"/>
                <w:szCs w:val="22"/>
              </w:rPr>
            </w:pPr>
            <w:r>
              <w:rPr>
                <w:rFonts w:eastAsiaTheme="minorEastAsia"/>
                <w:bCs/>
                <w:sz w:val="24"/>
                <w:szCs w:val="22"/>
              </w:rPr>
              <w:t>项目四周西侧为厌氧发酵罐区、南侧为天然气锅炉房、东侧及北侧为厂内道路。建设地不在国家法律法规规划的饮用水水源地保护区、自然保护区、风景名胜区、生态功能保护区等需要特殊保护的地区范围内。</w:t>
            </w:r>
          </w:p>
          <w:p>
            <w:pPr>
              <w:widowControl/>
              <w:spacing w:after="0" w:line="360" w:lineRule="auto"/>
              <w:ind w:firstLine="480" w:firstLineChars="200"/>
              <w:rPr>
                <w:rFonts w:eastAsiaTheme="minorEastAsia"/>
                <w:bCs/>
                <w:sz w:val="24"/>
                <w:szCs w:val="22"/>
              </w:rPr>
            </w:pPr>
          </w:p>
        </w:tc>
      </w:tr>
    </w:tbl>
    <w:p>
      <w:pPr>
        <w:sectPr>
          <w:footerReference w:type="default" r:id="rId14"/>
          <w:type w:val="nextPage"/>
          <w:pgSz w:w="11906" w:h="16838"/>
          <w:pgMar w:top="1701" w:right="1531" w:bottom="1701" w:left="1531" w:header="851" w:footer="1077" w:gutter="0"/>
          <w:pgNumType w:start="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p>
            <w:pPr>
              <w:widowControl/>
              <w:spacing w:before="0" w:line="360" w:lineRule="auto"/>
              <w:ind w:firstLine="480" w:firstLineChars="200"/>
              <w:rPr>
                <w:rFonts w:eastAsiaTheme="minorEastAsia"/>
                <w:bCs/>
                <w:sz w:val="24"/>
                <w:szCs w:val="22"/>
              </w:rPr>
            </w:pPr>
            <w:r>
              <w:rPr>
                <w:rFonts w:eastAsiaTheme="minorEastAsia"/>
                <w:bCs/>
                <w:sz w:val="24"/>
                <w:szCs w:val="22"/>
              </w:rPr>
              <w:t>建设单位已在大荔县应急管理局作了重大危险源登记备案（备案编号：陕610523﹝2021﹞001，详见附件5），根据建设单位履行重大危险源登记备案制度时编制的《陕西丰仓原粮食产业开发有限公司小麦淀粉生产线副产品深加工项目危险化学品重大危险源安全评估报告》中表3.5-1的分析内容：“酒精生产车间甲类生产区周围50m范围内无重要公共建筑，30m范围内无明火或散发火花地点。厌氧罐与锅炉房的间距为21m，与锅炉炉口的最近距离为33m、酒精生产车间甲类生产区与北侧的粮食仓库相距80m，与西侧的淀粉生产车间相距80m，与西侧的办公室相距90m，符合《建筑设计防火规范》（GB50016-2014）中的相关要求”。</w:t>
            </w:r>
          </w:p>
          <w:p>
            <w:pPr>
              <w:widowControl/>
              <w:spacing w:line="360" w:lineRule="auto"/>
              <w:ind w:firstLine="480" w:firstLineChars="200"/>
              <w:rPr>
                <w:rFonts w:eastAsiaTheme="minorEastAsia"/>
                <w:bCs/>
                <w:sz w:val="24"/>
                <w:szCs w:val="22"/>
              </w:rPr>
            </w:pPr>
            <w:r>
              <w:rPr>
                <w:rFonts w:eastAsiaTheme="minorEastAsia"/>
                <w:bCs/>
                <w:sz w:val="24"/>
                <w:szCs w:val="22"/>
              </w:rPr>
              <w:t>项目产生的污染物在落实环评提出的相关措施后，均能达标排放或得到妥善处置，不会对环境产生较大影响。综上，项目选址合理。</w:t>
            </w:r>
          </w:p>
          <w:p>
            <w:pPr>
              <w:widowControl/>
              <w:spacing w:line="360" w:lineRule="auto"/>
              <w:ind w:firstLine="480" w:firstLineChars="200"/>
              <w:rPr>
                <w:rFonts w:eastAsiaTheme="minorEastAsia"/>
                <w:bCs/>
                <w:sz w:val="24"/>
                <w:szCs w:val="22"/>
              </w:rPr>
            </w:pPr>
          </w:p>
          <w:p>
            <w:pPr>
              <w:widowControl/>
              <w:spacing w:line="360" w:lineRule="auto"/>
              <w:ind w:firstLine="480" w:firstLineChars="200"/>
              <w:rPr>
                <w:rFonts w:eastAsiaTheme="minorEastAsia"/>
                <w:bCs/>
                <w:sz w:val="24"/>
                <w:szCs w:val="22"/>
              </w:rPr>
            </w:pPr>
          </w:p>
          <w:p>
            <w:pPr>
              <w:widowControl/>
              <w:spacing w:line="360" w:lineRule="auto"/>
              <w:ind w:firstLine="480" w:firstLineChars="200"/>
              <w:rPr>
                <w:rFonts w:eastAsiaTheme="minorEastAsia"/>
                <w:bCs/>
                <w:sz w:val="24"/>
                <w:szCs w:val="22"/>
              </w:rPr>
            </w:pPr>
          </w:p>
          <w:p>
            <w:pPr>
              <w:widowControl/>
              <w:spacing w:line="360" w:lineRule="auto"/>
              <w:ind w:firstLine="480" w:firstLineChars="200"/>
              <w:rPr>
                <w:rFonts w:eastAsiaTheme="minorEastAsia"/>
                <w:bCs/>
                <w:sz w:val="24"/>
                <w:szCs w:val="22"/>
              </w:rPr>
            </w:pPr>
          </w:p>
          <w:p>
            <w:pPr>
              <w:widowControl/>
              <w:spacing w:line="360" w:lineRule="auto"/>
              <w:ind w:firstLine="480" w:firstLineChars="200"/>
              <w:rPr>
                <w:rFonts w:eastAsiaTheme="minorEastAsia"/>
                <w:bCs/>
                <w:sz w:val="24"/>
                <w:szCs w:val="22"/>
              </w:rPr>
            </w:pPr>
          </w:p>
          <w:p>
            <w:pPr>
              <w:widowControl/>
              <w:spacing w:line="360" w:lineRule="auto"/>
              <w:ind w:firstLine="480" w:firstLineChars="200"/>
              <w:rPr>
                <w:rFonts w:eastAsiaTheme="minorEastAsia"/>
                <w:bCs/>
                <w:sz w:val="24"/>
                <w:szCs w:val="22"/>
              </w:rPr>
            </w:pPr>
          </w:p>
          <w:p>
            <w:pPr>
              <w:widowControl/>
              <w:spacing w:line="360" w:lineRule="auto"/>
              <w:rPr>
                <w:rFonts w:eastAsiaTheme="minorEastAsia"/>
                <w:bCs/>
                <w:sz w:val="24"/>
                <w:szCs w:val="22"/>
              </w:rPr>
            </w:pPr>
          </w:p>
          <w:p>
            <w:pPr>
              <w:widowControl/>
              <w:spacing w:line="360" w:lineRule="auto"/>
              <w:ind w:firstLine="480" w:firstLineChars="200"/>
              <w:rPr>
                <w:rFonts w:eastAsiaTheme="minorEastAsia"/>
                <w:bCs/>
                <w:sz w:val="24"/>
                <w:szCs w:val="22"/>
              </w:rPr>
            </w:pPr>
          </w:p>
          <w:p>
            <w:pPr>
              <w:widowControl/>
              <w:spacing w:line="360" w:lineRule="auto"/>
              <w:rPr>
                <w:rFonts w:eastAsiaTheme="minorEastAsia"/>
                <w:bCs/>
                <w:sz w:val="24"/>
                <w:szCs w:val="22"/>
              </w:rPr>
            </w:pPr>
          </w:p>
        </w:tc>
      </w:tr>
    </w:tbl>
    <w:p>
      <w:pPr>
        <w:spacing w:line="360" w:lineRule="auto"/>
        <w:jc w:val="center"/>
        <w:outlineLvl w:val="0"/>
        <w:rPr>
          <w:rFonts w:eastAsiaTheme="minorEastAsia"/>
          <w:sz w:val="30"/>
        </w:rPr>
        <w:sectPr>
          <w:footerReference w:type="default" r:id="rId15"/>
          <w:type w:val="nextPage"/>
          <w:pgSz w:w="11906" w:h="16838"/>
          <w:pgMar w:top="1701" w:right="1531" w:bottom="1701" w:left="1531" w:header="851" w:footer="1077" w:gutter="0"/>
          <w:pgNumType w:start="10"/>
          <w:cols w:num="1" w:space="720"/>
          <w:titlePg w:val="0"/>
          <w:docGrid w:linePitch="312" w:charSpace="0"/>
        </w:sectPr>
      </w:pPr>
    </w:p>
    <w:p>
      <w:pPr>
        <w:pStyle w:val="Title"/>
        <w:spacing w:line="240" w:lineRule="auto"/>
        <w:jc w:val="center"/>
        <w:rPr>
          <w:rFonts w:ascii="Times New Roman" w:hAnsi="Times New Roman" w:eastAsiaTheme="minorEastAsia"/>
          <w:snapToGrid w:val="0"/>
        </w:rPr>
      </w:pPr>
      <w:bookmarkStart w:id="3" w:name="_Toc80620564"/>
      <w:r>
        <w:rPr>
          <w:rFonts w:ascii="Times New Roman" w:hAnsi="Times New Roman" w:eastAsiaTheme="minorEastAsia"/>
          <w:snapToGrid w:val="0"/>
        </w:rPr>
        <w:t>二、建设项目工程分析</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435"/>
        <w:gridCol w:w="862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trHeight w:val="683"/>
          <w:jc w:val="center"/>
        </w:trPr>
        <w:tc>
          <w:tcPr>
            <w:tcW w:w="534" w:type="dxa"/>
            <w:vAlign w:val="center"/>
          </w:tcPr>
          <w:p>
            <w:pPr>
              <w:pStyle w:val="NormalWeb"/>
              <w:adjustRightInd w:val="0"/>
              <w:snapToGrid w:val="0"/>
              <w:spacing w:before="0" w:beforeAutospacing="0" w:after="0" w:afterAutospacing="0"/>
              <w:jc w:val="center"/>
              <w:rPr>
                <w:rFonts w:ascii="Times New Roman" w:hAnsi="Times New Roman" w:eastAsiaTheme="minorEastAsia"/>
                <w:b/>
                <w:szCs w:val="24"/>
              </w:rPr>
            </w:pPr>
            <w:bookmarkEnd w:id="3"/>
            <w:r>
              <w:rPr>
                <w:rFonts w:ascii="Times New Roman" w:hAnsi="Times New Roman" w:eastAsiaTheme="minorEastAsia"/>
                <w:b/>
                <w:szCs w:val="24"/>
              </w:rPr>
              <w:t>建</w:t>
            </w:r>
          </w:p>
          <w:p>
            <w:pPr>
              <w:pStyle w:val="NormalWeb"/>
              <w:adjustRightInd w:val="0"/>
              <w:snapToGrid w:val="0"/>
              <w:spacing w:before="0" w:beforeAutospacing="0" w:after="0" w:afterAutospacing="0"/>
              <w:jc w:val="center"/>
              <w:rPr>
                <w:rFonts w:ascii="Times New Roman" w:hAnsi="Times New Roman" w:eastAsiaTheme="minorEastAsia"/>
                <w:b/>
                <w:szCs w:val="24"/>
              </w:rPr>
            </w:pPr>
            <w:r>
              <w:rPr>
                <w:rFonts w:ascii="Times New Roman" w:hAnsi="Times New Roman" w:eastAsiaTheme="minorEastAsia"/>
                <w:b/>
                <w:szCs w:val="24"/>
              </w:rPr>
              <w:t>设</w:t>
            </w:r>
          </w:p>
          <w:p>
            <w:pPr>
              <w:pStyle w:val="NormalWeb"/>
              <w:adjustRightInd w:val="0"/>
              <w:snapToGrid w:val="0"/>
              <w:spacing w:before="0" w:beforeAutospacing="0" w:after="0" w:afterAutospacing="0"/>
              <w:jc w:val="center"/>
              <w:rPr>
                <w:rFonts w:ascii="Times New Roman" w:hAnsi="Times New Roman" w:eastAsiaTheme="minorEastAsia"/>
                <w:b/>
                <w:szCs w:val="24"/>
              </w:rPr>
            </w:pPr>
            <w:r>
              <w:rPr>
                <w:rFonts w:ascii="Times New Roman" w:hAnsi="Times New Roman" w:eastAsiaTheme="minorEastAsia"/>
                <w:b/>
                <w:szCs w:val="24"/>
              </w:rPr>
              <w:t>内</w:t>
            </w:r>
          </w:p>
          <w:p>
            <w:pPr>
              <w:pStyle w:val="NormalWeb"/>
              <w:adjustRightInd w:val="0"/>
              <w:snapToGrid w:val="0"/>
              <w:spacing w:before="0" w:beforeAutospacing="0" w:after="0" w:afterAutospacing="0"/>
              <w:jc w:val="center"/>
              <w:rPr>
                <w:rFonts w:ascii="Times New Roman" w:hAnsi="Times New Roman" w:eastAsiaTheme="minorEastAsia"/>
                <w:b/>
                <w:szCs w:val="24"/>
              </w:rPr>
            </w:pPr>
            <w:r>
              <w:rPr>
                <w:rFonts w:ascii="Times New Roman" w:hAnsi="Times New Roman" w:eastAsiaTheme="minorEastAsia"/>
                <w:b/>
                <w:szCs w:val="24"/>
              </w:rPr>
              <w:t>容</w:t>
            </w:r>
          </w:p>
        </w:tc>
        <w:tc>
          <w:tcPr>
            <w:tcW w:w="8526" w:type="dxa"/>
          </w:tcPr>
          <w:p>
            <w:pPr>
              <w:spacing w:line="360" w:lineRule="auto"/>
              <w:ind w:firstLine="480" w:firstLineChars="200"/>
              <w:rPr>
                <w:rFonts w:eastAsiaTheme="minorEastAsia"/>
                <w:b/>
                <w:snapToGrid w:val="0"/>
                <w:sz w:val="24"/>
              </w:rPr>
            </w:pPr>
            <w:r>
              <w:rPr>
                <w:rFonts w:eastAsiaTheme="minorEastAsia"/>
                <w:b/>
                <w:snapToGrid w:val="0"/>
                <w:sz w:val="24"/>
              </w:rPr>
              <w:t>1、项目由来</w:t>
            </w:r>
          </w:p>
          <w:p>
            <w:pPr>
              <w:pStyle w:val="Default1"/>
              <w:spacing w:line="360" w:lineRule="auto"/>
              <w:ind w:firstLine="480" w:firstLineChars="200"/>
              <w:jc w:val="both"/>
              <w:rPr>
                <w:rFonts w:ascii="Times New Roman" w:eastAsiaTheme="minorEastAsia" w:cs="Times New Roman"/>
                <w:color w:val="auto"/>
              </w:rPr>
            </w:pPr>
            <w:r>
              <w:rPr>
                <w:rFonts w:ascii="Times New Roman" w:eastAsiaTheme="minorEastAsia" w:cs="Times New Roman"/>
                <w:color w:val="auto"/>
              </w:rPr>
              <w:t>陕西丰仓原粮食产业开发有限公司成立于2019年02月20日，经营范围包括一般项目：粮食收购；食用农产品初加工；谷物销售；畜牧渔业饲料销售；农产品的生产、销售、加工、运输、贮藏及其他相关服务；进出口代理；技术进出口；货物进出口等。</w:t>
            </w:r>
          </w:p>
          <w:p>
            <w:pPr>
              <w:pStyle w:val="Default1"/>
              <w:spacing w:line="360" w:lineRule="auto"/>
              <w:ind w:firstLine="480" w:firstLineChars="200"/>
              <w:jc w:val="both"/>
              <w:rPr>
                <w:rFonts w:ascii="Times New Roman" w:eastAsiaTheme="minorEastAsia" w:cs="Times New Roman"/>
                <w:color w:val="auto"/>
              </w:rPr>
            </w:pPr>
            <w:r>
              <w:rPr>
                <w:rFonts w:ascii="Times New Roman" w:eastAsiaTheme="minorEastAsia" w:cs="Times New Roman" w:hint="eastAsia"/>
                <w:color w:val="auto"/>
              </w:rPr>
              <w:t>根据</w:t>
            </w:r>
            <w:r>
              <w:rPr>
                <w:rFonts w:ascii="Times New Roman" w:eastAsiaTheme="minorEastAsia" w:cs="Times New Roman"/>
                <w:color w:val="auto"/>
              </w:rPr>
              <w:t>《陕西丰仓原粮食产业开发有限公司小麦淀粉生产线副产品深加工技改项目环境影响报告表（2021.3）》和《陕西丰仓原粮食产业开发有限公司年产20万吨淀粉、8万吨谷朊粉生产线改扩建项目环境影响报告表（2021.3）》，</w:t>
            </w:r>
            <w:r>
              <w:rPr>
                <w:rFonts w:ascii="Times New Roman" w:eastAsiaTheme="minorEastAsia" w:cs="Times New Roman" w:hint="eastAsia"/>
                <w:color w:val="auto"/>
              </w:rPr>
              <w:t>公司对</w:t>
            </w:r>
            <w:r>
              <w:rPr>
                <w:rFonts w:ascii="Times New Roman" w:eastAsiaTheme="minorEastAsia" w:cs="Times New Roman"/>
                <w:color w:val="auto"/>
              </w:rPr>
              <w:t>原有的3台燃煤锅炉（</w:t>
            </w:r>
            <w:r>
              <w:rPr>
                <w:rFonts w:ascii="Times New Roman" w:eastAsiaTheme="minorEastAsia" w:cs="Times New Roman" w:hint="eastAsia"/>
                <w:color w:val="auto"/>
              </w:rPr>
              <w:t>其中</w:t>
            </w:r>
            <w:r>
              <w:rPr>
                <w:rFonts w:ascii="Times New Roman" w:eastAsiaTheme="minorEastAsia" w:cs="Times New Roman"/>
                <w:color w:val="auto"/>
              </w:rPr>
              <w:t>2台20t/h和1台10t/h燃煤蒸汽锅炉供热）拆除改造为生物质锅炉；改造完成</w:t>
            </w:r>
            <w:r>
              <w:rPr>
                <w:rFonts w:ascii="Times New Roman" w:eastAsiaTheme="minorEastAsia" w:cs="Times New Roman" w:hint="eastAsia"/>
                <w:color w:val="auto"/>
              </w:rPr>
              <w:t>后企业于2022年12月进行</w:t>
            </w:r>
            <w:r>
              <w:rPr>
                <w:rFonts w:ascii="Times New Roman" w:eastAsiaTheme="minorEastAsia" w:cs="Times New Roman"/>
                <w:color w:val="auto"/>
              </w:rPr>
              <w:t>1台20t生物质锅炉及1台10t生物质锅炉</w:t>
            </w:r>
            <w:r>
              <w:rPr>
                <w:rFonts w:ascii="Times New Roman" w:eastAsiaTheme="minorEastAsia" w:cs="Times New Roman" w:hint="eastAsia"/>
                <w:color w:val="auto"/>
              </w:rPr>
              <w:t>竣工环保</w:t>
            </w:r>
            <w:r>
              <w:rPr>
                <w:rFonts w:ascii="Times New Roman" w:eastAsiaTheme="minorEastAsia" w:cs="Times New Roman"/>
                <w:color w:val="auto"/>
              </w:rPr>
              <w:t>验收</w:t>
            </w:r>
            <w:r>
              <w:rPr>
                <w:rFonts w:ascii="Times New Roman" w:eastAsiaTheme="minorEastAsia" w:cs="Times New Roman" w:hint="eastAsia"/>
                <w:color w:val="auto"/>
              </w:rPr>
              <w:t>（因验收期间2万吨粗粮粉生产车间暂未建设，锅炉蒸汽尚能满足生产运行，所以原3台燃煤锅炉中</w:t>
            </w:r>
            <w:r>
              <w:rPr>
                <w:rFonts w:ascii="Times New Roman" w:eastAsiaTheme="minorEastAsia" w:cs="Times New Roman"/>
                <w:color w:val="auto"/>
              </w:rPr>
              <w:t>1台20t</w:t>
            </w:r>
            <w:r>
              <w:rPr>
                <w:rFonts w:ascii="Times New Roman" w:eastAsiaTheme="minorEastAsia" w:cs="Times New Roman" w:hint="eastAsia"/>
                <w:color w:val="auto"/>
              </w:rPr>
              <w:t>燃煤锅炉拆除后新未建）。按照原环评《陕西丰仓原粮食产业开发有限公司年产20万吨淀粉、8万吨谷朊粉生产线改扩建项目》中的2万吨粗粮粉（主要包括红薯粉、高粱粉、大麦粉和燕麦粉等）实际供热状况，存在锅炉供热能力完全不满足现有生产需要 。</w:t>
            </w:r>
          </w:p>
          <w:p>
            <w:pPr>
              <w:pStyle w:val="Default1"/>
              <w:spacing w:line="360" w:lineRule="auto"/>
              <w:ind w:firstLine="480" w:firstLineChars="200"/>
              <w:jc w:val="both"/>
              <w:rPr>
                <w:rFonts w:ascii="Times New Roman" w:eastAsiaTheme="minorEastAsia" w:cs="Times New Roman"/>
                <w:color w:val="auto"/>
              </w:rPr>
            </w:pPr>
            <w:r>
              <w:rPr>
                <w:rFonts w:ascii="Times New Roman" w:eastAsiaTheme="minorEastAsia" w:cs="Times New Roman" w:hint="eastAsia"/>
                <w:color w:val="auto"/>
              </w:rPr>
              <w:t>本次主要针对公司</w:t>
            </w:r>
            <w:r>
              <w:rPr>
                <w:rFonts w:ascii="Times New Roman" w:eastAsiaTheme="minorEastAsia" w:cs="Times New Roman"/>
                <w:color w:val="auto"/>
              </w:rPr>
              <w:t>为解决</w:t>
            </w:r>
            <w:r>
              <w:rPr>
                <w:rFonts w:ascii="Times New Roman" w:eastAsiaTheme="minorEastAsia" w:cs="Times New Roman" w:hint="eastAsia"/>
                <w:color w:val="auto"/>
              </w:rPr>
              <w:t>生产供热能力</w:t>
            </w:r>
            <w:r>
              <w:rPr>
                <w:rFonts w:ascii="Times New Roman" w:eastAsiaTheme="minorEastAsia" w:cs="Times New Roman"/>
                <w:color w:val="auto"/>
              </w:rPr>
              <w:t>不足的问题以及为了后续2万吨粗粮粉生产车间建成后供应蒸汽，</w:t>
            </w:r>
            <w:r>
              <w:rPr>
                <w:rFonts w:ascii="Times New Roman" w:eastAsiaTheme="minorEastAsia" w:cs="Times New Roman" w:hint="eastAsia"/>
                <w:color w:val="auto"/>
              </w:rPr>
              <w:t>公司</w:t>
            </w:r>
            <w:r>
              <w:rPr>
                <w:rFonts w:ascii="Times New Roman" w:eastAsiaTheme="minorEastAsia" w:cs="Times New Roman"/>
                <w:color w:val="auto"/>
              </w:rPr>
              <w:t>拟投资1000万元，将现</w:t>
            </w:r>
            <w:r>
              <w:rPr>
                <w:rFonts w:ascii="Times New Roman" w:eastAsiaTheme="minorEastAsia" w:cs="Times New Roman" w:hint="eastAsia"/>
                <w:color w:val="auto"/>
              </w:rPr>
              <w:t>实际</w:t>
            </w:r>
            <w:r>
              <w:rPr>
                <w:rFonts w:ascii="Times New Roman" w:eastAsiaTheme="minorEastAsia" w:cs="Times New Roman"/>
                <w:color w:val="auto"/>
              </w:rPr>
              <w:t>有的</w:t>
            </w:r>
            <w:r>
              <w:rPr>
                <w:rFonts w:ascii="Times New Roman" w:eastAsiaTheme="minorEastAsia" w:cs="Times New Roman" w:hint="eastAsia"/>
                <w:color w:val="auto"/>
              </w:rPr>
              <w:t>1</w:t>
            </w:r>
            <w:r>
              <w:rPr>
                <w:rFonts w:ascii="Times New Roman" w:eastAsiaTheme="minorEastAsia" w:cs="Times New Roman"/>
                <w:color w:val="auto"/>
              </w:rPr>
              <w:t>台20t/h和1台10t/h生物质锅炉</w:t>
            </w:r>
            <w:r>
              <w:rPr>
                <w:rFonts w:ascii="Times New Roman" w:eastAsiaTheme="minorEastAsia" w:cs="Times New Roman" w:hint="eastAsia"/>
                <w:color w:val="auto"/>
              </w:rPr>
              <w:t>全部</w:t>
            </w:r>
            <w:r>
              <w:rPr>
                <w:rFonts w:ascii="Times New Roman" w:eastAsiaTheme="minorEastAsia" w:cs="Times New Roman"/>
                <w:color w:val="auto"/>
              </w:rPr>
              <w:t>拆除，新增1台45t生物质锅炉，配套建设相应的环保设施及辅助设施。</w:t>
            </w:r>
          </w:p>
          <w:p>
            <w:pPr>
              <w:pStyle w:val="Default1"/>
              <w:spacing w:line="360" w:lineRule="auto"/>
              <w:ind w:firstLine="480" w:firstLineChars="200"/>
              <w:jc w:val="both"/>
              <w:rPr>
                <w:rFonts w:ascii="Times New Roman" w:eastAsiaTheme="minorEastAsia" w:cs="Times New Roman"/>
                <w:color w:val="auto"/>
              </w:rPr>
            </w:pPr>
            <w:r>
              <w:rPr>
                <w:rFonts w:ascii="Times New Roman" w:eastAsiaTheme="minorEastAsia" w:cs="Times New Roman"/>
                <w:color w:val="auto"/>
              </w:rPr>
              <w:t>项目采用生物质锅炉提供热能，结合生态环境局办公厅发布的《关于生物质锅炉等项目环评类别判定事宜的复函》（环办环评函[2021]264号），项目属于分类名录中“四十一、电力、热力生产和供应业 91热力生产和供应工程（包括建设单位自建自用的供热工程）使用其他高污染燃料的”，应编制环境影响报告表。为此，企业委托我单位承担本项目的环境影响评价工作（附件1）。接受委托后，我单位在现场踏勘、基础资料收集的基础上，编制了本项目的环境影响报告表。</w:t>
            </w:r>
          </w:p>
        </w:tc>
      </w:tr>
    </w:tbl>
    <w:p>
      <w:pPr>
        <w:sectPr>
          <w:footerReference w:type="default" r:id="rId16"/>
          <w:pgSz w:w="11906" w:h="16838"/>
          <w:pgMar w:top="1701" w:right="1531" w:bottom="1701" w:left="1531" w:header="851" w:footer="851" w:gutter="0"/>
          <w:pgNumType w:start="11"/>
          <w:cols w:num="1" w:space="72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435"/>
        <w:gridCol w:w="862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trHeight w:val="683"/>
          <w:jc w:val="center"/>
        </w:trPr>
        <w:tc>
          <w:tcPr>
            <w:tcW w:w="534" w:type="dxa"/>
            <w:vAlign w:val="center"/>
          </w:tcPr>
          <w:p/>
        </w:tc>
        <w:tc>
          <w:tcPr>
            <w:tcW w:w="8526" w:type="dxa"/>
          </w:tcPr>
          <w:p>
            <w:pPr>
              <w:spacing w:line="360" w:lineRule="auto"/>
              <w:ind w:firstLine="480" w:firstLineChars="200"/>
              <w:rPr>
                <w:rFonts w:eastAsiaTheme="minorEastAsia"/>
                <w:b/>
                <w:snapToGrid w:val="0"/>
                <w:sz w:val="24"/>
              </w:rPr>
            </w:pPr>
            <w:r>
              <w:rPr>
                <w:rFonts w:eastAsiaTheme="minorEastAsia"/>
                <w:b/>
                <w:snapToGrid w:val="0"/>
                <w:sz w:val="24"/>
              </w:rPr>
              <w:t>2、地理位置与交通</w:t>
            </w:r>
          </w:p>
          <w:p>
            <w:pPr>
              <w:widowControl/>
              <w:spacing w:line="360" w:lineRule="auto"/>
              <w:ind w:firstLine="480" w:firstLineChars="200"/>
              <w:rPr>
                <w:rFonts w:eastAsiaTheme="minorEastAsia"/>
                <w:sz w:val="24"/>
                <w:szCs w:val="14"/>
              </w:rPr>
            </w:pPr>
            <w:r>
              <w:rPr>
                <w:rStyle w:val="style171"/>
                <w:rFonts w:eastAsiaTheme="minorEastAsia"/>
                <w:sz w:val="24"/>
              </w:rPr>
              <w:t>本项目选址位于陕西省渭南市大荔县官池镇经开区陕西丰仓原粮食产业开发有限公司厂区内。</w:t>
            </w:r>
            <w:r>
              <w:rPr>
                <w:rFonts w:eastAsiaTheme="minorEastAsia"/>
                <w:bCs/>
                <w:sz w:val="24"/>
                <w:szCs w:val="22"/>
              </w:rPr>
              <w:t>项目四周西侧为厌氧发酵罐区、南侧为天然气锅炉房、东侧及北侧为厂内道路。</w:t>
            </w:r>
            <w:r>
              <w:rPr>
                <w:rStyle w:val="style171"/>
                <w:rFonts w:eastAsiaTheme="minorEastAsia"/>
                <w:sz w:val="24"/>
              </w:rPr>
              <w:t>项目地理坐标为：</w:t>
            </w:r>
            <w:r>
              <w:rPr>
                <w:rStyle w:val="style171"/>
                <w:rFonts w:eastAsiaTheme="minorEastAsia"/>
                <w:sz w:val="24"/>
                <w:szCs w:val="24"/>
              </w:rPr>
              <w:t>E</w:t>
            </w:r>
            <w:r>
              <w:rPr>
                <w:sz w:val="24"/>
              </w:rPr>
              <w:t xml:space="preserve"> </w:t>
            </w:r>
            <w:r>
              <w:rPr>
                <w:rFonts w:eastAsiaTheme="minorEastAsia"/>
                <w:sz w:val="24"/>
              </w:rPr>
              <w:t>109.944968969</w:t>
            </w:r>
            <w:r>
              <w:rPr>
                <w:rStyle w:val="style171"/>
                <w:rFonts w:eastAsiaTheme="minorEastAsia"/>
                <w:sz w:val="24"/>
                <w:szCs w:val="24"/>
              </w:rPr>
              <w:t>°，</w:t>
            </w:r>
            <w:r>
              <w:rPr>
                <w:rStyle w:val="style171"/>
                <w:rFonts w:eastAsiaTheme="minorEastAsia"/>
                <w:sz w:val="24"/>
              </w:rPr>
              <w:t>N</w:t>
            </w:r>
            <w:r>
              <w:rPr>
                <w:rFonts w:eastAsiaTheme="minorEastAsia"/>
              </w:rPr>
              <w:t xml:space="preserve"> </w:t>
            </w:r>
            <w:r>
              <w:rPr>
                <w:rStyle w:val="style171"/>
                <w:rFonts w:eastAsiaTheme="minorEastAsia"/>
                <w:sz w:val="24"/>
              </w:rPr>
              <w:t>34.722056674°</w:t>
            </w:r>
            <w:r>
              <w:rPr>
                <w:rStyle w:val="style331"/>
                <w:rFonts w:eastAsiaTheme="minorEastAsia"/>
                <w:color w:val="auto"/>
              </w:rPr>
              <w:t>；</w:t>
            </w:r>
            <w:r>
              <w:rPr>
                <w:rStyle w:val="style171"/>
                <w:rFonts w:eastAsiaTheme="minorEastAsia"/>
                <w:sz w:val="24"/>
              </w:rPr>
              <w:t>项目地理位置见附图1，周边环境关系见附图2。</w:t>
            </w:r>
          </w:p>
          <w:p>
            <w:pPr>
              <w:spacing w:line="360" w:lineRule="auto"/>
              <w:ind w:firstLine="480"/>
              <w:rPr>
                <w:rFonts w:eastAsiaTheme="minorEastAsia"/>
                <w:b/>
                <w:sz w:val="24"/>
              </w:rPr>
            </w:pPr>
            <w:r>
              <w:rPr>
                <w:rFonts w:eastAsiaTheme="minorEastAsia"/>
                <w:b/>
                <w:sz w:val="24"/>
              </w:rPr>
              <w:t>3、项目主要建设内容</w:t>
            </w:r>
          </w:p>
          <w:p>
            <w:pPr>
              <w:spacing w:line="360" w:lineRule="auto"/>
              <w:ind w:firstLine="480"/>
              <w:rPr>
                <w:rFonts w:eastAsiaTheme="minorEastAsia"/>
                <w:sz w:val="24"/>
              </w:rPr>
            </w:pPr>
            <w:r>
              <w:rPr>
                <w:rFonts w:eastAsiaTheme="minorEastAsia"/>
                <w:sz w:val="24"/>
              </w:rPr>
              <w:t>项目总占地面积1824平方米，在现有生物质锅炉房内将</w:t>
            </w:r>
            <w:r>
              <w:rPr>
                <w:rFonts w:eastAsiaTheme="minorEastAsia" w:hint="eastAsia"/>
                <w:sz w:val="24"/>
              </w:rPr>
              <w:t>现实际有</w:t>
            </w:r>
            <w:r>
              <w:rPr>
                <w:rFonts w:eastAsiaTheme="minorEastAsia"/>
                <w:sz w:val="24"/>
              </w:rPr>
              <w:t>的</w:t>
            </w:r>
            <w:r>
              <w:rPr>
                <w:rFonts w:eastAsiaTheme="minorEastAsia" w:hint="eastAsia"/>
                <w:sz w:val="24"/>
              </w:rPr>
              <w:t>1台20t/h和1台10t/h生物质锅炉</w:t>
            </w:r>
            <w:r>
              <w:rPr>
                <w:rFonts w:eastAsiaTheme="minorEastAsia"/>
                <w:sz w:val="24"/>
              </w:rPr>
              <w:t>拆除，并新增1台45t生物质锅炉，配套建设相应的环保设施及辅助设施。项目组成表详见表2-1。</w:t>
            </w:r>
          </w:p>
          <w:p>
            <w:pPr>
              <w:adjustRightInd w:val="0"/>
              <w:spacing w:before="48" w:beforeLines="20"/>
              <w:ind w:firstLine="470" w:firstLineChars="196"/>
              <w:jc w:val="center"/>
              <w:rPr>
                <w:rFonts w:eastAsiaTheme="minorEastAsia"/>
                <w:b/>
                <w:snapToGrid w:val="0"/>
                <w:sz w:val="24"/>
              </w:rPr>
            </w:pPr>
            <w:r>
              <w:rPr>
                <w:rFonts w:eastAsiaTheme="minorEastAsia"/>
                <w:b/>
                <w:snapToGrid w:val="0"/>
                <w:sz w:val="24"/>
              </w:rPr>
              <w:t>表2-1   项目组成及建设内容一览表</w:t>
            </w:r>
          </w:p>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449"/>
              <w:gridCol w:w="670"/>
              <w:gridCol w:w="5095"/>
              <w:gridCol w:w="2165"/>
            </w:tblGrid>
            <w:tr>
              <w:tblPrEx>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rPr>
                <w:tblHeader/>
              </w:trPr>
              <w:tc>
                <w:tcPr>
                  <w:tcW w:w="668" w:type="pct"/>
                  <w:gridSpan w:val="2"/>
                  <w:vAlign w:val="center"/>
                </w:tcPr>
                <w:p>
                  <w:pPr>
                    <w:adjustRightInd w:val="0"/>
                    <w:jc w:val="center"/>
                    <w:rPr>
                      <w:rFonts w:eastAsiaTheme="minorEastAsia"/>
                      <w:snapToGrid w:val="0"/>
                      <w:szCs w:val="21"/>
                    </w:rPr>
                  </w:pPr>
                  <w:r>
                    <w:rPr>
                      <w:rFonts w:eastAsiaTheme="minorEastAsia"/>
                      <w:snapToGrid w:val="0"/>
                      <w:szCs w:val="21"/>
                    </w:rPr>
                    <w:t>项目组成</w:t>
                  </w:r>
                </w:p>
              </w:tc>
              <w:tc>
                <w:tcPr>
                  <w:tcW w:w="3040" w:type="pct"/>
                  <w:vAlign w:val="center"/>
                </w:tcPr>
                <w:p>
                  <w:pPr>
                    <w:adjustRightInd w:val="0"/>
                    <w:jc w:val="center"/>
                    <w:rPr>
                      <w:rFonts w:eastAsiaTheme="minorEastAsia"/>
                      <w:snapToGrid w:val="0"/>
                      <w:szCs w:val="21"/>
                    </w:rPr>
                  </w:pPr>
                  <w:r>
                    <w:rPr>
                      <w:rFonts w:eastAsiaTheme="minorEastAsia"/>
                      <w:snapToGrid w:val="0"/>
                      <w:szCs w:val="21"/>
                    </w:rPr>
                    <w:t>主要建设内容</w:t>
                  </w:r>
                </w:p>
              </w:tc>
              <w:tc>
                <w:tcPr>
                  <w:tcW w:w="1292" w:type="pct"/>
                </w:tcPr>
                <w:p>
                  <w:pPr>
                    <w:adjustRightInd w:val="0"/>
                    <w:jc w:val="center"/>
                    <w:rPr>
                      <w:rFonts w:eastAsiaTheme="minorEastAsia"/>
                      <w:snapToGrid w:val="0"/>
                      <w:szCs w:val="21"/>
                    </w:rPr>
                  </w:pPr>
                  <w:r>
                    <w:rPr>
                      <w:rFonts w:eastAsiaTheme="minorEastAsia"/>
                      <w:snapToGrid w:val="0"/>
                      <w:szCs w:val="21"/>
                    </w:rPr>
                    <w:t>备注</w:t>
                  </w:r>
                </w:p>
              </w:tc>
            </w:tr>
            <w:tr>
              <w:tblPrEx>
                <w:tblW w:w="5000" w:type="pct"/>
                <w:tblInd w:w="0" w:type="dxa"/>
                <w:tblCellMar>
                  <w:top w:w="0" w:type="dxa"/>
                  <w:left w:w="0" w:type="dxa"/>
                  <w:bottom w:w="0" w:type="dxa"/>
                  <w:right w:w="0" w:type="dxa"/>
                </w:tblCellMar>
              </w:tblPrEx>
              <w:trPr>
                <w:trHeight w:val="565"/>
                <w:tblHeader/>
              </w:trPr>
              <w:tc>
                <w:tcPr>
                  <w:tcW w:w="268" w:type="pct"/>
                  <w:vAlign w:val="center"/>
                </w:tcPr>
                <w:p>
                  <w:pPr>
                    <w:adjustRightInd w:val="0"/>
                    <w:jc w:val="center"/>
                    <w:rPr>
                      <w:rFonts w:eastAsiaTheme="minorEastAsia"/>
                      <w:snapToGrid w:val="0"/>
                      <w:szCs w:val="21"/>
                    </w:rPr>
                  </w:pPr>
                  <w:r>
                    <w:rPr>
                      <w:rFonts w:eastAsiaTheme="minorEastAsia"/>
                      <w:snapToGrid w:val="0"/>
                      <w:szCs w:val="21"/>
                    </w:rPr>
                    <w:t>主体工程</w:t>
                  </w:r>
                </w:p>
              </w:tc>
              <w:tc>
                <w:tcPr>
                  <w:tcW w:w="400" w:type="pct"/>
                  <w:vAlign w:val="center"/>
                </w:tcPr>
                <w:p>
                  <w:pPr>
                    <w:adjustRightInd w:val="0"/>
                    <w:snapToGrid w:val="0"/>
                    <w:jc w:val="center"/>
                    <w:rPr>
                      <w:rFonts w:eastAsiaTheme="minorEastAsia"/>
                      <w:szCs w:val="21"/>
                    </w:rPr>
                  </w:pPr>
                  <w:r>
                    <w:rPr>
                      <w:rFonts w:eastAsiaTheme="minorEastAsia"/>
                      <w:szCs w:val="21"/>
                    </w:rPr>
                    <w:t>生物质锅炉房</w:t>
                  </w:r>
                </w:p>
              </w:tc>
              <w:tc>
                <w:tcPr>
                  <w:tcW w:w="3040" w:type="pct"/>
                  <w:vAlign w:val="center"/>
                </w:tcPr>
                <w:p>
                  <w:pPr>
                    <w:adjustRightInd w:val="0"/>
                    <w:jc w:val="left"/>
                    <w:rPr>
                      <w:rFonts w:eastAsiaTheme="minorEastAsia"/>
                      <w:snapToGrid w:val="0"/>
                      <w:szCs w:val="21"/>
                    </w:rPr>
                  </w:pPr>
                  <w:r>
                    <w:rPr>
                      <w:rFonts w:eastAsiaTheme="minorEastAsia"/>
                      <w:snapToGrid w:val="0"/>
                      <w:szCs w:val="21"/>
                    </w:rPr>
                    <w:t>占地面积约1200m</w:t>
                  </w:r>
                  <w:r>
                    <w:rPr>
                      <w:rFonts w:eastAsiaTheme="minorEastAsia"/>
                      <w:snapToGrid w:val="0"/>
                      <w:szCs w:val="21"/>
                      <w:vertAlign w:val="superscript"/>
                    </w:rPr>
                    <w:t>2</w:t>
                  </w:r>
                  <w:r>
                    <w:rPr>
                      <w:rFonts w:eastAsiaTheme="minorEastAsia"/>
                      <w:snapToGrid w:val="0"/>
                      <w:szCs w:val="21"/>
                    </w:rPr>
                    <w:t>，钢架结构，将</w:t>
                  </w:r>
                  <w:r>
                    <w:rPr>
                      <w:rFonts w:eastAsiaTheme="minorEastAsia" w:hint="eastAsia"/>
                      <w:snapToGrid w:val="0"/>
                      <w:szCs w:val="21"/>
                    </w:rPr>
                    <w:t>现实际有的1台20t/h和1台10t/h生物质锅炉</w:t>
                  </w:r>
                  <w:r>
                    <w:rPr>
                      <w:rFonts w:eastAsiaTheme="minorEastAsia"/>
                      <w:snapToGrid w:val="0"/>
                      <w:szCs w:val="21"/>
                    </w:rPr>
                    <w:t>拆除，新增1台45t生物质锅炉。</w:t>
                  </w:r>
                </w:p>
              </w:tc>
              <w:tc>
                <w:tcPr>
                  <w:tcW w:w="1292" w:type="pct"/>
                  <w:vAlign w:val="center"/>
                </w:tcPr>
                <w:p>
                  <w:pPr>
                    <w:adjustRightInd w:val="0"/>
                    <w:jc w:val="center"/>
                    <w:rPr>
                      <w:rFonts w:eastAsiaTheme="minorEastAsia"/>
                      <w:snapToGrid w:val="0"/>
                      <w:szCs w:val="21"/>
                    </w:rPr>
                  </w:pPr>
                  <w:r>
                    <w:rPr>
                      <w:rFonts w:eastAsiaTheme="minorEastAsia" w:hint="eastAsia"/>
                      <w:snapToGrid w:val="0"/>
                      <w:szCs w:val="21"/>
                    </w:rPr>
                    <w:t>利用原来锅炉房建筑，拆除室内原有的2台生物质锅炉，新建1台45t生物质锅炉</w:t>
                  </w:r>
                </w:p>
              </w:tc>
            </w:tr>
            <w:tr>
              <w:tblPrEx>
                <w:tblW w:w="5000" w:type="pct"/>
                <w:tblInd w:w="0" w:type="dxa"/>
                <w:tblCellMar>
                  <w:top w:w="0" w:type="dxa"/>
                  <w:left w:w="0" w:type="dxa"/>
                  <w:bottom w:w="0" w:type="dxa"/>
                  <w:right w:w="0" w:type="dxa"/>
                </w:tblCellMar>
              </w:tblPrEx>
              <w:trPr>
                <w:trHeight w:val="601"/>
                <w:tblHeader/>
              </w:trPr>
              <w:tc>
                <w:tcPr>
                  <w:tcW w:w="268" w:type="pct"/>
                  <w:vMerge w:val="restart"/>
                  <w:vAlign w:val="center"/>
                </w:tcPr>
                <w:p>
                  <w:pPr>
                    <w:adjustRightInd w:val="0"/>
                    <w:jc w:val="center"/>
                    <w:rPr>
                      <w:rFonts w:eastAsiaTheme="minorEastAsia"/>
                      <w:snapToGrid w:val="0"/>
                      <w:szCs w:val="21"/>
                    </w:rPr>
                  </w:pPr>
                  <w:r>
                    <w:rPr>
                      <w:rFonts w:eastAsiaTheme="minorEastAsia"/>
                      <w:snapToGrid w:val="0"/>
                      <w:szCs w:val="21"/>
                    </w:rPr>
                    <w:t>储运工程</w:t>
                  </w:r>
                </w:p>
              </w:tc>
              <w:tc>
                <w:tcPr>
                  <w:tcW w:w="400" w:type="pct"/>
                  <w:vAlign w:val="center"/>
                </w:tcPr>
                <w:p>
                  <w:pPr>
                    <w:adjustRightInd w:val="0"/>
                    <w:snapToGrid w:val="0"/>
                    <w:jc w:val="center"/>
                    <w:rPr>
                      <w:rFonts w:eastAsiaTheme="minorEastAsia"/>
                      <w:szCs w:val="21"/>
                    </w:rPr>
                  </w:pPr>
                  <w:r>
                    <w:rPr>
                      <w:rFonts w:eastAsiaTheme="minorEastAsia"/>
                      <w:szCs w:val="21"/>
                    </w:rPr>
                    <w:t>生物质储棚</w:t>
                  </w:r>
                </w:p>
              </w:tc>
              <w:tc>
                <w:tcPr>
                  <w:tcW w:w="3040" w:type="pct"/>
                  <w:vAlign w:val="center"/>
                </w:tcPr>
                <w:p>
                  <w:pPr>
                    <w:adjustRightInd w:val="0"/>
                    <w:snapToGrid w:val="0"/>
                    <w:jc w:val="left"/>
                    <w:rPr>
                      <w:rFonts w:eastAsiaTheme="minorEastAsia"/>
                      <w:szCs w:val="21"/>
                    </w:rPr>
                  </w:pPr>
                  <w:r>
                    <w:rPr>
                      <w:rFonts w:eastAsiaTheme="minorEastAsia"/>
                      <w:snapToGrid w:val="0"/>
                      <w:szCs w:val="21"/>
                    </w:rPr>
                    <w:t>占地面积450m</w:t>
                  </w:r>
                  <w:r>
                    <w:rPr>
                      <w:rFonts w:eastAsiaTheme="minorEastAsia"/>
                      <w:snapToGrid w:val="0"/>
                      <w:szCs w:val="21"/>
                      <w:vertAlign w:val="superscript"/>
                    </w:rPr>
                    <w:t>2</w:t>
                  </w:r>
                  <w:r>
                    <w:rPr>
                      <w:rFonts w:eastAsiaTheme="minorEastAsia"/>
                      <w:snapToGrid w:val="0"/>
                      <w:szCs w:val="21"/>
                    </w:rPr>
                    <w:t>，钢架结构，位于厂区东侧，地面进行硬化处理。</w:t>
                  </w:r>
                </w:p>
              </w:tc>
              <w:tc>
                <w:tcPr>
                  <w:tcW w:w="1292" w:type="pct"/>
                  <w:vMerge w:val="restart"/>
                  <w:vAlign w:val="center"/>
                </w:tcPr>
                <w:p>
                  <w:pPr>
                    <w:adjustRightInd w:val="0"/>
                    <w:snapToGrid w:val="0"/>
                    <w:jc w:val="center"/>
                    <w:rPr>
                      <w:rFonts w:eastAsiaTheme="minorEastAsia"/>
                      <w:snapToGrid w:val="0"/>
                      <w:szCs w:val="21"/>
                    </w:rPr>
                  </w:pPr>
                  <w:r>
                    <w:rPr>
                      <w:rFonts w:eastAsiaTheme="minorEastAsia"/>
                      <w:snapToGrid w:val="0"/>
                      <w:szCs w:val="21"/>
                    </w:rPr>
                    <w:t>依托现有</w:t>
                  </w:r>
                </w:p>
              </w:tc>
            </w:tr>
            <w:tr>
              <w:tblPrEx>
                <w:tblW w:w="5000" w:type="pct"/>
                <w:tblInd w:w="0" w:type="dxa"/>
                <w:tblCellMar>
                  <w:top w:w="0" w:type="dxa"/>
                  <w:left w:w="0" w:type="dxa"/>
                  <w:bottom w:w="0" w:type="dxa"/>
                  <w:right w:w="0" w:type="dxa"/>
                </w:tblCellMar>
              </w:tblPrEx>
              <w:trPr>
                <w:tblHeader/>
              </w:trPr>
              <w:tc>
                <w:tcPr>
                  <w:tcW w:w="268" w:type="pct"/>
                  <w:vMerge/>
                  <w:vAlign w:val="center"/>
                </w:tcPr>
                <w:p>
                  <w:pPr>
                    <w:adjustRightInd w:val="0"/>
                    <w:jc w:val="center"/>
                    <w:rPr>
                      <w:rFonts w:eastAsiaTheme="minorEastAsia"/>
                      <w:snapToGrid w:val="0"/>
                      <w:szCs w:val="21"/>
                    </w:rPr>
                  </w:pPr>
                </w:p>
              </w:tc>
              <w:tc>
                <w:tcPr>
                  <w:tcW w:w="400" w:type="pct"/>
                  <w:vAlign w:val="center"/>
                </w:tcPr>
                <w:p>
                  <w:pPr>
                    <w:adjustRightInd w:val="0"/>
                    <w:snapToGrid w:val="0"/>
                    <w:jc w:val="center"/>
                    <w:rPr>
                      <w:rFonts w:eastAsiaTheme="minorEastAsia"/>
                      <w:szCs w:val="21"/>
                    </w:rPr>
                  </w:pPr>
                  <w:r>
                    <w:rPr>
                      <w:rFonts w:eastAsiaTheme="minorEastAsia"/>
                      <w:szCs w:val="21"/>
                    </w:rPr>
                    <w:t>灰渣储存棚</w:t>
                  </w:r>
                </w:p>
              </w:tc>
              <w:tc>
                <w:tcPr>
                  <w:tcW w:w="3040" w:type="pct"/>
                  <w:vAlign w:val="center"/>
                </w:tcPr>
                <w:p>
                  <w:pPr>
                    <w:adjustRightInd w:val="0"/>
                    <w:snapToGrid w:val="0"/>
                    <w:jc w:val="left"/>
                    <w:rPr>
                      <w:rFonts w:eastAsiaTheme="minorEastAsia"/>
                      <w:szCs w:val="21"/>
                    </w:rPr>
                  </w:pPr>
                  <w:r>
                    <w:rPr>
                      <w:szCs w:val="21"/>
                    </w:rPr>
                    <w:t>位于生物质储棚内，密闭建设，占地面积50m</w:t>
                  </w:r>
                  <w:r>
                    <w:rPr>
                      <w:szCs w:val="21"/>
                      <w:vertAlign w:val="superscript"/>
                    </w:rPr>
                    <w:t>2</w:t>
                  </w:r>
                  <w:r>
                    <w:rPr>
                      <w:szCs w:val="21"/>
                    </w:rPr>
                    <w:t>，地面已硬化。</w:t>
                  </w:r>
                </w:p>
              </w:tc>
              <w:tc>
                <w:tcPr>
                  <w:tcW w:w="1292" w:type="pct"/>
                  <w:vMerge/>
                  <w:vAlign w:val="center"/>
                </w:tcPr>
                <w:p>
                  <w:pPr>
                    <w:adjustRightInd w:val="0"/>
                    <w:snapToGrid w:val="0"/>
                    <w:jc w:val="center"/>
                    <w:rPr>
                      <w:rFonts w:eastAsiaTheme="minorEastAsia"/>
                      <w:snapToGrid w:val="0"/>
                      <w:szCs w:val="21"/>
                    </w:rPr>
                  </w:pPr>
                </w:p>
              </w:tc>
            </w:tr>
            <w:tr>
              <w:tblPrEx>
                <w:tblW w:w="5000" w:type="pct"/>
                <w:tblInd w:w="0" w:type="dxa"/>
                <w:tblCellMar>
                  <w:top w:w="0" w:type="dxa"/>
                  <w:left w:w="0" w:type="dxa"/>
                  <w:bottom w:w="0" w:type="dxa"/>
                  <w:right w:w="0" w:type="dxa"/>
                </w:tblCellMar>
              </w:tblPrEx>
              <w:tc>
                <w:tcPr>
                  <w:tcW w:w="268" w:type="pct"/>
                  <w:vMerge w:val="restart"/>
                  <w:vAlign w:val="center"/>
                </w:tcPr>
                <w:p>
                  <w:pPr>
                    <w:adjustRightInd w:val="0"/>
                    <w:jc w:val="center"/>
                    <w:rPr>
                      <w:rFonts w:eastAsiaTheme="minorEastAsia"/>
                      <w:snapToGrid w:val="0"/>
                      <w:szCs w:val="21"/>
                    </w:rPr>
                  </w:pPr>
                  <w:r>
                    <w:rPr>
                      <w:rFonts w:eastAsiaTheme="minorEastAsia"/>
                      <w:snapToGrid w:val="0"/>
                      <w:szCs w:val="21"/>
                    </w:rPr>
                    <w:t>公用工程</w:t>
                  </w:r>
                </w:p>
              </w:tc>
              <w:tc>
                <w:tcPr>
                  <w:tcW w:w="400" w:type="pct"/>
                  <w:vAlign w:val="center"/>
                </w:tcPr>
                <w:p>
                  <w:pPr>
                    <w:jc w:val="center"/>
                    <w:rPr>
                      <w:szCs w:val="21"/>
                    </w:rPr>
                  </w:pPr>
                  <w:r>
                    <w:rPr>
                      <w:szCs w:val="21"/>
                    </w:rPr>
                    <w:t>蒸气供热</w:t>
                  </w:r>
                </w:p>
              </w:tc>
              <w:tc>
                <w:tcPr>
                  <w:tcW w:w="3040" w:type="pct"/>
                  <w:vAlign w:val="center"/>
                </w:tcPr>
                <w:p>
                  <w:pPr>
                    <w:jc w:val="left"/>
                    <w:rPr>
                      <w:szCs w:val="21"/>
                    </w:rPr>
                  </w:pPr>
                  <w:r>
                    <w:rPr>
                      <w:szCs w:val="21"/>
                    </w:rPr>
                    <w:t>将</w:t>
                  </w:r>
                  <w:r>
                    <w:rPr>
                      <w:rFonts w:hint="eastAsia"/>
                      <w:szCs w:val="21"/>
                    </w:rPr>
                    <w:t>现实际有的1台20t/h和1台10t/h生物质锅炉</w:t>
                  </w:r>
                  <w:r>
                    <w:rPr>
                      <w:szCs w:val="21"/>
                    </w:rPr>
                    <w:t>拆除，新增1台45t生物质锅炉，为厂区生产线提供蒸汽。</w:t>
                  </w:r>
                </w:p>
              </w:tc>
              <w:tc>
                <w:tcPr>
                  <w:tcW w:w="1292" w:type="pct"/>
                  <w:vAlign w:val="center"/>
                </w:tcPr>
                <w:p>
                  <w:pPr>
                    <w:jc w:val="center"/>
                    <w:rPr>
                      <w:szCs w:val="21"/>
                    </w:rPr>
                  </w:pPr>
                  <w:r>
                    <w:rPr>
                      <w:szCs w:val="21"/>
                    </w:rPr>
                    <w:t>改造</w:t>
                  </w:r>
                </w:p>
              </w:tc>
            </w:tr>
            <w:tr>
              <w:tblPrEx>
                <w:tblW w:w="5000" w:type="pct"/>
                <w:tblInd w:w="0" w:type="dxa"/>
                <w:tblCellMar>
                  <w:top w:w="0" w:type="dxa"/>
                  <w:left w:w="0" w:type="dxa"/>
                  <w:bottom w:w="0" w:type="dxa"/>
                  <w:right w:w="0" w:type="dxa"/>
                </w:tblCellMar>
              </w:tblPrEx>
              <w:tc>
                <w:tcPr>
                  <w:tcW w:w="268" w:type="pct"/>
                  <w:vMerge/>
                  <w:vAlign w:val="center"/>
                </w:tcPr>
                <w:p>
                  <w:pPr>
                    <w:widowControl/>
                    <w:jc w:val="center"/>
                    <w:rPr>
                      <w:rFonts w:eastAsiaTheme="minorEastAsia"/>
                      <w:snapToGrid w:val="0"/>
                      <w:szCs w:val="21"/>
                    </w:rPr>
                  </w:pPr>
                </w:p>
              </w:tc>
              <w:tc>
                <w:tcPr>
                  <w:tcW w:w="400" w:type="pct"/>
                  <w:vAlign w:val="center"/>
                </w:tcPr>
                <w:p>
                  <w:pPr>
                    <w:jc w:val="center"/>
                    <w:rPr>
                      <w:szCs w:val="21"/>
                    </w:rPr>
                  </w:pPr>
                  <w:r>
                    <w:rPr>
                      <w:szCs w:val="21"/>
                    </w:rPr>
                    <w:t>软水制备</w:t>
                  </w:r>
                </w:p>
              </w:tc>
              <w:tc>
                <w:tcPr>
                  <w:tcW w:w="3040" w:type="pct"/>
                  <w:vAlign w:val="center"/>
                </w:tcPr>
                <w:p>
                  <w:pPr>
                    <w:jc w:val="left"/>
                    <w:rPr>
                      <w:szCs w:val="21"/>
                    </w:rPr>
                  </w:pPr>
                  <w:r>
                    <w:rPr>
                      <w:szCs w:val="21"/>
                    </w:rPr>
                    <w:t>使用超滤+反渗透+脱盐水箱工艺制备软水。</w:t>
                  </w:r>
                </w:p>
              </w:tc>
              <w:tc>
                <w:tcPr>
                  <w:tcW w:w="1292" w:type="pct"/>
                  <w:vAlign w:val="center"/>
                </w:tcPr>
                <w:p>
                  <w:pPr>
                    <w:jc w:val="center"/>
                    <w:rPr>
                      <w:szCs w:val="21"/>
                    </w:rPr>
                  </w:pPr>
                  <w:r>
                    <w:rPr>
                      <w:szCs w:val="21"/>
                    </w:rPr>
                    <w:t>依托现有</w:t>
                  </w:r>
                </w:p>
              </w:tc>
            </w:tr>
            <w:tr>
              <w:tblPrEx>
                <w:tblW w:w="5000" w:type="pct"/>
                <w:tblInd w:w="0" w:type="dxa"/>
                <w:tblCellMar>
                  <w:top w:w="0" w:type="dxa"/>
                  <w:left w:w="0" w:type="dxa"/>
                  <w:bottom w:w="0" w:type="dxa"/>
                  <w:right w:w="0" w:type="dxa"/>
                </w:tblCellMar>
              </w:tblPrEx>
              <w:tc>
                <w:tcPr>
                  <w:tcW w:w="268" w:type="pct"/>
                  <w:vMerge/>
                  <w:vAlign w:val="center"/>
                </w:tcPr>
                <w:p>
                  <w:pPr>
                    <w:widowControl/>
                    <w:jc w:val="center"/>
                    <w:rPr>
                      <w:rFonts w:eastAsiaTheme="minorEastAsia"/>
                      <w:snapToGrid w:val="0"/>
                      <w:szCs w:val="21"/>
                    </w:rPr>
                  </w:pPr>
                </w:p>
              </w:tc>
              <w:tc>
                <w:tcPr>
                  <w:tcW w:w="400" w:type="pct"/>
                  <w:vAlign w:val="center"/>
                </w:tcPr>
                <w:p>
                  <w:pPr>
                    <w:jc w:val="center"/>
                    <w:rPr>
                      <w:szCs w:val="21"/>
                    </w:rPr>
                  </w:pPr>
                  <w:r>
                    <w:rPr>
                      <w:szCs w:val="21"/>
                    </w:rPr>
                    <w:t>供电</w:t>
                  </w:r>
                </w:p>
              </w:tc>
              <w:tc>
                <w:tcPr>
                  <w:tcW w:w="3040" w:type="pct"/>
                  <w:vAlign w:val="center"/>
                </w:tcPr>
                <w:p>
                  <w:pPr>
                    <w:jc w:val="left"/>
                    <w:rPr>
                      <w:szCs w:val="21"/>
                    </w:rPr>
                  </w:pPr>
                  <w:r>
                    <w:rPr>
                      <w:szCs w:val="21"/>
                    </w:rPr>
                    <w:t>由园区市政供电管网接入。</w:t>
                  </w:r>
                </w:p>
              </w:tc>
              <w:tc>
                <w:tcPr>
                  <w:tcW w:w="1292" w:type="pct"/>
                  <w:vAlign w:val="center"/>
                </w:tcPr>
                <w:p>
                  <w:pPr>
                    <w:jc w:val="center"/>
                    <w:rPr>
                      <w:szCs w:val="21"/>
                    </w:rPr>
                  </w:pPr>
                  <w:r>
                    <w:rPr>
                      <w:szCs w:val="21"/>
                    </w:rPr>
                    <w:t>依托现有</w:t>
                  </w:r>
                </w:p>
              </w:tc>
            </w:tr>
            <w:tr>
              <w:tblPrEx>
                <w:tblW w:w="5000" w:type="pct"/>
                <w:tblInd w:w="0" w:type="dxa"/>
                <w:tblCellMar>
                  <w:top w:w="0" w:type="dxa"/>
                  <w:left w:w="0" w:type="dxa"/>
                  <w:bottom w:w="0" w:type="dxa"/>
                  <w:right w:w="0" w:type="dxa"/>
                </w:tblCellMar>
              </w:tblPrEx>
              <w:tc>
                <w:tcPr>
                  <w:tcW w:w="268" w:type="pct"/>
                  <w:vMerge/>
                  <w:vAlign w:val="center"/>
                </w:tcPr>
                <w:p>
                  <w:pPr>
                    <w:widowControl/>
                    <w:jc w:val="center"/>
                    <w:rPr>
                      <w:rFonts w:eastAsiaTheme="minorEastAsia"/>
                      <w:snapToGrid w:val="0"/>
                      <w:szCs w:val="21"/>
                    </w:rPr>
                  </w:pPr>
                </w:p>
              </w:tc>
              <w:tc>
                <w:tcPr>
                  <w:tcW w:w="400" w:type="pct"/>
                  <w:vAlign w:val="center"/>
                </w:tcPr>
                <w:p>
                  <w:pPr>
                    <w:jc w:val="center"/>
                    <w:rPr>
                      <w:szCs w:val="21"/>
                    </w:rPr>
                  </w:pPr>
                  <w:r>
                    <w:rPr>
                      <w:szCs w:val="21"/>
                    </w:rPr>
                    <w:t>制冷及供暖</w:t>
                  </w:r>
                </w:p>
              </w:tc>
              <w:tc>
                <w:tcPr>
                  <w:tcW w:w="3040" w:type="pct"/>
                  <w:vAlign w:val="center"/>
                </w:tcPr>
                <w:p>
                  <w:pPr>
                    <w:jc w:val="left"/>
                    <w:rPr>
                      <w:szCs w:val="21"/>
                    </w:rPr>
                  </w:pPr>
                  <w:r>
                    <w:rPr>
                      <w:spacing w:val="-4"/>
                      <w:szCs w:val="21"/>
                    </w:rPr>
                    <w:t>生产区无需供暖。</w:t>
                  </w:r>
                </w:p>
              </w:tc>
              <w:tc>
                <w:tcPr>
                  <w:tcW w:w="1292" w:type="pct"/>
                  <w:vAlign w:val="center"/>
                </w:tcPr>
                <w:p>
                  <w:pPr>
                    <w:jc w:val="center"/>
                    <w:rPr>
                      <w:szCs w:val="21"/>
                    </w:rPr>
                  </w:pPr>
                  <w:r>
                    <w:rPr>
                      <w:spacing w:val="-4"/>
                      <w:szCs w:val="21"/>
                    </w:rPr>
                    <w:t>/</w:t>
                  </w:r>
                </w:p>
              </w:tc>
            </w:tr>
            <w:tr>
              <w:tblPrEx>
                <w:tblW w:w="5000" w:type="pct"/>
                <w:tblInd w:w="0" w:type="dxa"/>
                <w:tblCellMar>
                  <w:top w:w="0" w:type="dxa"/>
                  <w:left w:w="0" w:type="dxa"/>
                  <w:bottom w:w="0" w:type="dxa"/>
                  <w:right w:w="0" w:type="dxa"/>
                </w:tblCellMar>
              </w:tblPrEx>
              <w:tc>
                <w:tcPr>
                  <w:tcW w:w="268" w:type="pct"/>
                  <w:vMerge w:val="restart"/>
                  <w:vAlign w:val="center"/>
                </w:tcPr>
                <w:p>
                  <w:pPr>
                    <w:adjustRightInd w:val="0"/>
                    <w:jc w:val="center"/>
                    <w:rPr>
                      <w:rFonts w:eastAsiaTheme="minorEastAsia"/>
                      <w:snapToGrid w:val="0"/>
                      <w:szCs w:val="21"/>
                    </w:rPr>
                  </w:pPr>
                  <w:r>
                    <w:rPr>
                      <w:rFonts w:eastAsiaTheme="minorEastAsia"/>
                      <w:snapToGrid w:val="0"/>
                      <w:szCs w:val="21"/>
                    </w:rPr>
                    <w:t>环保工程</w:t>
                  </w:r>
                </w:p>
              </w:tc>
              <w:tc>
                <w:tcPr>
                  <w:tcW w:w="400" w:type="pct"/>
                  <w:vAlign w:val="center"/>
                </w:tcPr>
                <w:p>
                  <w:pPr>
                    <w:adjustRightInd w:val="0"/>
                    <w:jc w:val="center"/>
                    <w:rPr>
                      <w:rFonts w:eastAsiaTheme="minorEastAsia"/>
                      <w:snapToGrid w:val="0"/>
                      <w:szCs w:val="21"/>
                    </w:rPr>
                  </w:pPr>
                  <w:r>
                    <w:rPr>
                      <w:rFonts w:eastAsiaTheme="minorEastAsia"/>
                      <w:snapToGrid w:val="0"/>
                      <w:szCs w:val="21"/>
                    </w:rPr>
                    <w:t>废气</w:t>
                  </w:r>
                </w:p>
              </w:tc>
              <w:tc>
                <w:tcPr>
                  <w:tcW w:w="3040" w:type="pct"/>
                  <w:vAlign w:val="center"/>
                </w:tcPr>
                <w:p>
                  <w:pPr>
                    <w:jc w:val="left"/>
                    <w:rPr>
                      <w:spacing w:val="-4"/>
                      <w:szCs w:val="21"/>
                    </w:rPr>
                  </w:pPr>
                  <w:r>
                    <w:rPr>
                      <w:spacing w:val="-4"/>
                      <w:szCs w:val="21"/>
                    </w:rPr>
                    <w:t>生物质锅炉燃烧废气安装多管除尘+袋式除尘及SNCR（炉内脱硝），处理后废气通过现有1根45m高排气筒排放。</w:t>
                  </w:r>
                </w:p>
              </w:tc>
              <w:tc>
                <w:tcPr>
                  <w:tcW w:w="1292" w:type="pct"/>
                  <w:vAlign w:val="center"/>
                </w:tcPr>
                <w:p>
                  <w:pPr>
                    <w:jc w:val="center"/>
                    <w:rPr>
                      <w:spacing w:val="-4"/>
                      <w:szCs w:val="21"/>
                    </w:rPr>
                  </w:pPr>
                  <w:r>
                    <w:rPr>
                      <w:szCs w:val="21"/>
                    </w:rPr>
                    <w:t>排气筒依托现有，袋式除尘器、多管除尘及SNCR为本次新增</w:t>
                  </w:r>
                </w:p>
              </w:tc>
            </w:tr>
            <w:tr>
              <w:tblPrEx>
                <w:tblW w:w="5000" w:type="pct"/>
                <w:tblInd w:w="0" w:type="dxa"/>
                <w:tblCellMar>
                  <w:top w:w="0" w:type="dxa"/>
                  <w:left w:w="0" w:type="dxa"/>
                  <w:bottom w:w="0" w:type="dxa"/>
                  <w:right w:w="0" w:type="dxa"/>
                </w:tblCellMar>
              </w:tblPrEx>
              <w:tc>
                <w:tcPr>
                  <w:tcW w:w="268" w:type="pct"/>
                  <w:vMerge/>
                  <w:vAlign w:val="center"/>
                </w:tcPr>
                <w:p>
                  <w:pPr>
                    <w:widowControl/>
                    <w:jc w:val="center"/>
                    <w:rPr>
                      <w:rFonts w:eastAsiaTheme="minorEastAsia"/>
                      <w:snapToGrid w:val="0"/>
                      <w:szCs w:val="21"/>
                    </w:rPr>
                  </w:pPr>
                </w:p>
              </w:tc>
              <w:tc>
                <w:tcPr>
                  <w:tcW w:w="400" w:type="pct"/>
                  <w:vAlign w:val="center"/>
                </w:tcPr>
                <w:p>
                  <w:pPr>
                    <w:adjustRightInd w:val="0"/>
                    <w:jc w:val="center"/>
                    <w:rPr>
                      <w:rFonts w:eastAsiaTheme="minorEastAsia"/>
                      <w:snapToGrid w:val="0"/>
                      <w:szCs w:val="21"/>
                    </w:rPr>
                  </w:pPr>
                  <w:r>
                    <w:rPr>
                      <w:rFonts w:eastAsiaTheme="minorEastAsia"/>
                      <w:snapToGrid w:val="0"/>
                      <w:szCs w:val="21"/>
                    </w:rPr>
                    <w:t>废水</w:t>
                  </w:r>
                </w:p>
              </w:tc>
              <w:tc>
                <w:tcPr>
                  <w:tcW w:w="3040" w:type="pct"/>
                  <w:vAlign w:val="center"/>
                </w:tcPr>
                <w:p>
                  <w:pPr>
                    <w:spacing w:after="0" w:line="276" w:lineRule="auto"/>
                    <w:jc w:val="left"/>
                    <w:rPr>
                      <w:szCs w:val="21"/>
                    </w:rPr>
                  </w:pPr>
                </w:p>
              </w:tc>
              <w:tc>
                <w:tcPr>
                  <w:tcW w:w="1292" w:type="pct"/>
                  <w:vAlign w:val="center"/>
                </w:tcPr>
                <w:p>
                  <w:pPr>
                    <w:adjustRightInd w:val="0"/>
                    <w:jc w:val="center"/>
                    <w:rPr>
                      <w:rFonts w:eastAsiaTheme="minorEastAsia"/>
                      <w:snapToGrid w:val="0"/>
                      <w:szCs w:val="21"/>
                    </w:rPr>
                  </w:pPr>
                  <w:r>
                    <w:rPr>
                      <w:szCs w:val="21"/>
                    </w:rPr>
                    <w:t>依托现有</w:t>
                  </w:r>
                </w:p>
              </w:tc>
            </w:tr>
          </w:tbl>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https://d.book118.com/566020121000010104</w:t>
        </w:r>
      </w:hyperlink>
    </w:p>
    <w:p/>
    <w:sectPr>
      <w:footerReference w:type="default" r:id="rId18"/>
      <w:type w:val="nextPage"/>
      <w:pgSz w:w="11906" w:h="16838"/>
      <w:pgMar w:top="1701" w:right="1531" w:bottom="1701" w:left="1531" w:header="851" w:footer="851" w:gutter="0"/>
      <w:pgNumType w:start="12"/>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宋体..壮..">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1</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2</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3</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4</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5</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7</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7</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9</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9</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10</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11</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12</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779D5DF"/>
    <w:multiLevelType w:val="singleLevel"/>
    <w:tmpl w:val="9779D5DF"/>
    <w:lvl w:ilvl="0">
      <w:start w:val="1"/>
      <w:numFmt w:val="chineseCounting"/>
      <w:suff w:val="nothing"/>
      <w:lvlText w:val="%1、"/>
      <w:lvlJc w:val="left"/>
      <w:rPr>
        <w:rFonts w:hint="eastAsia"/>
      </w:rPr>
    </w:lvl>
  </w:abstractNum>
  <w:abstractNum w:abstractNumId="1">
    <w:nsid w:val="12626BD3"/>
    <w:multiLevelType w:val="multilevel"/>
    <w:tmpl w:val="12626BD3"/>
    <w:lvl w:ilvl="0">
      <w:start w:val="0"/>
      <w:numFmt w:val="bullet"/>
      <w:lvlText w:val="■"/>
      <w:lvlJc w:val="left"/>
      <w:pPr>
        <w:ind w:left="811" w:hanging="404"/>
      </w:pPr>
      <w:rPr>
        <w:rFonts w:ascii="Times New Roman" w:eastAsia="Times New Roman" w:hAnsi="Times New Roman" w:cs="Times New Roman" w:hint="default"/>
        <w:w w:val="99"/>
        <w:sz w:val="32"/>
        <w:szCs w:val="32"/>
        <w:lang w:val="zh-CN" w:eastAsia="zh-CN" w:bidi="zh-CN"/>
      </w:rPr>
    </w:lvl>
    <w:lvl w:ilvl="1">
      <w:start w:val="0"/>
      <w:numFmt w:val="bullet"/>
      <w:lvlText w:val="•"/>
      <w:lvlJc w:val="left"/>
      <w:pPr>
        <w:ind w:left="878" w:hanging="404"/>
      </w:pPr>
      <w:rPr>
        <w:lang w:val="zh-CN" w:eastAsia="zh-CN" w:bidi="zh-CN"/>
      </w:rPr>
    </w:lvl>
    <w:lvl w:ilvl="2">
      <w:start w:val="0"/>
      <w:numFmt w:val="bullet"/>
      <w:lvlText w:val="•"/>
      <w:lvlJc w:val="left"/>
      <w:pPr>
        <w:ind w:left="936" w:hanging="404"/>
      </w:pPr>
      <w:rPr>
        <w:lang w:val="zh-CN" w:eastAsia="zh-CN" w:bidi="zh-CN"/>
      </w:rPr>
    </w:lvl>
    <w:lvl w:ilvl="3">
      <w:start w:val="0"/>
      <w:numFmt w:val="bullet"/>
      <w:lvlText w:val="•"/>
      <w:lvlJc w:val="left"/>
      <w:pPr>
        <w:ind w:left="994" w:hanging="404"/>
      </w:pPr>
      <w:rPr>
        <w:lang w:val="zh-CN" w:eastAsia="zh-CN" w:bidi="zh-CN"/>
      </w:rPr>
    </w:lvl>
    <w:lvl w:ilvl="4">
      <w:start w:val="0"/>
      <w:numFmt w:val="bullet"/>
      <w:lvlText w:val="•"/>
      <w:lvlJc w:val="left"/>
      <w:pPr>
        <w:ind w:left="1053" w:hanging="404"/>
      </w:pPr>
      <w:rPr>
        <w:lang w:val="zh-CN" w:eastAsia="zh-CN" w:bidi="zh-CN"/>
      </w:rPr>
    </w:lvl>
    <w:lvl w:ilvl="5">
      <w:start w:val="0"/>
      <w:numFmt w:val="bullet"/>
      <w:lvlText w:val="•"/>
      <w:lvlJc w:val="left"/>
      <w:pPr>
        <w:ind w:left="1111" w:hanging="404"/>
      </w:pPr>
      <w:rPr>
        <w:lang w:val="zh-CN" w:eastAsia="zh-CN" w:bidi="zh-CN"/>
      </w:rPr>
    </w:lvl>
    <w:lvl w:ilvl="6">
      <w:start w:val="0"/>
      <w:numFmt w:val="bullet"/>
      <w:lvlText w:val="•"/>
      <w:lvlJc w:val="left"/>
      <w:pPr>
        <w:ind w:left="1169" w:hanging="404"/>
      </w:pPr>
      <w:rPr>
        <w:lang w:val="zh-CN" w:eastAsia="zh-CN" w:bidi="zh-CN"/>
      </w:rPr>
    </w:lvl>
    <w:lvl w:ilvl="7">
      <w:start w:val="0"/>
      <w:numFmt w:val="bullet"/>
      <w:lvlText w:val="•"/>
      <w:lvlJc w:val="left"/>
      <w:pPr>
        <w:ind w:left="1228" w:hanging="404"/>
      </w:pPr>
      <w:rPr>
        <w:lang w:val="zh-CN" w:eastAsia="zh-CN" w:bidi="zh-CN"/>
      </w:rPr>
    </w:lvl>
    <w:lvl w:ilvl="8">
      <w:start w:val="0"/>
      <w:numFmt w:val="bullet"/>
      <w:lvlText w:val="•"/>
      <w:lvlJc w:val="left"/>
      <w:pPr>
        <w:ind w:left="1286" w:hanging="404"/>
      </w:pPr>
      <w:rPr>
        <w:lang w:val="zh-CN" w:eastAsia="zh-CN" w:bidi="zh-CN"/>
      </w:rPr>
    </w:lvl>
  </w:abstractNum>
  <w:abstractNum w:abstractNumId="2">
    <w:nsid w:val="4C7C75FC"/>
    <w:multiLevelType w:val="multilevel"/>
    <w:tmpl w:val="4C7C75F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69E70637"/>
    <w:multiLevelType w:val="multilevel"/>
    <w:tmpl w:val="69E7063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25"/>
  <w:bordersDoNotSurroundHeader/>
  <w:bordersDoNotSurroundFooter/>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ˇˉ―‖’”…∶、。〃々〉》」』】〕〗！＂＇），．：；？］｀｜｝～￠"/>
  <w:doNotEmbedSmartTag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947"/>
    <w:rsid w:val="000003EA"/>
    <w:rsid w:val="00001198"/>
    <w:rsid w:val="0000146C"/>
    <w:rsid w:val="00003288"/>
    <w:rsid w:val="00004A9C"/>
    <w:rsid w:val="00004EE9"/>
    <w:rsid w:val="0000501A"/>
    <w:rsid w:val="00005E8B"/>
    <w:rsid w:val="000060B3"/>
    <w:rsid w:val="000063AF"/>
    <w:rsid w:val="000065AB"/>
    <w:rsid w:val="0000677F"/>
    <w:rsid w:val="00006C67"/>
    <w:rsid w:val="0001002C"/>
    <w:rsid w:val="00010263"/>
    <w:rsid w:val="00011C16"/>
    <w:rsid w:val="00012867"/>
    <w:rsid w:val="00012871"/>
    <w:rsid w:val="000138DA"/>
    <w:rsid w:val="000139A0"/>
    <w:rsid w:val="000140A1"/>
    <w:rsid w:val="00014481"/>
    <w:rsid w:val="00015B4E"/>
    <w:rsid w:val="00015DA8"/>
    <w:rsid w:val="000165E1"/>
    <w:rsid w:val="000177C2"/>
    <w:rsid w:val="00020860"/>
    <w:rsid w:val="000209D4"/>
    <w:rsid w:val="00020B0D"/>
    <w:rsid w:val="00023456"/>
    <w:rsid w:val="0002369C"/>
    <w:rsid w:val="0002426B"/>
    <w:rsid w:val="0002466F"/>
    <w:rsid w:val="000253B6"/>
    <w:rsid w:val="00026697"/>
    <w:rsid w:val="00027A34"/>
    <w:rsid w:val="00027C93"/>
    <w:rsid w:val="00027CFE"/>
    <w:rsid w:val="00030338"/>
    <w:rsid w:val="000308BA"/>
    <w:rsid w:val="00030F29"/>
    <w:rsid w:val="000314C7"/>
    <w:rsid w:val="000314E0"/>
    <w:rsid w:val="00032967"/>
    <w:rsid w:val="00033291"/>
    <w:rsid w:val="00033619"/>
    <w:rsid w:val="000344ED"/>
    <w:rsid w:val="00034871"/>
    <w:rsid w:val="00034B12"/>
    <w:rsid w:val="000363A3"/>
    <w:rsid w:val="00036574"/>
    <w:rsid w:val="000372F9"/>
    <w:rsid w:val="000376DC"/>
    <w:rsid w:val="0004050B"/>
    <w:rsid w:val="00040538"/>
    <w:rsid w:val="00040598"/>
    <w:rsid w:val="00040D84"/>
    <w:rsid w:val="000416CD"/>
    <w:rsid w:val="00042A67"/>
    <w:rsid w:val="0004364B"/>
    <w:rsid w:val="00044B38"/>
    <w:rsid w:val="00044CB9"/>
    <w:rsid w:val="00045765"/>
    <w:rsid w:val="0004707A"/>
    <w:rsid w:val="00047DB2"/>
    <w:rsid w:val="00050824"/>
    <w:rsid w:val="000524E1"/>
    <w:rsid w:val="000527E3"/>
    <w:rsid w:val="00053726"/>
    <w:rsid w:val="00053BB5"/>
    <w:rsid w:val="00053E0B"/>
    <w:rsid w:val="000545B0"/>
    <w:rsid w:val="00055990"/>
    <w:rsid w:val="000560EF"/>
    <w:rsid w:val="000564D5"/>
    <w:rsid w:val="000565AC"/>
    <w:rsid w:val="00056BE7"/>
    <w:rsid w:val="000606BD"/>
    <w:rsid w:val="00060E2E"/>
    <w:rsid w:val="00060FEB"/>
    <w:rsid w:val="0006119B"/>
    <w:rsid w:val="000616F0"/>
    <w:rsid w:val="00061998"/>
    <w:rsid w:val="00061B1F"/>
    <w:rsid w:val="0006319E"/>
    <w:rsid w:val="000638AB"/>
    <w:rsid w:val="00064ABC"/>
    <w:rsid w:val="000651F7"/>
    <w:rsid w:val="00065566"/>
    <w:rsid w:val="000657DB"/>
    <w:rsid w:val="000661E2"/>
    <w:rsid w:val="00066219"/>
    <w:rsid w:val="00067047"/>
    <w:rsid w:val="00067782"/>
    <w:rsid w:val="00067AE4"/>
    <w:rsid w:val="00070739"/>
    <w:rsid w:val="00070D32"/>
    <w:rsid w:val="00071EB4"/>
    <w:rsid w:val="00072022"/>
    <w:rsid w:val="000733C4"/>
    <w:rsid w:val="00073C18"/>
    <w:rsid w:val="00074446"/>
    <w:rsid w:val="00074783"/>
    <w:rsid w:val="00074DF5"/>
    <w:rsid w:val="0007540F"/>
    <w:rsid w:val="0007589E"/>
    <w:rsid w:val="000758B6"/>
    <w:rsid w:val="000770F3"/>
    <w:rsid w:val="00077471"/>
    <w:rsid w:val="0007774C"/>
    <w:rsid w:val="00077DA4"/>
    <w:rsid w:val="0008011E"/>
    <w:rsid w:val="0008070B"/>
    <w:rsid w:val="000810AC"/>
    <w:rsid w:val="00081A02"/>
    <w:rsid w:val="00081BE9"/>
    <w:rsid w:val="00082231"/>
    <w:rsid w:val="000822E6"/>
    <w:rsid w:val="00082775"/>
    <w:rsid w:val="000827FC"/>
    <w:rsid w:val="0008335F"/>
    <w:rsid w:val="000835BF"/>
    <w:rsid w:val="000837A1"/>
    <w:rsid w:val="00083AB9"/>
    <w:rsid w:val="00083DD3"/>
    <w:rsid w:val="00085369"/>
    <w:rsid w:val="00085B74"/>
    <w:rsid w:val="00086889"/>
    <w:rsid w:val="00086954"/>
    <w:rsid w:val="00086C60"/>
    <w:rsid w:val="000873F2"/>
    <w:rsid w:val="00090EE7"/>
    <w:rsid w:val="0009143B"/>
    <w:rsid w:val="000915A0"/>
    <w:rsid w:val="000920B6"/>
    <w:rsid w:val="0009244A"/>
    <w:rsid w:val="00092702"/>
    <w:rsid w:val="00092D38"/>
    <w:rsid w:val="00092F49"/>
    <w:rsid w:val="0009345D"/>
    <w:rsid w:val="0009377B"/>
    <w:rsid w:val="000939DD"/>
    <w:rsid w:val="00093CF4"/>
    <w:rsid w:val="00094272"/>
    <w:rsid w:val="000959FA"/>
    <w:rsid w:val="0009653D"/>
    <w:rsid w:val="00097810"/>
    <w:rsid w:val="000A0348"/>
    <w:rsid w:val="000A17A0"/>
    <w:rsid w:val="000A190C"/>
    <w:rsid w:val="000A20C9"/>
    <w:rsid w:val="000A21E3"/>
    <w:rsid w:val="000A2CFF"/>
    <w:rsid w:val="000A2D5B"/>
    <w:rsid w:val="000A2FD6"/>
    <w:rsid w:val="000A38FF"/>
    <w:rsid w:val="000A3C81"/>
    <w:rsid w:val="000A49CF"/>
    <w:rsid w:val="000A5368"/>
    <w:rsid w:val="000A59D0"/>
    <w:rsid w:val="000A6D3F"/>
    <w:rsid w:val="000A6F80"/>
    <w:rsid w:val="000B016C"/>
    <w:rsid w:val="000B058F"/>
    <w:rsid w:val="000B0BBB"/>
    <w:rsid w:val="000B15B6"/>
    <w:rsid w:val="000B190A"/>
    <w:rsid w:val="000B1A7C"/>
    <w:rsid w:val="000B1B71"/>
    <w:rsid w:val="000B1D75"/>
    <w:rsid w:val="000B2E01"/>
    <w:rsid w:val="000B2E7D"/>
    <w:rsid w:val="000B33CF"/>
    <w:rsid w:val="000B3D85"/>
    <w:rsid w:val="000B4467"/>
    <w:rsid w:val="000B4896"/>
    <w:rsid w:val="000B4C2A"/>
    <w:rsid w:val="000B4DB9"/>
    <w:rsid w:val="000B5746"/>
    <w:rsid w:val="000B671E"/>
    <w:rsid w:val="000B6AF4"/>
    <w:rsid w:val="000B7420"/>
    <w:rsid w:val="000B75E0"/>
    <w:rsid w:val="000C09AC"/>
    <w:rsid w:val="000C0DE6"/>
    <w:rsid w:val="000C18C9"/>
    <w:rsid w:val="000C1CC4"/>
    <w:rsid w:val="000C2131"/>
    <w:rsid w:val="000C2DD8"/>
    <w:rsid w:val="000C2FEE"/>
    <w:rsid w:val="000C32EB"/>
    <w:rsid w:val="000C4413"/>
    <w:rsid w:val="000C51AF"/>
    <w:rsid w:val="000C5CA4"/>
    <w:rsid w:val="000C5E67"/>
    <w:rsid w:val="000C62FE"/>
    <w:rsid w:val="000C767F"/>
    <w:rsid w:val="000C78FE"/>
    <w:rsid w:val="000D0E98"/>
    <w:rsid w:val="000D2C1A"/>
    <w:rsid w:val="000D2FCB"/>
    <w:rsid w:val="000D3C10"/>
    <w:rsid w:val="000D3D04"/>
    <w:rsid w:val="000D3E3A"/>
    <w:rsid w:val="000D47D3"/>
    <w:rsid w:val="000D52AC"/>
    <w:rsid w:val="000D5A44"/>
    <w:rsid w:val="000D5AE5"/>
    <w:rsid w:val="000D6956"/>
    <w:rsid w:val="000D79D6"/>
    <w:rsid w:val="000D7D43"/>
    <w:rsid w:val="000E0169"/>
    <w:rsid w:val="000E034C"/>
    <w:rsid w:val="000E0BEB"/>
    <w:rsid w:val="000E1ED0"/>
    <w:rsid w:val="000E2F8F"/>
    <w:rsid w:val="000E341B"/>
    <w:rsid w:val="000E3ED2"/>
    <w:rsid w:val="000E4FCD"/>
    <w:rsid w:val="000E50FD"/>
    <w:rsid w:val="000E6190"/>
    <w:rsid w:val="000E697A"/>
    <w:rsid w:val="000E6C50"/>
    <w:rsid w:val="000F20F1"/>
    <w:rsid w:val="000F2890"/>
    <w:rsid w:val="000F2E75"/>
    <w:rsid w:val="000F343D"/>
    <w:rsid w:val="000F3E42"/>
    <w:rsid w:val="000F5091"/>
    <w:rsid w:val="001004C8"/>
    <w:rsid w:val="001007AF"/>
    <w:rsid w:val="00101CC4"/>
    <w:rsid w:val="00101CE2"/>
    <w:rsid w:val="00101F1E"/>
    <w:rsid w:val="0010210D"/>
    <w:rsid w:val="00102362"/>
    <w:rsid w:val="0010271D"/>
    <w:rsid w:val="00102979"/>
    <w:rsid w:val="00103344"/>
    <w:rsid w:val="0010422D"/>
    <w:rsid w:val="001045EE"/>
    <w:rsid w:val="00104B42"/>
    <w:rsid w:val="001051B5"/>
    <w:rsid w:val="001055A9"/>
    <w:rsid w:val="00105988"/>
    <w:rsid w:val="00105F22"/>
    <w:rsid w:val="0010665D"/>
    <w:rsid w:val="00106E0E"/>
    <w:rsid w:val="001102E0"/>
    <w:rsid w:val="00110828"/>
    <w:rsid w:val="0011103E"/>
    <w:rsid w:val="00111D03"/>
    <w:rsid w:val="001128BD"/>
    <w:rsid w:val="00114344"/>
    <w:rsid w:val="001144E8"/>
    <w:rsid w:val="00114770"/>
    <w:rsid w:val="0011480C"/>
    <w:rsid w:val="001148B3"/>
    <w:rsid w:val="00115F88"/>
    <w:rsid w:val="00116050"/>
    <w:rsid w:val="00116479"/>
    <w:rsid w:val="00116D31"/>
    <w:rsid w:val="00117653"/>
    <w:rsid w:val="001179F7"/>
    <w:rsid w:val="0012073F"/>
    <w:rsid w:val="001207FE"/>
    <w:rsid w:val="00120930"/>
    <w:rsid w:val="00121017"/>
    <w:rsid w:val="00121BA8"/>
    <w:rsid w:val="001220B1"/>
    <w:rsid w:val="00122B37"/>
    <w:rsid w:val="00123DD9"/>
    <w:rsid w:val="00123EAA"/>
    <w:rsid w:val="00123F7E"/>
    <w:rsid w:val="0012687E"/>
    <w:rsid w:val="00130EEF"/>
    <w:rsid w:val="0013106B"/>
    <w:rsid w:val="0013129F"/>
    <w:rsid w:val="00131F42"/>
    <w:rsid w:val="0013235A"/>
    <w:rsid w:val="001329A7"/>
    <w:rsid w:val="00132DE1"/>
    <w:rsid w:val="0013421B"/>
    <w:rsid w:val="001346B7"/>
    <w:rsid w:val="00134B73"/>
    <w:rsid w:val="00134F54"/>
    <w:rsid w:val="001357F1"/>
    <w:rsid w:val="0013689F"/>
    <w:rsid w:val="00140308"/>
    <w:rsid w:val="00140FA8"/>
    <w:rsid w:val="0014190C"/>
    <w:rsid w:val="0014219C"/>
    <w:rsid w:val="001427D3"/>
    <w:rsid w:val="00142B97"/>
    <w:rsid w:val="00142FEB"/>
    <w:rsid w:val="00143529"/>
    <w:rsid w:val="00143A2D"/>
    <w:rsid w:val="0014495F"/>
    <w:rsid w:val="001449A7"/>
    <w:rsid w:val="00144CA1"/>
    <w:rsid w:val="00145A41"/>
    <w:rsid w:val="00146064"/>
    <w:rsid w:val="00146214"/>
    <w:rsid w:val="001468CF"/>
    <w:rsid w:val="00146D9A"/>
    <w:rsid w:val="00146FBD"/>
    <w:rsid w:val="00147730"/>
    <w:rsid w:val="00147F64"/>
    <w:rsid w:val="0015021A"/>
    <w:rsid w:val="00150477"/>
    <w:rsid w:val="0015090C"/>
    <w:rsid w:val="00151675"/>
    <w:rsid w:val="00151DFF"/>
    <w:rsid w:val="00152E36"/>
    <w:rsid w:val="0015336F"/>
    <w:rsid w:val="001539DC"/>
    <w:rsid w:val="001541B5"/>
    <w:rsid w:val="00154A8C"/>
    <w:rsid w:val="00155202"/>
    <w:rsid w:val="00155761"/>
    <w:rsid w:val="0015580F"/>
    <w:rsid w:val="001563ED"/>
    <w:rsid w:val="001566EF"/>
    <w:rsid w:val="00156B03"/>
    <w:rsid w:val="00157435"/>
    <w:rsid w:val="00161443"/>
    <w:rsid w:val="00161A44"/>
    <w:rsid w:val="00161D6E"/>
    <w:rsid w:val="001630D4"/>
    <w:rsid w:val="00163F29"/>
    <w:rsid w:val="00164410"/>
    <w:rsid w:val="001644FC"/>
    <w:rsid w:val="00164D08"/>
    <w:rsid w:val="0016584B"/>
    <w:rsid w:val="00165E60"/>
    <w:rsid w:val="00166407"/>
    <w:rsid w:val="00166B84"/>
    <w:rsid w:val="0016762B"/>
    <w:rsid w:val="00167A19"/>
    <w:rsid w:val="00167D86"/>
    <w:rsid w:val="00167E89"/>
    <w:rsid w:val="00173D45"/>
    <w:rsid w:val="00174432"/>
    <w:rsid w:val="0017504D"/>
    <w:rsid w:val="00175072"/>
    <w:rsid w:val="00175DB3"/>
    <w:rsid w:val="00176094"/>
    <w:rsid w:val="00176411"/>
    <w:rsid w:val="0017671A"/>
    <w:rsid w:val="00176C90"/>
    <w:rsid w:val="00177422"/>
    <w:rsid w:val="001808DD"/>
    <w:rsid w:val="001808E3"/>
    <w:rsid w:val="00180A0C"/>
    <w:rsid w:val="00180C45"/>
    <w:rsid w:val="001818D4"/>
    <w:rsid w:val="00181A15"/>
    <w:rsid w:val="00181B32"/>
    <w:rsid w:val="00181E7D"/>
    <w:rsid w:val="0018256D"/>
    <w:rsid w:val="001833D8"/>
    <w:rsid w:val="001834C6"/>
    <w:rsid w:val="00183893"/>
    <w:rsid w:val="00184590"/>
    <w:rsid w:val="0018525A"/>
    <w:rsid w:val="0018543F"/>
    <w:rsid w:val="00185F34"/>
    <w:rsid w:val="001860AA"/>
    <w:rsid w:val="0018658B"/>
    <w:rsid w:val="001870D1"/>
    <w:rsid w:val="0018781E"/>
    <w:rsid w:val="00187D27"/>
    <w:rsid w:val="001915E7"/>
    <w:rsid w:val="0019262D"/>
    <w:rsid w:val="001935A2"/>
    <w:rsid w:val="00193A93"/>
    <w:rsid w:val="00193B0D"/>
    <w:rsid w:val="00194C69"/>
    <w:rsid w:val="00195550"/>
    <w:rsid w:val="00195778"/>
    <w:rsid w:val="00196678"/>
    <w:rsid w:val="00197A2E"/>
    <w:rsid w:val="00197EAD"/>
    <w:rsid w:val="001A1586"/>
    <w:rsid w:val="001A1B35"/>
    <w:rsid w:val="001A48A2"/>
    <w:rsid w:val="001A4FCB"/>
    <w:rsid w:val="001A57D2"/>
    <w:rsid w:val="001A5E65"/>
    <w:rsid w:val="001A64DA"/>
    <w:rsid w:val="001A6F61"/>
    <w:rsid w:val="001B041A"/>
    <w:rsid w:val="001B0810"/>
    <w:rsid w:val="001B2280"/>
    <w:rsid w:val="001B2529"/>
    <w:rsid w:val="001B32B5"/>
    <w:rsid w:val="001B32B7"/>
    <w:rsid w:val="001B3354"/>
    <w:rsid w:val="001B4044"/>
    <w:rsid w:val="001B427E"/>
    <w:rsid w:val="001B44A3"/>
    <w:rsid w:val="001B59EC"/>
    <w:rsid w:val="001B6452"/>
    <w:rsid w:val="001B6D7A"/>
    <w:rsid w:val="001B7242"/>
    <w:rsid w:val="001B72B8"/>
    <w:rsid w:val="001B736F"/>
    <w:rsid w:val="001B748A"/>
    <w:rsid w:val="001B7862"/>
    <w:rsid w:val="001B7FD1"/>
    <w:rsid w:val="001C063D"/>
    <w:rsid w:val="001C14CE"/>
    <w:rsid w:val="001C24ED"/>
    <w:rsid w:val="001C269F"/>
    <w:rsid w:val="001C2A05"/>
    <w:rsid w:val="001C32BE"/>
    <w:rsid w:val="001C3664"/>
    <w:rsid w:val="001C3EC7"/>
    <w:rsid w:val="001C4055"/>
    <w:rsid w:val="001C4430"/>
    <w:rsid w:val="001C481D"/>
    <w:rsid w:val="001C5322"/>
    <w:rsid w:val="001C567E"/>
    <w:rsid w:val="001C6086"/>
    <w:rsid w:val="001C6330"/>
    <w:rsid w:val="001C69B3"/>
    <w:rsid w:val="001C71F4"/>
    <w:rsid w:val="001D09E4"/>
    <w:rsid w:val="001D13B8"/>
    <w:rsid w:val="001D1D93"/>
    <w:rsid w:val="001D1ECA"/>
    <w:rsid w:val="001D2480"/>
    <w:rsid w:val="001D262C"/>
    <w:rsid w:val="001D2823"/>
    <w:rsid w:val="001D3661"/>
    <w:rsid w:val="001D5527"/>
    <w:rsid w:val="001D5595"/>
    <w:rsid w:val="001D572D"/>
    <w:rsid w:val="001D5B5D"/>
    <w:rsid w:val="001D5EFC"/>
    <w:rsid w:val="001D612F"/>
    <w:rsid w:val="001D63B8"/>
    <w:rsid w:val="001D63FC"/>
    <w:rsid w:val="001D64A7"/>
    <w:rsid w:val="001D7874"/>
    <w:rsid w:val="001D79EB"/>
    <w:rsid w:val="001D7F22"/>
    <w:rsid w:val="001E20B0"/>
    <w:rsid w:val="001E24A9"/>
    <w:rsid w:val="001E26A6"/>
    <w:rsid w:val="001E2BD4"/>
    <w:rsid w:val="001E37EF"/>
    <w:rsid w:val="001E442F"/>
    <w:rsid w:val="001E46FC"/>
    <w:rsid w:val="001E4E3E"/>
    <w:rsid w:val="001E5140"/>
    <w:rsid w:val="001E664B"/>
    <w:rsid w:val="001E67FC"/>
    <w:rsid w:val="001E730D"/>
    <w:rsid w:val="001E7B47"/>
    <w:rsid w:val="001F08E0"/>
    <w:rsid w:val="001F0BC2"/>
    <w:rsid w:val="001F0F17"/>
    <w:rsid w:val="001F2ACF"/>
    <w:rsid w:val="001F3347"/>
    <w:rsid w:val="001F353A"/>
    <w:rsid w:val="001F3FE3"/>
    <w:rsid w:val="001F41E8"/>
    <w:rsid w:val="001F430B"/>
    <w:rsid w:val="001F5FB8"/>
    <w:rsid w:val="001F632A"/>
    <w:rsid w:val="001F69E4"/>
    <w:rsid w:val="001F6B47"/>
    <w:rsid w:val="001F6BB7"/>
    <w:rsid w:val="001F7039"/>
    <w:rsid w:val="001F7142"/>
    <w:rsid w:val="001F7685"/>
    <w:rsid w:val="001F7749"/>
    <w:rsid w:val="00201427"/>
    <w:rsid w:val="002014C9"/>
    <w:rsid w:val="00201E27"/>
    <w:rsid w:val="00202AB6"/>
    <w:rsid w:val="002037A2"/>
    <w:rsid w:val="00203CE2"/>
    <w:rsid w:val="00204192"/>
    <w:rsid w:val="00204B87"/>
    <w:rsid w:val="00205265"/>
    <w:rsid w:val="00205961"/>
    <w:rsid w:val="00205ED0"/>
    <w:rsid w:val="002061D2"/>
    <w:rsid w:val="0020651F"/>
    <w:rsid w:val="00206CB7"/>
    <w:rsid w:val="00207E3A"/>
    <w:rsid w:val="00210842"/>
    <w:rsid w:val="0021186B"/>
    <w:rsid w:val="00211910"/>
    <w:rsid w:val="002125B4"/>
    <w:rsid w:val="00212CC5"/>
    <w:rsid w:val="00213BFE"/>
    <w:rsid w:val="00213F39"/>
    <w:rsid w:val="00214006"/>
    <w:rsid w:val="002155B8"/>
    <w:rsid w:val="002171E2"/>
    <w:rsid w:val="0021753A"/>
    <w:rsid w:val="00220152"/>
    <w:rsid w:val="00220512"/>
    <w:rsid w:val="00220E65"/>
    <w:rsid w:val="00221130"/>
    <w:rsid w:val="0022170F"/>
    <w:rsid w:val="0022180A"/>
    <w:rsid w:val="0022187A"/>
    <w:rsid w:val="00222045"/>
    <w:rsid w:val="002222B1"/>
    <w:rsid w:val="0022255A"/>
    <w:rsid w:val="00222B1D"/>
    <w:rsid w:val="00223086"/>
    <w:rsid w:val="00224839"/>
    <w:rsid w:val="002249B2"/>
    <w:rsid w:val="00225047"/>
    <w:rsid w:val="00225447"/>
    <w:rsid w:val="00225F0E"/>
    <w:rsid w:val="00226574"/>
    <w:rsid w:val="002266AD"/>
    <w:rsid w:val="00226DFE"/>
    <w:rsid w:val="00227208"/>
    <w:rsid w:val="002278EC"/>
    <w:rsid w:val="00227F28"/>
    <w:rsid w:val="002305AB"/>
    <w:rsid w:val="00230C75"/>
    <w:rsid w:val="00231370"/>
    <w:rsid w:val="00231A43"/>
    <w:rsid w:val="0023280E"/>
    <w:rsid w:val="0023288A"/>
    <w:rsid w:val="00232BA4"/>
    <w:rsid w:val="0023307E"/>
    <w:rsid w:val="002331FF"/>
    <w:rsid w:val="002334FF"/>
    <w:rsid w:val="00233D30"/>
    <w:rsid w:val="00233ECF"/>
    <w:rsid w:val="002362DE"/>
    <w:rsid w:val="0023670F"/>
    <w:rsid w:val="00236F04"/>
    <w:rsid w:val="002377D1"/>
    <w:rsid w:val="00240576"/>
    <w:rsid w:val="00240A42"/>
    <w:rsid w:val="00241A13"/>
    <w:rsid w:val="00241FCD"/>
    <w:rsid w:val="002423CF"/>
    <w:rsid w:val="00244D13"/>
    <w:rsid w:val="00244E84"/>
    <w:rsid w:val="002453B6"/>
    <w:rsid w:val="0024585B"/>
    <w:rsid w:val="002473D4"/>
    <w:rsid w:val="00247643"/>
    <w:rsid w:val="00247CE9"/>
    <w:rsid w:val="00247E93"/>
    <w:rsid w:val="00247FB8"/>
    <w:rsid w:val="002506BC"/>
    <w:rsid w:val="00250DE9"/>
    <w:rsid w:val="00251267"/>
    <w:rsid w:val="002516A3"/>
    <w:rsid w:val="002528D5"/>
    <w:rsid w:val="002529E7"/>
    <w:rsid w:val="00253392"/>
    <w:rsid w:val="0025396C"/>
    <w:rsid w:val="00253E80"/>
    <w:rsid w:val="00253EAA"/>
    <w:rsid w:val="00254345"/>
    <w:rsid w:val="00255B55"/>
    <w:rsid w:val="0025608E"/>
    <w:rsid w:val="00256159"/>
    <w:rsid w:val="00256874"/>
    <w:rsid w:val="00257048"/>
    <w:rsid w:val="002576E7"/>
    <w:rsid w:val="00257ADE"/>
    <w:rsid w:val="00260008"/>
    <w:rsid w:val="00260927"/>
    <w:rsid w:val="0026160E"/>
    <w:rsid w:val="0026182D"/>
    <w:rsid w:val="00261E0D"/>
    <w:rsid w:val="00263448"/>
    <w:rsid w:val="00263B41"/>
    <w:rsid w:val="0026401F"/>
    <w:rsid w:val="00264557"/>
    <w:rsid w:val="00265747"/>
    <w:rsid w:val="00265DB8"/>
    <w:rsid w:val="00266D0A"/>
    <w:rsid w:val="0026730B"/>
    <w:rsid w:val="00267326"/>
    <w:rsid w:val="002673AF"/>
    <w:rsid w:val="0026753D"/>
    <w:rsid w:val="002677D5"/>
    <w:rsid w:val="00270423"/>
    <w:rsid w:val="002713B2"/>
    <w:rsid w:val="002716B5"/>
    <w:rsid w:val="00271A22"/>
    <w:rsid w:val="0027292B"/>
    <w:rsid w:val="00273407"/>
    <w:rsid w:val="00273F83"/>
    <w:rsid w:val="00274FD4"/>
    <w:rsid w:val="002756CF"/>
    <w:rsid w:val="00276067"/>
    <w:rsid w:val="00277AF1"/>
    <w:rsid w:val="00277B75"/>
    <w:rsid w:val="00280341"/>
    <w:rsid w:val="002804F9"/>
    <w:rsid w:val="002805AB"/>
    <w:rsid w:val="00280AA2"/>
    <w:rsid w:val="0028141A"/>
    <w:rsid w:val="00282126"/>
    <w:rsid w:val="00283658"/>
    <w:rsid w:val="00283FDA"/>
    <w:rsid w:val="00284204"/>
    <w:rsid w:val="00284223"/>
    <w:rsid w:val="00284E61"/>
    <w:rsid w:val="00285349"/>
    <w:rsid w:val="00285497"/>
    <w:rsid w:val="00285A3D"/>
    <w:rsid w:val="00285F2B"/>
    <w:rsid w:val="0028683E"/>
    <w:rsid w:val="00286B07"/>
    <w:rsid w:val="00291773"/>
    <w:rsid w:val="002935DC"/>
    <w:rsid w:val="00293F9B"/>
    <w:rsid w:val="00294573"/>
    <w:rsid w:val="00294BDE"/>
    <w:rsid w:val="00295250"/>
    <w:rsid w:val="0029676F"/>
    <w:rsid w:val="002972DE"/>
    <w:rsid w:val="002A0897"/>
    <w:rsid w:val="002A0E70"/>
    <w:rsid w:val="002A10A5"/>
    <w:rsid w:val="002A1188"/>
    <w:rsid w:val="002A136E"/>
    <w:rsid w:val="002A168C"/>
    <w:rsid w:val="002A1BFC"/>
    <w:rsid w:val="002A1F4F"/>
    <w:rsid w:val="002A2934"/>
    <w:rsid w:val="002A2D34"/>
    <w:rsid w:val="002A2F7D"/>
    <w:rsid w:val="002A3CAC"/>
    <w:rsid w:val="002A3DC7"/>
    <w:rsid w:val="002A4DF3"/>
    <w:rsid w:val="002A4E1C"/>
    <w:rsid w:val="002A511E"/>
    <w:rsid w:val="002A51AB"/>
    <w:rsid w:val="002A5A7E"/>
    <w:rsid w:val="002A5AF9"/>
    <w:rsid w:val="002A5C36"/>
    <w:rsid w:val="002A725C"/>
    <w:rsid w:val="002B00A9"/>
    <w:rsid w:val="002B21A5"/>
    <w:rsid w:val="002B2A63"/>
    <w:rsid w:val="002B2AC6"/>
    <w:rsid w:val="002B3096"/>
    <w:rsid w:val="002B33FC"/>
    <w:rsid w:val="002B3A7A"/>
    <w:rsid w:val="002B44BC"/>
    <w:rsid w:val="002B49E2"/>
    <w:rsid w:val="002B59B3"/>
    <w:rsid w:val="002B61DB"/>
    <w:rsid w:val="002B6614"/>
    <w:rsid w:val="002B681E"/>
    <w:rsid w:val="002B77AA"/>
    <w:rsid w:val="002B7B00"/>
    <w:rsid w:val="002B7C44"/>
    <w:rsid w:val="002B7C75"/>
    <w:rsid w:val="002C0729"/>
    <w:rsid w:val="002C10CB"/>
    <w:rsid w:val="002C173B"/>
    <w:rsid w:val="002C2B17"/>
    <w:rsid w:val="002C2BC8"/>
    <w:rsid w:val="002C2DC2"/>
    <w:rsid w:val="002C37D3"/>
    <w:rsid w:val="002C3B84"/>
    <w:rsid w:val="002C5080"/>
    <w:rsid w:val="002C5304"/>
    <w:rsid w:val="002C543F"/>
    <w:rsid w:val="002C571D"/>
    <w:rsid w:val="002C5E2E"/>
    <w:rsid w:val="002C604F"/>
    <w:rsid w:val="002C6587"/>
    <w:rsid w:val="002C6802"/>
    <w:rsid w:val="002C70D1"/>
    <w:rsid w:val="002D12C7"/>
    <w:rsid w:val="002D1A91"/>
    <w:rsid w:val="002D27C1"/>
    <w:rsid w:val="002D2C82"/>
    <w:rsid w:val="002D2F6F"/>
    <w:rsid w:val="002D35C9"/>
    <w:rsid w:val="002D3DD0"/>
    <w:rsid w:val="002D41A3"/>
    <w:rsid w:val="002D4B47"/>
    <w:rsid w:val="002D4E80"/>
    <w:rsid w:val="002D580C"/>
    <w:rsid w:val="002D5ED4"/>
    <w:rsid w:val="002D61CE"/>
    <w:rsid w:val="002D74DA"/>
    <w:rsid w:val="002E02F1"/>
    <w:rsid w:val="002E0D26"/>
    <w:rsid w:val="002E0DE0"/>
    <w:rsid w:val="002E18ED"/>
    <w:rsid w:val="002E1ADF"/>
    <w:rsid w:val="002E1F3A"/>
    <w:rsid w:val="002E21A4"/>
    <w:rsid w:val="002E298A"/>
    <w:rsid w:val="002E3AA1"/>
    <w:rsid w:val="002E471F"/>
    <w:rsid w:val="002E4F2C"/>
    <w:rsid w:val="002E6917"/>
    <w:rsid w:val="002E6ECF"/>
    <w:rsid w:val="002E7B5F"/>
    <w:rsid w:val="002F02B1"/>
    <w:rsid w:val="002F0EBA"/>
    <w:rsid w:val="002F10F9"/>
    <w:rsid w:val="002F21C2"/>
    <w:rsid w:val="002F3A9C"/>
    <w:rsid w:val="002F3F6A"/>
    <w:rsid w:val="002F4323"/>
    <w:rsid w:val="002F52DF"/>
    <w:rsid w:val="002F56D6"/>
    <w:rsid w:val="002F5EE3"/>
    <w:rsid w:val="002F60FC"/>
    <w:rsid w:val="002F689E"/>
    <w:rsid w:val="002F6C62"/>
    <w:rsid w:val="002F6E0C"/>
    <w:rsid w:val="002F73EC"/>
    <w:rsid w:val="002F7F00"/>
    <w:rsid w:val="003003E5"/>
    <w:rsid w:val="003004AB"/>
    <w:rsid w:val="00301426"/>
    <w:rsid w:val="0030168F"/>
    <w:rsid w:val="00301978"/>
    <w:rsid w:val="00301F15"/>
    <w:rsid w:val="00302992"/>
    <w:rsid w:val="00302F8E"/>
    <w:rsid w:val="00303244"/>
    <w:rsid w:val="003032B0"/>
    <w:rsid w:val="0030332C"/>
    <w:rsid w:val="0030335E"/>
    <w:rsid w:val="0030368F"/>
    <w:rsid w:val="003051C2"/>
    <w:rsid w:val="003053B2"/>
    <w:rsid w:val="00305DEA"/>
    <w:rsid w:val="00306E2E"/>
    <w:rsid w:val="00306ED8"/>
    <w:rsid w:val="003079BC"/>
    <w:rsid w:val="003101AB"/>
    <w:rsid w:val="00310275"/>
    <w:rsid w:val="00311AC8"/>
    <w:rsid w:val="00311BBB"/>
    <w:rsid w:val="00311CF9"/>
    <w:rsid w:val="00311D91"/>
    <w:rsid w:val="00311E55"/>
    <w:rsid w:val="00312296"/>
    <w:rsid w:val="00312B56"/>
    <w:rsid w:val="00313CEF"/>
    <w:rsid w:val="003145AA"/>
    <w:rsid w:val="00314F0E"/>
    <w:rsid w:val="00316277"/>
    <w:rsid w:val="00316497"/>
    <w:rsid w:val="0031684B"/>
    <w:rsid w:val="00316A58"/>
    <w:rsid w:val="00316E90"/>
    <w:rsid w:val="00316F2F"/>
    <w:rsid w:val="00316FD3"/>
    <w:rsid w:val="0031769E"/>
    <w:rsid w:val="00320359"/>
    <w:rsid w:val="00320750"/>
    <w:rsid w:val="00320E35"/>
    <w:rsid w:val="00321394"/>
    <w:rsid w:val="00321D8E"/>
    <w:rsid w:val="00322170"/>
    <w:rsid w:val="003235CA"/>
    <w:rsid w:val="00323912"/>
    <w:rsid w:val="00323A7D"/>
    <w:rsid w:val="0032419A"/>
    <w:rsid w:val="00324EB6"/>
    <w:rsid w:val="00324EDF"/>
    <w:rsid w:val="00324F18"/>
    <w:rsid w:val="00325423"/>
    <w:rsid w:val="00325679"/>
    <w:rsid w:val="00325928"/>
    <w:rsid w:val="00325BC1"/>
    <w:rsid w:val="003274CD"/>
    <w:rsid w:val="00327CC7"/>
    <w:rsid w:val="0033038C"/>
    <w:rsid w:val="003316A0"/>
    <w:rsid w:val="00331D16"/>
    <w:rsid w:val="00332863"/>
    <w:rsid w:val="0033307E"/>
    <w:rsid w:val="003333DE"/>
    <w:rsid w:val="003339A2"/>
    <w:rsid w:val="00335109"/>
    <w:rsid w:val="00335149"/>
    <w:rsid w:val="0033684D"/>
    <w:rsid w:val="003371BB"/>
    <w:rsid w:val="003373A7"/>
    <w:rsid w:val="00337B42"/>
    <w:rsid w:val="003405EB"/>
    <w:rsid w:val="00340C58"/>
    <w:rsid w:val="00340F0A"/>
    <w:rsid w:val="00341B42"/>
    <w:rsid w:val="003420A0"/>
    <w:rsid w:val="00342F8D"/>
    <w:rsid w:val="00343250"/>
    <w:rsid w:val="0034348F"/>
    <w:rsid w:val="00344D41"/>
    <w:rsid w:val="00344DBE"/>
    <w:rsid w:val="0034518C"/>
    <w:rsid w:val="00345618"/>
    <w:rsid w:val="00345C1C"/>
    <w:rsid w:val="00346131"/>
    <w:rsid w:val="00350A55"/>
    <w:rsid w:val="00350CA4"/>
    <w:rsid w:val="0035200E"/>
    <w:rsid w:val="00354D13"/>
    <w:rsid w:val="00354F52"/>
    <w:rsid w:val="00355129"/>
    <w:rsid w:val="003553D1"/>
    <w:rsid w:val="00356653"/>
    <w:rsid w:val="0035743F"/>
    <w:rsid w:val="00357B51"/>
    <w:rsid w:val="00357BE2"/>
    <w:rsid w:val="00360A50"/>
    <w:rsid w:val="00360FA2"/>
    <w:rsid w:val="003614B6"/>
    <w:rsid w:val="0036170C"/>
    <w:rsid w:val="00362261"/>
    <w:rsid w:val="0036260F"/>
    <w:rsid w:val="00363181"/>
    <w:rsid w:val="00363C2C"/>
    <w:rsid w:val="00364165"/>
    <w:rsid w:val="00364A2A"/>
    <w:rsid w:val="00364C9F"/>
    <w:rsid w:val="00364DA9"/>
    <w:rsid w:val="003658EB"/>
    <w:rsid w:val="00366E0F"/>
    <w:rsid w:val="003671CC"/>
    <w:rsid w:val="00367730"/>
    <w:rsid w:val="00367ED2"/>
    <w:rsid w:val="00370060"/>
    <w:rsid w:val="003703E9"/>
    <w:rsid w:val="00371402"/>
    <w:rsid w:val="003718FD"/>
    <w:rsid w:val="00372A77"/>
    <w:rsid w:val="00374465"/>
    <w:rsid w:val="003746E1"/>
    <w:rsid w:val="003752A9"/>
    <w:rsid w:val="0037563F"/>
    <w:rsid w:val="003759E6"/>
    <w:rsid w:val="00375CAA"/>
    <w:rsid w:val="0037645A"/>
    <w:rsid w:val="00381A72"/>
    <w:rsid w:val="00381BC0"/>
    <w:rsid w:val="00381C6F"/>
    <w:rsid w:val="00381CD0"/>
    <w:rsid w:val="00381F6E"/>
    <w:rsid w:val="00382398"/>
    <w:rsid w:val="00382B88"/>
    <w:rsid w:val="003833C6"/>
    <w:rsid w:val="00383689"/>
    <w:rsid w:val="00383B9A"/>
    <w:rsid w:val="00384676"/>
    <w:rsid w:val="00385CC6"/>
    <w:rsid w:val="00385E23"/>
    <w:rsid w:val="003865E7"/>
    <w:rsid w:val="00386C76"/>
    <w:rsid w:val="00387794"/>
    <w:rsid w:val="00390857"/>
    <w:rsid w:val="00390AFB"/>
    <w:rsid w:val="003910D8"/>
    <w:rsid w:val="0039146B"/>
    <w:rsid w:val="003914F0"/>
    <w:rsid w:val="00392D2A"/>
    <w:rsid w:val="00392D70"/>
    <w:rsid w:val="00393B4D"/>
    <w:rsid w:val="003940C8"/>
    <w:rsid w:val="00395089"/>
    <w:rsid w:val="003958D5"/>
    <w:rsid w:val="003959F3"/>
    <w:rsid w:val="0039642D"/>
    <w:rsid w:val="0039725C"/>
    <w:rsid w:val="00397298"/>
    <w:rsid w:val="00397758"/>
    <w:rsid w:val="0039790B"/>
    <w:rsid w:val="00397E2E"/>
    <w:rsid w:val="003A033D"/>
    <w:rsid w:val="003A06EC"/>
    <w:rsid w:val="003A1D17"/>
    <w:rsid w:val="003A28AF"/>
    <w:rsid w:val="003A2F86"/>
    <w:rsid w:val="003A3AB8"/>
    <w:rsid w:val="003A4BF3"/>
    <w:rsid w:val="003A55BC"/>
    <w:rsid w:val="003A566C"/>
    <w:rsid w:val="003A696D"/>
    <w:rsid w:val="003A6A8E"/>
    <w:rsid w:val="003A6E1C"/>
    <w:rsid w:val="003A6E74"/>
    <w:rsid w:val="003A75B5"/>
    <w:rsid w:val="003B0C14"/>
    <w:rsid w:val="003B2300"/>
    <w:rsid w:val="003B29C3"/>
    <w:rsid w:val="003B2DF2"/>
    <w:rsid w:val="003B3B4C"/>
    <w:rsid w:val="003B420D"/>
    <w:rsid w:val="003B45A6"/>
    <w:rsid w:val="003B59DF"/>
    <w:rsid w:val="003B5B00"/>
    <w:rsid w:val="003B6553"/>
    <w:rsid w:val="003B66AE"/>
    <w:rsid w:val="003B6C31"/>
    <w:rsid w:val="003B6FC3"/>
    <w:rsid w:val="003B7BE1"/>
    <w:rsid w:val="003B7C30"/>
    <w:rsid w:val="003C14EE"/>
    <w:rsid w:val="003C2ADB"/>
    <w:rsid w:val="003C38DE"/>
    <w:rsid w:val="003C393F"/>
    <w:rsid w:val="003C3F97"/>
    <w:rsid w:val="003C442B"/>
    <w:rsid w:val="003C443A"/>
    <w:rsid w:val="003C4475"/>
    <w:rsid w:val="003C5C3D"/>
    <w:rsid w:val="003C64A8"/>
    <w:rsid w:val="003C67DB"/>
    <w:rsid w:val="003C6C16"/>
    <w:rsid w:val="003C6D31"/>
    <w:rsid w:val="003C7074"/>
    <w:rsid w:val="003C7686"/>
    <w:rsid w:val="003C76C6"/>
    <w:rsid w:val="003D000A"/>
    <w:rsid w:val="003D0624"/>
    <w:rsid w:val="003D2154"/>
    <w:rsid w:val="003D2591"/>
    <w:rsid w:val="003D2B41"/>
    <w:rsid w:val="003D314F"/>
    <w:rsid w:val="003D3C8E"/>
    <w:rsid w:val="003D42F9"/>
    <w:rsid w:val="003D4BB6"/>
    <w:rsid w:val="003D5BD1"/>
    <w:rsid w:val="003D5D9C"/>
    <w:rsid w:val="003D774D"/>
    <w:rsid w:val="003D794D"/>
    <w:rsid w:val="003D799E"/>
    <w:rsid w:val="003E06E6"/>
    <w:rsid w:val="003E0FF2"/>
    <w:rsid w:val="003E16BE"/>
    <w:rsid w:val="003E1884"/>
    <w:rsid w:val="003E1D73"/>
    <w:rsid w:val="003E1D94"/>
    <w:rsid w:val="003E22FF"/>
    <w:rsid w:val="003E26BB"/>
    <w:rsid w:val="003E3058"/>
    <w:rsid w:val="003E35B3"/>
    <w:rsid w:val="003E3797"/>
    <w:rsid w:val="003E3CCD"/>
    <w:rsid w:val="003E404B"/>
    <w:rsid w:val="003E51A7"/>
    <w:rsid w:val="003E6887"/>
    <w:rsid w:val="003E6ADC"/>
    <w:rsid w:val="003E7110"/>
    <w:rsid w:val="003E76A9"/>
    <w:rsid w:val="003F0747"/>
    <w:rsid w:val="003F0809"/>
    <w:rsid w:val="003F135A"/>
    <w:rsid w:val="003F1619"/>
    <w:rsid w:val="003F1AE5"/>
    <w:rsid w:val="003F1BE2"/>
    <w:rsid w:val="003F200D"/>
    <w:rsid w:val="003F22EC"/>
    <w:rsid w:val="003F4196"/>
    <w:rsid w:val="003F4A75"/>
    <w:rsid w:val="003F4E52"/>
    <w:rsid w:val="003F52F0"/>
    <w:rsid w:val="003F6A8C"/>
    <w:rsid w:val="003F7167"/>
    <w:rsid w:val="003F71F7"/>
    <w:rsid w:val="003F755C"/>
    <w:rsid w:val="003F7834"/>
    <w:rsid w:val="003F7EB9"/>
    <w:rsid w:val="00400525"/>
    <w:rsid w:val="00400C24"/>
    <w:rsid w:val="004021DB"/>
    <w:rsid w:val="00402D37"/>
    <w:rsid w:val="004031FE"/>
    <w:rsid w:val="00403FB4"/>
    <w:rsid w:val="00404855"/>
    <w:rsid w:val="00405105"/>
    <w:rsid w:val="00405C1E"/>
    <w:rsid w:val="004062F4"/>
    <w:rsid w:val="00406F01"/>
    <w:rsid w:val="00407048"/>
    <w:rsid w:val="004077D7"/>
    <w:rsid w:val="00407F78"/>
    <w:rsid w:val="00410CA6"/>
    <w:rsid w:val="00411480"/>
    <w:rsid w:val="0041164C"/>
    <w:rsid w:val="004119E3"/>
    <w:rsid w:val="0041232C"/>
    <w:rsid w:val="004123A6"/>
    <w:rsid w:val="00412AAF"/>
    <w:rsid w:val="00412AD5"/>
    <w:rsid w:val="00413997"/>
    <w:rsid w:val="00413B94"/>
    <w:rsid w:val="00413D26"/>
    <w:rsid w:val="00415094"/>
    <w:rsid w:val="00415706"/>
    <w:rsid w:val="00415EC1"/>
    <w:rsid w:val="00416527"/>
    <w:rsid w:val="00416B3E"/>
    <w:rsid w:val="00416D50"/>
    <w:rsid w:val="00416FD5"/>
    <w:rsid w:val="00417146"/>
    <w:rsid w:val="00417772"/>
    <w:rsid w:val="00417933"/>
    <w:rsid w:val="00417A9B"/>
    <w:rsid w:val="00417DE2"/>
    <w:rsid w:val="0042081A"/>
    <w:rsid w:val="00420E6A"/>
    <w:rsid w:val="00420F8F"/>
    <w:rsid w:val="0042339F"/>
    <w:rsid w:val="004238A3"/>
    <w:rsid w:val="00425A9E"/>
    <w:rsid w:val="00426A9C"/>
    <w:rsid w:val="00426D6B"/>
    <w:rsid w:val="00427CDF"/>
    <w:rsid w:val="00430E9E"/>
    <w:rsid w:val="00431230"/>
    <w:rsid w:val="00431A4A"/>
    <w:rsid w:val="00431B06"/>
    <w:rsid w:val="00431C14"/>
    <w:rsid w:val="00431E6C"/>
    <w:rsid w:val="00433630"/>
    <w:rsid w:val="00433B9B"/>
    <w:rsid w:val="00433CE7"/>
    <w:rsid w:val="00433E9C"/>
    <w:rsid w:val="00434AB1"/>
    <w:rsid w:val="00434CA8"/>
    <w:rsid w:val="00434F3D"/>
    <w:rsid w:val="00434F4A"/>
    <w:rsid w:val="0043585F"/>
    <w:rsid w:val="00435A11"/>
    <w:rsid w:val="00435CDD"/>
    <w:rsid w:val="004363E4"/>
    <w:rsid w:val="00436C5E"/>
    <w:rsid w:val="00436D7B"/>
    <w:rsid w:val="00437900"/>
    <w:rsid w:val="00437B9F"/>
    <w:rsid w:val="004405BF"/>
    <w:rsid w:val="004406A5"/>
    <w:rsid w:val="004413BA"/>
    <w:rsid w:val="00442532"/>
    <w:rsid w:val="00442D83"/>
    <w:rsid w:val="00442F73"/>
    <w:rsid w:val="004435E3"/>
    <w:rsid w:val="00446936"/>
    <w:rsid w:val="00446A55"/>
    <w:rsid w:val="00447783"/>
    <w:rsid w:val="004479EE"/>
    <w:rsid w:val="00450DC1"/>
    <w:rsid w:val="00450FBE"/>
    <w:rsid w:val="0045184B"/>
    <w:rsid w:val="00451B92"/>
    <w:rsid w:val="004524D2"/>
    <w:rsid w:val="00452667"/>
    <w:rsid w:val="00452738"/>
    <w:rsid w:val="0045324C"/>
    <w:rsid w:val="00455224"/>
    <w:rsid w:val="00456091"/>
    <w:rsid w:val="00460BFD"/>
    <w:rsid w:val="00461F1B"/>
    <w:rsid w:val="004642BB"/>
    <w:rsid w:val="0046439A"/>
    <w:rsid w:val="0046554D"/>
    <w:rsid w:val="00465CAE"/>
    <w:rsid w:val="00465FCB"/>
    <w:rsid w:val="00466321"/>
    <w:rsid w:val="0046755B"/>
    <w:rsid w:val="00467CC0"/>
    <w:rsid w:val="00470801"/>
    <w:rsid w:val="00471BE9"/>
    <w:rsid w:val="00472534"/>
    <w:rsid w:val="0047307E"/>
    <w:rsid w:val="0047334D"/>
    <w:rsid w:val="00473665"/>
    <w:rsid w:val="004737FB"/>
    <w:rsid w:val="0047408B"/>
    <w:rsid w:val="004753A9"/>
    <w:rsid w:val="00475661"/>
    <w:rsid w:val="00475946"/>
    <w:rsid w:val="00476261"/>
    <w:rsid w:val="004765B3"/>
    <w:rsid w:val="00476829"/>
    <w:rsid w:val="00476BB1"/>
    <w:rsid w:val="00476CB0"/>
    <w:rsid w:val="00477688"/>
    <w:rsid w:val="0048029F"/>
    <w:rsid w:val="004802E3"/>
    <w:rsid w:val="00480507"/>
    <w:rsid w:val="004807AD"/>
    <w:rsid w:val="0048097B"/>
    <w:rsid w:val="00480BF1"/>
    <w:rsid w:val="00480E0F"/>
    <w:rsid w:val="00481F3A"/>
    <w:rsid w:val="00482F3F"/>
    <w:rsid w:val="004832EF"/>
    <w:rsid w:val="00484B9B"/>
    <w:rsid w:val="004855F6"/>
    <w:rsid w:val="00485ADF"/>
    <w:rsid w:val="0048661E"/>
    <w:rsid w:val="00486DB0"/>
    <w:rsid w:val="00486F43"/>
    <w:rsid w:val="00487B9C"/>
    <w:rsid w:val="004905D8"/>
    <w:rsid w:val="00490B97"/>
    <w:rsid w:val="0049143E"/>
    <w:rsid w:val="00491499"/>
    <w:rsid w:val="00491F61"/>
    <w:rsid w:val="004932DF"/>
    <w:rsid w:val="004933F4"/>
    <w:rsid w:val="00494563"/>
    <w:rsid w:val="00494670"/>
    <w:rsid w:val="00494702"/>
    <w:rsid w:val="00495F74"/>
    <w:rsid w:val="00496784"/>
    <w:rsid w:val="004968E1"/>
    <w:rsid w:val="00496BB4"/>
    <w:rsid w:val="004A01CF"/>
    <w:rsid w:val="004A03D4"/>
    <w:rsid w:val="004A1D16"/>
    <w:rsid w:val="004A2183"/>
    <w:rsid w:val="004A2A74"/>
    <w:rsid w:val="004A3106"/>
    <w:rsid w:val="004A3766"/>
    <w:rsid w:val="004A3823"/>
    <w:rsid w:val="004A3AF6"/>
    <w:rsid w:val="004A49FD"/>
    <w:rsid w:val="004A6EE8"/>
    <w:rsid w:val="004B0125"/>
    <w:rsid w:val="004B0F9B"/>
    <w:rsid w:val="004B2C0F"/>
    <w:rsid w:val="004B3187"/>
    <w:rsid w:val="004B32A1"/>
    <w:rsid w:val="004B3530"/>
    <w:rsid w:val="004B40AE"/>
    <w:rsid w:val="004B40C1"/>
    <w:rsid w:val="004B63AA"/>
    <w:rsid w:val="004B64E7"/>
    <w:rsid w:val="004B65A1"/>
    <w:rsid w:val="004B6803"/>
    <w:rsid w:val="004B6838"/>
    <w:rsid w:val="004B78D2"/>
    <w:rsid w:val="004B7C92"/>
    <w:rsid w:val="004C00D6"/>
    <w:rsid w:val="004C0360"/>
    <w:rsid w:val="004C04B5"/>
    <w:rsid w:val="004C0864"/>
    <w:rsid w:val="004C1286"/>
    <w:rsid w:val="004C1349"/>
    <w:rsid w:val="004C16F9"/>
    <w:rsid w:val="004C16FF"/>
    <w:rsid w:val="004C2FAA"/>
    <w:rsid w:val="004C3BB1"/>
    <w:rsid w:val="004C6097"/>
    <w:rsid w:val="004C60AE"/>
    <w:rsid w:val="004C7722"/>
    <w:rsid w:val="004C7EAA"/>
    <w:rsid w:val="004D17EA"/>
    <w:rsid w:val="004D23C1"/>
    <w:rsid w:val="004D2F33"/>
    <w:rsid w:val="004D3677"/>
    <w:rsid w:val="004D3880"/>
    <w:rsid w:val="004D62EF"/>
    <w:rsid w:val="004D759B"/>
    <w:rsid w:val="004D79BD"/>
    <w:rsid w:val="004D7A4C"/>
    <w:rsid w:val="004D7DBD"/>
    <w:rsid w:val="004E032B"/>
    <w:rsid w:val="004E1349"/>
    <w:rsid w:val="004E1515"/>
    <w:rsid w:val="004E1561"/>
    <w:rsid w:val="004E1A54"/>
    <w:rsid w:val="004E232B"/>
    <w:rsid w:val="004E24E1"/>
    <w:rsid w:val="004E2C0B"/>
    <w:rsid w:val="004E2C8E"/>
    <w:rsid w:val="004E2C92"/>
    <w:rsid w:val="004E2DB7"/>
    <w:rsid w:val="004E42E3"/>
    <w:rsid w:val="004E4399"/>
    <w:rsid w:val="004E4439"/>
    <w:rsid w:val="004E471A"/>
    <w:rsid w:val="004E4795"/>
    <w:rsid w:val="004E4C91"/>
    <w:rsid w:val="004E4CD3"/>
    <w:rsid w:val="004E57CC"/>
    <w:rsid w:val="004E5C0A"/>
    <w:rsid w:val="004E6279"/>
    <w:rsid w:val="004E630B"/>
    <w:rsid w:val="004E6946"/>
    <w:rsid w:val="004E6DDA"/>
    <w:rsid w:val="004E7FF2"/>
    <w:rsid w:val="004F0CBD"/>
    <w:rsid w:val="004F102A"/>
    <w:rsid w:val="004F11A3"/>
    <w:rsid w:val="004F13D2"/>
    <w:rsid w:val="004F1AD8"/>
    <w:rsid w:val="004F1E99"/>
    <w:rsid w:val="004F1F3D"/>
    <w:rsid w:val="004F30FA"/>
    <w:rsid w:val="004F3450"/>
    <w:rsid w:val="004F3EAA"/>
    <w:rsid w:val="004F4996"/>
    <w:rsid w:val="004F4CA0"/>
    <w:rsid w:val="004F5292"/>
    <w:rsid w:val="004F5EBC"/>
    <w:rsid w:val="004F609E"/>
    <w:rsid w:val="004F6210"/>
    <w:rsid w:val="004F6ADC"/>
    <w:rsid w:val="004F6CE1"/>
    <w:rsid w:val="004F75EB"/>
    <w:rsid w:val="004F7BFD"/>
    <w:rsid w:val="00500047"/>
    <w:rsid w:val="00500251"/>
    <w:rsid w:val="00500598"/>
    <w:rsid w:val="00500753"/>
    <w:rsid w:val="00500E66"/>
    <w:rsid w:val="00500E78"/>
    <w:rsid w:val="0050149A"/>
    <w:rsid w:val="00502956"/>
    <w:rsid w:val="0050297F"/>
    <w:rsid w:val="00503260"/>
    <w:rsid w:val="005039CB"/>
    <w:rsid w:val="00503E7E"/>
    <w:rsid w:val="0050450E"/>
    <w:rsid w:val="00504BB4"/>
    <w:rsid w:val="00504DCF"/>
    <w:rsid w:val="0050506C"/>
    <w:rsid w:val="0050558F"/>
    <w:rsid w:val="00505FCE"/>
    <w:rsid w:val="00506286"/>
    <w:rsid w:val="00506388"/>
    <w:rsid w:val="00506AC2"/>
    <w:rsid w:val="0050776B"/>
    <w:rsid w:val="0050780C"/>
    <w:rsid w:val="00510813"/>
    <w:rsid w:val="00510B66"/>
    <w:rsid w:val="00511597"/>
    <w:rsid w:val="005115D4"/>
    <w:rsid w:val="005116E3"/>
    <w:rsid w:val="00511990"/>
    <w:rsid w:val="00511DE0"/>
    <w:rsid w:val="00512E67"/>
    <w:rsid w:val="00513AAE"/>
    <w:rsid w:val="00513BA0"/>
    <w:rsid w:val="0051405A"/>
    <w:rsid w:val="005140FB"/>
    <w:rsid w:val="005141C3"/>
    <w:rsid w:val="00514870"/>
    <w:rsid w:val="00514B17"/>
    <w:rsid w:val="00514B9B"/>
    <w:rsid w:val="00515188"/>
    <w:rsid w:val="00515454"/>
    <w:rsid w:val="00515786"/>
    <w:rsid w:val="0051695D"/>
    <w:rsid w:val="00517F02"/>
    <w:rsid w:val="00520581"/>
    <w:rsid w:val="005205C4"/>
    <w:rsid w:val="0052188B"/>
    <w:rsid w:val="00522F0A"/>
    <w:rsid w:val="0052372A"/>
    <w:rsid w:val="005241A5"/>
    <w:rsid w:val="00524303"/>
    <w:rsid w:val="00524C7C"/>
    <w:rsid w:val="005258A2"/>
    <w:rsid w:val="005264A6"/>
    <w:rsid w:val="0052693B"/>
    <w:rsid w:val="00526A04"/>
    <w:rsid w:val="00526CD4"/>
    <w:rsid w:val="00527813"/>
    <w:rsid w:val="00527A1B"/>
    <w:rsid w:val="00527F01"/>
    <w:rsid w:val="0053025C"/>
    <w:rsid w:val="0053028F"/>
    <w:rsid w:val="0053123D"/>
    <w:rsid w:val="005317A7"/>
    <w:rsid w:val="0053226F"/>
    <w:rsid w:val="0053238E"/>
    <w:rsid w:val="0053248F"/>
    <w:rsid w:val="005329A5"/>
    <w:rsid w:val="00533246"/>
    <w:rsid w:val="00533E47"/>
    <w:rsid w:val="00534342"/>
    <w:rsid w:val="00534800"/>
    <w:rsid w:val="00535D2F"/>
    <w:rsid w:val="00536770"/>
    <w:rsid w:val="0054006E"/>
    <w:rsid w:val="00540164"/>
    <w:rsid w:val="005401AE"/>
    <w:rsid w:val="00542619"/>
    <w:rsid w:val="00542E07"/>
    <w:rsid w:val="00543019"/>
    <w:rsid w:val="00543A4D"/>
    <w:rsid w:val="00543F9F"/>
    <w:rsid w:val="00544591"/>
    <w:rsid w:val="0054462F"/>
    <w:rsid w:val="00544F7B"/>
    <w:rsid w:val="005452D9"/>
    <w:rsid w:val="00545424"/>
    <w:rsid w:val="00545655"/>
    <w:rsid w:val="005458F8"/>
    <w:rsid w:val="00545F7F"/>
    <w:rsid w:val="00546F40"/>
    <w:rsid w:val="005506AE"/>
    <w:rsid w:val="00550EAB"/>
    <w:rsid w:val="005510D4"/>
    <w:rsid w:val="00551B6F"/>
    <w:rsid w:val="00552962"/>
    <w:rsid w:val="00552DDD"/>
    <w:rsid w:val="00552DE3"/>
    <w:rsid w:val="005541BC"/>
    <w:rsid w:val="00554A7B"/>
    <w:rsid w:val="00555324"/>
    <w:rsid w:val="00555463"/>
    <w:rsid w:val="005555B6"/>
    <w:rsid w:val="0055572C"/>
    <w:rsid w:val="00555A44"/>
    <w:rsid w:val="00557AC1"/>
    <w:rsid w:val="00560749"/>
    <w:rsid w:val="0056106A"/>
    <w:rsid w:val="00561652"/>
    <w:rsid w:val="0056238D"/>
    <w:rsid w:val="00562D95"/>
    <w:rsid w:val="005635A4"/>
    <w:rsid w:val="00563658"/>
    <w:rsid w:val="0056366D"/>
    <w:rsid w:val="00563E80"/>
    <w:rsid w:val="00564A3A"/>
    <w:rsid w:val="00565707"/>
    <w:rsid w:val="00565774"/>
    <w:rsid w:val="00565CB0"/>
    <w:rsid w:val="00565DC4"/>
    <w:rsid w:val="005661F0"/>
    <w:rsid w:val="00567162"/>
    <w:rsid w:val="0056728A"/>
    <w:rsid w:val="00567BFB"/>
    <w:rsid w:val="005708D8"/>
    <w:rsid w:val="00571393"/>
    <w:rsid w:val="0057198E"/>
    <w:rsid w:val="005720AE"/>
    <w:rsid w:val="005725CC"/>
    <w:rsid w:val="005727DC"/>
    <w:rsid w:val="00572D0C"/>
    <w:rsid w:val="00572DAE"/>
    <w:rsid w:val="00573626"/>
    <w:rsid w:val="00573E2C"/>
    <w:rsid w:val="00574530"/>
    <w:rsid w:val="005745F9"/>
    <w:rsid w:val="00574BBD"/>
    <w:rsid w:val="00575017"/>
    <w:rsid w:val="00577246"/>
    <w:rsid w:val="00582EF5"/>
    <w:rsid w:val="00583C82"/>
    <w:rsid w:val="00585656"/>
    <w:rsid w:val="0058582A"/>
    <w:rsid w:val="00586AB6"/>
    <w:rsid w:val="00587464"/>
    <w:rsid w:val="00587607"/>
    <w:rsid w:val="005901AB"/>
    <w:rsid w:val="005906A5"/>
    <w:rsid w:val="00591106"/>
    <w:rsid w:val="00591360"/>
    <w:rsid w:val="005913B5"/>
    <w:rsid w:val="005916A5"/>
    <w:rsid w:val="005920F3"/>
    <w:rsid w:val="00593512"/>
    <w:rsid w:val="005936ED"/>
    <w:rsid w:val="005937A2"/>
    <w:rsid w:val="005947DD"/>
    <w:rsid w:val="00594D77"/>
    <w:rsid w:val="005956C1"/>
    <w:rsid w:val="005960D5"/>
    <w:rsid w:val="00596403"/>
    <w:rsid w:val="00596946"/>
    <w:rsid w:val="005969E4"/>
    <w:rsid w:val="00596CD8"/>
    <w:rsid w:val="00596F24"/>
    <w:rsid w:val="00597027"/>
    <w:rsid w:val="005A013E"/>
    <w:rsid w:val="005A029F"/>
    <w:rsid w:val="005A06B7"/>
    <w:rsid w:val="005A0744"/>
    <w:rsid w:val="005A07BC"/>
    <w:rsid w:val="005A0B1B"/>
    <w:rsid w:val="005A1759"/>
    <w:rsid w:val="005A19C1"/>
    <w:rsid w:val="005A2622"/>
    <w:rsid w:val="005A2BA6"/>
    <w:rsid w:val="005A2E57"/>
    <w:rsid w:val="005A354D"/>
    <w:rsid w:val="005A3A7B"/>
    <w:rsid w:val="005A3E5F"/>
    <w:rsid w:val="005A42BA"/>
    <w:rsid w:val="005A4FED"/>
    <w:rsid w:val="005A6225"/>
    <w:rsid w:val="005A6263"/>
    <w:rsid w:val="005A6794"/>
    <w:rsid w:val="005A68A7"/>
    <w:rsid w:val="005A69EF"/>
    <w:rsid w:val="005A6D68"/>
    <w:rsid w:val="005A6D99"/>
    <w:rsid w:val="005A705D"/>
    <w:rsid w:val="005A7660"/>
    <w:rsid w:val="005A78B6"/>
    <w:rsid w:val="005B00E1"/>
    <w:rsid w:val="005B2789"/>
    <w:rsid w:val="005B334C"/>
    <w:rsid w:val="005B37D0"/>
    <w:rsid w:val="005B3F94"/>
    <w:rsid w:val="005B764A"/>
    <w:rsid w:val="005B7C31"/>
    <w:rsid w:val="005B7DAC"/>
    <w:rsid w:val="005C07A0"/>
    <w:rsid w:val="005C085D"/>
    <w:rsid w:val="005C208A"/>
    <w:rsid w:val="005C358C"/>
    <w:rsid w:val="005C366D"/>
    <w:rsid w:val="005C4966"/>
    <w:rsid w:val="005C6100"/>
    <w:rsid w:val="005C6CDE"/>
    <w:rsid w:val="005C6F41"/>
    <w:rsid w:val="005C70D5"/>
    <w:rsid w:val="005C72F2"/>
    <w:rsid w:val="005C7483"/>
    <w:rsid w:val="005C7C02"/>
    <w:rsid w:val="005D07E9"/>
    <w:rsid w:val="005D0890"/>
    <w:rsid w:val="005D0E71"/>
    <w:rsid w:val="005D1274"/>
    <w:rsid w:val="005D132F"/>
    <w:rsid w:val="005D2515"/>
    <w:rsid w:val="005D2F84"/>
    <w:rsid w:val="005D36AB"/>
    <w:rsid w:val="005D3A97"/>
    <w:rsid w:val="005D44D0"/>
    <w:rsid w:val="005D5EF0"/>
    <w:rsid w:val="005D5EF8"/>
    <w:rsid w:val="005D6085"/>
    <w:rsid w:val="005D6C5F"/>
    <w:rsid w:val="005D7658"/>
    <w:rsid w:val="005D765B"/>
    <w:rsid w:val="005D779D"/>
    <w:rsid w:val="005D7EBC"/>
    <w:rsid w:val="005E10AD"/>
    <w:rsid w:val="005E1146"/>
    <w:rsid w:val="005E12BC"/>
    <w:rsid w:val="005E2712"/>
    <w:rsid w:val="005E2FEC"/>
    <w:rsid w:val="005E38AF"/>
    <w:rsid w:val="005E4CD6"/>
    <w:rsid w:val="005E6306"/>
    <w:rsid w:val="005E630C"/>
    <w:rsid w:val="005E6DC9"/>
    <w:rsid w:val="005E6FC8"/>
    <w:rsid w:val="005F0B4D"/>
    <w:rsid w:val="005F16BF"/>
    <w:rsid w:val="005F4232"/>
    <w:rsid w:val="005F42FD"/>
    <w:rsid w:val="005F4DB5"/>
    <w:rsid w:val="005F5C7E"/>
    <w:rsid w:val="005F608F"/>
    <w:rsid w:val="005F7312"/>
    <w:rsid w:val="00600647"/>
    <w:rsid w:val="00600D51"/>
    <w:rsid w:val="00602BDF"/>
    <w:rsid w:val="0060324C"/>
    <w:rsid w:val="00603715"/>
    <w:rsid w:val="00603B1D"/>
    <w:rsid w:val="006058B3"/>
    <w:rsid w:val="00606542"/>
    <w:rsid w:val="00607C98"/>
    <w:rsid w:val="006113C9"/>
    <w:rsid w:val="00611431"/>
    <w:rsid w:val="00611CB3"/>
    <w:rsid w:val="006126E0"/>
    <w:rsid w:val="00613B40"/>
    <w:rsid w:val="00613E7F"/>
    <w:rsid w:val="00615E7F"/>
    <w:rsid w:val="00616016"/>
    <w:rsid w:val="0061651B"/>
    <w:rsid w:val="00617202"/>
    <w:rsid w:val="006177FE"/>
    <w:rsid w:val="00617940"/>
    <w:rsid w:val="0061797E"/>
    <w:rsid w:val="00617CC3"/>
    <w:rsid w:val="00620AEE"/>
    <w:rsid w:val="00621DA8"/>
    <w:rsid w:val="00621E45"/>
    <w:rsid w:val="00621F9B"/>
    <w:rsid w:val="0062253C"/>
    <w:rsid w:val="00623199"/>
    <w:rsid w:val="0062332F"/>
    <w:rsid w:val="00623A96"/>
    <w:rsid w:val="00623FB9"/>
    <w:rsid w:val="0062464C"/>
    <w:rsid w:val="006253D7"/>
    <w:rsid w:val="0062581E"/>
    <w:rsid w:val="00625E23"/>
    <w:rsid w:val="00626632"/>
    <w:rsid w:val="00626E87"/>
    <w:rsid w:val="006271AF"/>
    <w:rsid w:val="00627A04"/>
    <w:rsid w:val="00630995"/>
    <w:rsid w:val="00630CEF"/>
    <w:rsid w:val="00630E23"/>
    <w:rsid w:val="00631C4E"/>
    <w:rsid w:val="00633EBC"/>
    <w:rsid w:val="00633F60"/>
    <w:rsid w:val="006343AC"/>
    <w:rsid w:val="00635504"/>
    <w:rsid w:val="0063577A"/>
    <w:rsid w:val="006361C2"/>
    <w:rsid w:val="00636DC2"/>
    <w:rsid w:val="00637016"/>
    <w:rsid w:val="006370BB"/>
    <w:rsid w:val="006376A9"/>
    <w:rsid w:val="006377A6"/>
    <w:rsid w:val="00637A3D"/>
    <w:rsid w:val="00640949"/>
    <w:rsid w:val="006409DD"/>
    <w:rsid w:val="00640A1E"/>
    <w:rsid w:val="00640BE6"/>
    <w:rsid w:val="006411EF"/>
    <w:rsid w:val="00641201"/>
    <w:rsid w:val="00642D4E"/>
    <w:rsid w:val="00642D9D"/>
    <w:rsid w:val="0064351B"/>
    <w:rsid w:val="0064537D"/>
    <w:rsid w:val="00646165"/>
    <w:rsid w:val="00647061"/>
    <w:rsid w:val="006470C6"/>
    <w:rsid w:val="006479CF"/>
    <w:rsid w:val="00647F0F"/>
    <w:rsid w:val="00650AFC"/>
    <w:rsid w:val="00652E16"/>
    <w:rsid w:val="00653255"/>
    <w:rsid w:val="00653323"/>
    <w:rsid w:val="0065399D"/>
    <w:rsid w:val="006539D9"/>
    <w:rsid w:val="00654056"/>
    <w:rsid w:val="0065494B"/>
    <w:rsid w:val="006555A9"/>
    <w:rsid w:val="00655EC0"/>
    <w:rsid w:val="006561F2"/>
    <w:rsid w:val="00660111"/>
    <w:rsid w:val="00661648"/>
    <w:rsid w:val="0066167C"/>
    <w:rsid w:val="006616D0"/>
    <w:rsid w:val="006623E1"/>
    <w:rsid w:val="00664157"/>
    <w:rsid w:val="006645C5"/>
    <w:rsid w:val="00664C8C"/>
    <w:rsid w:val="00664EE0"/>
    <w:rsid w:val="00664F49"/>
    <w:rsid w:val="00665ABD"/>
    <w:rsid w:val="00666B46"/>
    <w:rsid w:val="00666B74"/>
    <w:rsid w:val="00667463"/>
    <w:rsid w:val="006679D3"/>
    <w:rsid w:val="0067142C"/>
    <w:rsid w:val="0067246D"/>
    <w:rsid w:val="0067269A"/>
    <w:rsid w:val="006727EC"/>
    <w:rsid w:val="00672CEA"/>
    <w:rsid w:val="006733BD"/>
    <w:rsid w:val="006747F4"/>
    <w:rsid w:val="006748B8"/>
    <w:rsid w:val="00676A61"/>
    <w:rsid w:val="00676FE6"/>
    <w:rsid w:val="006775C3"/>
    <w:rsid w:val="006805FA"/>
    <w:rsid w:val="006805FB"/>
    <w:rsid w:val="0068209D"/>
    <w:rsid w:val="0068234E"/>
    <w:rsid w:val="0068275F"/>
    <w:rsid w:val="00682B69"/>
    <w:rsid w:val="006835DE"/>
    <w:rsid w:val="006839D9"/>
    <w:rsid w:val="00683C36"/>
    <w:rsid w:val="00683D93"/>
    <w:rsid w:val="006846F1"/>
    <w:rsid w:val="00684E5C"/>
    <w:rsid w:val="00685934"/>
    <w:rsid w:val="0068665B"/>
    <w:rsid w:val="00686B8E"/>
    <w:rsid w:val="006876FC"/>
    <w:rsid w:val="0069062C"/>
    <w:rsid w:val="00690862"/>
    <w:rsid w:val="006909F3"/>
    <w:rsid w:val="00690C66"/>
    <w:rsid w:val="00691286"/>
    <w:rsid w:val="006917E0"/>
    <w:rsid w:val="0069290A"/>
    <w:rsid w:val="00694ABF"/>
    <w:rsid w:val="00694F3C"/>
    <w:rsid w:val="006965DA"/>
    <w:rsid w:val="00696CB8"/>
    <w:rsid w:val="0069719C"/>
    <w:rsid w:val="0069775A"/>
    <w:rsid w:val="00697813"/>
    <w:rsid w:val="006A0977"/>
    <w:rsid w:val="006A0B26"/>
    <w:rsid w:val="006A0DC7"/>
    <w:rsid w:val="006A0E28"/>
    <w:rsid w:val="006A108E"/>
    <w:rsid w:val="006A1E52"/>
    <w:rsid w:val="006A2B49"/>
    <w:rsid w:val="006A3634"/>
    <w:rsid w:val="006A39FE"/>
    <w:rsid w:val="006A3DB6"/>
    <w:rsid w:val="006A3EE8"/>
    <w:rsid w:val="006A40A7"/>
    <w:rsid w:val="006A4296"/>
    <w:rsid w:val="006A4446"/>
    <w:rsid w:val="006A44D5"/>
    <w:rsid w:val="006A4516"/>
    <w:rsid w:val="006A5440"/>
    <w:rsid w:val="006A5471"/>
    <w:rsid w:val="006A5CEB"/>
    <w:rsid w:val="006A6255"/>
    <w:rsid w:val="006A72BF"/>
    <w:rsid w:val="006B03F2"/>
    <w:rsid w:val="006B0714"/>
    <w:rsid w:val="006B1A7D"/>
    <w:rsid w:val="006B1A98"/>
    <w:rsid w:val="006B22B6"/>
    <w:rsid w:val="006B2D16"/>
    <w:rsid w:val="006B3406"/>
    <w:rsid w:val="006B37DC"/>
    <w:rsid w:val="006B37F9"/>
    <w:rsid w:val="006B3ABF"/>
    <w:rsid w:val="006B3B63"/>
    <w:rsid w:val="006B3CE8"/>
    <w:rsid w:val="006B41C8"/>
    <w:rsid w:val="006B4F68"/>
    <w:rsid w:val="006B5126"/>
    <w:rsid w:val="006B5318"/>
    <w:rsid w:val="006B56AE"/>
    <w:rsid w:val="006B58E9"/>
    <w:rsid w:val="006B5A2F"/>
    <w:rsid w:val="006B72C7"/>
    <w:rsid w:val="006C0592"/>
    <w:rsid w:val="006C0A28"/>
    <w:rsid w:val="006C0C1B"/>
    <w:rsid w:val="006C152B"/>
    <w:rsid w:val="006C163C"/>
    <w:rsid w:val="006C1679"/>
    <w:rsid w:val="006C1C29"/>
    <w:rsid w:val="006C1DC7"/>
    <w:rsid w:val="006C272E"/>
    <w:rsid w:val="006C2D63"/>
    <w:rsid w:val="006C364A"/>
    <w:rsid w:val="006C4647"/>
    <w:rsid w:val="006C49F8"/>
    <w:rsid w:val="006C5479"/>
    <w:rsid w:val="006C624D"/>
    <w:rsid w:val="006C649A"/>
    <w:rsid w:val="006C7314"/>
    <w:rsid w:val="006C7356"/>
    <w:rsid w:val="006C74F9"/>
    <w:rsid w:val="006C75CA"/>
    <w:rsid w:val="006D0C36"/>
    <w:rsid w:val="006D0C93"/>
    <w:rsid w:val="006D13B5"/>
    <w:rsid w:val="006D1997"/>
    <w:rsid w:val="006D26DA"/>
    <w:rsid w:val="006D4185"/>
    <w:rsid w:val="006D454F"/>
    <w:rsid w:val="006D476F"/>
    <w:rsid w:val="006D4FCA"/>
    <w:rsid w:val="006D551F"/>
    <w:rsid w:val="006D5A13"/>
    <w:rsid w:val="006D5F47"/>
    <w:rsid w:val="006D66EB"/>
    <w:rsid w:val="006D79FF"/>
    <w:rsid w:val="006E0239"/>
    <w:rsid w:val="006E073C"/>
    <w:rsid w:val="006E096E"/>
    <w:rsid w:val="006E0992"/>
    <w:rsid w:val="006E0C23"/>
    <w:rsid w:val="006E12FF"/>
    <w:rsid w:val="006E1351"/>
    <w:rsid w:val="006E1985"/>
    <w:rsid w:val="006E23E9"/>
    <w:rsid w:val="006E2528"/>
    <w:rsid w:val="006E371A"/>
    <w:rsid w:val="006E3869"/>
    <w:rsid w:val="006E607E"/>
    <w:rsid w:val="006E7BFF"/>
    <w:rsid w:val="006E7F22"/>
    <w:rsid w:val="006F05E9"/>
    <w:rsid w:val="006F09EA"/>
    <w:rsid w:val="006F18BE"/>
    <w:rsid w:val="006F1CB2"/>
    <w:rsid w:val="006F1D46"/>
    <w:rsid w:val="006F1F8C"/>
    <w:rsid w:val="006F2B07"/>
    <w:rsid w:val="006F3BE8"/>
    <w:rsid w:val="006F44AC"/>
    <w:rsid w:val="006F496A"/>
    <w:rsid w:val="006F4B9F"/>
    <w:rsid w:val="006F4FAA"/>
    <w:rsid w:val="006F54F2"/>
    <w:rsid w:val="006F5722"/>
    <w:rsid w:val="006F5A2D"/>
    <w:rsid w:val="006F5FCC"/>
    <w:rsid w:val="006F68F8"/>
    <w:rsid w:val="006F71AE"/>
    <w:rsid w:val="006F7DDB"/>
    <w:rsid w:val="007006C5"/>
    <w:rsid w:val="007009BC"/>
    <w:rsid w:val="00702CD0"/>
    <w:rsid w:val="0070367B"/>
    <w:rsid w:val="007038C3"/>
    <w:rsid w:val="00703995"/>
    <w:rsid w:val="00704A13"/>
    <w:rsid w:val="00705168"/>
    <w:rsid w:val="0070610A"/>
    <w:rsid w:val="00706C5D"/>
    <w:rsid w:val="007071C2"/>
    <w:rsid w:val="00707A49"/>
    <w:rsid w:val="00707DE4"/>
    <w:rsid w:val="00707EE5"/>
    <w:rsid w:val="007102CB"/>
    <w:rsid w:val="0071077E"/>
    <w:rsid w:val="007112FD"/>
    <w:rsid w:val="007126B0"/>
    <w:rsid w:val="007126C2"/>
    <w:rsid w:val="00713002"/>
    <w:rsid w:val="00713598"/>
    <w:rsid w:val="00713D0F"/>
    <w:rsid w:val="00714E30"/>
    <w:rsid w:val="00716A26"/>
    <w:rsid w:val="00717550"/>
    <w:rsid w:val="00717CD5"/>
    <w:rsid w:val="00717E89"/>
    <w:rsid w:val="00720540"/>
    <w:rsid w:val="00720A1C"/>
    <w:rsid w:val="00721511"/>
    <w:rsid w:val="00721D64"/>
    <w:rsid w:val="00723F55"/>
    <w:rsid w:val="00726116"/>
    <w:rsid w:val="007275F2"/>
    <w:rsid w:val="00727E01"/>
    <w:rsid w:val="007301A6"/>
    <w:rsid w:val="0073093B"/>
    <w:rsid w:val="00730976"/>
    <w:rsid w:val="00730C8A"/>
    <w:rsid w:val="00730E15"/>
    <w:rsid w:val="00732373"/>
    <w:rsid w:val="0073252B"/>
    <w:rsid w:val="00732922"/>
    <w:rsid w:val="0073338A"/>
    <w:rsid w:val="0073346D"/>
    <w:rsid w:val="0073483A"/>
    <w:rsid w:val="00734C1C"/>
    <w:rsid w:val="00735015"/>
    <w:rsid w:val="007359A8"/>
    <w:rsid w:val="00736ACA"/>
    <w:rsid w:val="0074044D"/>
    <w:rsid w:val="007410B7"/>
    <w:rsid w:val="00741144"/>
    <w:rsid w:val="00741603"/>
    <w:rsid w:val="00741F7D"/>
    <w:rsid w:val="0074220B"/>
    <w:rsid w:val="0074321A"/>
    <w:rsid w:val="007433E6"/>
    <w:rsid w:val="00743409"/>
    <w:rsid w:val="00745BD0"/>
    <w:rsid w:val="00746964"/>
    <w:rsid w:val="00746DE1"/>
    <w:rsid w:val="00747833"/>
    <w:rsid w:val="0075009B"/>
    <w:rsid w:val="007500B7"/>
    <w:rsid w:val="0075162E"/>
    <w:rsid w:val="00751D62"/>
    <w:rsid w:val="00752FAB"/>
    <w:rsid w:val="007532A8"/>
    <w:rsid w:val="00754034"/>
    <w:rsid w:val="007542A3"/>
    <w:rsid w:val="0075472E"/>
    <w:rsid w:val="0075645C"/>
    <w:rsid w:val="00756556"/>
    <w:rsid w:val="0075686A"/>
    <w:rsid w:val="00756A43"/>
    <w:rsid w:val="00756B46"/>
    <w:rsid w:val="00756B6B"/>
    <w:rsid w:val="007575B1"/>
    <w:rsid w:val="00757690"/>
    <w:rsid w:val="007604F6"/>
    <w:rsid w:val="00760D24"/>
    <w:rsid w:val="007618C4"/>
    <w:rsid w:val="007630B3"/>
    <w:rsid w:val="007631B5"/>
    <w:rsid w:val="00763BFA"/>
    <w:rsid w:val="00763F3B"/>
    <w:rsid w:val="0076418A"/>
    <w:rsid w:val="0076528B"/>
    <w:rsid w:val="00765C4A"/>
    <w:rsid w:val="0076621E"/>
    <w:rsid w:val="007666CF"/>
    <w:rsid w:val="00766758"/>
    <w:rsid w:val="00766759"/>
    <w:rsid w:val="0076693A"/>
    <w:rsid w:val="007673CC"/>
    <w:rsid w:val="00767980"/>
    <w:rsid w:val="00770B19"/>
    <w:rsid w:val="00771173"/>
    <w:rsid w:val="007744CE"/>
    <w:rsid w:val="0077462A"/>
    <w:rsid w:val="0077463F"/>
    <w:rsid w:val="00774C2D"/>
    <w:rsid w:val="007759A2"/>
    <w:rsid w:val="0077618F"/>
    <w:rsid w:val="00776200"/>
    <w:rsid w:val="00776CD0"/>
    <w:rsid w:val="00776F76"/>
    <w:rsid w:val="00781369"/>
    <w:rsid w:val="00782C3B"/>
    <w:rsid w:val="00782F0D"/>
    <w:rsid w:val="00783293"/>
    <w:rsid w:val="007836D7"/>
    <w:rsid w:val="007836EA"/>
    <w:rsid w:val="007837A8"/>
    <w:rsid w:val="00784917"/>
    <w:rsid w:val="00784CDA"/>
    <w:rsid w:val="00784E96"/>
    <w:rsid w:val="00785288"/>
    <w:rsid w:val="00785A00"/>
    <w:rsid w:val="00786EBE"/>
    <w:rsid w:val="00787788"/>
    <w:rsid w:val="00790408"/>
    <w:rsid w:val="00790470"/>
    <w:rsid w:val="007906C4"/>
    <w:rsid w:val="00790B8E"/>
    <w:rsid w:val="00791826"/>
    <w:rsid w:val="00791ECF"/>
    <w:rsid w:val="007927ED"/>
    <w:rsid w:val="00793734"/>
    <w:rsid w:val="0079395A"/>
    <w:rsid w:val="00793CA9"/>
    <w:rsid w:val="00793CC7"/>
    <w:rsid w:val="00793F75"/>
    <w:rsid w:val="007940EA"/>
    <w:rsid w:val="00794ABB"/>
    <w:rsid w:val="00794F98"/>
    <w:rsid w:val="007955D2"/>
    <w:rsid w:val="007962EF"/>
    <w:rsid w:val="007967E8"/>
    <w:rsid w:val="00796D8B"/>
    <w:rsid w:val="007974CD"/>
    <w:rsid w:val="007A0937"/>
    <w:rsid w:val="007A0CF5"/>
    <w:rsid w:val="007A2170"/>
    <w:rsid w:val="007A22BF"/>
    <w:rsid w:val="007A25C4"/>
    <w:rsid w:val="007A275B"/>
    <w:rsid w:val="007A2E42"/>
    <w:rsid w:val="007A3323"/>
    <w:rsid w:val="007A4EC9"/>
    <w:rsid w:val="007A5423"/>
    <w:rsid w:val="007A5459"/>
    <w:rsid w:val="007A62BF"/>
    <w:rsid w:val="007A6ECB"/>
    <w:rsid w:val="007A746E"/>
    <w:rsid w:val="007A7764"/>
    <w:rsid w:val="007B0D52"/>
    <w:rsid w:val="007B170C"/>
    <w:rsid w:val="007B1DCF"/>
    <w:rsid w:val="007B1E18"/>
    <w:rsid w:val="007B2826"/>
    <w:rsid w:val="007B3B55"/>
    <w:rsid w:val="007B3B5C"/>
    <w:rsid w:val="007B3E7E"/>
    <w:rsid w:val="007B6236"/>
    <w:rsid w:val="007B72B8"/>
    <w:rsid w:val="007B7A58"/>
    <w:rsid w:val="007C0B3D"/>
    <w:rsid w:val="007C118E"/>
    <w:rsid w:val="007C21B5"/>
    <w:rsid w:val="007C2423"/>
    <w:rsid w:val="007C2623"/>
    <w:rsid w:val="007C45C4"/>
    <w:rsid w:val="007C4942"/>
    <w:rsid w:val="007C4AD8"/>
    <w:rsid w:val="007C50CC"/>
    <w:rsid w:val="007C5570"/>
    <w:rsid w:val="007C5B1D"/>
    <w:rsid w:val="007C6F1B"/>
    <w:rsid w:val="007D1806"/>
    <w:rsid w:val="007D1CF0"/>
    <w:rsid w:val="007D1DDF"/>
    <w:rsid w:val="007D4541"/>
    <w:rsid w:val="007D4E49"/>
    <w:rsid w:val="007D5189"/>
    <w:rsid w:val="007D5746"/>
    <w:rsid w:val="007D5FD2"/>
    <w:rsid w:val="007D6775"/>
    <w:rsid w:val="007D6886"/>
    <w:rsid w:val="007D6F58"/>
    <w:rsid w:val="007D6FE0"/>
    <w:rsid w:val="007D709F"/>
    <w:rsid w:val="007D71B1"/>
    <w:rsid w:val="007D7CA6"/>
    <w:rsid w:val="007E1541"/>
    <w:rsid w:val="007E1707"/>
    <w:rsid w:val="007E17D8"/>
    <w:rsid w:val="007E2042"/>
    <w:rsid w:val="007E28F7"/>
    <w:rsid w:val="007E2B8F"/>
    <w:rsid w:val="007E2D86"/>
    <w:rsid w:val="007E2FD6"/>
    <w:rsid w:val="007E32D3"/>
    <w:rsid w:val="007E3924"/>
    <w:rsid w:val="007E4952"/>
    <w:rsid w:val="007E4BD2"/>
    <w:rsid w:val="007E4C74"/>
    <w:rsid w:val="007E6142"/>
    <w:rsid w:val="007E61AE"/>
    <w:rsid w:val="007E647E"/>
    <w:rsid w:val="007E79C2"/>
    <w:rsid w:val="007F10F9"/>
    <w:rsid w:val="007F12BB"/>
    <w:rsid w:val="007F1C39"/>
    <w:rsid w:val="007F2323"/>
    <w:rsid w:val="007F2D9E"/>
    <w:rsid w:val="007F34D3"/>
    <w:rsid w:val="007F371B"/>
    <w:rsid w:val="007F4536"/>
    <w:rsid w:val="007F4D24"/>
    <w:rsid w:val="007F4D74"/>
    <w:rsid w:val="007F54AD"/>
    <w:rsid w:val="007F57BF"/>
    <w:rsid w:val="007F6228"/>
    <w:rsid w:val="007F659F"/>
    <w:rsid w:val="007F6BE5"/>
    <w:rsid w:val="007F6FA6"/>
    <w:rsid w:val="007F751F"/>
    <w:rsid w:val="007F76DA"/>
    <w:rsid w:val="007F7AB1"/>
    <w:rsid w:val="00800AFF"/>
    <w:rsid w:val="00800E47"/>
    <w:rsid w:val="00801393"/>
    <w:rsid w:val="008013AD"/>
    <w:rsid w:val="00802A94"/>
    <w:rsid w:val="00802C36"/>
    <w:rsid w:val="00802F88"/>
    <w:rsid w:val="00804075"/>
    <w:rsid w:val="008045D6"/>
    <w:rsid w:val="00810859"/>
    <w:rsid w:val="008119FB"/>
    <w:rsid w:val="00811DCE"/>
    <w:rsid w:val="0081217A"/>
    <w:rsid w:val="0081258A"/>
    <w:rsid w:val="0081293E"/>
    <w:rsid w:val="00812E9E"/>
    <w:rsid w:val="00813533"/>
    <w:rsid w:val="00813ABB"/>
    <w:rsid w:val="00814120"/>
    <w:rsid w:val="0081499B"/>
    <w:rsid w:val="00815283"/>
    <w:rsid w:val="00815372"/>
    <w:rsid w:val="00815465"/>
    <w:rsid w:val="0081588C"/>
    <w:rsid w:val="0081592A"/>
    <w:rsid w:val="00815D25"/>
    <w:rsid w:val="00815EDF"/>
    <w:rsid w:val="00817856"/>
    <w:rsid w:val="00817E9A"/>
    <w:rsid w:val="008206A8"/>
    <w:rsid w:val="00820706"/>
    <w:rsid w:val="00821DD6"/>
    <w:rsid w:val="00821FE4"/>
    <w:rsid w:val="00822ADC"/>
    <w:rsid w:val="008242ED"/>
    <w:rsid w:val="00826F16"/>
    <w:rsid w:val="008277B5"/>
    <w:rsid w:val="0083050C"/>
    <w:rsid w:val="008306BD"/>
    <w:rsid w:val="00830BB6"/>
    <w:rsid w:val="0083145E"/>
    <w:rsid w:val="00831A80"/>
    <w:rsid w:val="0083231D"/>
    <w:rsid w:val="0083283B"/>
    <w:rsid w:val="00833743"/>
    <w:rsid w:val="008340A4"/>
    <w:rsid w:val="00834A15"/>
    <w:rsid w:val="00835693"/>
    <w:rsid w:val="00835C5E"/>
    <w:rsid w:val="00837D51"/>
    <w:rsid w:val="00840570"/>
    <w:rsid w:val="00840DFD"/>
    <w:rsid w:val="00841425"/>
    <w:rsid w:val="008416A3"/>
    <w:rsid w:val="00842411"/>
    <w:rsid w:val="0084350A"/>
    <w:rsid w:val="008436F4"/>
    <w:rsid w:val="00844D7D"/>
    <w:rsid w:val="00845290"/>
    <w:rsid w:val="00845AF0"/>
    <w:rsid w:val="00845CA6"/>
    <w:rsid w:val="00846D26"/>
    <w:rsid w:val="0084732A"/>
    <w:rsid w:val="008479E4"/>
    <w:rsid w:val="00851047"/>
    <w:rsid w:val="00851171"/>
    <w:rsid w:val="008515BF"/>
    <w:rsid w:val="00851869"/>
    <w:rsid w:val="00853173"/>
    <w:rsid w:val="008540A9"/>
    <w:rsid w:val="008548E5"/>
    <w:rsid w:val="00854928"/>
    <w:rsid w:val="008551A1"/>
    <w:rsid w:val="008553D3"/>
    <w:rsid w:val="008554E4"/>
    <w:rsid w:val="00855D19"/>
    <w:rsid w:val="00856772"/>
    <w:rsid w:val="008601FA"/>
    <w:rsid w:val="00860EF6"/>
    <w:rsid w:val="00862E7B"/>
    <w:rsid w:val="00863388"/>
    <w:rsid w:val="00863705"/>
    <w:rsid w:val="00863A1A"/>
    <w:rsid w:val="00863F98"/>
    <w:rsid w:val="008657C4"/>
    <w:rsid w:val="00865865"/>
    <w:rsid w:val="00865898"/>
    <w:rsid w:val="00865A1D"/>
    <w:rsid w:val="00865A7C"/>
    <w:rsid w:val="00865C03"/>
    <w:rsid w:val="00865F48"/>
    <w:rsid w:val="00867356"/>
    <w:rsid w:val="00867594"/>
    <w:rsid w:val="008676E3"/>
    <w:rsid w:val="00870153"/>
    <w:rsid w:val="0087079F"/>
    <w:rsid w:val="0087135F"/>
    <w:rsid w:val="00871671"/>
    <w:rsid w:val="00872D94"/>
    <w:rsid w:val="00873D7E"/>
    <w:rsid w:val="00873EDF"/>
    <w:rsid w:val="00875112"/>
    <w:rsid w:val="00875413"/>
    <w:rsid w:val="008756EC"/>
    <w:rsid w:val="00875856"/>
    <w:rsid w:val="0087588F"/>
    <w:rsid w:val="00875937"/>
    <w:rsid w:val="0087593A"/>
    <w:rsid w:val="00876977"/>
    <w:rsid w:val="008800A4"/>
    <w:rsid w:val="00880364"/>
    <w:rsid w:val="0088153D"/>
    <w:rsid w:val="00881B91"/>
    <w:rsid w:val="00883441"/>
    <w:rsid w:val="0088352C"/>
    <w:rsid w:val="00883C50"/>
    <w:rsid w:val="0088427A"/>
    <w:rsid w:val="00884797"/>
    <w:rsid w:val="00884D51"/>
    <w:rsid w:val="0088597B"/>
    <w:rsid w:val="00885D1B"/>
    <w:rsid w:val="008876AB"/>
    <w:rsid w:val="00887DED"/>
    <w:rsid w:val="0089030B"/>
    <w:rsid w:val="0089087E"/>
    <w:rsid w:val="00890928"/>
    <w:rsid w:val="00890B10"/>
    <w:rsid w:val="00891546"/>
    <w:rsid w:val="00891592"/>
    <w:rsid w:val="00891E9E"/>
    <w:rsid w:val="00892197"/>
    <w:rsid w:val="0089283E"/>
    <w:rsid w:val="00892EF4"/>
    <w:rsid w:val="008945AD"/>
    <w:rsid w:val="008950A5"/>
    <w:rsid w:val="008968DE"/>
    <w:rsid w:val="00896A95"/>
    <w:rsid w:val="00896D07"/>
    <w:rsid w:val="0089773C"/>
    <w:rsid w:val="0089794C"/>
    <w:rsid w:val="00897C03"/>
    <w:rsid w:val="00897CB7"/>
    <w:rsid w:val="00897FA5"/>
    <w:rsid w:val="008A0301"/>
    <w:rsid w:val="008A0F31"/>
    <w:rsid w:val="008A12DB"/>
    <w:rsid w:val="008A1593"/>
    <w:rsid w:val="008A1793"/>
    <w:rsid w:val="008A1B8D"/>
    <w:rsid w:val="008A2530"/>
    <w:rsid w:val="008A2DFE"/>
    <w:rsid w:val="008A2F68"/>
    <w:rsid w:val="008A383E"/>
    <w:rsid w:val="008A3ED2"/>
    <w:rsid w:val="008A50AC"/>
    <w:rsid w:val="008A540A"/>
    <w:rsid w:val="008A5C67"/>
    <w:rsid w:val="008A62AB"/>
    <w:rsid w:val="008A69EF"/>
    <w:rsid w:val="008A6CB9"/>
    <w:rsid w:val="008A7265"/>
    <w:rsid w:val="008A79A0"/>
    <w:rsid w:val="008A7F6B"/>
    <w:rsid w:val="008B0374"/>
    <w:rsid w:val="008B1530"/>
    <w:rsid w:val="008B18B7"/>
    <w:rsid w:val="008B20FC"/>
    <w:rsid w:val="008B2A74"/>
    <w:rsid w:val="008B2E2D"/>
    <w:rsid w:val="008B351E"/>
    <w:rsid w:val="008B389D"/>
    <w:rsid w:val="008B49EC"/>
    <w:rsid w:val="008B4FA6"/>
    <w:rsid w:val="008B5282"/>
    <w:rsid w:val="008B5442"/>
    <w:rsid w:val="008B5A88"/>
    <w:rsid w:val="008B5B5E"/>
    <w:rsid w:val="008B5E6F"/>
    <w:rsid w:val="008B6527"/>
    <w:rsid w:val="008B653E"/>
    <w:rsid w:val="008B7572"/>
    <w:rsid w:val="008B7A52"/>
    <w:rsid w:val="008B7C17"/>
    <w:rsid w:val="008B7FE7"/>
    <w:rsid w:val="008C02B7"/>
    <w:rsid w:val="008C05CE"/>
    <w:rsid w:val="008C07A6"/>
    <w:rsid w:val="008C1268"/>
    <w:rsid w:val="008C13A1"/>
    <w:rsid w:val="008C159D"/>
    <w:rsid w:val="008C1999"/>
    <w:rsid w:val="008C2D01"/>
    <w:rsid w:val="008C40E6"/>
    <w:rsid w:val="008C6095"/>
    <w:rsid w:val="008C7717"/>
    <w:rsid w:val="008D0F7A"/>
    <w:rsid w:val="008D0F7D"/>
    <w:rsid w:val="008D1530"/>
    <w:rsid w:val="008D35B5"/>
    <w:rsid w:val="008D3B58"/>
    <w:rsid w:val="008D580D"/>
    <w:rsid w:val="008D5AF1"/>
    <w:rsid w:val="008D68E4"/>
    <w:rsid w:val="008D7D5B"/>
    <w:rsid w:val="008D7FDA"/>
    <w:rsid w:val="008E00D4"/>
    <w:rsid w:val="008E0506"/>
    <w:rsid w:val="008E0931"/>
    <w:rsid w:val="008E0A8F"/>
    <w:rsid w:val="008E0BB2"/>
    <w:rsid w:val="008E0BC1"/>
    <w:rsid w:val="008E0C6E"/>
    <w:rsid w:val="008E0CFF"/>
    <w:rsid w:val="008E0FC1"/>
    <w:rsid w:val="008E1166"/>
    <w:rsid w:val="008E1A75"/>
    <w:rsid w:val="008E30C0"/>
    <w:rsid w:val="008E349F"/>
    <w:rsid w:val="008E372B"/>
    <w:rsid w:val="008E4F54"/>
    <w:rsid w:val="008E51C0"/>
    <w:rsid w:val="008E529C"/>
    <w:rsid w:val="008E5B04"/>
    <w:rsid w:val="008E5D6B"/>
    <w:rsid w:val="008E6FF3"/>
    <w:rsid w:val="008E76F0"/>
    <w:rsid w:val="008E7D6D"/>
    <w:rsid w:val="008F153D"/>
    <w:rsid w:val="008F15FE"/>
    <w:rsid w:val="008F1B23"/>
    <w:rsid w:val="008F1F1F"/>
    <w:rsid w:val="008F28C5"/>
    <w:rsid w:val="008F2D29"/>
    <w:rsid w:val="008F329C"/>
    <w:rsid w:val="008F3E68"/>
    <w:rsid w:val="008F42E9"/>
    <w:rsid w:val="008F4740"/>
    <w:rsid w:val="008F4D36"/>
    <w:rsid w:val="008F5187"/>
    <w:rsid w:val="008F5509"/>
    <w:rsid w:val="008F58C2"/>
    <w:rsid w:val="008F60D8"/>
    <w:rsid w:val="008F6F6D"/>
    <w:rsid w:val="008F73BD"/>
    <w:rsid w:val="009000DA"/>
    <w:rsid w:val="00900EF4"/>
    <w:rsid w:val="009011E2"/>
    <w:rsid w:val="00901A2C"/>
    <w:rsid w:val="00901B2D"/>
    <w:rsid w:val="00901B90"/>
    <w:rsid w:val="00902692"/>
    <w:rsid w:val="00902727"/>
    <w:rsid w:val="009029BE"/>
    <w:rsid w:val="00902E21"/>
    <w:rsid w:val="0090312B"/>
    <w:rsid w:val="009045B0"/>
    <w:rsid w:val="00904C0A"/>
    <w:rsid w:val="009053BD"/>
    <w:rsid w:val="00905610"/>
    <w:rsid w:val="00910685"/>
    <w:rsid w:val="009109B1"/>
    <w:rsid w:val="009119B3"/>
    <w:rsid w:val="00911E9F"/>
    <w:rsid w:val="00912337"/>
    <w:rsid w:val="00912A47"/>
    <w:rsid w:val="00912A61"/>
    <w:rsid w:val="00913189"/>
    <w:rsid w:val="00913EDA"/>
    <w:rsid w:val="0091448D"/>
    <w:rsid w:val="00914E2E"/>
    <w:rsid w:val="009159B5"/>
    <w:rsid w:val="00916AB4"/>
    <w:rsid w:val="00916DEB"/>
    <w:rsid w:val="0091736D"/>
    <w:rsid w:val="0091793F"/>
    <w:rsid w:val="00917D25"/>
    <w:rsid w:val="00917D64"/>
    <w:rsid w:val="00917F0D"/>
    <w:rsid w:val="00920D32"/>
    <w:rsid w:val="00920DF5"/>
    <w:rsid w:val="0092180F"/>
    <w:rsid w:val="00921CCB"/>
    <w:rsid w:val="00922253"/>
    <w:rsid w:val="0092317F"/>
    <w:rsid w:val="0092374A"/>
    <w:rsid w:val="00923C57"/>
    <w:rsid w:val="0092704F"/>
    <w:rsid w:val="00927457"/>
    <w:rsid w:val="00927A91"/>
    <w:rsid w:val="00927AAD"/>
    <w:rsid w:val="0093037A"/>
    <w:rsid w:val="00930471"/>
    <w:rsid w:val="00930F1E"/>
    <w:rsid w:val="009319F4"/>
    <w:rsid w:val="00933056"/>
    <w:rsid w:val="00933CE1"/>
    <w:rsid w:val="009344A2"/>
    <w:rsid w:val="00934887"/>
    <w:rsid w:val="00934EAE"/>
    <w:rsid w:val="00935824"/>
    <w:rsid w:val="00935B4B"/>
    <w:rsid w:val="00935BCB"/>
    <w:rsid w:val="00936572"/>
    <w:rsid w:val="00936654"/>
    <w:rsid w:val="009409AD"/>
    <w:rsid w:val="009412DA"/>
    <w:rsid w:val="009413E5"/>
    <w:rsid w:val="00941548"/>
    <w:rsid w:val="0094154D"/>
    <w:rsid w:val="0094264B"/>
    <w:rsid w:val="00942817"/>
    <w:rsid w:val="00943073"/>
    <w:rsid w:val="0094333B"/>
    <w:rsid w:val="00943956"/>
    <w:rsid w:val="009445A0"/>
    <w:rsid w:val="00944B01"/>
    <w:rsid w:val="00946E80"/>
    <w:rsid w:val="009474B0"/>
    <w:rsid w:val="0095155F"/>
    <w:rsid w:val="009519F0"/>
    <w:rsid w:val="00951E1F"/>
    <w:rsid w:val="00952764"/>
    <w:rsid w:val="00953207"/>
    <w:rsid w:val="00953875"/>
    <w:rsid w:val="00954429"/>
    <w:rsid w:val="009548DC"/>
    <w:rsid w:val="00954CB8"/>
    <w:rsid w:val="00955A30"/>
    <w:rsid w:val="00955E84"/>
    <w:rsid w:val="00955FD1"/>
    <w:rsid w:val="009563CE"/>
    <w:rsid w:val="0096185F"/>
    <w:rsid w:val="00962067"/>
    <w:rsid w:val="0096272C"/>
    <w:rsid w:val="00963086"/>
    <w:rsid w:val="0096328A"/>
    <w:rsid w:val="0096390A"/>
    <w:rsid w:val="00963910"/>
    <w:rsid w:val="0096453F"/>
    <w:rsid w:val="00964540"/>
    <w:rsid w:val="00964DF8"/>
    <w:rsid w:val="00964F0D"/>
    <w:rsid w:val="009652A3"/>
    <w:rsid w:val="00965DD1"/>
    <w:rsid w:val="0096635B"/>
    <w:rsid w:val="00970EA2"/>
    <w:rsid w:val="00971172"/>
    <w:rsid w:val="009720C2"/>
    <w:rsid w:val="009727C0"/>
    <w:rsid w:val="00972AFC"/>
    <w:rsid w:val="0097343B"/>
    <w:rsid w:val="00973ACC"/>
    <w:rsid w:val="00973D64"/>
    <w:rsid w:val="00976328"/>
    <w:rsid w:val="0097680D"/>
    <w:rsid w:val="0097690B"/>
    <w:rsid w:val="00977ABB"/>
    <w:rsid w:val="00977B97"/>
    <w:rsid w:val="00977C1B"/>
    <w:rsid w:val="00977EBA"/>
    <w:rsid w:val="00980D98"/>
    <w:rsid w:val="00980FA9"/>
    <w:rsid w:val="0098122F"/>
    <w:rsid w:val="00982438"/>
    <w:rsid w:val="00982BC3"/>
    <w:rsid w:val="00983342"/>
    <w:rsid w:val="009836F1"/>
    <w:rsid w:val="00983954"/>
    <w:rsid w:val="0098404C"/>
    <w:rsid w:val="00984E68"/>
    <w:rsid w:val="00984FDA"/>
    <w:rsid w:val="00985283"/>
    <w:rsid w:val="009856A6"/>
    <w:rsid w:val="00986761"/>
    <w:rsid w:val="00986F54"/>
    <w:rsid w:val="00990167"/>
    <w:rsid w:val="0099058A"/>
    <w:rsid w:val="009905F9"/>
    <w:rsid w:val="00990D91"/>
    <w:rsid w:val="00991607"/>
    <w:rsid w:val="00991648"/>
    <w:rsid w:val="009916D4"/>
    <w:rsid w:val="009923F6"/>
    <w:rsid w:val="00992C43"/>
    <w:rsid w:val="00992CF6"/>
    <w:rsid w:val="00993435"/>
    <w:rsid w:val="00993493"/>
    <w:rsid w:val="009938BF"/>
    <w:rsid w:val="00993E9B"/>
    <w:rsid w:val="009944AB"/>
    <w:rsid w:val="00994625"/>
    <w:rsid w:val="0099498B"/>
    <w:rsid w:val="00994FA8"/>
    <w:rsid w:val="009950E6"/>
    <w:rsid w:val="00995992"/>
    <w:rsid w:val="00996210"/>
    <w:rsid w:val="00996DC8"/>
    <w:rsid w:val="00997471"/>
    <w:rsid w:val="009A03E5"/>
    <w:rsid w:val="009A081B"/>
    <w:rsid w:val="009A0A69"/>
    <w:rsid w:val="009A0F3B"/>
    <w:rsid w:val="009A1BB4"/>
    <w:rsid w:val="009A1DA0"/>
    <w:rsid w:val="009A25C2"/>
    <w:rsid w:val="009A2628"/>
    <w:rsid w:val="009A2858"/>
    <w:rsid w:val="009A3200"/>
    <w:rsid w:val="009A36F5"/>
    <w:rsid w:val="009A38AD"/>
    <w:rsid w:val="009A422B"/>
    <w:rsid w:val="009A49EB"/>
    <w:rsid w:val="009A4E01"/>
    <w:rsid w:val="009A53A4"/>
    <w:rsid w:val="009A5787"/>
    <w:rsid w:val="009A622E"/>
    <w:rsid w:val="009A6944"/>
    <w:rsid w:val="009A6C4D"/>
    <w:rsid w:val="009A6CA8"/>
    <w:rsid w:val="009A6CE9"/>
    <w:rsid w:val="009A733B"/>
    <w:rsid w:val="009A7520"/>
    <w:rsid w:val="009A7AE5"/>
    <w:rsid w:val="009B0075"/>
    <w:rsid w:val="009B055E"/>
    <w:rsid w:val="009B0897"/>
    <w:rsid w:val="009B0BA8"/>
    <w:rsid w:val="009B19F6"/>
    <w:rsid w:val="009B1BCD"/>
    <w:rsid w:val="009B1D51"/>
    <w:rsid w:val="009B2261"/>
    <w:rsid w:val="009B2E1F"/>
    <w:rsid w:val="009B2E63"/>
    <w:rsid w:val="009B33CB"/>
    <w:rsid w:val="009B5B6E"/>
    <w:rsid w:val="009B658C"/>
    <w:rsid w:val="009B6D04"/>
    <w:rsid w:val="009B76AB"/>
    <w:rsid w:val="009B7954"/>
    <w:rsid w:val="009B7BD9"/>
    <w:rsid w:val="009B7BFD"/>
    <w:rsid w:val="009C0778"/>
    <w:rsid w:val="009C0903"/>
    <w:rsid w:val="009C0EFA"/>
    <w:rsid w:val="009C132E"/>
    <w:rsid w:val="009C15DB"/>
    <w:rsid w:val="009C258F"/>
    <w:rsid w:val="009C3ACA"/>
    <w:rsid w:val="009C3E1E"/>
    <w:rsid w:val="009C556A"/>
    <w:rsid w:val="009C567B"/>
    <w:rsid w:val="009C5C76"/>
    <w:rsid w:val="009C605E"/>
    <w:rsid w:val="009C65F6"/>
    <w:rsid w:val="009C6F0E"/>
    <w:rsid w:val="009C6F21"/>
    <w:rsid w:val="009C72A8"/>
    <w:rsid w:val="009C748F"/>
    <w:rsid w:val="009C76EB"/>
    <w:rsid w:val="009C7DD5"/>
    <w:rsid w:val="009D07C3"/>
    <w:rsid w:val="009D148C"/>
    <w:rsid w:val="009D1B37"/>
    <w:rsid w:val="009D239D"/>
    <w:rsid w:val="009D2449"/>
    <w:rsid w:val="009D2B54"/>
    <w:rsid w:val="009D2D11"/>
    <w:rsid w:val="009D35D4"/>
    <w:rsid w:val="009D41AD"/>
    <w:rsid w:val="009D4627"/>
    <w:rsid w:val="009D5FA2"/>
    <w:rsid w:val="009D6887"/>
    <w:rsid w:val="009D736E"/>
    <w:rsid w:val="009D75CE"/>
    <w:rsid w:val="009E227D"/>
    <w:rsid w:val="009E260F"/>
    <w:rsid w:val="009E3AEA"/>
    <w:rsid w:val="009E3BB9"/>
    <w:rsid w:val="009E3D42"/>
    <w:rsid w:val="009E4006"/>
    <w:rsid w:val="009E4813"/>
    <w:rsid w:val="009E48C6"/>
    <w:rsid w:val="009E4B30"/>
    <w:rsid w:val="009E5019"/>
    <w:rsid w:val="009E5743"/>
    <w:rsid w:val="009E5DA8"/>
    <w:rsid w:val="009E61C2"/>
    <w:rsid w:val="009E6747"/>
    <w:rsid w:val="009E6D59"/>
    <w:rsid w:val="009E7024"/>
    <w:rsid w:val="009F0393"/>
    <w:rsid w:val="009F05FB"/>
    <w:rsid w:val="009F062A"/>
    <w:rsid w:val="009F06D5"/>
    <w:rsid w:val="009F2F2F"/>
    <w:rsid w:val="009F332E"/>
    <w:rsid w:val="009F3581"/>
    <w:rsid w:val="009F3E75"/>
    <w:rsid w:val="009F4400"/>
    <w:rsid w:val="009F4F86"/>
    <w:rsid w:val="009F4FD5"/>
    <w:rsid w:val="009F5402"/>
    <w:rsid w:val="009F5748"/>
    <w:rsid w:val="009F6486"/>
    <w:rsid w:val="009F6778"/>
    <w:rsid w:val="009F799B"/>
    <w:rsid w:val="009F7EA3"/>
    <w:rsid w:val="00A00123"/>
    <w:rsid w:val="00A00B36"/>
    <w:rsid w:val="00A029EB"/>
    <w:rsid w:val="00A02BE0"/>
    <w:rsid w:val="00A03D94"/>
    <w:rsid w:val="00A040E2"/>
    <w:rsid w:val="00A04F1B"/>
    <w:rsid w:val="00A0501B"/>
    <w:rsid w:val="00A1008D"/>
    <w:rsid w:val="00A106C8"/>
    <w:rsid w:val="00A111B7"/>
    <w:rsid w:val="00A112DB"/>
    <w:rsid w:val="00A12F94"/>
    <w:rsid w:val="00A1369D"/>
    <w:rsid w:val="00A13888"/>
    <w:rsid w:val="00A13AEB"/>
    <w:rsid w:val="00A14117"/>
    <w:rsid w:val="00A1442B"/>
    <w:rsid w:val="00A146A3"/>
    <w:rsid w:val="00A14947"/>
    <w:rsid w:val="00A14D21"/>
    <w:rsid w:val="00A154D9"/>
    <w:rsid w:val="00A16256"/>
    <w:rsid w:val="00A170BC"/>
    <w:rsid w:val="00A20315"/>
    <w:rsid w:val="00A205F7"/>
    <w:rsid w:val="00A20881"/>
    <w:rsid w:val="00A20F91"/>
    <w:rsid w:val="00A210A8"/>
    <w:rsid w:val="00A2171B"/>
    <w:rsid w:val="00A21D8A"/>
    <w:rsid w:val="00A22C59"/>
    <w:rsid w:val="00A247A3"/>
    <w:rsid w:val="00A24ACF"/>
    <w:rsid w:val="00A254FF"/>
    <w:rsid w:val="00A25F04"/>
    <w:rsid w:val="00A262BA"/>
    <w:rsid w:val="00A26B7A"/>
    <w:rsid w:val="00A276A9"/>
    <w:rsid w:val="00A27A85"/>
    <w:rsid w:val="00A30765"/>
    <w:rsid w:val="00A30E53"/>
    <w:rsid w:val="00A31412"/>
    <w:rsid w:val="00A31728"/>
    <w:rsid w:val="00A321C7"/>
    <w:rsid w:val="00A32449"/>
    <w:rsid w:val="00A32A83"/>
    <w:rsid w:val="00A331E1"/>
    <w:rsid w:val="00A3331E"/>
    <w:rsid w:val="00A337C1"/>
    <w:rsid w:val="00A356A2"/>
    <w:rsid w:val="00A359AD"/>
    <w:rsid w:val="00A35B7E"/>
    <w:rsid w:val="00A360B3"/>
    <w:rsid w:val="00A3610E"/>
    <w:rsid w:val="00A368DB"/>
    <w:rsid w:val="00A370E2"/>
    <w:rsid w:val="00A377B4"/>
    <w:rsid w:val="00A40CFF"/>
    <w:rsid w:val="00A423AA"/>
    <w:rsid w:val="00A428B7"/>
    <w:rsid w:val="00A42A83"/>
    <w:rsid w:val="00A43BA8"/>
    <w:rsid w:val="00A4413D"/>
    <w:rsid w:val="00A4445D"/>
    <w:rsid w:val="00A45E73"/>
    <w:rsid w:val="00A46F71"/>
    <w:rsid w:val="00A475E3"/>
    <w:rsid w:val="00A501F5"/>
    <w:rsid w:val="00A51B10"/>
    <w:rsid w:val="00A51BAC"/>
    <w:rsid w:val="00A51FD7"/>
    <w:rsid w:val="00A52435"/>
    <w:rsid w:val="00A52728"/>
    <w:rsid w:val="00A53EC6"/>
    <w:rsid w:val="00A53FC4"/>
    <w:rsid w:val="00A54140"/>
    <w:rsid w:val="00A55C0F"/>
    <w:rsid w:val="00A562A2"/>
    <w:rsid w:val="00A5739A"/>
    <w:rsid w:val="00A57A6D"/>
    <w:rsid w:val="00A605B4"/>
    <w:rsid w:val="00A60B48"/>
    <w:rsid w:val="00A60C05"/>
    <w:rsid w:val="00A6111E"/>
    <w:rsid w:val="00A62122"/>
    <w:rsid w:val="00A62293"/>
    <w:rsid w:val="00A6235E"/>
    <w:rsid w:val="00A62839"/>
    <w:rsid w:val="00A63B04"/>
    <w:rsid w:val="00A657C4"/>
    <w:rsid w:val="00A6718F"/>
    <w:rsid w:val="00A702D2"/>
    <w:rsid w:val="00A70ABA"/>
    <w:rsid w:val="00A72101"/>
    <w:rsid w:val="00A745C3"/>
    <w:rsid w:val="00A74B8A"/>
    <w:rsid w:val="00A751E5"/>
    <w:rsid w:val="00A77E7C"/>
    <w:rsid w:val="00A8009A"/>
    <w:rsid w:val="00A800BB"/>
    <w:rsid w:val="00A80329"/>
    <w:rsid w:val="00A803F8"/>
    <w:rsid w:val="00A8470A"/>
    <w:rsid w:val="00A86C55"/>
    <w:rsid w:val="00A8713B"/>
    <w:rsid w:val="00A8713F"/>
    <w:rsid w:val="00A8792C"/>
    <w:rsid w:val="00A87BC1"/>
    <w:rsid w:val="00A87EAE"/>
    <w:rsid w:val="00A905F0"/>
    <w:rsid w:val="00A909E8"/>
    <w:rsid w:val="00A90BA1"/>
    <w:rsid w:val="00A916D1"/>
    <w:rsid w:val="00A917A4"/>
    <w:rsid w:val="00A924E6"/>
    <w:rsid w:val="00A93E62"/>
    <w:rsid w:val="00A943F0"/>
    <w:rsid w:val="00A94646"/>
    <w:rsid w:val="00A94A0E"/>
    <w:rsid w:val="00A94A4E"/>
    <w:rsid w:val="00A959E3"/>
    <w:rsid w:val="00A9659C"/>
    <w:rsid w:val="00A96BF9"/>
    <w:rsid w:val="00A97621"/>
    <w:rsid w:val="00A97A9A"/>
    <w:rsid w:val="00A97E53"/>
    <w:rsid w:val="00AA0671"/>
    <w:rsid w:val="00AA0AC4"/>
    <w:rsid w:val="00AA0D75"/>
    <w:rsid w:val="00AA2531"/>
    <w:rsid w:val="00AA2812"/>
    <w:rsid w:val="00AA28BF"/>
    <w:rsid w:val="00AA2C6C"/>
    <w:rsid w:val="00AA2F33"/>
    <w:rsid w:val="00AA3184"/>
    <w:rsid w:val="00AA32AB"/>
    <w:rsid w:val="00AA42D1"/>
    <w:rsid w:val="00AA43B1"/>
    <w:rsid w:val="00AA56C5"/>
    <w:rsid w:val="00AA6094"/>
    <w:rsid w:val="00AA6DAF"/>
    <w:rsid w:val="00AA71D2"/>
    <w:rsid w:val="00AA7F0A"/>
    <w:rsid w:val="00AB01BB"/>
    <w:rsid w:val="00AB01BF"/>
    <w:rsid w:val="00AB02CD"/>
    <w:rsid w:val="00AB0305"/>
    <w:rsid w:val="00AB0D02"/>
    <w:rsid w:val="00AB1774"/>
    <w:rsid w:val="00AB1891"/>
    <w:rsid w:val="00AB18F5"/>
    <w:rsid w:val="00AB193D"/>
    <w:rsid w:val="00AB1E09"/>
    <w:rsid w:val="00AB29FF"/>
    <w:rsid w:val="00AB2B15"/>
    <w:rsid w:val="00AB2E0B"/>
    <w:rsid w:val="00AB52FE"/>
    <w:rsid w:val="00AB5330"/>
    <w:rsid w:val="00AB5528"/>
    <w:rsid w:val="00AB5B77"/>
    <w:rsid w:val="00AB5FA8"/>
    <w:rsid w:val="00AB64A8"/>
    <w:rsid w:val="00AB6C34"/>
    <w:rsid w:val="00AB7747"/>
    <w:rsid w:val="00AC024A"/>
    <w:rsid w:val="00AC0C28"/>
    <w:rsid w:val="00AC14CE"/>
    <w:rsid w:val="00AC201A"/>
    <w:rsid w:val="00AC2387"/>
    <w:rsid w:val="00AC2A56"/>
    <w:rsid w:val="00AC318B"/>
    <w:rsid w:val="00AC3A44"/>
    <w:rsid w:val="00AC3BAA"/>
    <w:rsid w:val="00AC47A0"/>
    <w:rsid w:val="00AC4B24"/>
    <w:rsid w:val="00AC5435"/>
    <w:rsid w:val="00AC5700"/>
    <w:rsid w:val="00AC5F79"/>
    <w:rsid w:val="00AC65B7"/>
    <w:rsid w:val="00AC702F"/>
    <w:rsid w:val="00AC70FA"/>
    <w:rsid w:val="00AC7FB0"/>
    <w:rsid w:val="00AD0349"/>
    <w:rsid w:val="00AD03DC"/>
    <w:rsid w:val="00AD055E"/>
    <w:rsid w:val="00AD0B60"/>
    <w:rsid w:val="00AD0C2E"/>
    <w:rsid w:val="00AD1138"/>
    <w:rsid w:val="00AD159A"/>
    <w:rsid w:val="00AD1C8A"/>
    <w:rsid w:val="00AD24C1"/>
    <w:rsid w:val="00AD2C5F"/>
    <w:rsid w:val="00AD2F9F"/>
    <w:rsid w:val="00AD3FEB"/>
    <w:rsid w:val="00AD4230"/>
    <w:rsid w:val="00AD47A7"/>
    <w:rsid w:val="00AD4F23"/>
    <w:rsid w:val="00AD5C64"/>
    <w:rsid w:val="00AD5F90"/>
    <w:rsid w:val="00AD5FDA"/>
    <w:rsid w:val="00AD6EF8"/>
    <w:rsid w:val="00AE064F"/>
    <w:rsid w:val="00AE0C30"/>
    <w:rsid w:val="00AE1826"/>
    <w:rsid w:val="00AE1A81"/>
    <w:rsid w:val="00AE249C"/>
    <w:rsid w:val="00AE3050"/>
    <w:rsid w:val="00AE4CB6"/>
    <w:rsid w:val="00AE604F"/>
    <w:rsid w:val="00AE6393"/>
    <w:rsid w:val="00AE6769"/>
    <w:rsid w:val="00AE76C5"/>
    <w:rsid w:val="00AF02EC"/>
    <w:rsid w:val="00AF058C"/>
    <w:rsid w:val="00AF0CBF"/>
    <w:rsid w:val="00AF120E"/>
    <w:rsid w:val="00AF12AE"/>
    <w:rsid w:val="00AF257F"/>
    <w:rsid w:val="00AF2E63"/>
    <w:rsid w:val="00AF2F6C"/>
    <w:rsid w:val="00AF3184"/>
    <w:rsid w:val="00AF33CF"/>
    <w:rsid w:val="00AF4B0E"/>
    <w:rsid w:val="00AF4D50"/>
    <w:rsid w:val="00AF562F"/>
    <w:rsid w:val="00AF6179"/>
    <w:rsid w:val="00AF66D8"/>
    <w:rsid w:val="00AF6DCC"/>
    <w:rsid w:val="00AF72C4"/>
    <w:rsid w:val="00AF79A6"/>
    <w:rsid w:val="00AF7DE1"/>
    <w:rsid w:val="00AF7FFA"/>
    <w:rsid w:val="00B005DB"/>
    <w:rsid w:val="00B01417"/>
    <w:rsid w:val="00B018A3"/>
    <w:rsid w:val="00B0207F"/>
    <w:rsid w:val="00B02954"/>
    <w:rsid w:val="00B02AEF"/>
    <w:rsid w:val="00B04F27"/>
    <w:rsid w:val="00B04F61"/>
    <w:rsid w:val="00B051F2"/>
    <w:rsid w:val="00B058F8"/>
    <w:rsid w:val="00B05C80"/>
    <w:rsid w:val="00B060F4"/>
    <w:rsid w:val="00B069AC"/>
    <w:rsid w:val="00B06DA2"/>
    <w:rsid w:val="00B074C9"/>
    <w:rsid w:val="00B07967"/>
    <w:rsid w:val="00B12900"/>
    <w:rsid w:val="00B1295A"/>
    <w:rsid w:val="00B13EA7"/>
    <w:rsid w:val="00B146C8"/>
    <w:rsid w:val="00B14722"/>
    <w:rsid w:val="00B15822"/>
    <w:rsid w:val="00B1748A"/>
    <w:rsid w:val="00B17BCD"/>
    <w:rsid w:val="00B20A27"/>
    <w:rsid w:val="00B20A45"/>
    <w:rsid w:val="00B20B95"/>
    <w:rsid w:val="00B2194D"/>
    <w:rsid w:val="00B21EEE"/>
    <w:rsid w:val="00B21F4F"/>
    <w:rsid w:val="00B22C5C"/>
    <w:rsid w:val="00B23DA2"/>
    <w:rsid w:val="00B243C1"/>
    <w:rsid w:val="00B24F30"/>
    <w:rsid w:val="00B25AB6"/>
    <w:rsid w:val="00B25E63"/>
    <w:rsid w:val="00B26292"/>
    <w:rsid w:val="00B26EEC"/>
    <w:rsid w:val="00B27815"/>
    <w:rsid w:val="00B304AD"/>
    <w:rsid w:val="00B307F5"/>
    <w:rsid w:val="00B31ABF"/>
    <w:rsid w:val="00B31DF8"/>
    <w:rsid w:val="00B31ED9"/>
    <w:rsid w:val="00B3260A"/>
    <w:rsid w:val="00B32AA4"/>
    <w:rsid w:val="00B33049"/>
    <w:rsid w:val="00B33080"/>
    <w:rsid w:val="00B33AF9"/>
    <w:rsid w:val="00B33BE3"/>
    <w:rsid w:val="00B33E0D"/>
    <w:rsid w:val="00B33E50"/>
    <w:rsid w:val="00B34073"/>
    <w:rsid w:val="00B34EE3"/>
    <w:rsid w:val="00B35448"/>
    <w:rsid w:val="00B35A18"/>
    <w:rsid w:val="00B36DB8"/>
    <w:rsid w:val="00B36FD8"/>
    <w:rsid w:val="00B378F1"/>
    <w:rsid w:val="00B37F3E"/>
    <w:rsid w:val="00B40843"/>
    <w:rsid w:val="00B41D06"/>
    <w:rsid w:val="00B41F1F"/>
    <w:rsid w:val="00B43221"/>
    <w:rsid w:val="00B43354"/>
    <w:rsid w:val="00B43756"/>
    <w:rsid w:val="00B43BFC"/>
    <w:rsid w:val="00B44A58"/>
    <w:rsid w:val="00B44F97"/>
    <w:rsid w:val="00B45195"/>
    <w:rsid w:val="00B4533E"/>
    <w:rsid w:val="00B455F5"/>
    <w:rsid w:val="00B4573B"/>
    <w:rsid w:val="00B4596B"/>
    <w:rsid w:val="00B45E35"/>
    <w:rsid w:val="00B47627"/>
    <w:rsid w:val="00B476E2"/>
    <w:rsid w:val="00B476EA"/>
    <w:rsid w:val="00B47CD9"/>
    <w:rsid w:val="00B50130"/>
    <w:rsid w:val="00B52902"/>
    <w:rsid w:val="00B52E53"/>
    <w:rsid w:val="00B53B5D"/>
    <w:rsid w:val="00B5415E"/>
    <w:rsid w:val="00B55FB5"/>
    <w:rsid w:val="00B56E2E"/>
    <w:rsid w:val="00B6055E"/>
    <w:rsid w:val="00B60863"/>
    <w:rsid w:val="00B617F0"/>
    <w:rsid w:val="00B61EDF"/>
    <w:rsid w:val="00B6317D"/>
    <w:rsid w:val="00B663FA"/>
    <w:rsid w:val="00B66836"/>
    <w:rsid w:val="00B669F9"/>
    <w:rsid w:val="00B672E4"/>
    <w:rsid w:val="00B67CE7"/>
    <w:rsid w:val="00B67E2C"/>
    <w:rsid w:val="00B70D52"/>
    <w:rsid w:val="00B7181A"/>
    <w:rsid w:val="00B7182C"/>
    <w:rsid w:val="00B7210C"/>
    <w:rsid w:val="00B7255B"/>
    <w:rsid w:val="00B7358E"/>
    <w:rsid w:val="00B744C4"/>
    <w:rsid w:val="00B7585A"/>
    <w:rsid w:val="00B76074"/>
    <w:rsid w:val="00B76C43"/>
    <w:rsid w:val="00B76D6C"/>
    <w:rsid w:val="00B76F6A"/>
    <w:rsid w:val="00B7709B"/>
    <w:rsid w:val="00B7723F"/>
    <w:rsid w:val="00B772D9"/>
    <w:rsid w:val="00B7761A"/>
    <w:rsid w:val="00B776C0"/>
    <w:rsid w:val="00B80534"/>
    <w:rsid w:val="00B8053A"/>
    <w:rsid w:val="00B810E4"/>
    <w:rsid w:val="00B815DA"/>
    <w:rsid w:val="00B81A38"/>
    <w:rsid w:val="00B81FD6"/>
    <w:rsid w:val="00B820E1"/>
    <w:rsid w:val="00B82572"/>
    <w:rsid w:val="00B825A2"/>
    <w:rsid w:val="00B82B39"/>
    <w:rsid w:val="00B8347B"/>
    <w:rsid w:val="00B8433C"/>
    <w:rsid w:val="00B84367"/>
    <w:rsid w:val="00B844A9"/>
    <w:rsid w:val="00B84887"/>
    <w:rsid w:val="00B84F2F"/>
    <w:rsid w:val="00B850C2"/>
    <w:rsid w:val="00B85B4B"/>
    <w:rsid w:val="00B863F0"/>
    <w:rsid w:val="00B86772"/>
    <w:rsid w:val="00B86BAC"/>
    <w:rsid w:val="00B87491"/>
    <w:rsid w:val="00B8750D"/>
    <w:rsid w:val="00B87596"/>
    <w:rsid w:val="00B87B97"/>
    <w:rsid w:val="00B90099"/>
    <w:rsid w:val="00B90EA7"/>
    <w:rsid w:val="00B92232"/>
    <w:rsid w:val="00B922C2"/>
    <w:rsid w:val="00B92E38"/>
    <w:rsid w:val="00B93237"/>
    <w:rsid w:val="00B9378E"/>
    <w:rsid w:val="00B93A33"/>
    <w:rsid w:val="00B95F1C"/>
    <w:rsid w:val="00B97400"/>
    <w:rsid w:val="00B97C6F"/>
    <w:rsid w:val="00BA03A5"/>
    <w:rsid w:val="00BA07F3"/>
    <w:rsid w:val="00BA09C9"/>
    <w:rsid w:val="00BA0E95"/>
    <w:rsid w:val="00BA12C6"/>
    <w:rsid w:val="00BA1CF3"/>
    <w:rsid w:val="00BA29C4"/>
    <w:rsid w:val="00BA29E9"/>
    <w:rsid w:val="00BA624E"/>
    <w:rsid w:val="00BA63D2"/>
    <w:rsid w:val="00BA6F0D"/>
    <w:rsid w:val="00BA7142"/>
    <w:rsid w:val="00BA747E"/>
    <w:rsid w:val="00BA7A86"/>
    <w:rsid w:val="00BA7AEC"/>
    <w:rsid w:val="00BA7F10"/>
    <w:rsid w:val="00BB03A5"/>
    <w:rsid w:val="00BB069D"/>
    <w:rsid w:val="00BB0D90"/>
    <w:rsid w:val="00BB1BF3"/>
    <w:rsid w:val="00BB237C"/>
    <w:rsid w:val="00BB2464"/>
    <w:rsid w:val="00BB24E9"/>
    <w:rsid w:val="00BB2563"/>
    <w:rsid w:val="00BB2C88"/>
    <w:rsid w:val="00BB2CA3"/>
    <w:rsid w:val="00BB2E07"/>
    <w:rsid w:val="00BB2FE4"/>
    <w:rsid w:val="00BB30D3"/>
    <w:rsid w:val="00BB32B2"/>
    <w:rsid w:val="00BB385F"/>
    <w:rsid w:val="00BB41A3"/>
    <w:rsid w:val="00BB56D5"/>
    <w:rsid w:val="00BB6760"/>
    <w:rsid w:val="00BB702C"/>
    <w:rsid w:val="00BB7DA9"/>
    <w:rsid w:val="00BC03CE"/>
    <w:rsid w:val="00BC110D"/>
    <w:rsid w:val="00BC2F7E"/>
    <w:rsid w:val="00BC32DC"/>
    <w:rsid w:val="00BC3580"/>
    <w:rsid w:val="00BC35B6"/>
    <w:rsid w:val="00BC46AA"/>
    <w:rsid w:val="00BC526B"/>
    <w:rsid w:val="00BC55FF"/>
    <w:rsid w:val="00BC5FAD"/>
    <w:rsid w:val="00BC6096"/>
    <w:rsid w:val="00BC65D3"/>
    <w:rsid w:val="00BC6B79"/>
    <w:rsid w:val="00BC77F9"/>
    <w:rsid w:val="00BD0358"/>
    <w:rsid w:val="00BD0522"/>
    <w:rsid w:val="00BD076B"/>
    <w:rsid w:val="00BD0E5D"/>
    <w:rsid w:val="00BD1B51"/>
    <w:rsid w:val="00BD1E63"/>
    <w:rsid w:val="00BD2C42"/>
    <w:rsid w:val="00BD2E79"/>
    <w:rsid w:val="00BD369D"/>
    <w:rsid w:val="00BD4596"/>
    <w:rsid w:val="00BD5C8D"/>
    <w:rsid w:val="00BD645B"/>
    <w:rsid w:val="00BE0B22"/>
    <w:rsid w:val="00BE1405"/>
    <w:rsid w:val="00BE1B12"/>
    <w:rsid w:val="00BE1D28"/>
    <w:rsid w:val="00BE1E19"/>
    <w:rsid w:val="00BE312D"/>
    <w:rsid w:val="00BE37A8"/>
    <w:rsid w:val="00BE4105"/>
    <w:rsid w:val="00BE49BE"/>
    <w:rsid w:val="00BE4E6D"/>
    <w:rsid w:val="00BE59CC"/>
    <w:rsid w:val="00BE5F8A"/>
    <w:rsid w:val="00BE6C8F"/>
    <w:rsid w:val="00BE6F2A"/>
    <w:rsid w:val="00BE735A"/>
    <w:rsid w:val="00BE74F5"/>
    <w:rsid w:val="00BE79A6"/>
    <w:rsid w:val="00BF1049"/>
    <w:rsid w:val="00BF1C20"/>
    <w:rsid w:val="00BF1D32"/>
    <w:rsid w:val="00BF2004"/>
    <w:rsid w:val="00BF2783"/>
    <w:rsid w:val="00BF2DF0"/>
    <w:rsid w:val="00BF335A"/>
    <w:rsid w:val="00BF38B4"/>
    <w:rsid w:val="00BF4951"/>
    <w:rsid w:val="00BF5A16"/>
    <w:rsid w:val="00BF6B54"/>
    <w:rsid w:val="00BF6D99"/>
    <w:rsid w:val="00BF7F13"/>
    <w:rsid w:val="00C01D80"/>
    <w:rsid w:val="00C026D3"/>
    <w:rsid w:val="00C028C9"/>
    <w:rsid w:val="00C02C6C"/>
    <w:rsid w:val="00C03433"/>
    <w:rsid w:val="00C0395B"/>
    <w:rsid w:val="00C03F00"/>
    <w:rsid w:val="00C03F95"/>
    <w:rsid w:val="00C047FA"/>
    <w:rsid w:val="00C057D7"/>
    <w:rsid w:val="00C05B6F"/>
    <w:rsid w:val="00C075F1"/>
    <w:rsid w:val="00C10578"/>
    <w:rsid w:val="00C124BC"/>
    <w:rsid w:val="00C13410"/>
    <w:rsid w:val="00C135BC"/>
    <w:rsid w:val="00C15280"/>
    <w:rsid w:val="00C15A2C"/>
    <w:rsid w:val="00C15C95"/>
    <w:rsid w:val="00C16BD3"/>
    <w:rsid w:val="00C17DAB"/>
    <w:rsid w:val="00C20159"/>
    <w:rsid w:val="00C209E9"/>
    <w:rsid w:val="00C225F1"/>
    <w:rsid w:val="00C22818"/>
    <w:rsid w:val="00C23A71"/>
    <w:rsid w:val="00C23B9B"/>
    <w:rsid w:val="00C249FB"/>
    <w:rsid w:val="00C2523F"/>
    <w:rsid w:val="00C25632"/>
    <w:rsid w:val="00C2596A"/>
    <w:rsid w:val="00C25CF3"/>
    <w:rsid w:val="00C25D66"/>
    <w:rsid w:val="00C2671C"/>
    <w:rsid w:val="00C26D5A"/>
    <w:rsid w:val="00C27537"/>
    <w:rsid w:val="00C27F24"/>
    <w:rsid w:val="00C318D5"/>
    <w:rsid w:val="00C320E1"/>
    <w:rsid w:val="00C322D1"/>
    <w:rsid w:val="00C328FE"/>
    <w:rsid w:val="00C32A45"/>
    <w:rsid w:val="00C32FE3"/>
    <w:rsid w:val="00C33126"/>
    <w:rsid w:val="00C33507"/>
    <w:rsid w:val="00C335CC"/>
    <w:rsid w:val="00C33C2F"/>
    <w:rsid w:val="00C33D66"/>
    <w:rsid w:val="00C3440A"/>
    <w:rsid w:val="00C348E2"/>
    <w:rsid w:val="00C34A3B"/>
    <w:rsid w:val="00C360B8"/>
    <w:rsid w:val="00C36103"/>
    <w:rsid w:val="00C3612C"/>
    <w:rsid w:val="00C368AE"/>
    <w:rsid w:val="00C368DE"/>
    <w:rsid w:val="00C377B8"/>
    <w:rsid w:val="00C377DB"/>
    <w:rsid w:val="00C40A59"/>
    <w:rsid w:val="00C40B19"/>
    <w:rsid w:val="00C413AD"/>
    <w:rsid w:val="00C4217D"/>
    <w:rsid w:val="00C4231A"/>
    <w:rsid w:val="00C424B2"/>
    <w:rsid w:val="00C425CA"/>
    <w:rsid w:val="00C42F88"/>
    <w:rsid w:val="00C4377B"/>
    <w:rsid w:val="00C4409D"/>
    <w:rsid w:val="00C445EA"/>
    <w:rsid w:val="00C44E68"/>
    <w:rsid w:val="00C44E72"/>
    <w:rsid w:val="00C44FA3"/>
    <w:rsid w:val="00C45A06"/>
    <w:rsid w:val="00C46F65"/>
    <w:rsid w:val="00C47186"/>
    <w:rsid w:val="00C47E5B"/>
    <w:rsid w:val="00C50165"/>
    <w:rsid w:val="00C51A6E"/>
    <w:rsid w:val="00C5227E"/>
    <w:rsid w:val="00C534F0"/>
    <w:rsid w:val="00C53DD7"/>
    <w:rsid w:val="00C53E2F"/>
    <w:rsid w:val="00C53F00"/>
    <w:rsid w:val="00C5464B"/>
    <w:rsid w:val="00C55AEF"/>
    <w:rsid w:val="00C56FCB"/>
    <w:rsid w:val="00C61E4B"/>
    <w:rsid w:val="00C62387"/>
    <w:rsid w:val="00C62A45"/>
    <w:rsid w:val="00C64BFF"/>
    <w:rsid w:val="00C658F6"/>
    <w:rsid w:val="00C66289"/>
    <w:rsid w:val="00C67329"/>
    <w:rsid w:val="00C679C4"/>
    <w:rsid w:val="00C679D0"/>
    <w:rsid w:val="00C67A6D"/>
    <w:rsid w:val="00C704E9"/>
    <w:rsid w:val="00C70B92"/>
    <w:rsid w:val="00C70C01"/>
    <w:rsid w:val="00C70F82"/>
    <w:rsid w:val="00C724CD"/>
    <w:rsid w:val="00C725AF"/>
    <w:rsid w:val="00C7317F"/>
    <w:rsid w:val="00C73965"/>
    <w:rsid w:val="00C739CE"/>
    <w:rsid w:val="00C73CF1"/>
    <w:rsid w:val="00C751A8"/>
    <w:rsid w:val="00C75731"/>
    <w:rsid w:val="00C75A3A"/>
    <w:rsid w:val="00C763C9"/>
    <w:rsid w:val="00C7672B"/>
    <w:rsid w:val="00C77261"/>
    <w:rsid w:val="00C77AE0"/>
    <w:rsid w:val="00C80057"/>
    <w:rsid w:val="00C806FE"/>
    <w:rsid w:val="00C80B74"/>
    <w:rsid w:val="00C81B7F"/>
    <w:rsid w:val="00C81BFD"/>
    <w:rsid w:val="00C82232"/>
    <w:rsid w:val="00C8269E"/>
    <w:rsid w:val="00C82913"/>
    <w:rsid w:val="00C843C3"/>
    <w:rsid w:val="00C853A2"/>
    <w:rsid w:val="00C87B2D"/>
    <w:rsid w:val="00C87F6D"/>
    <w:rsid w:val="00C87FB7"/>
    <w:rsid w:val="00C90A90"/>
    <w:rsid w:val="00C90C88"/>
    <w:rsid w:val="00C90EB5"/>
    <w:rsid w:val="00C90F12"/>
    <w:rsid w:val="00C9203D"/>
    <w:rsid w:val="00C9244C"/>
    <w:rsid w:val="00C92A69"/>
    <w:rsid w:val="00C92C1C"/>
    <w:rsid w:val="00C92DA3"/>
    <w:rsid w:val="00C932E9"/>
    <w:rsid w:val="00C93E3D"/>
    <w:rsid w:val="00C94313"/>
    <w:rsid w:val="00C94B32"/>
    <w:rsid w:val="00C94DDA"/>
    <w:rsid w:val="00C95E9E"/>
    <w:rsid w:val="00C9603F"/>
    <w:rsid w:val="00C96463"/>
    <w:rsid w:val="00C972B1"/>
    <w:rsid w:val="00CA137C"/>
    <w:rsid w:val="00CA15EF"/>
    <w:rsid w:val="00CA1990"/>
    <w:rsid w:val="00CA1DB9"/>
    <w:rsid w:val="00CA1F10"/>
    <w:rsid w:val="00CA1FEC"/>
    <w:rsid w:val="00CA2CCE"/>
    <w:rsid w:val="00CA3FB8"/>
    <w:rsid w:val="00CA4050"/>
    <w:rsid w:val="00CA43FD"/>
    <w:rsid w:val="00CA44C7"/>
    <w:rsid w:val="00CA4579"/>
    <w:rsid w:val="00CA4A5A"/>
    <w:rsid w:val="00CA535F"/>
    <w:rsid w:val="00CA5617"/>
    <w:rsid w:val="00CA5B7C"/>
    <w:rsid w:val="00CA6288"/>
    <w:rsid w:val="00CA6587"/>
    <w:rsid w:val="00CA6A22"/>
    <w:rsid w:val="00CA6AB5"/>
    <w:rsid w:val="00CA6FB4"/>
    <w:rsid w:val="00CA7046"/>
    <w:rsid w:val="00CA75AC"/>
    <w:rsid w:val="00CA7AF9"/>
    <w:rsid w:val="00CA7EF8"/>
    <w:rsid w:val="00CB0159"/>
    <w:rsid w:val="00CB0AA8"/>
    <w:rsid w:val="00CB0CC4"/>
    <w:rsid w:val="00CB0D12"/>
    <w:rsid w:val="00CB19FD"/>
    <w:rsid w:val="00CB1F22"/>
    <w:rsid w:val="00CB2069"/>
    <w:rsid w:val="00CB249B"/>
    <w:rsid w:val="00CB2880"/>
    <w:rsid w:val="00CB2A2C"/>
    <w:rsid w:val="00CB2A48"/>
    <w:rsid w:val="00CB2DD6"/>
    <w:rsid w:val="00CB3872"/>
    <w:rsid w:val="00CB4D5D"/>
    <w:rsid w:val="00CB549B"/>
    <w:rsid w:val="00CB68C2"/>
    <w:rsid w:val="00CB78E6"/>
    <w:rsid w:val="00CB7F44"/>
    <w:rsid w:val="00CC05D8"/>
    <w:rsid w:val="00CC099A"/>
    <w:rsid w:val="00CC257A"/>
    <w:rsid w:val="00CC29A8"/>
    <w:rsid w:val="00CC2D6E"/>
    <w:rsid w:val="00CC34B5"/>
    <w:rsid w:val="00CC3729"/>
    <w:rsid w:val="00CC3F8E"/>
    <w:rsid w:val="00CC42B3"/>
    <w:rsid w:val="00CC4381"/>
    <w:rsid w:val="00CC4722"/>
    <w:rsid w:val="00CC489B"/>
    <w:rsid w:val="00CC4A9C"/>
    <w:rsid w:val="00CC4D69"/>
    <w:rsid w:val="00CC6EC2"/>
    <w:rsid w:val="00CC6F72"/>
    <w:rsid w:val="00CD164B"/>
    <w:rsid w:val="00CD2BCD"/>
    <w:rsid w:val="00CD2FB3"/>
    <w:rsid w:val="00CD346D"/>
    <w:rsid w:val="00CD3A4C"/>
    <w:rsid w:val="00CD40AB"/>
    <w:rsid w:val="00CD422A"/>
    <w:rsid w:val="00CD42C7"/>
    <w:rsid w:val="00CD4367"/>
    <w:rsid w:val="00CD60F9"/>
    <w:rsid w:val="00CD61C7"/>
    <w:rsid w:val="00CD6990"/>
    <w:rsid w:val="00CD718B"/>
    <w:rsid w:val="00CD7F2A"/>
    <w:rsid w:val="00CE03AB"/>
    <w:rsid w:val="00CE0B10"/>
    <w:rsid w:val="00CE0B36"/>
    <w:rsid w:val="00CE0FFF"/>
    <w:rsid w:val="00CE10E9"/>
    <w:rsid w:val="00CE20D7"/>
    <w:rsid w:val="00CE2910"/>
    <w:rsid w:val="00CE3407"/>
    <w:rsid w:val="00CE3685"/>
    <w:rsid w:val="00CE3C08"/>
    <w:rsid w:val="00CE42A4"/>
    <w:rsid w:val="00CE43E6"/>
    <w:rsid w:val="00CE4559"/>
    <w:rsid w:val="00CE4677"/>
    <w:rsid w:val="00CE5393"/>
    <w:rsid w:val="00CE53CC"/>
    <w:rsid w:val="00CE5AA7"/>
    <w:rsid w:val="00CE5E59"/>
    <w:rsid w:val="00CE653A"/>
    <w:rsid w:val="00CE7B5A"/>
    <w:rsid w:val="00CF067A"/>
    <w:rsid w:val="00CF122E"/>
    <w:rsid w:val="00CF2F96"/>
    <w:rsid w:val="00CF36BE"/>
    <w:rsid w:val="00CF3B8E"/>
    <w:rsid w:val="00CF3BA4"/>
    <w:rsid w:val="00CF415B"/>
    <w:rsid w:val="00CF4E6F"/>
    <w:rsid w:val="00CF5736"/>
    <w:rsid w:val="00CF6000"/>
    <w:rsid w:val="00CF6887"/>
    <w:rsid w:val="00CF6BD3"/>
    <w:rsid w:val="00CF701C"/>
    <w:rsid w:val="00CF763B"/>
    <w:rsid w:val="00CF78F1"/>
    <w:rsid w:val="00CF7EAE"/>
    <w:rsid w:val="00D003F3"/>
    <w:rsid w:val="00D00BD3"/>
    <w:rsid w:val="00D012C7"/>
    <w:rsid w:val="00D0282E"/>
    <w:rsid w:val="00D029FB"/>
    <w:rsid w:val="00D0309F"/>
    <w:rsid w:val="00D031D1"/>
    <w:rsid w:val="00D032D8"/>
    <w:rsid w:val="00D0364F"/>
    <w:rsid w:val="00D03EE1"/>
    <w:rsid w:val="00D04472"/>
    <w:rsid w:val="00D051B3"/>
    <w:rsid w:val="00D0576A"/>
    <w:rsid w:val="00D05851"/>
    <w:rsid w:val="00D058E9"/>
    <w:rsid w:val="00D05C64"/>
    <w:rsid w:val="00D05FB9"/>
    <w:rsid w:val="00D06834"/>
    <w:rsid w:val="00D06871"/>
    <w:rsid w:val="00D06B04"/>
    <w:rsid w:val="00D06CD8"/>
    <w:rsid w:val="00D07576"/>
    <w:rsid w:val="00D076A6"/>
    <w:rsid w:val="00D101B3"/>
    <w:rsid w:val="00D104B5"/>
    <w:rsid w:val="00D105F7"/>
    <w:rsid w:val="00D1075B"/>
    <w:rsid w:val="00D10EB9"/>
    <w:rsid w:val="00D11A51"/>
    <w:rsid w:val="00D11D71"/>
    <w:rsid w:val="00D123A4"/>
    <w:rsid w:val="00D14698"/>
    <w:rsid w:val="00D1556E"/>
    <w:rsid w:val="00D15880"/>
    <w:rsid w:val="00D15E78"/>
    <w:rsid w:val="00D16242"/>
    <w:rsid w:val="00D16259"/>
    <w:rsid w:val="00D167A0"/>
    <w:rsid w:val="00D175CE"/>
    <w:rsid w:val="00D17884"/>
    <w:rsid w:val="00D20240"/>
    <w:rsid w:val="00D20912"/>
    <w:rsid w:val="00D20D8B"/>
    <w:rsid w:val="00D22A5C"/>
    <w:rsid w:val="00D23F9D"/>
    <w:rsid w:val="00D2487E"/>
    <w:rsid w:val="00D24B69"/>
    <w:rsid w:val="00D250C7"/>
    <w:rsid w:val="00D25976"/>
    <w:rsid w:val="00D25E12"/>
    <w:rsid w:val="00D26974"/>
    <w:rsid w:val="00D2699E"/>
    <w:rsid w:val="00D308ED"/>
    <w:rsid w:val="00D314A6"/>
    <w:rsid w:val="00D316DA"/>
    <w:rsid w:val="00D31C3C"/>
    <w:rsid w:val="00D32696"/>
    <w:rsid w:val="00D329A0"/>
    <w:rsid w:val="00D32BA4"/>
    <w:rsid w:val="00D332FB"/>
    <w:rsid w:val="00D33D95"/>
    <w:rsid w:val="00D348E1"/>
    <w:rsid w:val="00D34980"/>
    <w:rsid w:val="00D34AB6"/>
    <w:rsid w:val="00D35024"/>
    <w:rsid w:val="00D35AB4"/>
    <w:rsid w:val="00D35D76"/>
    <w:rsid w:val="00D35F58"/>
    <w:rsid w:val="00D3652F"/>
    <w:rsid w:val="00D36622"/>
    <w:rsid w:val="00D366F0"/>
    <w:rsid w:val="00D36A92"/>
    <w:rsid w:val="00D36C06"/>
    <w:rsid w:val="00D36D86"/>
    <w:rsid w:val="00D378F7"/>
    <w:rsid w:val="00D37D25"/>
    <w:rsid w:val="00D37F3C"/>
    <w:rsid w:val="00D40A70"/>
    <w:rsid w:val="00D40BC4"/>
    <w:rsid w:val="00D417D4"/>
    <w:rsid w:val="00D41BE7"/>
    <w:rsid w:val="00D428AA"/>
    <w:rsid w:val="00D430CA"/>
    <w:rsid w:val="00D442E0"/>
    <w:rsid w:val="00D44F6C"/>
    <w:rsid w:val="00D451C0"/>
    <w:rsid w:val="00D4556E"/>
    <w:rsid w:val="00D457B7"/>
    <w:rsid w:val="00D45D32"/>
    <w:rsid w:val="00D45FB1"/>
    <w:rsid w:val="00D461F0"/>
    <w:rsid w:val="00D50554"/>
    <w:rsid w:val="00D50715"/>
    <w:rsid w:val="00D50A34"/>
    <w:rsid w:val="00D50CAD"/>
    <w:rsid w:val="00D50EB6"/>
    <w:rsid w:val="00D51695"/>
    <w:rsid w:val="00D51BC3"/>
    <w:rsid w:val="00D51E5D"/>
    <w:rsid w:val="00D532D6"/>
    <w:rsid w:val="00D536C8"/>
    <w:rsid w:val="00D53EFA"/>
    <w:rsid w:val="00D53FCC"/>
    <w:rsid w:val="00D54739"/>
    <w:rsid w:val="00D54A4C"/>
    <w:rsid w:val="00D55057"/>
    <w:rsid w:val="00D55226"/>
    <w:rsid w:val="00D56088"/>
    <w:rsid w:val="00D56204"/>
    <w:rsid w:val="00D60C1B"/>
    <w:rsid w:val="00D62453"/>
    <w:rsid w:val="00D62DF7"/>
    <w:rsid w:val="00D63D89"/>
    <w:rsid w:val="00D64222"/>
    <w:rsid w:val="00D64C2A"/>
    <w:rsid w:val="00D65E77"/>
    <w:rsid w:val="00D66146"/>
    <w:rsid w:val="00D668CF"/>
    <w:rsid w:val="00D66C0B"/>
    <w:rsid w:val="00D700B1"/>
    <w:rsid w:val="00D7032A"/>
    <w:rsid w:val="00D71519"/>
    <w:rsid w:val="00D726B2"/>
    <w:rsid w:val="00D726DB"/>
    <w:rsid w:val="00D728F8"/>
    <w:rsid w:val="00D73F2E"/>
    <w:rsid w:val="00D74875"/>
    <w:rsid w:val="00D74CD2"/>
    <w:rsid w:val="00D76281"/>
    <w:rsid w:val="00D76A1A"/>
    <w:rsid w:val="00D774D7"/>
    <w:rsid w:val="00D80BE1"/>
    <w:rsid w:val="00D80CE6"/>
    <w:rsid w:val="00D82CAE"/>
    <w:rsid w:val="00D834EE"/>
    <w:rsid w:val="00D8445C"/>
    <w:rsid w:val="00D8476D"/>
    <w:rsid w:val="00D856EB"/>
    <w:rsid w:val="00D85F3F"/>
    <w:rsid w:val="00D91137"/>
    <w:rsid w:val="00D91A52"/>
    <w:rsid w:val="00D91DEB"/>
    <w:rsid w:val="00D9212B"/>
    <w:rsid w:val="00D9228E"/>
    <w:rsid w:val="00D92292"/>
    <w:rsid w:val="00D945FA"/>
    <w:rsid w:val="00D9496A"/>
    <w:rsid w:val="00D94A7C"/>
    <w:rsid w:val="00D950E7"/>
    <w:rsid w:val="00D9570F"/>
    <w:rsid w:val="00D95896"/>
    <w:rsid w:val="00D95AF7"/>
    <w:rsid w:val="00D96656"/>
    <w:rsid w:val="00D96ABB"/>
    <w:rsid w:val="00D96FBF"/>
    <w:rsid w:val="00D9760F"/>
    <w:rsid w:val="00D97A6D"/>
    <w:rsid w:val="00DA04AB"/>
    <w:rsid w:val="00DA1588"/>
    <w:rsid w:val="00DA19D8"/>
    <w:rsid w:val="00DA1B66"/>
    <w:rsid w:val="00DA2C81"/>
    <w:rsid w:val="00DA3570"/>
    <w:rsid w:val="00DA3F17"/>
    <w:rsid w:val="00DA4665"/>
    <w:rsid w:val="00DA4A46"/>
    <w:rsid w:val="00DA52E5"/>
    <w:rsid w:val="00DA607B"/>
    <w:rsid w:val="00DA60CA"/>
    <w:rsid w:val="00DA60E9"/>
    <w:rsid w:val="00DA66FA"/>
    <w:rsid w:val="00DA6DF3"/>
    <w:rsid w:val="00DA6F11"/>
    <w:rsid w:val="00DA7AA9"/>
    <w:rsid w:val="00DB092E"/>
    <w:rsid w:val="00DB1D92"/>
    <w:rsid w:val="00DB1F02"/>
    <w:rsid w:val="00DB2286"/>
    <w:rsid w:val="00DB2983"/>
    <w:rsid w:val="00DB336D"/>
    <w:rsid w:val="00DB381C"/>
    <w:rsid w:val="00DB38ED"/>
    <w:rsid w:val="00DB3A7C"/>
    <w:rsid w:val="00DB5141"/>
    <w:rsid w:val="00DB5BEE"/>
    <w:rsid w:val="00DB5F35"/>
    <w:rsid w:val="00DB60FC"/>
    <w:rsid w:val="00DB7355"/>
    <w:rsid w:val="00DB77B8"/>
    <w:rsid w:val="00DB7C25"/>
    <w:rsid w:val="00DB7E51"/>
    <w:rsid w:val="00DC0343"/>
    <w:rsid w:val="00DC0785"/>
    <w:rsid w:val="00DC079B"/>
    <w:rsid w:val="00DC0B08"/>
    <w:rsid w:val="00DC1257"/>
    <w:rsid w:val="00DC1837"/>
    <w:rsid w:val="00DC2420"/>
    <w:rsid w:val="00DC37EE"/>
    <w:rsid w:val="00DC384A"/>
    <w:rsid w:val="00DC3A9A"/>
    <w:rsid w:val="00DC3DC0"/>
    <w:rsid w:val="00DC3F53"/>
    <w:rsid w:val="00DC50ED"/>
    <w:rsid w:val="00DC5591"/>
    <w:rsid w:val="00DC5B2B"/>
    <w:rsid w:val="00DC5DE2"/>
    <w:rsid w:val="00DC644F"/>
    <w:rsid w:val="00DD046F"/>
    <w:rsid w:val="00DD214E"/>
    <w:rsid w:val="00DD2B47"/>
    <w:rsid w:val="00DD2B71"/>
    <w:rsid w:val="00DD318D"/>
    <w:rsid w:val="00DD3C26"/>
    <w:rsid w:val="00DD438C"/>
    <w:rsid w:val="00DD6A26"/>
    <w:rsid w:val="00DD76CE"/>
    <w:rsid w:val="00DE125E"/>
    <w:rsid w:val="00DE1441"/>
    <w:rsid w:val="00DE2441"/>
    <w:rsid w:val="00DE2684"/>
    <w:rsid w:val="00DE3364"/>
    <w:rsid w:val="00DE346E"/>
    <w:rsid w:val="00DE3521"/>
    <w:rsid w:val="00DE3EC5"/>
    <w:rsid w:val="00DE5374"/>
    <w:rsid w:val="00DE5973"/>
    <w:rsid w:val="00DE7DBA"/>
    <w:rsid w:val="00DE7DCB"/>
    <w:rsid w:val="00DF0272"/>
    <w:rsid w:val="00DF02DB"/>
    <w:rsid w:val="00DF0ACB"/>
    <w:rsid w:val="00DF0E29"/>
    <w:rsid w:val="00DF1360"/>
    <w:rsid w:val="00DF232C"/>
    <w:rsid w:val="00DF292E"/>
    <w:rsid w:val="00DF2A85"/>
    <w:rsid w:val="00DF2E12"/>
    <w:rsid w:val="00DF3C98"/>
    <w:rsid w:val="00DF512B"/>
    <w:rsid w:val="00DF514A"/>
    <w:rsid w:val="00DF5680"/>
    <w:rsid w:val="00DF5C61"/>
    <w:rsid w:val="00DF61EA"/>
    <w:rsid w:val="00DF6690"/>
    <w:rsid w:val="00DF6736"/>
    <w:rsid w:val="00DF6804"/>
    <w:rsid w:val="00DF6F58"/>
    <w:rsid w:val="00DF7101"/>
    <w:rsid w:val="00DF71C4"/>
    <w:rsid w:val="00DF73BB"/>
    <w:rsid w:val="00E01A03"/>
    <w:rsid w:val="00E01F88"/>
    <w:rsid w:val="00E027BD"/>
    <w:rsid w:val="00E027C6"/>
    <w:rsid w:val="00E02914"/>
    <w:rsid w:val="00E02A3B"/>
    <w:rsid w:val="00E02C4B"/>
    <w:rsid w:val="00E0358D"/>
    <w:rsid w:val="00E038A5"/>
    <w:rsid w:val="00E03AA5"/>
    <w:rsid w:val="00E04323"/>
    <w:rsid w:val="00E054AC"/>
    <w:rsid w:val="00E06DFE"/>
    <w:rsid w:val="00E070A2"/>
    <w:rsid w:val="00E076CE"/>
    <w:rsid w:val="00E07E4D"/>
    <w:rsid w:val="00E10CCF"/>
    <w:rsid w:val="00E117AB"/>
    <w:rsid w:val="00E11D59"/>
    <w:rsid w:val="00E11E67"/>
    <w:rsid w:val="00E12526"/>
    <w:rsid w:val="00E12657"/>
    <w:rsid w:val="00E12717"/>
    <w:rsid w:val="00E12B65"/>
    <w:rsid w:val="00E13EE9"/>
    <w:rsid w:val="00E1444C"/>
    <w:rsid w:val="00E14451"/>
    <w:rsid w:val="00E14C45"/>
    <w:rsid w:val="00E14CB4"/>
    <w:rsid w:val="00E14DC3"/>
    <w:rsid w:val="00E176C9"/>
    <w:rsid w:val="00E17D51"/>
    <w:rsid w:val="00E17FE1"/>
    <w:rsid w:val="00E202C9"/>
    <w:rsid w:val="00E20517"/>
    <w:rsid w:val="00E20608"/>
    <w:rsid w:val="00E207FB"/>
    <w:rsid w:val="00E20AF5"/>
    <w:rsid w:val="00E20EC3"/>
    <w:rsid w:val="00E214AF"/>
    <w:rsid w:val="00E21BDC"/>
    <w:rsid w:val="00E21F88"/>
    <w:rsid w:val="00E227B7"/>
    <w:rsid w:val="00E22D0F"/>
    <w:rsid w:val="00E2421E"/>
    <w:rsid w:val="00E245E3"/>
    <w:rsid w:val="00E2480A"/>
    <w:rsid w:val="00E258E9"/>
    <w:rsid w:val="00E26400"/>
    <w:rsid w:val="00E2656A"/>
    <w:rsid w:val="00E266B2"/>
    <w:rsid w:val="00E26880"/>
    <w:rsid w:val="00E26E9E"/>
    <w:rsid w:val="00E270F4"/>
    <w:rsid w:val="00E2713F"/>
    <w:rsid w:val="00E27C5D"/>
    <w:rsid w:val="00E30CBE"/>
    <w:rsid w:val="00E31C55"/>
    <w:rsid w:val="00E3246B"/>
    <w:rsid w:val="00E3251D"/>
    <w:rsid w:val="00E32E33"/>
    <w:rsid w:val="00E33541"/>
    <w:rsid w:val="00E335D4"/>
    <w:rsid w:val="00E33AE7"/>
    <w:rsid w:val="00E34260"/>
    <w:rsid w:val="00E34BC4"/>
    <w:rsid w:val="00E3505B"/>
    <w:rsid w:val="00E35D4E"/>
    <w:rsid w:val="00E37166"/>
    <w:rsid w:val="00E3754F"/>
    <w:rsid w:val="00E37580"/>
    <w:rsid w:val="00E40EF7"/>
    <w:rsid w:val="00E412D0"/>
    <w:rsid w:val="00E41DEA"/>
    <w:rsid w:val="00E42BE7"/>
    <w:rsid w:val="00E430C9"/>
    <w:rsid w:val="00E458CB"/>
    <w:rsid w:val="00E45B42"/>
    <w:rsid w:val="00E45EFE"/>
    <w:rsid w:val="00E465F0"/>
    <w:rsid w:val="00E5058A"/>
    <w:rsid w:val="00E508C4"/>
    <w:rsid w:val="00E5106A"/>
    <w:rsid w:val="00E5192E"/>
    <w:rsid w:val="00E51D11"/>
    <w:rsid w:val="00E51DDA"/>
    <w:rsid w:val="00E526D4"/>
    <w:rsid w:val="00E52AE2"/>
    <w:rsid w:val="00E5379B"/>
    <w:rsid w:val="00E53B97"/>
    <w:rsid w:val="00E53BDA"/>
    <w:rsid w:val="00E53DFA"/>
    <w:rsid w:val="00E5476B"/>
    <w:rsid w:val="00E553A3"/>
    <w:rsid w:val="00E55500"/>
    <w:rsid w:val="00E56322"/>
    <w:rsid w:val="00E56340"/>
    <w:rsid w:val="00E56948"/>
    <w:rsid w:val="00E569AE"/>
    <w:rsid w:val="00E5785A"/>
    <w:rsid w:val="00E579DF"/>
    <w:rsid w:val="00E60060"/>
    <w:rsid w:val="00E602AD"/>
    <w:rsid w:val="00E6046D"/>
    <w:rsid w:val="00E60568"/>
    <w:rsid w:val="00E60982"/>
    <w:rsid w:val="00E60ED8"/>
    <w:rsid w:val="00E6149F"/>
    <w:rsid w:val="00E61E39"/>
    <w:rsid w:val="00E62C62"/>
    <w:rsid w:val="00E642CF"/>
    <w:rsid w:val="00E64E75"/>
    <w:rsid w:val="00E65307"/>
    <w:rsid w:val="00E654C1"/>
    <w:rsid w:val="00E65D97"/>
    <w:rsid w:val="00E6679A"/>
    <w:rsid w:val="00E6781F"/>
    <w:rsid w:val="00E707AA"/>
    <w:rsid w:val="00E713DE"/>
    <w:rsid w:val="00E71A8B"/>
    <w:rsid w:val="00E71CE4"/>
    <w:rsid w:val="00E72574"/>
    <w:rsid w:val="00E72A5A"/>
    <w:rsid w:val="00E73354"/>
    <w:rsid w:val="00E74237"/>
    <w:rsid w:val="00E744B7"/>
    <w:rsid w:val="00E75045"/>
    <w:rsid w:val="00E7673A"/>
    <w:rsid w:val="00E80E0A"/>
    <w:rsid w:val="00E8138D"/>
    <w:rsid w:val="00E815F6"/>
    <w:rsid w:val="00E81774"/>
    <w:rsid w:val="00E818B2"/>
    <w:rsid w:val="00E81EC1"/>
    <w:rsid w:val="00E82599"/>
    <w:rsid w:val="00E826BB"/>
    <w:rsid w:val="00E828A2"/>
    <w:rsid w:val="00E83022"/>
    <w:rsid w:val="00E8342D"/>
    <w:rsid w:val="00E84C00"/>
    <w:rsid w:val="00E84F97"/>
    <w:rsid w:val="00E85299"/>
    <w:rsid w:val="00E8582D"/>
    <w:rsid w:val="00E85A56"/>
    <w:rsid w:val="00E85A71"/>
    <w:rsid w:val="00E85B3F"/>
    <w:rsid w:val="00E86740"/>
    <w:rsid w:val="00E902BC"/>
    <w:rsid w:val="00E91009"/>
    <w:rsid w:val="00E91869"/>
    <w:rsid w:val="00E92349"/>
    <w:rsid w:val="00E9242D"/>
    <w:rsid w:val="00E92B72"/>
    <w:rsid w:val="00E93F3D"/>
    <w:rsid w:val="00E950B0"/>
    <w:rsid w:val="00E955F8"/>
    <w:rsid w:val="00E95B03"/>
    <w:rsid w:val="00E95B07"/>
    <w:rsid w:val="00E9608B"/>
    <w:rsid w:val="00E96DC7"/>
    <w:rsid w:val="00E97981"/>
    <w:rsid w:val="00EA0B77"/>
    <w:rsid w:val="00EA0CC7"/>
    <w:rsid w:val="00EA12DC"/>
    <w:rsid w:val="00EA15FF"/>
    <w:rsid w:val="00EA1C1D"/>
    <w:rsid w:val="00EA2796"/>
    <w:rsid w:val="00EA29C2"/>
    <w:rsid w:val="00EA2A74"/>
    <w:rsid w:val="00EA31BA"/>
    <w:rsid w:val="00EA3AF2"/>
    <w:rsid w:val="00EA4499"/>
    <w:rsid w:val="00EA47DB"/>
    <w:rsid w:val="00EA6324"/>
    <w:rsid w:val="00EA6D09"/>
    <w:rsid w:val="00EA6F86"/>
    <w:rsid w:val="00EA7442"/>
    <w:rsid w:val="00EB06CF"/>
    <w:rsid w:val="00EB0771"/>
    <w:rsid w:val="00EB0EEC"/>
    <w:rsid w:val="00EB0FD7"/>
    <w:rsid w:val="00EB13CC"/>
    <w:rsid w:val="00EB29AF"/>
    <w:rsid w:val="00EB29EA"/>
    <w:rsid w:val="00EB2C20"/>
    <w:rsid w:val="00EB2ED4"/>
    <w:rsid w:val="00EB3020"/>
    <w:rsid w:val="00EB32ED"/>
    <w:rsid w:val="00EB34F4"/>
    <w:rsid w:val="00EB4E36"/>
    <w:rsid w:val="00EB50B5"/>
    <w:rsid w:val="00EB5255"/>
    <w:rsid w:val="00EB56DE"/>
    <w:rsid w:val="00EB59F1"/>
    <w:rsid w:val="00EB5C47"/>
    <w:rsid w:val="00EB5C53"/>
    <w:rsid w:val="00EB634C"/>
    <w:rsid w:val="00EB6533"/>
    <w:rsid w:val="00EB67FE"/>
    <w:rsid w:val="00EB6B7D"/>
    <w:rsid w:val="00EB6D21"/>
    <w:rsid w:val="00EB7440"/>
    <w:rsid w:val="00EB7607"/>
    <w:rsid w:val="00EB7DBD"/>
    <w:rsid w:val="00EC0D54"/>
    <w:rsid w:val="00EC1001"/>
    <w:rsid w:val="00EC13B6"/>
    <w:rsid w:val="00EC2408"/>
    <w:rsid w:val="00EC24E9"/>
    <w:rsid w:val="00EC3F7C"/>
    <w:rsid w:val="00EC413E"/>
    <w:rsid w:val="00EC41AE"/>
    <w:rsid w:val="00EC4D77"/>
    <w:rsid w:val="00EC4F49"/>
    <w:rsid w:val="00EC6205"/>
    <w:rsid w:val="00EC7CF6"/>
    <w:rsid w:val="00ED03B6"/>
    <w:rsid w:val="00ED0639"/>
    <w:rsid w:val="00ED1224"/>
    <w:rsid w:val="00ED1391"/>
    <w:rsid w:val="00ED17EC"/>
    <w:rsid w:val="00ED278C"/>
    <w:rsid w:val="00ED395A"/>
    <w:rsid w:val="00ED3D56"/>
    <w:rsid w:val="00ED3DBC"/>
    <w:rsid w:val="00ED41B8"/>
    <w:rsid w:val="00ED6B91"/>
    <w:rsid w:val="00ED7B44"/>
    <w:rsid w:val="00ED7EBF"/>
    <w:rsid w:val="00EE0D65"/>
    <w:rsid w:val="00EE1078"/>
    <w:rsid w:val="00EE175A"/>
    <w:rsid w:val="00EE277A"/>
    <w:rsid w:val="00EE3197"/>
    <w:rsid w:val="00EE3355"/>
    <w:rsid w:val="00EE4017"/>
    <w:rsid w:val="00EE4D5F"/>
    <w:rsid w:val="00EE52EE"/>
    <w:rsid w:val="00EE5915"/>
    <w:rsid w:val="00EE771B"/>
    <w:rsid w:val="00EF00D2"/>
    <w:rsid w:val="00EF0458"/>
    <w:rsid w:val="00EF1062"/>
    <w:rsid w:val="00EF1829"/>
    <w:rsid w:val="00EF2298"/>
    <w:rsid w:val="00EF22EB"/>
    <w:rsid w:val="00EF39E5"/>
    <w:rsid w:val="00EF4247"/>
    <w:rsid w:val="00EF4388"/>
    <w:rsid w:val="00EF4755"/>
    <w:rsid w:val="00EF52A5"/>
    <w:rsid w:val="00EF6A60"/>
    <w:rsid w:val="00EF6DE4"/>
    <w:rsid w:val="00EF7135"/>
    <w:rsid w:val="00EF7A0A"/>
    <w:rsid w:val="00F00AA8"/>
    <w:rsid w:val="00F01691"/>
    <w:rsid w:val="00F01919"/>
    <w:rsid w:val="00F01C25"/>
    <w:rsid w:val="00F027DB"/>
    <w:rsid w:val="00F02E16"/>
    <w:rsid w:val="00F03110"/>
    <w:rsid w:val="00F038FF"/>
    <w:rsid w:val="00F03E24"/>
    <w:rsid w:val="00F03E7D"/>
    <w:rsid w:val="00F046F7"/>
    <w:rsid w:val="00F0481B"/>
    <w:rsid w:val="00F05322"/>
    <w:rsid w:val="00F0554A"/>
    <w:rsid w:val="00F0588C"/>
    <w:rsid w:val="00F06911"/>
    <w:rsid w:val="00F07C87"/>
    <w:rsid w:val="00F1081E"/>
    <w:rsid w:val="00F11286"/>
    <w:rsid w:val="00F1152E"/>
    <w:rsid w:val="00F119A1"/>
    <w:rsid w:val="00F11E28"/>
    <w:rsid w:val="00F12426"/>
    <w:rsid w:val="00F1279C"/>
    <w:rsid w:val="00F1301A"/>
    <w:rsid w:val="00F134AC"/>
    <w:rsid w:val="00F138B7"/>
    <w:rsid w:val="00F1411E"/>
    <w:rsid w:val="00F14A7A"/>
    <w:rsid w:val="00F14C49"/>
    <w:rsid w:val="00F15249"/>
    <w:rsid w:val="00F15453"/>
    <w:rsid w:val="00F160A6"/>
    <w:rsid w:val="00F1654D"/>
    <w:rsid w:val="00F22365"/>
    <w:rsid w:val="00F22985"/>
    <w:rsid w:val="00F22D61"/>
    <w:rsid w:val="00F22E55"/>
    <w:rsid w:val="00F239DE"/>
    <w:rsid w:val="00F24565"/>
    <w:rsid w:val="00F24A33"/>
    <w:rsid w:val="00F24ABB"/>
    <w:rsid w:val="00F24E6C"/>
    <w:rsid w:val="00F251A9"/>
    <w:rsid w:val="00F2521E"/>
    <w:rsid w:val="00F256FC"/>
    <w:rsid w:val="00F257C7"/>
    <w:rsid w:val="00F25897"/>
    <w:rsid w:val="00F260B4"/>
    <w:rsid w:val="00F265A7"/>
    <w:rsid w:val="00F27EE0"/>
    <w:rsid w:val="00F30224"/>
    <w:rsid w:val="00F306FF"/>
    <w:rsid w:val="00F30AC0"/>
    <w:rsid w:val="00F31C4D"/>
    <w:rsid w:val="00F32AF0"/>
    <w:rsid w:val="00F32E7F"/>
    <w:rsid w:val="00F332F2"/>
    <w:rsid w:val="00F337A4"/>
    <w:rsid w:val="00F337C9"/>
    <w:rsid w:val="00F3383E"/>
    <w:rsid w:val="00F33C3F"/>
    <w:rsid w:val="00F33FB0"/>
    <w:rsid w:val="00F3453F"/>
    <w:rsid w:val="00F35987"/>
    <w:rsid w:val="00F37131"/>
    <w:rsid w:val="00F37B57"/>
    <w:rsid w:val="00F37DE1"/>
    <w:rsid w:val="00F4050A"/>
    <w:rsid w:val="00F411E8"/>
    <w:rsid w:val="00F413B5"/>
    <w:rsid w:val="00F42B00"/>
    <w:rsid w:val="00F42E88"/>
    <w:rsid w:val="00F431A1"/>
    <w:rsid w:val="00F43BFC"/>
    <w:rsid w:val="00F44350"/>
    <w:rsid w:val="00F45108"/>
    <w:rsid w:val="00F45A9D"/>
    <w:rsid w:val="00F45D08"/>
    <w:rsid w:val="00F465A7"/>
    <w:rsid w:val="00F46A0F"/>
    <w:rsid w:val="00F47F2E"/>
    <w:rsid w:val="00F5073E"/>
    <w:rsid w:val="00F50B7C"/>
    <w:rsid w:val="00F518AA"/>
    <w:rsid w:val="00F550E6"/>
    <w:rsid w:val="00F554AE"/>
    <w:rsid w:val="00F558E1"/>
    <w:rsid w:val="00F55C54"/>
    <w:rsid w:val="00F564EC"/>
    <w:rsid w:val="00F56972"/>
    <w:rsid w:val="00F5709E"/>
    <w:rsid w:val="00F578A0"/>
    <w:rsid w:val="00F57AEC"/>
    <w:rsid w:val="00F57D72"/>
    <w:rsid w:val="00F607BE"/>
    <w:rsid w:val="00F6182C"/>
    <w:rsid w:val="00F61EAB"/>
    <w:rsid w:val="00F628FB"/>
    <w:rsid w:val="00F62E0D"/>
    <w:rsid w:val="00F634A2"/>
    <w:rsid w:val="00F637D7"/>
    <w:rsid w:val="00F64A8B"/>
    <w:rsid w:val="00F64CFF"/>
    <w:rsid w:val="00F66E4F"/>
    <w:rsid w:val="00F67467"/>
    <w:rsid w:val="00F67860"/>
    <w:rsid w:val="00F67BCA"/>
    <w:rsid w:val="00F67CEA"/>
    <w:rsid w:val="00F70796"/>
    <w:rsid w:val="00F72F7E"/>
    <w:rsid w:val="00F73EDB"/>
    <w:rsid w:val="00F74345"/>
    <w:rsid w:val="00F7487C"/>
    <w:rsid w:val="00F805FE"/>
    <w:rsid w:val="00F80646"/>
    <w:rsid w:val="00F80A0A"/>
    <w:rsid w:val="00F82635"/>
    <w:rsid w:val="00F82B19"/>
    <w:rsid w:val="00F83212"/>
    <w:rsid w:val="00F834E2"/>
    <w:rsid w:val="00F83B75"/>
    <w:rsid w:val="00F83DB9"/>
    <w:rsid w:val="00F907D1"/>
    <w:rsid w:val="00F9104F"/>
    <w:rsid w:val="00F9111A"/>
    <w:rsid w:val="00F91ABC"/>
    <w:rsid w:val="00F91E96"/>
    <w:rsid w:val="00F9212D"/>
    <w:rsid w:val="00F92ADC"/>
    <w:rsid w:val="00F93030"/>
    <w:rsid w:val="00F94014"/>
    <w:rsid w:val="00F948FD"/>
    <w:rsid w:val="00F9536B"/>
    <w:rsid w:val="00F965DA"/>
    <w:rsid w:val="00F97081"/>
    <w:rsid w:val="00F97298"/>
    <w:rsid w:val="00F976EA"/>
    <w:rsid w:val="00F97B75"/>
    <w:rsid w:val="00FA0971"/>
    <w:rsid w:val="00FA1777"/>
    <w:rsid w:val="00FA1B47"/>
    <w:rsid w:val="00FA1F0A"/>
    <w:rsid w:val="00FA2716"/>
    <w:rsid w:val="00FA324A"/>
    <w:rsid w:val="00FA3B7E"/>
    <w:rsid w:val="00FA406A"/>
    <w:rsid w:val="00FA4B8A"/>
    <w:rsid w:val="00FA55FF"/>
    <w:rsid w:val="00FA5A29"/>
    <w:rsid w:val="00FA5A7C"/>
    <w:rsid w:val="00FA5D95"/>
    <w:rsid w:val="00FA6255"/>
    <w:rsid w:val="00FA678C"/>
    <w:rsid w:val="00FA69C0"/>
    <w:rsid w:val="00FA6B40"/>
    <w:rsid w:val="00FA6C95"/>
    <w:rsid w:val="00FA761F"/>
    <w:rsid w:val="00FB0873"/>
    <w:rsid w:val="00FB20B0"/>
    <w:rsid w:val="00FB2105"/>
    <w:rsid w:val="00FB3037"/>
    <w:rsid w:val="00FB503A"/>
    <w:rsid w:val="00FB516C"/>
    <w:rsid w:val="00FB56A3"/>
    <w:rsid w:val="00FB6E5B"/>
    <w:rsid w:val="00FB6FD9"/>
    <w:rsid w:val="00FB756C"/>
    <w:rsid w:val="00FB7B60"/>
    <w:rsid w:val="00FC17FD"/>
    <w:rsid w:val="00FC2CA2"/>
    <w:rsid w:val="00FC2DF6"/>
    <w:rsid w:val="00FC3387"/>
    <w:rsid w:val="00FC3B3D"/>
    <w:rsid w:val="00FC40AC"/>
    <w:rsid w:val="00FC433F"/>
    <w:rsid w:val="00FC4952"/>
    <w:rsid w:val="00FC4A21"/>
    <w:rsid w:val="00FC543F"/>
    <w:rsid w:val="00FC58A7"/>
    <w:rsid w:val="00FC7C96"/>
    <w:rsid w:val="00FD0236"/>
    <w:rsid w:val="00FD0915"/>
    <w:rsid w:val="00FD18F4"/>
    <w:rsid w:val="00FD211D"/>
    <w:rsid w:val="00FD23DB"/>
    <w:rsid w:val="00FD31E3"/>
    <w:rsid w:val="00FD44A9"/>
    <w:rsid w:val="00FD45EE"/>
    <w:rsid w:val="00FD54DB"/>
    <w:rsid w:val="00FD619F"/>
    <w:rsid w:val="00FD6FA1"/>
    <w:rsid w:val="00FE15E8"/>
    <w:rsid w:val="00FE358A"/>
    <w:rsid w:val="00FE384F"/>
    <w:rsid w:val="00FE3975"/>
    <w:rsid w:val="00FE40EA"/>
    <w:rsid w:val="00FE4A48"/>
    <w:rsid w:val="00FE7581"/>
    <w:rsid w:val="00FE7D80"/>
    <w:rsid w:val="00FF17BE"/>
    <w:rsid w:val="00FF215F"/>
    <w:rsid w:val="00FF2C08"/>
    <w:rsid w:val="00FF2FEB"/>
    <w:rsid w:val="00FF312F"/>
    <w:rsid w:val="00FF5475"/>
    <w:rsid w:val="00FF56BC"/>
    <w:rsid w:val="00FF58C5"/>
    <w:rsid w:val="00FF714A"/>
    <w:rsid w:val="00FF7AFE"/>
    <w:rsid w:val="00FF7C1A"/>
    <w:rsid w:val="00FF7D32"/>
    <w:rsid w:val="01290F7E"/>
    <w:rsid w:val="015D1E09"/>
    <w:rsid w:val="02697903"/>
    <w:rsid w:val="02F96569"/>
    <w:rsid w:val="03EA7B21"/>
    <w:rsid w:val="05CF4D18"/>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05F8C"/>
    <w:rsid w:val="16087E1D"/>
    <w:rsid w:val="17701D14"/>
    <w:rsid w:val="17735226"/>
    <w:rsid w:val="184D6D34"/>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5CD0D3F"/>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08372E"/>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D9450B"/>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4C4C27"/>
    <w:rsid w:val="7B686D42"/>
    <w:rsid w:val="7B841746"/>
    <w:rsid w:val="7C6C5AC7"/>
    <w:rsid w:val="7CC6544B"/>
    <w:rsid w:val="7D0239FF"/>
    <w:rsid w:val="7D5E40CD"/>
    <w:rsid w:val="7DCD56F2"/>
    <w:rsid w:val="7F001CE7"/>
    <w:rsid w:val="7FE47E50"/>
  </w:rsids>
  <w:docVars>
    <w:docVar w:name="commondata" w:val="eyJoZGlkIjoiZmQ5NDk1NmUyYmExODY3NmE2MDQ0ZTdiNTAyMWRkMW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0" w:uiPriority="0" w:qFormat="1"/>
    <w:lsdException w:name="index 2" w:locked="1" w:semiHidden="0" w:uiPriority="0" w:unhideWhenUsed="0"/>
    <w:lsdException w:name="index 3" w:locked="1" w:semiHidden="0" w:uiPriority="0" w:unhideWhenUsed="0"/>
    <w:lsdException w:name="index 4" w:locked="1" w:semiHidden="0" w:uiPriority="0" w:unhideWhenUsed="0"/>
    <w:lsdException w:name="index 5" w:locked="1" w:semiHidden="0" w:uiPriority="0" w:unhideWhenUsed="0"/>
    <w:lsdException w:name="index 6" w:locked="1" w:semiHidden="0" w:uiPriority="0" w:unhideWhenUsed="0"/>
    <w:lsdException w:name="index 7" w:locked="1" w:semiHidden="0" w:uiPriority="0" w:unhideWhenUsed="0"/>
    <w:lsdException w:name="index 8" w:locked="1" w:semiHidden="0" w:uiPriority="0" w:unhideWhenUsed="0"/>
    <w:lsdException w:name="index 9" w:locked="1" w:semiHidden="0" w:uiPriority="0" w:unhideWhenUsed="0"/>
    <w:lsdException w:name="toc 1" w:locked="1" w:semiHidden="0" w:uiPriority="39" w:unhideWhenUsed="0" w:qFormat="1"/>
    <w:lsdException w:name="toc 2" w:locked="1" w:semiHidden="0" w:uiPriority="39"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ocked="1" w:semiHidden="0" w:uiPriority="0" w:qFormat="1"/>
    <w:lsdException w:name="footnote text" w:locked="1" w:semiHidden="0" w:uiPriority="0" w:unhideWhenUsed="0"/>
    <w:lsdException w:name="annotation text" w:semiHidden="0" w:unhideWhenUsed="0" w:qFormat="1"/>
    <w:lsdException w:name="header" w:semiHidden="0" w:uiPriority="0" w:unhideWhenUsed="0" w:qFormat="1"/>
    <w:lsdException w:name="footer" w:semiHidden="0" w:unhideWhenUsed="0" w:qFormat="1"/>
    <w:lsdException w:name="index heading" w:locked="1" w:semiHidden="0" w:uiPriority="0" w:unhideWhenUsed="0"/>
    <w:lsdException w:name="caption" w:locked="1" w:uiPriority="0" w:qFormat="1"/>
    <w:lsdException w:name="table of figures" w:locked="1" w:semiHidden="0" w:uiPriority="0" w:unhideWhenUsed="0"/>
    <w:lsdException w:name="envelope address" w:locked="1" w:semiHidden="0" w:uiPriority="0" w:unhideWhenUsed="0"/>
    <w:lsdException w:name="envelope return" w:locked="1" w:semiHidden="0" w:uiPriority="0" w:unhideWhenUsed="0"/>
    <w:lsdException w:name="footnote reference" w:locked="1" w:semiHidden="0" w:uiPriority="0" w:unhideWhenUsed="0"/>
    <w:lsdException w:name="annotation reference" w:semiHidden="0" w:unhideWhenUsed="0" w:qFormat="1"/>
    <w:lsdException w:name="line number" w:locked="1" w:semiHidden="0" w:uiPriority="0" w:unhideWhenUsed="0"/>
    <w:lsdException w:name="page number" w:locked="1" w:semiHidden="0" w:uiPriority="0" w:unhideWhenUsed="0" w:qFormat="1"/>
    <w:lsdException w:name="endnote reference" w:locked="1" w:semiHidden="0" w:uiPriority="0" w:unhideWhenUsed="0"/>
    <w:lsdException w:name="endnote text" w:locked="1" w:semiHidden="0" w:uiPriority="0" w:unhideWhenUsed="0"/>
    <w:lsdException w:name="table of authorities" w:locked="1" w:semiHidden="0" w:uiPriority="0" w:unhideWhenUsed="0"/>
    <w:lsdException w:name="macro" w:locked="1" w:semiHidden="0" w:uiPriority="0" w:unhideWhenUsed="0"/>
    <w:lsdException w:name="toa heading" w:locked="1" w:semiHidden="0" w:uiPriority="0" w:unhideWhenUsed="0"/>
    <w:lsdException w:name="List" w:locked="1" w:semiHidden="0" w:uiPriority="0" w:qFormat="1"/>
    <w:lsdException w:name="List Bullet" w:locked="1" w:semiHidden="0" w:uiPriority="0" w:unhideWhenUsed="0"/>
    <w:lsdException w:name="List Number" w:locked="1" w:semiHidden="0" w:uiPriority="0" w:unhideWhenUsed="0"/>
    <w:lsdException w:name="List 2" w:locked="1" w:semiHidden="0" w:uiPriority="0" w:unhideWhenUsed="0"/>
    <w:lsdException w:name="List 3" w:locked="1" w:semiHidden="0" w:uiPriority="0" w:unhideWhenUsed="0"/>
    <w:lsdException w:name="List 4" w:locked="1" w:semiHidden="0" w:uiPriority="0" w:unhideWhenUsed="0"/>
    <w:lsdException w:name="List 5" w:locked="1" w:semiHidden="0" w:uiPriority="0" w:unhideWhenUsed="0"/>
    <w:lsdException w:name="List Bullet 2" w:locked="1" w:semiHidden="0" w:uiPriority="0" w:unhideWhenUsed="0"/>
    <w:lsdException w:name="List Bullet 3" w:locked="1" w:semiHidden="0" w:uiPriority="0" w:unhideWhenUsed="0"/>
    <w:lsdException w:name="List Bullet 4" w:locked="1" w:semiHidden="0" w:uiPriority="0" w:unhideWhenUsed="0"/>
    <w:lsdException w:name="List Bullet 5" w:locked="1" w:semiHidden="0" w:uiPriority="0" w:unhideWhenUsed="0"/>
    <w:lsdException w:name="List Number 2" w:locked="1" w:semiHidden="0" w:uiPriority="0" w:unhideWhenUsed="0"/>
    <w:lsdException w:name="List Number 3" w:locked="1" w:semiHidden="0" w:uiPriority="0" w:unhideWhenUsed="0"/>
    <w:lsdException w:name="List Number 4" w:locked="1" w:semiHidden="0" w:uiPriority="0" w:unhideWhenUsed="0"/>
    <w:lsdException w:name="List Number 5" w:locked="1" w:semiHidden="0" w:uiPriority="0" w:unhideWhenUsed="0"/>
    <w:lsdException w:name="Title" w:locked="1" w:semiHidden="0" w:uiPriority="0" w:unhideWhenUsed="0" w:qFormat="1"/>
    <w:lsdException w:name="Closing" w:locked="1" w:semiHidden="0" w:uiPriority="0" w:unhideWhenUsed="0"/>
    <w:lsdException w:name="Signature" w:locked="1"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locked="1" w:semiHidden="0" w:uiPriority="0" w:unhideWhenUsed="0"/>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iPriority="0" w:unhideWhenUsed="0" w:qFormat="1"/>
    <w:lsdException w:name="Salutation" w:locked="1" w:semiHidden="0" w:uiPriority="0" w:unhideWhenUsed="0"/>
    <w:lsdException w:name="Date" w:semiHidden="0" w:uiPriority="0" w:unhideWhenUsed="0" w:qFormat="1"/>
    <w:lsdException w:name="Body Text First Indent" w:locked="1" w:semiHidden="0" w:qFormat="1"/>
    <w:lsdException w:name="Body Text First Indent 2" w:locked="1" w:semiHidden="0" w:uiPriority="0" w:unhideWhenUsed="0" w:qFormat="1"/>
    <w:lsdException w:name="Note Heading" w:locked="1" w:semiHidden="0" w:uiPriority="0" w:unhideWhenUsed="0"/>
    <w:lsdException w:name="Body Text 2" w:locked="1" w:semiHidden="0" w:uiPriority="0" w:qFormat="1"/>
    <w:lsdException w:name="Body Text 3" w:locked="1" w:semiHidden="0" w:uiPriority="0" w:qFormat="1"/>
    <w:lsdException w:name="Body Text Indent 2" w:locked="1" w:semiHidden="0" w:uiPriority="0" w:qFormat="1"/>
    <w:lsdException w:name="Body Text Indent 3" w:locked="1" w:semiHidden="0" w:uiPriority="0" w:qFormat="1"/>
    <w:lsdException w:name="Block Text" w:locked="1" w:semiHidden="0" w:uiPriority="0" w:unhideWhenUsed="0"/>
    <w:lsdException w:name="Hyperlink" w:locked="1" w:semiHidden="0" w:qFormat="1"/>
    <w:lsdException w:name="FollowedHyperlink" w:locked="1" w:semiHidden="0" w:qFormat="1"/>
    <w:lsdException w:name="Strong" w:locked="1" w:semiHidden="0" w:uiPriority="22" w:unhideWhenUsed="0" w:qFormat="1"/>
    <w:lsdException w:name="Emphasis" w:locked="1" w:semiHidden="0" w:uiPriority="20" w:unhideWhenUsed="0" w:qFormat="1"/>
    <w:lsdException w:name="Document Map" w:locked="1" w:semiHidden="0" w:uiPriority="0" w:qFormat="1"/>
    <w:lsdException w:name="Plain Text" w:locked="1" w:semiHidden="0" w:uiPriority="0" w:qFormat="1"/>
    <w:lsdException w:name="E-mail Signature" w:locked="1" w:semiHidden="0" w:uiPriority="0" w:unhideWhenUsed="0"/>
    <w:lsdException w:name="Normal (Web)" w:semiHidden="0" w:unhideWhenUsed="0" w:qFormat="1"/>
    <w:lsdException w:name="HTML Acronym" w:locked="1" w:semiHidden="0" w:uiPriority="0" w:unhideWhenUsed="0"/>
    <w:lsdException w:name="HTML Address" w:locked="1" w:semiHidden="0" w:uiPriority="0" w:unhideWhenUsed="0"/>
    <w:lsdException w:name="HTML Cite" w:locked="1" w:semiHidden="0" w:uiPriority="0" w:unhideWhenUsed="0"/>
    <w:lsdException w:name="HTML Code" w:locked="1" w:semiHidden="0" w:uiPriority="0" w:unhideWhenUsed="0"/>
    <w:lsdException w:name="HTML Definition" w:locked="1" w:semiHidden="0" w:uiPriority="0" w:unhideWhenUsed="0"/>
    <w:lsdException w:name="HTML Keyboard" w:locked="1" w:semiHidden="0" w:uiPriority="0" w:unhideWhenUsed="0"/>
    <w:lsdException w:name="HTML Preformatted" w:locked="1" w:semiHidden="0" w:uiPriority="0" w:qFormat="1"/>
    <w:lsdException w:name="HTML Sample" w:locked="1" w:semiHidden="0" w:uiPriority="0" w:unhideWhenUsed="0"/>
    <w:lsdException w:name="HTML Typewriter" w:locked="1" w:semiHidden="0" w:uiPriority="0" w:unhideWhenUsed="0"/>
    <w:lsdException w:name="HTML Variable" w:locked="1" w:semiHidden="0" w:uiPriority="0" w:unhideWhenUsed="0"/>
    <w:lsdException w:name="Normal Table" w:qFormat="1"/>
    <w:lsdException w:name="annotation subject" w:uiPriority="0" w:unhideWhenUsed="0" w:qFormat="1"/>
    <w:lsdException w:name="Table Simple 1" w:locked="1" w:semiHidden="0" w:uiPriority="0" w:unhideWhenUsed="0"/>
    <w:lsdException w:name="Table Simple 2" w:locked="1" w:semiHidden="0" w:uiPriority="0" w:unhideWhenUsed="0"/>
    <w:lsdException w:name="Table Simple 3" w:locked="1" w:semiHidden="0" w:uiPriority="0" w:unhideWhenUsed="0"/>
    <w:lsdException w:name="Table Classic 1" w:locked="1" w:semiHidden="0" w:uiPriority="0" w:unhideWhenUsed="0"/>
    <w:lsdException w:name="Table Classic 2" w:locked="1" w:semiHidden="0" w:uiPriority="0" w:unhideWhenUsed="0"/>
    <w:lsdException w:name="Table Classic 3" w:locked="1" w:semiHidden="0" w:uiPriority="0" w:unhideWhenUsed="0"/>
    <w:lsdException w:name="Table Classic 4" w:locked="1" w:semiHidden="0" w:uiPriority="0" w:unhideWhenUsed="0"/>
    <w:lsdException w:name="Table Colorful 1" w:locked="1" w:semiHidden="0" w:uiPriority="0" w:unhideWhenUsed="0"/>
    <w:lsdException w:name="Table Colorful 2" w:locked="1" w:semiHidden="0" w:uiPriority="0" w:unhideWhenUsed="0"/>
    <w:lsdException w:name="Table Colorful 3" w:locked="1" w:semiHidden="0" w:uiPriority="0" w:unhideWhenUsed="0"/>
    <w:lsdException w:name="Table Columns 1" w:locked="1" w:semiHidden="0" w:uiPriority="0" w:unhideWhenUsed="0"/>
    <w:lsdException w:name="Table Columns 2" w:locked="1" w:semiHidden="0" w:uiPriority="0" w:unhideWhenUsed="0"/>
    <w:lsdException w:name="Table Columns 3" w:locked="1" w:semiHidden="0" w:uiPriority="0" w:unhideWhenUsed="0"/>
    <w:lsdException w:name="Table Columns 4" w:locked="1" w:semiHidden="0" w:uiPriority="0" w:unhideWhenUsed="0"/>
    <w:lsdException w:name="Table Columns 5" w:locked="1" w:semiHidden="0" w:uiPriority="0" w:unhideWhenUsed="0"/>
    <w:lsdException w:name="Table Grid 1" w:locked="1" w:semiHidden="0" w:uiPriority="0" w:unhideWhenUsed="0"/>
    <w:lsdException w:name="Table Grid 2" w:locked="1" w:semiHidden="0" w:uiPriority="0" w:unhideWhenUsed="0"/>
    <w:lsdException w:name="Table Grid 3" w:locked="1" w:semiHidden="0" w:uiPriority="0" w:unhideWhenUsed="0"/>
    <w:lsdException w:name="Table Grid 4" w:locked="1" w:semiHidden="0" w:uiPriority="0" w:unhideWhenUsed="0"/>
    <w:lsdException w:name="Table Grid 5" w:locked="1" w:semiHidden="0" w:uiPriority="0" w:unhideWhenUsed="0"/>
    <w:lsdException w:name="Table Grid 6" w:locked="1" w:semiHidden="0" w:uiPriority="0" w:unhideWhenUsed="0"/>
    <w:lsdException w:name="Table Grid 7" w:locked="1" w:semiHidden="0" w:uiPriority="0" w:unhideWhenUsed="0"/>
    <w:lsdException w:name="Table Grid 8" w:locked="1" w:semiHidden="0" w:uiPriority="0" w:unhideWhenUsed="0"/>
    <w:lsdException w:name="Table List 1" w:locked="1" w:semiHidden="0" w:uiPriority="0" w:unhideWhenUsed="0"/>
    <w:lsdException w:name="Table List 2" w:locked="1" w:semiHidden="0" w:uiPriority="0" w:unhideWhenUsed="0"/>
    <w:lsdException w:name="Table List 3" w:locked="1" w:semiHidden="0" w:uiPriority="0" w:unhideWhenUsed="0"/>
    <w:lsdException w:name="Table List 4" w:locked="1" w:semiHidden="0" w:uiPriority="0" w:unhideWhenUsed="0"/>
    <w:lsdException w:name="Table List 5" w:locked="1" w:semiHidden="0" w:uiPriority="0" w:unhideWhenUsed="0"/>
    <w:lsdException w:name="Table List 6" w:locked="1" w:semiHidden="0" w:uiPriority="0" w:unhideWhenUsed="0"/>
    <w:lsdException w:name="Table List 7" w:locked="1" w:semiHidden="0" w:uiPriority="0" w:unhideWhenUsed="0"/>
    <w:lsdException w:name="Table List 8" w:locked="1" w:semiHidden="0" w:uiPriority="0" w:unhideWhenUsed="0"/>
    <w:lsdException w:name="Table 3D effects 1" w:locked="1" w:semiHidden="0" w:uiPriority="0" w:unhideWhenUsed="0"/>
    <w:lsdException w:name="Table 3D effects 2" w:locked="1" w:semiHidden="0" w:uiPriority="0" w:unhideWhenUsed="0"/>
    <w:lsdException w:name="Table 3D effects 3" w:locked="1" w:semiHidden="0" w:uiPriority="0" w:unhideWhenUsed="0"/>
    <w:lsdException w:name="Table Contemporary" w:locked="1" w:semiHidden="0" w:uiPriority="0" w:unhideWhenUsed="0"/>
    <w:lsdException w:name="Table Elegant" w:locked="1" w:semiHidden="0" w:uiPriority="0" w:unhideWhenUsed="0"/>
    <w:lsdException w:name="Table Professional" w:locked="1" w:semiHidden="0" w:uiPriority="0" w:unhideWhenUsed="0"/>
    <w:lsdException w:name="Table Subtle 1" w:locked="1" w:semiHidden="0" w:uiPriority="0" w:unhideWhenUsed="0"/>
    <w:lsdException w:name="Table Subtle 2" w:locked="1" w:semiHidden="0" w:uiPriority="0" w:unhideWhenUsed="0"/>
    <w:lsdException w:name="Table Web 1" w:locked="1" w:semiHidden="0" w:uiPriority="0" w:unhideWhenUsed="0"/>
    <w:lsdException w:name="Table Web 2" w:locked="1" w:semiHidden="0" w:uiPriority="0" w:unhideWhenUsed="0"/>
    <w:lsdException w:name="Table Web 3" w:locked="1" w:semiHidden="0" w:uiPriority="0" w:unhideWhenUsed="0"/>
    <w:lsdException w:name="Balloon Text" w:uiPriority="0" w:unhideWhenUsed="0" w:qFormat="1"/>
    <w:lsdException w:name="Table Grid" w:semiHidden="0" w:unhideWhenUsed="0" w:qFormat="1"/>
    <w:lsdException w:name="Table Theme" w:locked="1"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2">
    <w:name w:val="heading 2"/>
    <w:basedOn w:val="Normal"/>
    <w:next w:val="Normal"/>
    <w:link w:val="2Char0"/>
    <w:semiHidden/>
    <w:unhideWhenUsed/>
    <w:qFormat/>
    <w:locked/>
    <w:pPr>
      <w:keepNext/>
      <w:keepLines/>
      <w:spacing w:before="260" w:after="260" w:line="412" w:lineRule="auto"/>
      <w:ind w:firstLine="200" w:firstLineChars="200"/>
      <w:outlineLvl w:val="1"/>
    </w:pPr>
    <w:rPr>
      <w:rFonts w:ascii="Arial" w:eastAsia="黑体" w:hAnsi="Arial"/>
      <w:b/>
      <w:kern w:val="0"/>
      <w:sz w:val="32"/>
      <w:szCs w:val="20"/>
    </w:rPr>
  </w:style>
  <w:style w:type="paragraph" w:styleId="Heading3">
    <w:name w:val="heading 3"/>
    <w:basedOn w:val="Normal"/>
    <w:next w:val="Normal"/>
    <w:link w:val="3Char"/>
    <w:semiHidden/>
    <w:unhideWhenUsed/>
    <w:qFormat/>
    <w:locked/>
    <w:pPr>
      <w:keepNext/>
      <w:keepLines/>
      <w:spacing w:before="260" w:after="260" w:line="412" w:lineRule="auto"/>
      <w:ind w:firstLine="200" w:firstLineChars="200"/>
      <w:outlineLvl w:val="2"/>
    </w:pPr>
    <w:rPr>
      <w:b/>
      <w:kern w:val="0"/>
      <w:sz w:val="32"/>
      <w:szCs w:val="20"/>
    </w:rPr>
  </w:style>
  <w:style w:type="paragraph" w:styleId="Heading4">
    <w:name w:val="heading 4"/>
    <w:basedOn w:val="Normal"/>
    <w:next w:val="Normal"/>
    <w:link w:val="4Char"/>
    <w:unhideWhenUsed/>
    <w:qFormat/>
    <w:locked/>
    <w:pPr>
      <w:keepNext/>
      <w:keepLines/>
      <w:spacing w:before="280" w:after="290" w:line="376" w:lineRule="auto"/>
      <w:outlineLvl w:val="3"/>
    </w:pPr>
    <w:rPr>
      <w:rFonts w:ascii="Cambria" w:hAnsi="Cambria"/>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link w:val="Char15"/>
    <w:unhideWhenUsed/>
    <w:qFormat/>
    <w:locked/>
    <w:pPr>
      <w:spacing w:before="120" w:line="500" w:lineRule="exact"/>
      <w:ind w:firstLine="420"/>
    </w:pPr>
    <w:rPr>
      <w:rFonts w:ascii="Calibri" w:hAnsi="Calibri"/>
      <w:sz w:val="24"/>
      <w:szCs w:val="22"/>
    </w:rPr>
  </w:style>
  <w:style w:type="paragraph" w:styleId="Caption">
    <w:name w:val="caption"/>
    <w:basedOn w:val="Normal"/>
    <w:next w:val="Normal"/>
    <w:link w:val="Char16"/>
    <w:semiHidden/>
    <w:unhideWhenUsed/>
    <w:qFormat/>
    <w:locked/>
    <w:pPr>
      <w:spacing w:before="152" w:after="160"/>
    </w:pPr>
    <w:rPr>
      <w:rFonts w:ascii="Arial" w:eastAsia="黑体" w:hAnsi="Arial" w:cs="Arial"/>
      <w:szCs w:val="22"/>
    </w:rPr>
  </w:style>
  <w:style w:type="paragraph" w:styleId="DocumentMap">
    <w:name w:val="Document Map"/>
    <w:basedOn w:val="Normal"/>
    <w:link w:val="Char117"/>
    <w:unhideWhenUsed/>
    <w:qFormat/>
    <w:locked/>
    <w:pPr>
      <w:spacing w:line="360" w:lineRule="auto"/>
      <w:ind w:firstLine="200" w:firstLineChars="200"/>
    </w:pPr>
    <w:rPr>
      <w:rFonts w:ascii="宋体"/>
      <w:sz w:val="18"/>
      <w:szCs w:val="18"/>
    </w:rPr>
  </w:style>
  <w:style w:type="paragraph" w:styleId="CommentText">
    <w:name w:val="annotation text"/>
    <w:basedOn w:val="Normal"/>
    <w:link w:val="Char3"/>
    <w:uiPriority w:val="99"/>
    <w:qFormat/>
    <w:pPr>
      <w:jc w:val="left"/>
    </w:pPr>
    <w:rPr>
      <w:kern w:val="0"/>
      <w:sz w:val="24"/>
      <w:szCs w:val="20"/>
    </w:rPr>
  </w:style>
  <w:style w:type="paragraph" w:styleId="BodyText3">
    <w:name w:val="Body Text 3"/>
    <w:basedOn w:val="Normal"/>
    <w:link w:val="3Char10"/>
    <w:unhideWhenUsed/>
    <w:qFormat/>
    <w:locked/>
    <w:pPr>
      <w:spacing w:after="120" w:line="360" w:lineRule="auto"/>
      <w:ind w:firstLine="200" w:firstLineChars="200"/>
    </w:pPr>
    <w:rPr>
      <w:rFonts w:eastAsia="楷体_GB2312"/>
      <w:sz w:val="16"/>
      <w:szCs w:val="16"/>
    </w:rPr>
  </w:style>
  <w:style w:type="paragraph" w:styleId="BodyText">
    <w:name w:val="Body Text"/>
    <w:basedOn w:val="Normal"/>
    <w:link w:val="Char2"/>
    <w:qFormat/>
    <w:pPr>
      <w:widowControl/>
      <w:snapToGrid w:val="0"/>
      <w:spacing w:before="60" w:after="160" w:line="259" w:lineRule="auto"/>
      <w:ind w:right="113"/>
    </w:pPr>
    <w:rPr>
      <w:kern w:val="0"/>
      <w:sz w:val="18"/>
      <w:szCs w:val="20"/>
    </w:rPr>
  </w:style>
  <w:style w:type="paragraph" w:styleId="BodyTextIndent">
    <w:name w:val="Body Text Indent"/>
    <w:basedOn w:val="Normal"/>
    <w:link w:val="Char8"/>
    <w:qFormat/>
    <w:pPr>
      <w:spacing w:after="120"/>
      <w:ind w:left="420" w:leftChars="200"/>
    </w:pPr>
    <w:rPr>
      <w:kern w:val="0"/>
      <w:sz w:val="24"/>
      <w:szCs w:val="20"/>
    </w:rPr>
  </w:style>
  <w:style w:type="paragraph" w:styleId="PlainText">
    <w:name w:val="Plain Text"/>
    <w:basedOn w:val="Normal"/>
    <w:link w:val="Char26"/>
    <w:unhideWhenUsed/>
    <w:qFormat/>
    <w:locked/>
    <w:pPr>
      <w:spacing w:line="360" w:lineRule="auto"/>
    </w:pPr>
    <w:rPr>
      <w:rFonts w:ascii="宋体" w:hAnsi="Courier New"/>
      <w:szCs w:val="20"/>
    </w:rPr>
  </w:style>
  <w:style w:type="paragraph" w:styleId="Date">
    <w:name w:val="Date"/>
    <w:basedOn w:val="Normal"/>
    <w:next w:val="Normal"/>
    <w:link w:val="Char0"/>
    <w:qFormat/>
    <w:pPr>
      <w:ind w:left="100" w:leftChars="2500"/>
    </w:pPr>
    <w:rPr>
      <w:kern w:val="0"/>
      <w:sz w:val="24"/>
      <w:szCs w:val="20"/>
    </w:rPr>
  </w:style>
  <w:style w:type="paragraph" w:styleId="BodyTextIndent2">
    <w:name w:val="Body Text Indent 2"/>
    <w:basedOn w:val="Normal"/>
    <w:link w:val="2Char11"/>
    <w:unhideWhenUsed/>
    <w:qFormat/>
    <w:locked/>
    <w:pPr>
      <w:spacing w:after="120" w:line="480" w:lineRule="auto"/>
      <w:ind w:left="420" w:firstLine="200" w:leftChars="200" w:firstLineChars="200"/>
    </w:pPr>
    <w:rPr>
      <w:rFonts w:eastAsia="楷体_GB2312"/>
      <w:sz w:val="24"/>
    </w:rPr>
  </w:style>
  <w:style w:type="paragraph" w:styleId="BalloonText">
    <w:name w:val="Balloon Text"/>
    <w:basedOn w:val="Normal"/>
    <w:link w:val="Char5"/>
    <w:semiHidden/>
    <w:qFormat/>
    <w:rPr>
      <w:kern w:val="0"/>
      <w:sz w:val="18"/>
      <w:szCs w:val="20"/>
    </w:rPr>
  </w:style>
  <w:style w:type="paragraph" w:styleId="Footer">
    <w:name w:val="footer"/>
    <w:basedOn w:val="Normal"/>
    <w:link w:val="Char"/>
    <w:uiPriority w:val="99"/>
    <w:qFormat/>
    <w:pPr>
      <w:tabs>
        <w:tab w:val="center" w:pos="4153"/>
        <w:tab w:val="right" w:pos="8306"/>
      </w:tabs>
      <w:snapToGrid w:val="0"/>
      <w:jc w:val="left"/>
    </w:pPr>
    <w:rPr>
      <w:kern w:val="0"/>
      <w:sz w:val="18"/>
      <w:szCs w:val="20"/>
    </w:rPr>
  </w:style>
  <w:style w:type="paragraph" w:styleId="Header">
    <w:name w:val="header"/>
    <w:basedOn w:val="Normal"/>
    <w:link w:val="Char7"/>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Normal"/>
    <w:next w:val="Normal"/>
    <w:uiPriority w:val="39"/>
    <w:qFormat/>
    <w:locked/>
  </w:style>
  <w:style w:type="paragraph" w:styleId="Subtitle">
    <w:name w:val="Subtitle"/>
    <w:basedOn w:val="Normal"/>
    <w:next w:val="Normal"/>
    <w:link w:val="Char17"/>
    <w:qFormat/>
    <w:locked/>
    <w:pPr>
      <w:spacing w:beforeLines="50" w:line="360" w:lineRule="auto"/>
      <w:jc w:val="center"/>
    </w:pPr>
    <w:rPr>
      <w:rFonts w:ascii="黑体" w:eastAsia="黑体" w:hAnsi="黑体"/>
      <w:bCs/>
      <w:kern w:val="28"/>
      <w:sz w:val="24"/>
      <w:szCs w:val="32"/>
    </w:rPr>
  </w:style>
  <w:style w:type="paragraph" w:styleId="List">
    <w:name w:val="List"/>
    <w:basedOn w:val="Normal"/>
    <w:unhideWhenUsed/>
    <w:qFormat/>
    <w:locked/>
    <w:pPr>
      <w:ind w:left="200" w:hanging="200" w:hangingChars="200"/>
    </w:pPr>
  </w:style>
  <w:style w:type="paragraph" w:styleId="BodyTextIndent3">
    <w:name w:val="Body Text Indent 3"/>
    <w:basedOn w:val="Normal"/>
    <w:link w:val="3Char11"/>
    <w:unhideWhenUsed/>
    <w:qFormat/>
    <w:locked/>
    <w:pPr>
      <w:spacing w:after="120" w:line="360" w:lineRule="auto"/>
      <w:ind w:left="420" w:firstLine="200" w:leftChars="200" w:firstLineChars="200"/>
    </w:pPr>
    <w:rPr>
      <w:sz w:val="16"/>
      <w:szCs w:val="16"/>
    </w:rPr>
  </w:style>
  <w:style w:type="paragraph" w:styleId="TOC2">
    <w:name w:val="toc 2"/>
    <w:basedOn w:val="Normal"/>
    <w:next w:val="Normal"/>
    <w:uiPriority w:val="39"/>
    <w:qFormat/>
    <w:locked/>
    <w:pPr>
      <w:ind w:left="420" w:leftChars="200"/>
    </w:pPr>
  </w:style>
  <w:style w:type="paragraph" w:styleId="BodyText2">
    <w:name w:val="Body Text 2"/>
    <w:basedOn w:val="Normal"/>
    <w:link w:val="2Char20"/>
    <w:unhideWhenUsed/>
    <w:qFormat/>
    <w:locked/>
    <w:pPr>
      <w:spacing w:after="120" w:line="480" w:lineRule="auto"/>
    </w:pPr>
  </w:style>
  <w:style w:type="paragraph" w:styleId="HTMLPreformatted">
    <w:name w:val="HTML Preformatted"/>
    <w:basedOn w:val="Normal"/>
    <w:link w:val="HTMLChar2"/>
    <w:unhideWhenUsed/>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styleId="NormalWeb">
    <w:name w:val="Normal (Web)"/>
    <w:basedOn w:val="Normal"/>
    <w:link w:val="Char1"/>
    <w:uiPriority w:val="99"/>
    <w:qFormat/>
    <w:pPr>
      <w:widowControl/>
      <w:spacing w:before="100" w:beforeAutospacing="1" w:after="100" w:afterAutospacing="1"/>
      <w:jc w:val="left"/>
    </w:pPr>
    <w:rPr>
      <w:rFonts w:ascii="宋体" w:hAnsi="宋体"/>
      <w:kern w:val="0"/>
      <w:sz w:val="24"/>
      <w:szCs w:val="20"/>
    </w:rPr>
  </w:style>
  <w:style w:type="paragraph" w:styleId="Index1">
    <w:name w:val="index 1"/>
    <w:basedOn w:val="Normal"/>
    <w:next w:val="Normal"/>
    <w:unhideWhenUsed/>
    <w:qFormat/>
    <w:locked/>
    <w:pPr>
      <w:spacing w:line="360" w:lineRule="exact"/>
      <w:jc w:val="center"/>
    </w:pPr>
    <w:rPr>
      <w:color w:val="FF0000"/>
      <w:szCs w:val="21"/>
    </w:rPr>
  </w:style>
  <w:style w:type="paragraph" w:styleId="Title">
    <w:name w:val="Title"/>
    <w:basedOn w:val="Normal"/>
    <w:next w:val="Normal"/>
    <w:link w:val="Char119"/>
    <w:qFormat/>
    <w:locked/>
    <w:pPr>
      <w:spacing w:line="360" w:lineRule="auto"/>
      <w:outlineLvl w:val="0"/>
    </w:pPr>
    <w:rPr>
      <w:rFonts w:ascii="Cambria" w:hAnsi="Cambria"/>
      <w:b/>
      <w:bCs/>
      <w:sz w:val="32"/>
      <w:szCs w:val="32"/>
    </w:rPr>
  </w:style>
  <w:style w:type="paragraph" w:styleId="CommentSubject">
    <w:name w:val="annotation subject"/>
    <w:basedOn w:val="CommentText"/>
    <w:next w:val="CommentText"/>
    <w:link w:val="Char6"/>
    <w:semiHidden/>
    <w:qFormat/>
    <w:rPr>
      <w:b/>
    </w:rPr>
  </w:style>
  <w:style w:type="paragraph" w:styleId="BodyTextFirstIndent">
    <w:name w:val="Body Text First Indent"/>
    <w:basedOn w:val="BodyText"/>
    <w:link w:val="Char14"/>
    <w:uiPriority w:val="99"/>
    <w:unhideWhenUsed/>
    <w:qFormat/>
    <w:locked/>
    <w:pPr>
      <w:widowControl w:val="0"/>
      <w:snapToGrid/>
      <w:spacing w:before="0" w:after="120" w:line="360" w:lineRule="auto"/>
      <w:ind w:right="0" w:firstLine="420" w:firstLineChars="100"/>
    </w:pPr>
    <w:rPr>
      <w:kern w:val="2"/>
      <w:sz w:val="24"/>
      <w:szCs w:val="24"/>
    </w:rPr>
  </w:style>
  <w:style w:type="paragraph" w:styleId="BodyTextFirstIndent2">
    <w:name w:val="Body Text First Indent 2"/>
    <w:basedOn w:val="BodyTextIndent"/>
    <w:link w:val="2Char"/>
    <w:qFormat/>
    <w:locked/>
    <w:pPr>
      <w:spacing w:line="360" w:lineRule="auto"/>
      <w:ind w:firstLine="420" w:firstLineChars="200"/>
    </w:pPr>
    <w:rPr>
      <w:kern w:val="2"/>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locked/>
    <w:rPr>
      <w:b/>
      <w:bCs/>
    </w:rPr>
  </w:style>
  <w:style w:type="character" w:styleId="PageNumber">
    <w:name w:val="page number"/>
    <w:basedOn w:val="DefaultParagraphFont"/>
    <w:qFormat/>
    <w:locked/>
  </w:style>
  <w:style w:type="character" w:styleId="FollowedHyperlink">
    <w:name w:val="FollowedHyperlink"/>
    <w:uiPriority w:val="99"/>
    <w:unhideWhenUsed/>
    <w:qFormat/>
    <w:locked/>
    <w:rPr>
      <w:color w:val="800080"/>
      <w:u w:val="single"/>
    </w:rPr>
  </w:style>
  <w:style w:type="character" w:styleId="Emphasis">
    <w:name w:val="Emphasis"/>
    <w:uiPriority w:val="20"/>
    <w:qFormat/>
    <w:locked/>
  </w:style>
  <w:style w:type="character" w:styleId="Hyperlink">
    <w:name w:val="Hyperlink"/>
    <w:uiPriority w:val="99"/>
    <w:unhideWhenUsed/>
    <w:qFormat/>
    <w:locked/>
    <w:rPr>
      <w:color w:val="136EC2"/>
      <w:u w:val="single"/>
    </w:rPr>
  </w:style>
  <w:style w:type="character" w:styleId="CommentReference">
    <w:name w:val="annotation reference"/>
    <w:uiPriority w:val="99"/>
    <w:qFormat/>
    <w:rPr>
      <w:sz w:val="21"/>
    </w:rPr>
  </w:style>
  <w:style w:type="character" w:customStyle="1" w:styleId="Char">
    <w:name w:val="页脚 Char"/>
    <w:link w:val="Footer"/>
    <w:uiPriority w:val="99"/>
    <w:qFormat/>
    <w:locked/>
    <w:rPr>
      <w:sz w:val="18"/>
    </w:rPr>
  </w:style>
  <w:style w:type="character" w:customStyle="1" w:styleId="Char0">
    <w:name w:val="日期 Char"/>
    <w:link w:val="Date"/>
    <w:qFormat/>
    <w:locked/>
    <w:rPr>
      <w:rFonts w:ascii="Times New Roman" w:eastAsia="宋体" w:hAnsi="Times New Roman"/>
      <w:sz w:val="24"/>
    </w:rPr>
  </w:style>
  <w:style w:type="character" w:customStyle="1" w:styleId="a">
    <w:name w:val="页脚 字符"/>
    <w:basedOn w:val="DefaultParagraphFont"/>
    <w:uiPriority w:val="99"/>
    <w:qFormat/>
  </w:style>
  <w:style w:type="character" w:customStyle="1" w:styleId="Char1">
    <w:name w:val="普通(网站) Char"/>
    <w:link w:val="NormalWeb"/>
    <w:qFormat/>
    <w:locked/>
    <w:rPr>
      <w:rFonts w:ascii="宋体" w:eastAsia="宋体" w:hAnsi="宋体"/>
      <w:sz w:val="24"/>
    </w:rPr>
  </w:style>
  <w:style w:type="character" w:customStyle="1" w:styleId="1">
    <w:name w:val="正文文本 字符1"/>
    <w:semiHidden/>
    <w:qFormat/>
    <w:rPr>
      <w:rFonts w:ascii="Times New Roman" w:eastAsia="宋体" w:hAnsi="Times New Roman"/>
      <w:sz w:val="24"/>
    </w:rPr>
  </w:style>
  <w:style w:type="character" w:customStyle="1" w:styleId="Char2">
    <w:name w:val="正文文本 Char"/>
    <w:link w:val="BodyText"/>
    <w:qFormat/>
    <w:locked/>
    <w:rPr>
      <w:sz w:val="18"/>
    </w:rPr>
  </w:style>
  <w:style w:type="character" w:customStyle="1" w:styleId="Char3">
    <w:name w:val="批注文字 Char"/>
    <w:link w:val="CommentText"/>
    <w:uiPriority w:val="99"/>
    <w:qFormat/>
    <w:locked/>
    <w:rPr>
      <w:rFonts w:ascii="Times New Roman" w:eastAsia="宋体" w:hAnsi="Times New Roman"/>
      <w:sz w:val="24"/>
    </w:rPr>
  </w:style>
  <w:style w:type="character" w:customStyle="1" w:styleId="Char4">
    <w:name w:val="表格 Char"/>
    <w:link w:val="a0"/>
    <w:qFormat/>
    <w:locked/>
    <w:rPr>
      <w:rFonts w:ascii="宋体"/>
      <w:sz w:val="21"/>
    </w:rPr>
  </w:style>
  <w:style w:type="paragraph" w:customStyle="1" w:styleId="a0">
    <w:name w:val="表格"/>
    <w:basedOn w:val="Normal"/>
    <w:next w:val="Normal"/>
    <w:link w:val="Char4"/>
    <w:qFormat/>
    <w:pPr>
      <w:adjustRightInd w:val="0"/>
      <w:snapToGrid w:val="0"/>
      <w:spacing w:beforeLines="10" w:afterLines="10" w:line="259" w:lineRule="auto"/>
      <w:jc w:val="center"/>
    </w:pPr>
    <w:rPr>
      <w:rFonts w:ascii="宋体"/>
      <w:kern w:val="0"/>
      <w:szCs w:val="20"/>
    </w:rPr>
  </w:style>
  <w:style w:type="character" w:customStyle="1" w:styleId="a1">
    <w:name w:val="日期 字符"/>
    <w:semiHidden/>
    <w:qFormat/>
    <w:rPr>
      <w:rFonts w:ascii="Times New Roman" w:eastAsia="宋体" w:hAnsi="Times New Roman"/>
      <w:sz w:val="24"/>
    </w:rPr>
  </w:style>
  <w:style w:type="character" w:customStyle="1" w:styleId="Char5">
    <w:name w:val="批注框文本 Char"/>
    <w:link w:val="BalloonText"/>
    <w:semiHidden/>
    <w:qFormat/>
    <w:locked/>
    <w:rPr>
      <w:rFonts w:ascii="Times New Roman" w:eastAsia="宋体" w:hAnsi="Times New Roman"/>
      <w:sz w:val="18"/>
    </w:rPr>
  </w:style>
  <w:style w:type="character" w:customStyle="1" w:styleId="Char6">
    <w:name w:val="批注主题 Char"/>
    <w:link w:val="CommentSubject"/>
    <w:semiHidden/>
    <w:qFormat/>
    <w:locked/>
    <w:rPr>
      <w:rFonts w:ascii="Times New Roman" w:eastAsia="宋体" w:hAnsi="Times New Roman"/>
      <w:b/>
      <w:kern w:val="2"/>
      <w:sz w:val="24"/>
    </w:rPr>
  </w:style>
  <w:style w:type="character" w:customStyle="1" w:styleId="Char7">
    <w:name w:val="页眉 Char"/>
    <w:link w:val="Header"/>
    <w:qFormat/>
    <w:locked/>
    <w:rPr>
      <w:sz w:val="18"/>
    </w:rPr>
  </w:style>
  <w:style w:type="character" w:customStyle="1" w:styleId="10">
    <w:name w:val="批注文字 字符1"/>
    <w:semiHidden/>
    <w:qFormat/>
    <w:rPr>
      <w:rFonts w:ascii="Times New Roman" w:eastAsia="宋体" w:hAnsi="Times New Roman"/>
      <w:sz w:val="24"/>
    </w:rPr>
  </w:style>
  <w:style w:type="character" w:customStyle="1" w:styleId="Char8">
    <w:name w:val="正文文本缩进 Char"/>
    <w:link w:val="BodyTextIndent"/>
    <w:semiHidden/>
    <w:qFormat/>
    <w:locked/>
    <w:rPr>
      <w:rFonts w:ascii="Times New Roman" w:eastAsia="宋体" w:hAnsi="Times New Roman"/>
      <w:sz w:val="24"/>
    </w:rPr>
  </w:style>
  <w:style w:type="paragraph" w:customStyle="1" w:styleId="100">
    <w:name w:val="正文_10"/>
    <w:qFormat/>
    <w:pPr>
      <w:widowControl w:val="0"/>
      <w:jc w:val="both"/>
    </w:pPr>
    <w:rPr>
      <w:rFonts w:ascii="Times New Roman" w:eastAsia="宋体" w:hAnsi="Times New Roman" w:cs="Times New Roman"/>
      <w:kern w:val="2"/>
      <w:sz w:val="21"/>
      <w:szCs w:val="22"/>
      <w:lang w:val="en-US" w:eastAsia="zh-CN" w:bidi="ar-SA"/>
    </w:rPr>
  </w:style>
  <w:style w:type="paragraph" w:customStyle="1" w:styleId="2">
    <w:name w:val="普通(网站)2"/>
    <w:basedOn w:val="Normal"/>
    <w:qFormat/>
    <w:pPr>
      <w:widowControl/>
      <w:spacing w:before="100" w:beforeAutospacing="1" w:after="100" w:afterAutospacing="1"/>
      <w:jc w:val="left"/>
    </w:pPr>
    <w:rPr>
      <w:rFonts w:ascii="宋体" w:hAnsi="宋体"/>
      <w:sz w:val="24"/>
      <w:szCs w:val="20"/>
    </w:rPr>
  </w:style>
  <w:style w:type="character" w:customStyle="1" w:styleId="Char9">
    <w:name w:val="表头 Char"/>
    <w:link w:val="a2"/>
    <w:qFormat/>
    <w:locked/>
    <w:rPr>
      <w:b/>
      <w:szCs w:val="24"/>
    </w:rPr>
  </w:style>
  <w:style w:type="paragraph" w:customStyle="1" w:styleId="a2">
    <w:name w:val="表头"/>
    <w:basedOn w:val="Normal"/>
    <w:link w:val="Char9"/>
    <w:qFormat/>
    <w:pPr>
      <w:jc w:val="center"/>
    </w:pPr>
    <w:rPr>
      <w:b/>
      <w:kern w:val="0"/>
      <w:sz w:val="20"/>
    </w:rPr>
  </w:style>
  <w:style w:type="paragraph" w:customStyle="1" w:styleId="a3">
    <w:name w:val="正本文字"/>
    <w:basedOn w:val="Normal"/>
    <w:qFormat/>
    <w:pPr>
      <w:adjustRightInd w:val="0"/>
      <w:snapToGrid w:val="0"/>
      <w:spacing w:line="360" w:lineRule="auto"/>
      <w:ind w:firstLine="480" w:firstLineChars="200"/>
      <w:jc w:val="left"/>
    </w:pPr>
    <w:rPr>
      <w:kern w:val="18"/>
      <w:sz w:val="24"/>
      <w:szCs w:val="20"/>
    </w:rPr>
  </w:style>
  <w:style w:type="paragraph" w:customStyle="1" w:styleId="a4">
    <w:name w:val="图表"/>
    <w:basedOn w:val="Normal"/>
    <w:qFormat/>
    <w:pPr>
      <w:jc w:val="center"/>
    </w:pPr>
    <w:rPr>
      <w:color w:val="000000"/>
      <w:szCs w:val="21"/>
    </w:rPr>
  </w:style>
  <w:style w:type="paragraph" w:customStyle="1" w:styleId="11">
    <w:name w:val="1表格"/>
    <w:basedOn w:val="Normal"/>
    <w:qFormat/>
    <w:pPr>
      <w:adjustRightInd w:val="0"/>
      <w:snapToGrid w:val="0"/>
      <w:spacing w:line="360" w:lineRule="auto"/>
      <w:ind w:firstLine="200" w:firstLineChars="200"/>
      <w:jc w:val="center"/>
      <w:textAlignment w:val="baseline"/>
    </w:pPr>
    <w:rPr>
      <w:rFonts w:ascii="宋体" w:hAnsi="宋体" w:cs="宋体"/>
      <w:spacing w:val="4"/>
      <w:sz w:val="24"/>
    </w:rPr>
  </w:style>
  <w:style w:type="paragraph" w:customStyle="1" w:styleId="12">
    <w:name w:val="博泵1"/>
    <w:basedOn w:val="Normal"/>
    <w:qFormat/>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2Char">
    <w:name w:val="正文首行缩进 2 Char"/>
    <w:link w:val="BodyTextFirstIndent2"/>
    <w:qFormat/>
    <w:rPr>
      <w:rFonts w:ascii="Times New Roman" w:eastAsia="宋体" w:hAnsi="Times New Roman"/>
      <w:kern w:val="2"/>
      <w:sz w:val="24"/>
      <w:szCs w:val="24"/>
    </w:rPr>
  </w:style>
  <w:style w:type="paragraph" w:customStyle="1" w:styleId="Default">
    <w:name w:val="Default"/>
    <w:qFormat/>
    <w:pPr>
      <w:widowControl w:val="0"/>
      <w:autoSpaceDE w:val="0"/>
      <w:autoSpaceDN w:val="0"/>
      <w:adjustRightInd w:val="0"/>
    </w:pPr>
    <w:rPr>
      <w:rFonts w:ascii="宋体..壮.." w:eastAsia="宋体..壮.." w:hAnsi="Times New Roman" w:cs="宋体..壮.."/>
      <w:color w:val="000000"/>
      <w:sz w:val="24"/>
      <w:szCs w:val="24"/>
      <w:lang w:val="en-US" w:eastAsia="zh-CN" w:bidi="ar-SA"/>
    </w:rPr>
  </w:style>
  <w:style w:type="character" w:customStyle="1" w:styleId="4CharChar">
    <w:name w:val="4正文 Char Char"/>
    <w:link w:val="4"/>
    <w:qFormat/>
    <w:locked/>
    <w:rPr>
      <w:rFonts w:ascii="宋体" w:hAnsi="宋体" w:cs="宋体"/>
      <w:sz w:val="24"/>
      <w:szCs w:val="24"/>
    </w:rPr>
  </w:style>
  <w:style w:type="paragraph" w:customStyle="1" w:styleId="4">
    <w:name w:val="4正文"/>
    <w:basedOn w:val="Normal"/>
    <w:link w:val="4CharChar"/>
    <w:qFormat/>
    <w:pPr>
      <w:spacing w:line="360" w:lineRule="auto"/>
      <w:ind w:firstLine="480" w:firstLineChars="200"/>
    </w:pPr>
    <w:rPr>
      <w:rFonts w:ascii="宋体" w:hAnsi="宋体" w:cs="宋体"/>
      <w:kern w:val="0"/>
      <w:sz w:val="24"/>
    </w:rPr>
  </w:style>
  <w:style w:type="paragraph" w:customStyle="1" w:styleId="a5">
    <w:name w:val="图表文字"/>
    <w:basedOn w:val="BodyText"/>
    <w:qFormat/>
    <w:pPr>
      <w:widowControl w:val="0"/>
      <w:spacing w:before="0" w:after="0" w:line="240" w:lineRule="auto"/>
      <w:ind w:right="0"/>
      <w:jc w:val="center"/>
    </w:pPr>
    <w:rPr>
      <w:kern w:val="2"/>
      <w:sz w:val="21"/>
      <w:szCs w:val="24"/>
    </w:rPr>
  </w:style>
  <w:style w:type="character" w:customStyle="1" w:styleId="4Char">
    <w:name w:val="标题 4 Char"/>
    <w:link w:val="Heading4"/>
    <w:semiHidden/>
    <w:qFormat/>
    <w:rPr>
      <w:rFonts w:ascii="Cambria" w:eastAsia="宋体" w:hAnsi="Cambria" w:cs="Times New Roman"/>
      <w:b/>
      <w:bCs/>
      <w:kern w:val="2"/>
      <w:sz w:val="28"/>
      <w:szCs w:val="28"/>
    </w:rPr>
  </w:style>
  <w:style w:type="character" w:customStyle="1" w:styleId="2Char0">
    <w:name w:val="标题 2 Char"/>
    <w:link w:val="Heading2"/>
    <w:semiHidden/>
    <w:qFormat/>
    <w:rPr>
      <w:rFonts w:ascii="Arial" w:eastAsia="黑体" w:hAnsi="Arial"/>
      <w:b/>
      <w:sz w:val="32"/>
    </w:rPr>
  </w:style>
  <w:style w:type="character" w:customStyle="1" w:styleId="3Char">
    <w:name w:val="标题 3 Char"/>
    <w:link w:val="Heading3"/>
    <w:semiHidden/>
    <w:qFormat/>
    <w:rPr>
      <w:b/>
      <w:sz w:val="32"/>
    </w:rPr>
  </w:style>
  <w:style w:type="character" w:customStyle="1" w:styleId="Char10">
    <w:name w:val="文档结构图 Char"/>
    <w:qFormat/>
    <w:rPr>
      <w:rFonts w:ascii="宋体"/>
      <w:kern w:val="2"/>
      <w:sz w:val="18"/>
      <w:szCs w:val="18"/>
    </w:rPr>
  </w:style>
  <w:style w:type="character" w:customStyle="1" w:styleId="3Char0">
    <w:name w:val="正文文本 3 Char"/>
    <w:qFormat/>
    <w:rPr>
      <w:kern w:val="2"/>
      <w:sz w:val="16"/>
      <w:szCs w:val="16"/>
    </w:rPr>
  </w:style>
  <w:style w:type="character" w:customStyle="1" w:styleId="Char11">
    <w:name w:val="纯文本 Char"/>
    <w:qFormat/>
    <w:rPr>
      <w:rFonts w:ascii="宋体" w:hAnsi="Courier New" w:cs="Courier New"/>
      <w:kern w:val="2"/>
      <w:sz w:val="21"/>
      <w:szCs w:val="21"/>
    </w:rPr>
  </w:style>
  <w:style w:type="character" w:customStyle="1" w:styleId="2Char1">
    <w:name w:val="正文文本缩进 2 Char"/>
    <w:qFormat/>
    <w:rPr>
      <w:kern w:val="2"/>
      <w:sz w:val="21"/>
      <w:szCs w:val="24"/>
    </w:rPr>
  </w:style>
  <w:style w:type="character" w:customStyle="1" w:styleId="Char12">
    <w:name w:val="副标题 Char"/>
    <w:qFormat/>
    <w:rPr>
      <w:rFonts w:ascii="Cambria" w:hAnsi="Cambria" w:cs="Times New Roman"/>
      <w:b/>
      <w:bCs/>
      <w:kern w:val="28"/>
      <w:sz w:val="32"/>
      <w:szCs w:val="32"/>
    </w:rPr>
  </w:style>
  <w:style w:type="character" w:customStyle="1" w:styleId="3Char1">
    <w:name w:val="正文文本缩进 3 Char"/>
    <w:qFormat/>
    <w:rPr>
      <w:kern w:val="2"/>
      <w:sz w:val="16"/>
      <w:szCs w:val="16"/>
    </w:rPr>
  </w:style>
  <w:style w:type="character" w:customStyle="1" w:styleId="2Char2">
    <w:name w:val="正文文本 2 Char"/>
    <w:qFormat/>
    <w:rPr>
      <w:kern w:val="2"/>
      <w:sz w:val="21"/>
      <w:szCs w:val="24"/>
    </w:rPr>
  </w:style>
  <w:style w:type="character" w:customStyle="1" w:styleId="HTMLChar">
    <w:name w:val="HTML 预设格式 Char"/>
    <w:qFormat/>
    <w:rPr>
      <w:rFonts w:ascii="Courier New" w:hAnsi="Courier New" w:cs="Courier New"/>
      <w:kern w:val="2"/>
    </w:rPr>
  </w:style>
  <w:style w:type="character" w:customStyle="1" w:styleId="Char13">
    <w:name w:val="标题 Char"/>
    <w:qFormat/>
    <w:rPr>
      <w:rFonts w:ascii="Cambria" w:hAnsi="Cambria" w:cs="Times New Roman"/>
      <w:b/>
      <w:bCs/>
      <w:kern w:val="2"/>
      <w:sz w:val="32"/>
      <w:szCs w:val="32"/>
    </w:rPr>
  </w:style>
  <w:style w:type="character" w:customStyle="1" w:styleId="Char14">
    <w:name w:val="正文首行缩进 Char"/>
    <w:link w:val="BodyTextFirstIndent"/>
    <w:uiPriority w:val="99"/>
    <w:qFormat/>
    <w:rPr>
      <w:kern w:val="2"/>
      <w:sz w:val="24"/>
      <w:szCs w:val="24"/>
    </w:rPr>
  </w:style>
  <w:style w:type="character" w:customStyle="1" w:styleId="1Char">
    <w:name w:val="标题 1 Char"/>
    <w:link w:val="Heading1"/>
    <w:qFormat/>
    <w:rPr>
      <w:rFonts w:eastAsia="黑体"/>
      <w:b/>
      <w:bCs/>
      <w:color w:val="000000"/>
      <w:kern w:val="44"/>
      <w:sz w:val="30"/>
      <w:szCs w:val="30"/>
    </w:rPr>
  </w:style>
  <w:style w:type="character" w:customStyle="1" w:styleId="Char15">
    <w:name w:val="正文缩进 Char"/>
    <w:link w:val="NormalIndent"/>
    <w:qFormat/>
    <w:locked/>
    <w:rPr>
      <w:rFonts w:ascii="Calibri" w:hAnsi="Calibri"/>
      <w:kern w:val="2"/>
      <w:sz w:val="24"/>
      <w:szCs w:val="22"/>
    </w:rPr>
  </w:style>
  <w:style w:type="character" w:customStyle="1" w:styleId="Char16">
    <w:name w:val="题注 Char"/>
    <w:link w:val="Caption"/>
    <w:semiHidden/>
    <w:qFormat/>
    <w:locked/>
    <w:rPr>
      <w:rFonts w:ascii="Arial" w:eastAsia="黑体" w:hAnsi="Arial" w:cs="Arial"/>
      <w:kern w:val="2"/>
      <w:sz w:val="21"/>
      <w:szCs w:val="22"/>
    </w:rPr>
  </w:style>
  <w:style w:type="character" w:customStyle="1" w:styleId="Char17">
    <w:name w:val="副标题 Char1"/>
    <w:link w:val="Subtitle"/>
    <w:qFormat/>
    <w:rPr>
      <w:rFonts w:ascii="黑体" w:eastAsia="黑体" w:hAnsi="黑体"/>
      <w:bCs/>
      <w:kern w:val="28"/>
      <w:sz w:val="24"/>
      <w:szCs w:val="32"/>
    </w:rPr>
  </w:style>
  <w:style w:type="paragraph" w:styleId="NoSpacing">
    <w:name w:val="No Spacing"/>
    <w:uiPriority w:val="1"/>
    <w:qFormat/>
    <w:pPr>
      <w:widowControl w:val="0"/>
      <w:ind w:firstLine="200" w:firstLineChars="200"/>
      <w:jc w:val="both"/>
    </w:pPr>
    <w:rPr>
      <w:rFonts w:ascii="Times New Roman" w:eastAsia="宋体" w:hAnsi="Times New Roman" w:cs="Times New Roman"/>
      <w:kern w:val="2"/>
      <w:sz w:val="24"/>
      <w:szCs w:val="24"/>
      <w:lang w:val="en-US" w:eastAsia="zh-CN" w:bidi="ar-SA"/>
    </w:rPr>
  </w:style>
  <w:style w:type="paragraph" w:styleId="ListParagraph">
    <w:name w:val="List Paragraph"/>
    <w:basedOn w:val="Normal"/>
    <w:uiPriority w:val="34"/>
    <w:qFormat/>
    <w:pPr>
      <w:ind w:firstLine="420" w:firstLineChars="200"/>
    </w:pPr>
    <w:rPr>
      <w:rFonts w:ascii="Calibri" w:hAnsi="Calibri"/>
      <w:szCs w:val="22"/>
    </w:rPr>
  </w:style>
  <w:style w:type="character" w:customStyle="1" w:styleId="2007CharChar">
    <w:name w:val="2007正文 Char Char"/>
    <w:link w:val="2007"/>
    <w:uiPriority w:val="99"/>
    <w:qFormat/>
    <w:locked/>
    <w:rPr>
      <w:rFonts w:ascii="仿宋_GB2312" w:eastAsia="仿宋_GB2312" w:cs="Calibri"/>
      <w:sz w:val="28"/>
      <w:szCs w:val="28"/>
      <w:lang w:val="en-GB"/>
    </w:rPr>
  </w:style>
  <w:style w:type="paragraph" w:customStyle="1" w:styleId="2007">
    <w:name w:val="2007正文"/>
    <w:link w:val="2007CharChar"/>
    <w:uiPriority w:val="99"/>
    <w:qFormat/>
    <w:pPr>
      <w:spacing w:line="500" w:lineRule="exact"/>
      <w:ind w:firstLine="560" w:firstLineChars="200"/>
      <w:jc w:val="both"/>
    </w:pPr>
    <w:rPr>
      <w:rFonts w:ascii="仿宋_GB2312" w:eastAsia="仿宋_GB2312" w:hAnsi="Times New Roman" w:cs="Calibri"/>
      <w:sz w:val="28"/>
      <w:szCs w:val="28"/>
      <w:lang w:val="en-GB" w:eastAsia="zh-CN" w:bidi="ar-SA"/>
    </w:rPr>
  </w:style>
  <w:style w:type="paragraph" w:customStyle="1" w:styleId="Char18">
    <w:name w:val="文章正文 Char"/>
    <w:basedOn w:val="NormalIndent"/>
    <w:qFormat/>
    <w:pPr>
      <w:widowControl/>
      <w:spacing w:before="0" w:line="520" w:lineRule="exact"/>
      <w:ind w:firstLine="200" w:firstLineChars="200"/>
      <w:jc w:val="left"/>
    </w:pPr>
    <w:rPr>
      <w:rFonts w:ascii="宋体" w:hAnsi="宋体"/>
      <w:kern w:val="0"/>
    </w:rPr>
  </w:style>
  <w:style w:type="character" w:customStyle="1" w:styleId="-Char">
    <w:name w:val="说明-正文 Char"/>
    <w:link w:val="-"/>
    <w:qFormat/>
    <w:locked/>
    <w:rPr>
      <w:rFonts w:ascii="楷体_GB2312" w:eastAsia="楷体_GB2312"/>
      <w:sz w:val="28"/>
      <w:szCs w:val="28"/>
    </w:rPr>
  </w:style>
  <w:style w:type="paragraph" w:customStyle="1" w:styleId="-">
    <w:name w:val="说明-正文"/>
    <w:basedOn w:val="Normal"/>
    <w:link w:val="-Char"/>
    <w:qFormat/>
    <w:pPr>
      <w:ind w:firstLine="560" w:firstLineChars="200"/>
    </w:pPr>
    <w:rPr>
      <w:rFonts w:ascii="楷体_GB2312" w:eastAsia="楷体_GB2312"/>
      <w:kern w:val="0"/>
      <w:sz w:val="28"/>
      <w:szCs w:val="28"/>
    </w:rPr>
  </w:style>
  <w:style w:type="paragraph" w:customStyle="1" w:styleId="CharCharCharChar1">
    <w:name w:val="Char Char Char Char1"/>
    <w:basedOn w:val="Normal"/>
    <w:qFormat/>
    <w:pPr>
      <w:spacing w:afterLines="50" w:line="560" w:lineRule="exact"/>
    </w:pPr>
    <w:rPr>
      <w:rFonts w:ascii="Calibri Light" w:eastAsia="CG Times" w:hAnsi="Calibri Light" w:cs="Calibri Light"/>
      <w:sz w:val="30"/>
      <w:szCs w:val="30"/>
    </w:rPr>
  </w:style>
  <w:style w:type="paragraph" w:customStyle="1" w:styleId="20">
    <w:name w:val="表格2"/>
    <w:basedOn w:val="Normal"/>
    <w:next w:val="Normal"/>
    <w:qFormat/>
    <w:pPr>
      <w:spacing w:line="320" w:lineRule="exact"/>
      <w:jc w:val="center"/>
    </w:pPr>
    <w:rPr>
      <w:rFonts w:ascii="宋体" w:hAnsi="宋体"/>
      <w:color w:val="000000"/>
      <w:spacing w:val="-20"/>
      <w:kern w:val="0"/>
      <w:szCs w:val="21"/>
    </w:rPr>
  </w:style>
  <w:style w:type="paragraph" w:customStyle="1" w:styleId="21">
    <w:name w:val="样式 首行缩进:  2 字符"/>
    <w:basedOn w:val="Normal"/>
    <w:uiPriority w:val="99"/>
    <w:qFormat/>
    <w:pPr>
      <w:spacing w:line="360" w:lineRule="auto"/>
      <w:ind w:firstLine="560" w:firstLineChars="200"/>
    </w:pPr>
    <w:rPr>
      <w:rFonts w:cs="宋体"/>
      <w:sz w:val="28"/>
      <w:szCs w:val="20"/>
    </w:rPr>
  </w:style>
  <w:style w:type="paragraph" w:customStyle="1" w:styleId="2TimesNewRoman">
    <w:name w:val="正文首行缩进 2 + Times New Roman"/>
    <w:basedOn w:val="Normal"/>
    <w:qFormat/>
    <w:pPr>
      <w:tabs>
        <w:tab w:val="left" w:pos="0"/>
        <w:tab w:val="left" w:pos="870"/>
        <w:tab w:val="left" w:pos="3150"/>
      </w:tabs>
      <w:autoSpaceDE w:val="0"/>
      <w:autoSpaceDN w:val="0"/>
      <w:spacing w:line="360" w:lineRule="auto"/>
      <w:ind w:firstLine="420" w:firstLineChars="200"/>
    </w:pPr>
    <w:rPr>
      <w:rFonts w:ascii="宋体" w:hAnsi="宋体"/>
      <w:color w:val="FF0000"/>
      <w:kern w:val="0"/>
      <w:szCs w:val="21"/>
      <w:lang w:val="zh-CN"/>
    </w:rPr>
  </w:style>
  <w:style w:type="character" w:customStyle="1" w:styleId="Char19">
    <w:name w:val="报告表正文 Char"/>
    <w:link w:val="a6"/>
    <w:qFormat/>
    <w:locked/>
    <w:rPr>
      <w:sz w:val="24"/>
    </w:rPr>
  </w:style>
  <w:style w:type="paragraph" w:customStyle="1" w:styleId="a6">
    <w:name w:val="报告表正文"/>
    <w:basedOn w:val="Normal"/>
    <w:link w:val="Char19"/>
    <w:qFormat/>
    <w:pPr>
      <w:adjustRightInd w:val="0"/>
      <w:spacing w:line="312" w:lineRule="auto"/>
      <w:ind w:left="113" w:right="113" w:firstLine="482"/>
      <w:jc w:val="left"/>
    </w:pPr>
    <w:rPr>
      <w:kern w:val="0"/>
      <w:sz w:val="24"/>
      <w:szCs w:val="20"/>
    </w:rPr>
  </w:style>
  <w:style w:type="paragraph" w:customStyle="1" w:styleId="p0">
    <w:name w:val="p0"/>
    <w:basedOn w:val="Normal"/>
    <w:qFormat/>
    <w:pPr>
      <w:widowControl/>
    </w:pPr>
    <w:rPr>
      <w:rFonts w:ascii="宋体"/>
      <w:kern w:val="0"/>
      <w:sz w:val="24"/>
      <w:szCs w:val="21"/>
    </w:rPr>
  </w:style>
  <w:style w:type="paragraph" w:customStyle="1" w:styleId="ParaCharCharCharChar">
    <w:name w:val="默认段落字体 Para Char Char Char Char"/>
    <w:basedOn w:val="Normal"/>
    <w:qFormat/>
    <w:rPr>
      <w:rFonts w:ascii="宋体" w:hAnsi="宋体"/>
      <w:color w:val="000000"/>
      <w:spacing w:val="-20"/>
      <w:kern w:val="0"/>
      <w:szCs w:val="21"/>
    </w:rPr>
  </w:style>
  <w:style w:type="paragraph" w:customStyle="1" w:styleId="CharChar1CharCharChar">
    <w:name w:val="Char Char1 Char Char Char"/>
    <w:basedOn w:val="Normal"/>
    <w:qFormat/>
    <w:rPr>
      <w:sz w:val="24"/>
      <w:szCs w:val="20"/>
    </w:rPr>
  </w:style>
  <w:style w:type="paragraph" w:customStyle="1" w:styleId="GB231215">
    <w:name w:val="样式 仿宋_GB2312 行距: 1.5 倍行距"/>
    <w:basedOn w:val="Normal"/>
    <w:qFormat/>
    <w:pPr>
      <w:spacing w:line="360" w:lineRule="auto"/>
      <w:ind w:firstLine="420" w:firstLineChars="200"/>
    </w:pPr>
    <w:rPr>
      <w:rFonts w:ascii="仿宋_GB2312" w:eastAsia="仿宋_GB2312" w:hAnsi="仿宋_GB2312" w:cs="宋体"/>
      <w:sz w:val="24"/>
      <w:szCs w:val="20"/>
    </w:rPr>
  </w:style>
  <w:style w:type="paragraph" w:customStyle="1" w:styleId="13">
    <w:name w:val="正文样式1"/>
    <w:basedOn w:val="Normal"/>
    <w:uiPriority w:val="99"/>
    <w:semiHidden/>
    <w:qFormat/>
    <w:pPr>
      <w:adjustRightInd w:val="0"/>
      <w:spacing w:line="288" w:lineRule="auto"/>
      <w:ind w:firstLine="360" w:firstLineChars="150"/>
    </w:pPr>
    <w:rPr>
      <w:kern w:val="0"/>
      <w:sz w:val="24"/>
    </w:rPr>
  </w:style>
  <w:style w:type="character" w:customStyle="1" w:styleId="21CharChar">
    <w:name w:val="样式 首行缩进:  2 字符1 Char Char"/>
    <w:link w:val="210"/>
    <w:qFormat/>
    <w:locked/>
    <w:rPr>
      <w:sz w:val="24"/>
    </w:rPr>
  </w:style>
  <w:style w:type="paragraph" w:customStyle="1" w:styleId="210">
    <w:name w:val="样式 首行缩进:  2 字符1"/>
    <w:basedOn w:val="Normal"/>
    <w:link w:val="21CharChar"/>
    <w:qFormat/>
    <w:pPr>
      <w:adjustRightInd w:val="0"/>
      <w:snapToGrid w:val="0"/>
      <w:spacing w:line="360" w:lineRule="auto"/>
      <w:ind w:firstLine="480" w:firstLineChars="200"/>
    </w:pPr>
    <w:rPr>
      <w:kern w:val="0"/>
      <w:sz w:val="24"/>
      <w:szCs w:val="20"/>
    </w:rPr>
  </w:style>
  <w:style w:type="character" w:customStyle="1" w:styleId="CharChar">
    <w:name w:val="表格标题 Char Char"/>
    <w:link w:val="a7"/>
    <w:qFormat/>
    <w:locked/>
    <w:rPr>
      <w:sz w:val="24"/>
      <w:szCs w:val="24"/>
    </w:rPr>
  </w:style>
  <w:style w:type="paragraph" w:customStyle="1" w:styleId="a7">
    <w:name w:val="表格标题"/>
    <w:basedOn w:val="Normal"/>
    <w:next w:val="Normal"/>
    <w:link w:val="CharChar"/>
    <w:qFormat/>
    <w:pPr>
      <w:widowControl/>
      <w:spacing w:line="360" w:lineRule="auto"/>
      <w:jc w:val="center"/>
    </w:pPr>
    <w:rPr>
      <w:kern w:val="0"/>
      <w:sz w:val="24"/>
    </w:rPr>
  </w:style>
  <w:style w:type="character" w:customStyle="1" w:styleId="Char20">
    <w:name w:val="表 Char"/>
    <w:link w:val="a8"/>
    <w:qFormat/>
    <w:locked/>
    <w:rPr>
      <w:bCs/>
      <w:szCs w:val="32"/>
    </w:rPr>
  </w:style>
  <w:style w:type="paragraph" w:customStyle="1" w:styleId="a8">
    <w:name w:val="表"/>
    <w:basedOn w:val="Title"/>
    <w:link w:val="Char20"/>
    <w:qFormat/>
    <w:pPr>
      <w:spacing w:line="300" w:lineRule="exact"/>
    </w:pPr>
    <w:rPr>
      <w:rFonts w:ascii="Times New Roman" w:hAnsi="Times New Roman"/>
      <w:b w:val="0"/>
      <w:kern w:val="0"/>
      <w:sz w:val="20"/>
    </w:rPr>
  </w:style>
  <w:style w:type="paragraph" w:customStyle="1" w:styleId="23">
    <w:name w:val="样式 文本正文 + 首行缩进:  2 字符3"/>
    <w:basedOn w:val="BodyText"/>
    <w:qFormat/>
    <w:pPr>
      <w:widowControl w:val="0"/>
      <w:autoSpaceDE w:val="0"/>
      <w:autoSpaceDN w:val="0"/>
      <w:adjustRightInd w:val="0"/>
      <w:spacing w:before="0" w:after="0" w:line="360" w:lineRule="auto"/>
      <w:ind w:right="0" w:firstLine="496" w:firstLineChars="200"/>
    </w:pPr>
    <w:rPr>
      <w:rFonts w:ascii="宋体" w:hAnsi="宋体"/>
      <w:color w:val="000000"/>
      <w:kern w:val="21"/>
      <w:sz w:val="24"/>
    </w:rPr>
  </w:style>
  <w:style w:type="character" w:customStyle="1" w:styleId="1CharChar">
    <w:name w:val="正文1 Char Char"/>
    <w:link w:val="1Char0"/>
    <w:qFormat/>
    <w:locked/>
    <w:rPr>
      <w:rFonts w:ascii="宋体" w:hAnsi="宋体"/>
      <w:snapToGrid w:val="0"/>
      <w:color w:val="000000"/>
      <w:kern w:val="21"/>
      <w:sz w:val="24"/>
    </w:rPr>
  </w:style>
  <w:style w:type="paragraph" w:customStyle="1" w:styleId="1Char0">
    <w:name w:val="正文1 Char"/>
    <w:basedOn w:val="Normal"/>
    <w:link w:val="1CharChar"/>
    <w:qFormat/>
    <w:pPr>
      <w:tabs>
        <w:tab w:val="left" w:pos="2310"/>
      </w:tabs>
      <w:adjustRightInd w:val="0"/>
      <w:snapToGrid w:val="0"/>
      <w:spacing w:line="360" w:lineRule="auto"/>
      <w:ind w:firstLine="480" w:firstLineChars="200"/>
    </w:pPr>
    <w:rPr>
      <w:rFonts w:ascii="宋体" w:hAnsi="宋体"/>
      <w:snapToGrid w:val="0"/>
      <w:color w:val="000000"/>
      <w:kern w:val="21"/>
      <w:sz w:val="24"/>
      <w:szCs w:val="20"/>
    </w:rPr>
  </w:style>
  <w:style w:type="paragraph" w:customStyle="1" w:styleId="01">
    <w:name w:val="表格01"/>
    <w:basedOn w:val="Normal"/>
    <w:qFormat/>
    <w:pPr>
      <w:adjustRightInd w:val="0"/>
      <w:snapToGrid w:val="0"/>
      <w:jc w:val="center"/>
    </w:pPr>
    <w:rPr>
      <w:szCs w:val="20"/>
    </w:rPr>
  </w:style>
  <w:style w:type="paragraph" w:customStyle="1" w:styleId="14">
    <w:name w:val="正文1"/>
    <w:basedOn w:val="Normal"/>
    <w:qFormat/>
    <w:pPr>
      <w:spacing w:line="560" w:lineRule="exact"/>
      <w:ind w:firstLine="200" w:firstLineChars="200"/>
    </w:pPr>
    <w:rPr>
      <w:rFonts w:cs="宋体"/>
      <w:sz w:val="28"/>
      <w:szCs w:val="28"/>
    </w:rPr>
  </w:style>
  <w:style w:type="paragraph" w:customStyle="1" w:styleId="a9">
    <w:name w:val="表中文字"/>
    <w:basedOn w:val="BodyText3"/>
    <w:qFormat/>
    <w:pPr>
      <w:spacing w:after="0"/>
      <w:ind w:firstLine="0" w:firstLineChars="0"/>
      <w:jc w:val="center"/>
    </w:pPr>
    <w:rPr>
      <w:rFonts w:ascii="宋体" w:eastAsia="宋体"/>
      <w:spacing w:val="4"/>
      <w:w w:val="90"/>
      <w:sz w:val="24"/>
      <w:szCs w:val="20"/>
    </w:rPr>
  </w:style>
  <w:style w:type="paragraph" w:customStyle="1" w:styleId="a10">
    <w:name w:val="六表内容"/>
    <w:basedOn w:val="Normal"/>
    <w:qFormat/>
    <w:pPr>
      <w:widowControl/>
      <w:spacing w:line="340" w:lineRule="exact"/>
      <w:jc w:val="center"/>
    </w:pPr>
    <w:rPr>
      <w:kern w:val="0"/>
      <w:sz w:val="20"/>
      <w:szCs w:val="21"/>
    </w:rPr>
  </w:style>
  <w:style w:type="character" w:customStyle="1" w:styleId="Char21">
    <w:name w:val="表格文字 Char"/>
    <w:link w:val="a11"/>
    <w:qFormat/>
    <w:locked/>
    <w:rPr>
      <w:kern w:val="44"/>
    </w:rPr>
  </w:style>
  <w:style w:type="paragraph" w:customStyle="1" w:styleId="a11">
    <w:name w:val="表格文字"/>
    <w:basedOn w:val="BodyText"/>
    <w:next w:val="Normal"/>
    <w:link w:val="Char21"/>
    <w:qFormat/>
    <w:pPr>
      <w:widowControl w:val="0"/>
      <w:snapToGrid/>
      <w:spacing w:before="0" w:after="0" w:line="240" w:lineRule="auto"/>
      <w:ind w:right="0"/>
      <w:jc w:val="center"/>
    </w:pPr>
    <w:rPr>
      <w:kern w:val="44"/>
      <w:sz w:val="20"/>
    </w:rPr>
  </w:style>
  <w:style w:type="paragraph" w:customStyle="1" w:styleId="22">
    <w:name w:val="样式2"/>
    <w:basedOn w:val="Normal"/>
    <w:qFormat/>
    <w:pPr>
      <w:autoSpaceDE w:val="0"/>
      <w:autoSpaceDN w:val="0"/>
      <w:adjustRightInd w:val="0"/>
      <w:spacing w:afterLines="50"/>
      <w:jc w:val="center"/>
    </w:pPr>
    <w:rPr>
      <w:rFonts w:ascii="宋体"/>
      <w:kern w:val="0"/>
      <w:sz w:val="24"/>
    </w:rPr>
  </w:style>
  <w:style w:type="paragraph" w:customStyle="1" w:styleId="a12">
    <w:name w:val="投标正文"/>
    <w:qFormat/>
    <w:pPr>
      <w:widowControl w:val="0"/>
      <w:spacing w:line="360" w:lineRule="auto"/>
      <w:ind w:firstLine="480" w:firstLineChars="200"/>
      <w:jc w:val="both"/>
    </w:pPr>
    <w:rPr>
      <w:rFonts w:ascii="Times New Roman" w:eastAsia="宋体" w:hAnsi="Times New Roman" w:cs="Times New Roman"/>
      <w:bCs/>
      <w:color w:val="000000"/>
      <w:sz w:val="28"/>
      <w:szCs w:val="32"/>
      <w:lang w:val="en-US" w:eastAsia="zh-CN" w:bidi="ar-SA"/>
    </w:rPr>
  </w:style>
  <w:style w:type="paragraph" w:customStyle="1" w:styleId="6">
    <w:name w:val="6表内容"/>
    <w:basedOn w:val="Normal"/>
    <w:qFormat/>
    <w:pPr>
      <w:spacing w:line="340" w:lineRule="exact"/>
      <w:jc w:val="center"/>
    </w:pPr>
    <w:rPr>
      <w:rFonts w:cs="宋体"/>
      <w:color w:val="000000"/>
      <w:szCs w:val="20"/>
    </w:rPr>
  </w:style>
  <w:style w:type="paragraph" w:customStyle="1" w:styleId="5">
    <w:name w:val="5表头"/>
    <w:basedOn w:val="Normal"/>
    <w:qFormat/>
    <w:pPr>
      <w:spacing w:beforeLines="50"/>
      <w:jc w:val="center"/>
    </w:pPr>
    <w:rPr>
      <w:rFonts w:eastAsia="黑体" w:cs="宋体"/>
      <w:szCs w:val="20"/>
    </w:rPr>
  </w:style>
  <w:style w:type="character" w:customStyle="1" w:styleId="2CharChar">
    <w:name w:val="样式 报告 + 首行缩进:  2 字符 Char Char"/>
    <w:link w:val="24"/>
    <w:qFormat/>
    <w:locked/>
    <w:rPr>
      <w:sz w:val="24"/>
    </w:rPr>
  </w:style>
  <w:style w:type="paragraph" w:customStyle="1" w:styleId="24">
    <w:name w:val="样式 报告 + 首行缩进:  2 字符"/>
    <w:basedOn w:val="Normal"/>
    <w:link w:val="2CharChar"/>
    <w:qFormat/>
    <w:pPr>
      <w:widowControl/>
      <w:overflowPunct w:val="0"/>
      <w:autoSpaceDE w:val="0"/>
      <w:autoSpaceDN w:val="0"/>
      <w:adjustRightInd w:val="0"/>
      <w:spacing w:before="120" w:after="120" w:line="400" w:lineRule="atLeast"/>
      <w:ind w:firstLine="480" w:firstLineChars="200"/>
    </w:pPr>
    <w:rPr>
      <w:kern w:val="0"/>
      <w:sz w:val="24"/>
      <w:szCs w:val="20"/>
    </w:rPr>
  </w:style>
  <w:style w:type="paragraph" w:customStyle="1" w:styleId="TableParagraph">
    <w:name w:val="Table Paragraph"/>
    <w:basedOn w:val="Normal"/>
    <w:uiPriority w:val="1"/>
    <w:qFormat/>
    <w:pPr>
      <w:ind w:firstLine="200" w:firstLineChars="200"/>
      <w:jc w:val="left"/>
    </w:pPr>
    <w:rPr>
      <w:rFonts w:ascii="Calibri" w:hAnsi="Calibri"/>
      <w:kern w:val="0"/>
      <w:sz w:val="22"/>
      <w:szCs w:val="22"/>
      <w:lang w:eastAsia="en-US"/>
    </w:rPr>
  </w:style>
  <w:style w:type="character" w:customStyle="1" w:styleId="3CharChar">
    <w:name w:val="表格正文3 Char Char"/>
    <w:link w:val="3Char2"/>
    <w:qFormat/>
    <w:locked/>
    <w:rPr>
      <w:rFonts w:ascii="宋体" w:hAnsi="宋体"/>
      <w:spacing w:val="4"/>
      <w:sz w:val="24"/>
    </w:rPr>
  </w:style>
  <w:style w:type="paragraph" w:customStyle="1" w:styleId="3Char2">
    <w:name w:val="表格正文3 Char"/>
    <w:basedOn w:val="Normal"/>
    <w:link w:val="3CharChar"/>
    <w:qFormat/>
    <w:pPr>
      <w:adjustRightInd w:val="0"/>
      <w:spacing w:line="360" w:lineRule="auto"/>
    </w:pPr>
    <w:rPr>
      <w:rFonts w:ascii="宋体" w:hAnsi="宋体"/>
      <w:spacing w:val="4"/>
      <w:kern w:val="0"/>
      <w:sz w:val="24"/>
      <w:szCs w:val="20"/>
    </w:rPr>
  </w:style>
  <w:style w:type="character" w:customStyle="1" w:styleId="0Char">
    <w:name w:val="0正文 Char"/>
    <w:link w:val="0"/>
    <w:qFormat/>
    <w:locked/>
    <w:rPr>
      <w:rFonts w:ascii="宋体" w:hAnsi="宋体" w:cs="宋体"/>
      <w:sz w:val="24"/>
    </w:rPr>
  </w:style>
  <w:style w:type="paragraph" w:customStyle="1" w:styleId="0">
    <w:name w:val="0正文"/>
    <w:basedOn w:val="BodyTextIndent"/>
    <w:link w:val="0Char"/>
    <w:qFormat/>
    <w:pPr>
      <w:spacing w:after="0" w:line="360" w:lineRule="auto"/>
      <w:ind w:left="0" w:firstLine="200" w:leftChars="0" w:firstLineChars="200"/>
    </w:pPr>
    <w:rPr>
      <w:rFonts w:ascii="宋体" w:hAnsi="宋体" w:cs="宋体"/>
    </w:rPr>
  </w:style>
  <w:style w:type="paragraph" w:customStyle="1" w:styleId="reader-word-layer">
    <w:name w:val="reader-word-layer"/>
    <w:basedOn w:val="Normal"/>
    <w:qFormat/>
    <w:pPr>
      <w:widowControl/>
      <w:spacing w:before="100" w:beforeAutospacing="1" w:after="100" w:afterAutospacing="1"/>
      <w:jc w:val="left"/>
    </w:pPr>
    <w:rPr>
      <w:rFonts w:ascii="宋体" w:hAnsi="宋体" w:cs="宋体"/>
      <w:kern w:val="0"/>
      <w:sz w:val="24"/>
    </w:rPr>
  </w:style>
  <w:style w:type="paragraph" w:customStyle="1" w:styleId="15">
    <w:name w:val="样式1"/>
    <w:basedOn w:val="Normal"/>
    <w:qFormat/>
    <w:pPr>
      <w:spacing w:line="360" w:lineRule="auto"/>
      <w:ind w:firstLine="539"/>
    </w:pPr>
    <w:rPr>
      <w:rFonts w:ascii="宋体" w:hAnsi="宋体"/>
      <w:sz w:val="24"/>
      <w:szCs w:val="21"/>
    </w:rPr>
  </w:style>
  <w:style w:type="character" w:customStyle="1" w:styleId="CharChar0">
    <w:name w:val="报告书正文 Char Char"/>
    <w:link w:val="a13"/>
    <w:qFormat/>
    <w:locked/>
    <w:rPr>
      <w:rFonts w:ascii="宋体" w:hAnsi="宋体" w:cs="Arial"/>
      <w:bCs/>
      <w:snapToGrid w:val="0"/>
      <w:sz w:val="24"/>
      <w:szCs w:val="24"/>
    </w:rPr>
  </w:style>
  <w:style w:type="paragraph" w:customStyle="1" w:styleId="a13">
    <w:name w:val="报告书正文"/>
    <w:basedOn w:val="BodyTextIndent2"/>
    <w:link w:val="CharChar0"/>
    <w:qFormat/>
    <w:pPr>
      <w:tabs>
        <w:tab w:val="left" w:pos="6300"/>
      </w:tabs>
      <w:adjustRightInd w:val="0"/>
      <w:snapToGrid w:val="0"/>
      <w:spacing w:after="0" w:line="480" w:lineRule="exact"/>
      <w:ind w:left="0" w:firstLine="480" w:leftChars="0"/>
    </w:pPr>
    <w:rPr>
      <w:rFonts w:ascii="宋体" w:eastAsia="宋体" w:hAnsi="宋体" w:cs="Arial"/>
      <w:bCs/>
      <w:snapToGrid w:val="0"/>
      <w:kern w:val="0"/>
    </w:rPr>
  </w:style>
  <w:style w:type="paragraph" w:customStyle="1" w:styleId="50">
    <w:name w:val="无悬挂正文5号"/>
    <w:basedOn w:val="Normal"/>
    <w:qFormat/>
    <w:pPr>
      <w:widowControl/>
      <w:jc w:val="center"/>
    </w:pPr>
    <w:rPr>
      <w:kern w:val="0"/>
      <w:sz w:val="20"/>
      <w:szCs w:val="20"/>
    </w:rPr>
  </w:style>
  <w:style w:type="paragraph" w:customStyle="1" w:styleId="a14">
    <w:name w:val="公众参与正文"/>
    <w:basedOn w:val="Normal"/>
    <w:qFormat/>
    <w:pPr>
      <w:adjustRightInd w:val="0"/>
      <w:ind w:firstLine="200" w:firstLineChars="200"/>
    </w:pPr>
    <w:rPr>
      <w:rFonts w:ascii="宋体" w:cs="宋体"/>
      <w:kern w:val="18"/>
      <w:szCs w:val="21"/>
    </w:rPr>
  </w:style>
  <w:style w:type="paragraph" w:customStyle="1" w:styleId="CharCharChar">
    <w:name w:val="Char Char Char"/>
    <w:basedOn w:val="Normal"/>
    <w:qFormat/>
    <w:rPr>
      <w:rFonts w:ascii="宋体" w:hAnsi="宋体"/>
      <w:color w:val="000000"/>
      <w:spacing w:val="-20"/>
      <w:kern w:val="0"/>
      <w:szCs w:val="20"/>
    </w:rPr>
  </w:style>
  <w:style w:type="paragraph" w:customStyle="1" w:styleId="a15">
    <w:name w:val="应填表格"/>
    <w:basedOn w:val="Normal"/>
    <w:qFormat/>
    <w:pPr>
      <w:adjustRightInd w:val="0"/>
      <w:spacing w:before="40" w:after="40"/>
      <w:jc w:val="left"/>
    </w:pPr>
    <w:rPr>
      <w:kern w:val="0"/>
      <w:sz w:val="24"/>
      <w:szCs w:val="20"/>
    </w:rPr>
  </w:style>
  <w:style w:type="paragraph" w:customStyle="1" w:styleId="3">
    <w:name w:val="3级标题"/>
    <w:basedOn w:val="Normal"/>
    <w:qFormat/>
    <w:pPr>
      <w:spacing w:before="300" w:line="460" w:lineRule="exact"/>
      <w:outlineLvl w:val="2"/>
    </w:pPr>
    <w:rPr>
      <w:b/>
      <w:sz w:val="24"/>
      <w:szCs w:val="20"/>
    </w:rPr>
  </w:style>
  <w:style w:type="character" w:customStyle="1" w:styleId="Char22">
    <w:name w:val="书正文 Char"/>
    <w:link w:val="a16"/>
    <w:qFormat/>
    <w:locked/>
    <w:rPr>
      <w:sz w:val="28"/>
      <w:szCs w:val="28"/>
    </w:rPr>
  </w:style>
  <w:style w:type="paragraph" w:customStyle="1" w:styleId="a16">
    <w:name w:val="书正文"/>
    <w:basedOn w:val="Normal"/>
    <w:link w:val="Char22"/>
    <w:qFormat/>
    <w:pPr>
      <w:spacing w:line="520" w:lineRule="exact"/>
      <w:ind w:firstLine="560" w:firstLineChars="200"/>
    </w:pPr>
    <w:rPr>
      <w:kern w:val="0"/>
      <w:sz w:val="28"/>
      <w:szCs w:val="28"/>
    </w:rPr>
  </w:style>
  <w:style w:type="character" w:customStyle="1" w:styleId="Char23">
    <w:name w:val="表格居中 Char"/>
    <w:link w:val="a17"/>
    <w:qFormat/>
    <w:locked/>
    <w:rPr>
      <w:rFonts w:ascii="宋体" w:hAnsi="宋体"/>
      <w:snapToGrid w:val="0"/>
      <w:spacing w:val="-4"/>
      <w:w w:val="90"/>
      <w:sz w:val="24"/>
    </w:rPr>
  </w:style>
  <w:style w:type="paragraph" w:customStyle="1" w:styleId="a17">
    <w:name w:val="表格居中"/>
    <w:basedOn w:val="Normal"/>
    <w:link w:val="Char23"/>
    <w:qFormat/>
    <w:pPr>
      <w:snapToGrid w:val="0"/>
      <w:jc w:val="center"/>
    </w:pPr>
    <w:rPr>
      <w:rFonts w:ascii="宋体" w:hAnsi="宋体"/>
      <w:snapToGrid w:val="0"/>
      <w:spacing w:val="-4"/>
      <w:w w:val="90"/>
      <w:kern w:val="0"/>
      <w:sz w:val="24"/>
      <w:szCs w:val="20"/>
    </w:rPr>
  </w:style>
  <w:style w:type="paragraph" w:customStyle="1" w:styleId="a18">
    <w:name w:val="五表头"/>
    <w:basedOn w:val="Normal"/>
    <w:qFormat/>
    <w:pPr>
      <w:spacing w:beforeLines="50"/>
      <w:jc w:val="center"/>
    </w:pPr>
    <w:rPr>
      <w:rFonts w:eastAsia="黑体"/>
    </w:rPr>
  </w:style>
  <w:style w:type="paragraph" w:customStyle="1" w:styleId="CharCharCharChar06">
    <w:name w:val="样式 正文文本文本正文正文文字 Char Char Char Char + 居中 首行缩进:  0 厘米 段前: 6 磅"/>
    <w:basedOn w:val="Normal"/>
    <w:qFormat/>
    <w:pPr>
      <w:adjustRightInd w:val="0"/>
      <w:snapToGrid w:val="0"/>
      <w:spacing w:before="120"/>
      <w:jc w:val="center"/>
    </w:pPr>
    <w:rPr>
      <w:rFonts w:ascii="宋体"/>
      <w:w w:val="90"/>
      <w:sz w:val="24"/>
      <w:szCs w:val="20"/>
    </w:rPr>
  </w:style>
  <w:style w:type="paragraph" w:customStyle="1" w:styleId="a19">
    <w:name w:val="七表后"/>
    <w:basedOn w:val="Normal"/>
    <w:qFormat/>
    <w:pPr>
      <w:spacing w:line="240" w:lineRule="exact"/>
    </w:pPr>
  </w:style>
  <w:style w:type="paragraph" w:customStyle="1" w:styleId="a20">
    <w:name w:val="报告正文"/>
    <w:basedOn w:val="Normal"/>
    <w:qFormat/>
    <w:pPr>
      <w:adjustRightInd w:val="0"/>
      <w:snapToGrid w:val="0"/>
      <w:spacing w:line="480" w:lineRule="exact"/>
      <w:ind w:firstLine="560" w:firstLineChars="200"/>
    </w:pPr>
    <w:rPr>
      <w:sz w:val="28"/>
      <w:szCs w:val="28"/>
    </w:rPr>
  </w:style>
  <w:style w:type="paragraph" w:customStyle="1" w:styleId="042085042">
    <w:name w:val="样式 左侧:  0.42 厘米 首行缩进:  0.85 厘米 右侧:  0.42 厘米"/>
    <w:basedOn w:val="Normal"/>
    <w:next w:val="BodyText"/>
    <w:qFormat/>
    <w:pPr>
      <w:spacing w:line="360" w:lineRule="auto"/>
    </w:pPr>
    <w:rPr>
      <w:rFonts w:cs="宋体"/>
      <w:sz w:val="24"/>
      <w:szCs w:val="20"/>
    </w:rPr>
  </w:style>
  <w:style w:type="paragraph" w:customStyle="1" w:styleId="m">
    <w:name w:val="正文（首行缩进两字）m"/>
    <w:basedOn w:val="NormalIndent"/>
    <w:qFormat/>
    <w:pPr>
      <w:tabs>
        <w:tab w:val="left" w:pos="1848"/>
        <w:tab w:val="left" w:pos="6061"/>
        <w:tab w:val="left" w:pos="8665"/>
      </w:tabs>
      <w:snapToGrid w:val="0"/>
      <w:spacing w:beforeLines="50" w:line="460" w:lineRule="exact"/>
      <w:ind w:firstLine="480" w:firstLineChars="200"/>
    </w:pPr>
    <w:rPr>
      <w:rFonts w:ascii="宋体" w:hAnsi="宋体"/>
      <w:szCs w:val="24"/>
    </w:rPr>
  </w:style>
  <w:style w:type="paragraph" w:customStyle="1" w:styleId="a21">
    <w:name w:val="图"/>
    <w:basedOn w:val="Normal"/>
    <w:qFormat/>
    <w:pPr>
      <w:adjustRightInd w:val="0"/>
      <w:snapToGrid w:val="0"/>
      <w:spacing w:line="360" w:lineRule="auto"/>
      <w:jc w:val="center"/>
    </w:pPr>
    <w:rPr>
      <w:rFonts w:cs="宋体"/>
      <w:b/>
      <w:bCs/>
      <w:sz w:val="24"/>
      <w:szCs w:val="20"/>
    </w:rPr>
  </w:style>
  <w:style w:type="paragraph" w:customStyle="1" w:styleId="16">
    <w:name w:val="列出段落1"/>
    <w:basedOn w:val="Normal"/>
    <w:uiPriority w:val="34"/>
    <w:qFormat/>
    <w:pPr>
      <w:spacing w:line="360" w:lineRule="auto"/>
      <w:ind w:firstLine="420" w:firstLineChars="200"/>
    </w:pPr>
    <w:rPr>
      <w:sz w:val="24"/>
    </w:rPr>
  </w:style>
  <w:style w:type="character" w:customStyle="1" w:styleId="OChar">
    <w:name w:val="表头O Char"/>
    <w:link w:val="O"/>
    <w:qFormat/>
    <w:locked/>
    <w:rPr>
      <w:b/>
      <w:sz w:val="24"/>
    </w:rPr>
  </w:style>
  <w:style w:type="paragraph" w:customStyle="1" w:styleId="O">
    <w:name w:val="表头O"/>
    <w:basedOn w:val="Normal"/>
    <w:link w:val="OChar"/>
    <w:qFormat/>
    <w:pPr>
      <w:spacing w:beforeLines="50" w:line="240" w:lineRule="atLeast"/>
      <w:jc w:val="center"/>
    </w:pPr>
    <w:rPr>
      <w:b/>
      <w:kern w:val="0"/>
      <w:sz w:val="24"/>
      <w:szCs w:val="20"/>
    </w:rPr>
  </w:style>
  <w:style w:type="character" w:customStyle="1" w:styleId="NormalChar">
    <w:name w:val="Normal Char"/>
    <w:link w:val="30"/>
    <w:qFormat/>
    <w:locked/>
    <w:rPr>
      <w:rFonts w:ascii="宋体" w:hAnsi="宋体"/>
      <w:sz w:val="24"/>
    </w:rPr>
  </w:style>
  <w:style w:type="paragraph" w:customStyle="1" w:styleId="30">
    <w:name w:val="正文3"/>
    <w:link w:val="NormalChar"/>
    <w:qFormat/>
    <w:pPr>
      <w:widowControl w:val="0"/>
      <w:adjustRightInd w:val="0"/>
      <w:spacing w:line="360" w:lineRule="atLeast"/>
    </w:pPr>
    <w:rPr>
      <w:rFonts w:ascii="宋体" w:eastAsia="宋体" w:hAnsi="宋体" w:cs="Times New Roman"/>
      <w:sz w:val="24"/>
      <w:lang w:val="en-US" w:eastAsia="zh-CN" w:bidi="ar-SA"/>
    </w:rPr>
  </w:style>
  <w:style w:type="character" w:customStyle="1" w:styleId="Char24">
    <w:name w:val="正文样式 Char"/>
    <w:link w:val="a22"/>
    <w:qFormat/>
    <w:locked/>
    <w:rPr>
      <w:rFonts w:ascii="宋体" w:hAnsi="宋体"/>
      <w:sz w:val="24"/>
      <w:szCs w:val="24"/>
    </w:rPr>
  </w:style>
  <w:style w:type="paragraph" w:customStyle="1" w:styleId="a22">
    <w:name w:val="正文样式"/>
    <w:basedOn w:val="Normal"/>
    <w:link w:val="Char24"/>
    <w:qFormat/>
    <w:pPr>
      <w:spacing w:line="460" w:lineRule="exact"/>
      <w:ind w:firstLine="200" w:firstLineChars="200"/>
    </w:pPr>
    <w:rPr>
      <w:rFonts w:ascii="宋体" w:hAnsi="宋体"/>
      <w:kern w:val="0"/>
      <w:sz w:val="24"/>
    </w:rPr>
  </w:style>
  <w:style w:type="character" w:customStyle="1" w:styleId="122223CharChar">
    <w:name w:val="样式 样式 样式 首行缩进:  1 字符 + 首行缩进:  2 字符2 + 首行缩进:  2 字符 行距: 固定值 23 磅 Char Char"/>
    <w:link w:val="122223"/>
    <w:qFormat/>
    <w:locked/>
    <w:rPr>
      <w:rFonts w:ascii="宋体" w:hAnsi="宋体" w:cs="宋体"/>
      <w:sz w:val="24"/>
    </w:rPr>
  </w:style>
  <w:style w:type="paragraph" w:customStyle="1" w:styleId="122223">
    <w:name w:val="样式 样式 样式 首行缩进:  1 字符 + 首行缩进:  2 字符2 + 首行缩进:  2 字符 行距: 固定值 23 磅"/>
    <w:basedOn w:val="Normal"/>
    <w:link w:val="122223CharChar"/>
    <w:qFormat/>
    <w:pPr>
      <w:adjustRightInd w:val="0"/>
      <w:snapToGrid w:val="0"/>
      <w:spacing w:line="360" w:lineRule="auto"/>
      <w:ind w:firstLine="200" w:firstLineChars="200"/>
    </w:pPr>
    <w:rPr>
      <w:rFonts w:ascii="宋体" w:hAnsi="宋体" w:cs="宋体"/>
      <w:kern w:val="0"/>
      <w:sz w:val="24"/>
      <w:szCs w:val="20"/>
    </w:rPr>
  </w:style>
  <w:style w:type="paragraph" w:customStyle="1" w:styleId="a23">
    <w:name w:val="表内格式"/>
    <w:basedOn w:val="Normal"/>
    <w:next w:val="Normal"/>
    <w:qFormat/>
    <w:pPr>
      <w:spacing w:line="500" w:lineRule="exact"/>
      <w:jc w:val="center"/>
    </w:pPr>
    <w:rPr>
      <w:sz w:val="18"/>
    </w:rPr>
  </w:style>
  <w:style w:type="paragraph" w:customStyle="1" w:styleId="40">
    <w:name w:val="正文4号"/>
    <w:qFormat/>
    <w:pPr>
      <w:widowControl w:val="0"/>
      <w:adjustRightInd w:val="0"/>
      <w:snapToGrid w:val="0"/>
      <w:spacing w:line="360" w:lineRule="auto"/>
      <w:ind w:firstLine="200" w:firstLineChars="200"/>
      <w:jc w:val="both"/>
    </w:pPr>
    <w:rPr>
      <w:rFonts w:ascii="Times New Roman" w:eastAsia="宋体" w:hAnsi="Times New Roman" w:cs="Times New Roman"/>
      <w:kern w:val="24"/>
      <w:sz w:val="24"/>
      <w:szCs w:val="24"/>
      <w:lang w:val="en-US" w:eastAsia="zh-CN" w:bidi="ar-SA"/>
    </w:rPr>
  </w:style>
  <w:style w:type="paragraph" w:customStyle="1" w:styleId="25">
    <w:name w:val="正文2"/>
    <w:qFormat/>
    <w:pPr>
      <w:widowControl w:val="0"/>
      <w:adjustRightInd w:val="0"/>
      <w:spacing w:line="360" w:lineRule="atLeast"/>
    </w:pPr>
    <w:rPr>
      <w:rFonts w:ascii="宋体" w:eastAsia="宋体" w:hAnsi="宋体" w:cs="Times New Roman"/>
      <w:sz w:val="24"/>
      <w:lang w:val="en-US" w:eastAsia="zh-CN" w:bidi="ar-SA"/>
    </w:rPr>
  </w:style>
  <w:style w:type="character" w:customStyle="1" w:styleId="Char110">
    <w:name w:val="纯文本 Char1"/>
    <w:qFormat/>
    <w:locked/>
    <w:rPr>
      <w:rFonts w:ascii="宋体" w:eastAsia="宋体" w:hAnsi="Courier New" w:hint="eastAsia"/>
      <w:kern w:val="2"/>
      <w:sz w:val="21"/>
    </w:rPr>
  </w:style>
  <w:style w:type="character" w:customStyle="1" w:styleId="apple-style-span">
    <w:name w:val="apple-style-span"/>
    <w:qFormat/>
  </w:style>
  <w:style w:type="character" w:customStyle="1" w:styleId="CharChar1">
    <w:name w:val="表头 Char Char"/>
    <w:qFormat/>
    <w:rPr>
      <w:rFonts w:ascii="宋体" w:eastAsia="宋体" w:hAnsi="宋体" w:hint="eastAsia"/>
      <w:snapToGrid w:val="0"/>
      <w:spacing w:val="4"/>
      <w:kern w:val="18"/>
      <w:sz w:val="24"/>
      <w:lang w:val="en-US" w:eastAsia="zh-CN"/>
    </w:rPr>
  </w:style>
  <w:style w:type="character" w:customStyle="1" w:styleId="Char111">
    <w:name w:val="正文文本 Char1"/>
    <w:qFormat/>
    <w:locked/>
    <w:rPr>
      <w:kern w:val="2"/>
      <w:sz w:val="24"/>
      <w:szCs w:val="24"/>
    </w:rPr>
  </w:style>
  <w:style w:type="character" w:customStyle="1" w:styleId="2Char10">
    <w:name w:val="正文文本 2 Char1"/>
    <w:rPr>
      <w:kern w:val="2"/>
      <w:sz w:val="24"/>
      <w:szCs w:val="24"/>
    </w:rPr>
  </w:style>
  <w:style w:type="character" w:customStyle="1" w:styleId="HTMLChar1">
    <w:name w:val="HTML 预设格式 Char1"/>
    <w:qFormat/>
    <w:rPr>
      <w:rFonts w:ascii="Courier New" w:hAnsi="Courier New" w:cs="Courier New" w:hint="default"/>
      <w:kern w:val="2"/>
    </w:rPr>
  </w:style>
  <w:style w:type="character" w:customStyle="1" w:styleId="apple-converted-space">
    <w:name w:val="apple-converted-space"/>
    <w:qFormat/>
  </w:style>
  <w:style w:type="character" w:customStyle="1" w:styleId="17">
    <w:name w:val="占位符文本1"/>
    <w:uiPriority w:val="99"/>
    <w:semiHidden/>
    <w:rPr>
      <w:color w:val="808080"/>
    </w:rPr>
  </w:style>
  <w:style w:type="character" w:customStyle="1" w:styleId="font11">
    <w:name w:val="font11"/>
    <w:qFormat/>
    <w:rPr>
      <w:rFonts w:ascii="宋体" w:eastAsia="宋体" w:hAnsi="宋体" w:cs="宋体" w:hint="eastAsia"/>
      <w:color w:val="000000"/>
      <w:sz w:val="24"/>
      <w:szCs w:val="24"/>
      <w:u w:val="none"/>
      <w:vertAlign w:val="subscript"/>
    </w:rPr>
  </w:style>
  <w:style w:type="character" w:customStyle="1" w:styleId="Char112">
    <w:name w:val="表头 Char1"/>
    <w:qFormat/>
    <w:rPr>
      <w:rFonts w:ascii="宋体" w:eastAsia="宋体" w:hAnsi="宋体" w:hint="eastAsia"/>
      <w:spacing w:val="4"/>
      <w:sz w:val="24"/>
      <w:lang w:val="en-US" w:eastAsia="zh-CN"/>
    </w:rPr>
  </w:style>
  <w:style w:type="character" w:customStyle="1" w:styleId="Char113">
    <w:name w:val="页脚 Char1"/>
    <w:uiPriority w:val="99"/>
    <w:qFormat/>
    <w:locked/>
    <w:rPr>
      <w:rFonts w:ascii="Times New Roman" w:eastAsia="楷体_GB2312" w:hAnsi="Times New Roman" w:cs="Times New Roman"/>
      <w:sz w:val="18"/>
      <w:szCs w:val="18"/>
    </w:rPr>
  </w:style>
  <w:style w:type="character" w:customStyle="1" w:styleId="2Char11">
    <w:name w:val="正文文本缩进 2 Char1"/>
    <w:link w:val="BodyTextIndent2"/>
    <w:qFormat/>
    <w:locked/>
    <w:rPr>
      <w:rFonts w:eastAsia="楷体_GB2312"/>
      <w:kern w:val="2"/>
      <w:sz w:val="24"/>
      <w:szCs w:val="24"/>
    </w:rPr>
  </w:style>
  <w:style w:type="character" w:customStyle="1" w:styleId="Char114">
    <w:name w:val="正文文本缩进 Char1"/>
    <w:semiHidden/>
    <w:qFormat/>
    <w:locked/>
    <w:rPr>
      <w:rFonts w:ascii="Times New Roman" w:eastAsia="宋体" w:hAnsi="Times New Roman" w:cs="Times New Roman"/>
      <w:sz w:val="24"/>
      <w:szCs w:val="24"/>
    </w:rPr>
  </w:style>
  <w:style w:type="character" w:customStyle="1" w:styleId="3Char10">
    <w:name w:val="正文文本 3 Char1"/>
    <w:link w:val="BodyText3"/>
    <w:qFormat/>
    <w:locked/>
    <w:rPr>
      <w:rFonts w:eastAsia="楷体_GB2312"/>
      <w:kern w:val="2"/>
      <w:sz w:val="16"/>
      <w:szCs w:val="16"/>
    </w:rPr>
  </w:style>
  <w:style w:type="character" w:customStyle="1" w:styleId="HTMLChar2">
    <w:name w:val="HTML 预设格式 Char2"/>
    <w:link w:val="HTMLPreformatted"/>
    <w:qFormat/>
    <w:locked/>
    <w:rPr>
      <w:rFonts w:ascii="Arial Unicode MS" w:eastAsia="Arial Unicode MS" w:hAnsi="Arial Unicode MS" w:cs="Arial Unicode MS"/>
    </w:rPr>
  </w:style>
  <w:style w:type="character" w:customStyle="1" w:styleId="2Char20">
    <w:name w:val="正文文本 2 Char2"/>
    <w:link w:val="BodyText2"/>
    <w:qFormat/>
    <w:locked/>
    <w:rPr>
      <w:kern w:val="2"/>
      <w:sz w:val="21"/>
      <w:szCs w:val="24"/>
    </w:rPr>
  </w:style>
  <w:style w:type="character" w:customStyle="1" w:styleId="Char115">
    <w:name w:val="批注文字 Char1"/>
    <w:semiHidden/>
    <w:qFormat/>
    <w:locked/>
    <w:rPr>
      <w:rFonts w:ascii="Times New Roman" w:eastAsia="宋体" w:hAnsi="Times New Roman" w:cs="Times New Roman"/>
      <w:sz w:val="24"/>
      <w:szCs w:val="24"/>
    </w:rPr>
  </w:style>
  <w:style w:type="character" w:customStyle="1" w:styleId="Char116">
    <w:name w:val="批注框文本 Char1"/>
    <w:semiHidden/>
    <w:qFormat/>
    <w:locked/>
    <w:rPr>
      <w:rFonts w:ascii="Times New Roman" w:eastAsia="楷体_GB2312" w:hAnsi="Times New Roman" w:cs="Times New Roman"/>
      <w:sz w:val="18"/>
      <w:szCs w:val="18"/>
    </w:rPr>
  </w:style>
  <w:style w:type="character" w:customStyle="1" w:styleId="Char25">
    <w:name w:val="正文文本 Char2"/>
    <w:qFormat/>
    <w:locked/>
    <w:rPr>
      <w:rFonts w:ascii="Times New Roman" w:eastAsia="宋体" w:hAnsi="Times New Roman" w:cs="Times New Roman"/>
      <w:sz w:val="24"/>
      <w:szCs w:val="24"/>
    </w:rPr>
  </w:style>
  <w:style w:type="character" w:customStyle="1" w:styleId="3Char11">
    <w:name w:val="正文文本缩进 3 Char1"/>
    <w:link w:val="BodyTextIndent3"/>
    <w:qFormat/>
    <w:locked/>
    <w:rPr>
      <w:kern w:val="2"/>
      <w:sz w:val="16"/>
      <w:szCs w:val="16"/>
    </w:rPr>
  </w:style>
  <w:style w:type="character" w:customStyle="1" w:styleId="Char117">
    <w:name w:val="文档结构图 Char1"/>
    <w:link w:val="DocumentMap"/>
    <w:qFormat/>
    <w:locked/>
    <w:rPr>
      <w:rFonts w:ascii="宋体"/>
      <w:kern w:val="2"/>
      <w:sz w:val="18"/>
      <w:szCs w:val="18"/>
    </w:rPr>
  </w:style>
  <w:style w:type="character" w:customStyle="1" w:styleId="Char118">
    <w:name w:val="页眉 Char1"/>
    <w:qFormat/>
    <w:locked/>
    <w:rPr>
      <w:rFonts w:ascii="Times New Roman" w:eastAsia="楷体_GB2312" w:hAnsi="Times New Roman" w:cs="Times New Roman"/>
      <w:sz w:val="18"/>
      <w:szCs w:val="18"/>
    </w:rPr>
  </w:style>
  <w:style w:type="character" w:customStyle="1" w:styleId="Char119">
    <w:name w:val="标题 Char1"/>
    <w:link w:val="Title"/>
    <w:qFormat/>
    <w:locked/>
    <w:rPr>
      <w:rFonts w:ascii="Cambria" w:hAnsi="Cambria"/>
      <w:b/>
      <w:bCs/>
      <w:kern w:val="2"/>
      <w:sz w:val="32"/>
      <w:szCs w:val="32"/>
    </w:rPr>
  </w:style>
  <w:style w:type="character" w:customStyle="1" w:styleId="Char26">
    <w:name w:val="纯文本 Char2"/>
    <w:link w:val="PlainText"/>
    <w:qFormat/>
    <w:locked/>
    <w:rPr>
      <w:rFonts w:ascii="宋体" w:hAnsi="Courier New"/>
      <w:kern w:val="2"/>
      <w:sz w:val="21"/>
    </w:rPr>
  </w:style>
  <w:style w:type="paragraph" w:customStyle="1" w:styleId="111">
    <w:name w:val="111表头"/>
    <w:basedOn w:val="Normal"/>
    <w:qFormat/>
    <w:pPr>
      <w:tabs>
        <w:tab w:val="left" w:pos="600"/>
      </w:tabs>
      <w:spacing w:line="400" w:lineRule="exact"/>
      <w:jc w:val="center"/>
    </w:pPr>
    <w:rPr>
      <w:b/>
      <w:sz w:val="24"/>
    </w:rPr>
  </w:style>
  <w:style w:type="character" w:customStyle="1" w:styleId="aaChar">
    <w:name w:val="aa正文 Char"/>
    <w:link w:val="aa"/>
    <w:qFormat/>
    <w:rPr>
      <w:sz w:val="24"/>
      <w:szCs w:val="24"/>
    </w:rPr>
  </w:style>
  <w:style w:type="paragraph" w:customStyle="1" w:styleId="aa">
    <w:name w:val="aa正文"/>
    <w:basedOn w:val="Normal"/>
    <w:link w:val="aaChar"/>
    <w:qFormat/>
    <w:pPr>
      <w:spacing w:line="360" w:lineRule="auto"/>
      <w:ind w:firstLine="200" w:firstLineChars="200"/>
    </w:pPr>
    <w:rPr>
      <w:kern w:val="0"/>
      <w:sz w:val="24"/>
    </w:rPr>
  </w:style>
  <w:style w:type="paragraph" w:customStyle="1" w:styleId="1110">
    <w:name w:val="111正文"/>
    <w:basedOn w:val="Normal"/>
    <w:qFormat/>
    <w:pPr>
      <w:tabs>
        <w:tab w:val="left" w:pos="600"/>
      </w:tabs>
      <w:spacing w:line="360" w:lineRule="auto"/>
      <w:ind w:firstLine="200" w:firstLineChars="200"/>
    </w:pPr>
    <w:rPr>
      <w:sz w:val="24"/>
    </w:rPr>
  </w:style>
  <w:style w:type="character" w:customStyle="1" w:styleId="lishishuju">
    <w:name w:val="lishishuju"/>
    <w:qFormat/>
    <w:rPr>
      <w:b/>
      <w:color w:val="000052"/>
      <w:sz w:val="24"/>
      <w:szCs w:val="24"/>
      <w:bdr w:val="single" w:sz="6" w:space="0" w:color="E3E3E3"/>
    </w:rPr>
  </w:style>
  <w:style w:type="character" w:customStyle="1" w:styleId="lable">
    <w:name w:val="lable"/>
    <w:qFormat/>
    <w:rPr>
      <w:sz w:val="24"/>
      <w:szCs w:val="24"/>
    </w:rPr>
  </w:style>
  <w:style w:type="character" w:customStyle="1" w:styleId="radio-btn">
    <w:name w:val="radio-btn"/>
    <w:qFormat/>
    <w:rPr>
      <w:sz w:val="21"/>
      <w:szCs w:val="21"/>
    </w:rPr>
  </w:style>
  <w:style w:type="character" w:customStyle="1" w:styleId="radio-btn1">
    <w:name w:val="radio-btn1"/>
    <w:qFormat/>
    <w:rPr>
      <w:sz w:val="24"/>
      <w:szCs w:val="24"/>
    </w:rPr>
  </w:style>
  <w:style w:type="character" w:customStyle="1" w:styleId="radio-btn2">
    <w:name w:val="radio-btn2"/>
    <w:qFormat/>
    <w:rPr>
      <w:sz w:val="24"/>
      <w:szCs w:val="24"/>
    </w:rPr>
  </w:style>
  <w:style w:type="character" w:customStyle="1" w:styleId="cur1">
    <w:name w:val="cur1"/>
    <w:qFormat/>
    <w:rPr>
      <w:color w:val="FFFFFF"/>
      <w:shd w:val="clear" w:color="auto" w:fill="2F6B98"/>
    </w:rPr>
  </w:style>
  <w:style w:type="character" w:customStyle="1" w:styleId="znspantitle">
    <w:name w:val="znspantitle"/>
    <w:qFormat/>
    <w:rPr>
      <w:b/>
      <w:color w:val="333333"/>
    </w:rPr>
  </w:style>
  <w:style w:type="character" w:customStyle="1" w:styleId="font31">
    <w:name w:val="font31"/>
    <w:qFormat/>
    <w:rPr>
      <w:rFonts w:ascii="宋体" w:eastAsia="宋体" w:hAnsi="宋体" w:cs="宋体" w:hint="eastAsia"/>
      <w:color w:val="000000"/>
      <w:sz w:val="21"/>
      <w:szCs w:val="21"/>
      <w:u w:val="none"/>
    </w:rPr>
  </w:style>
  <w:style w:type="paragraph" w:customStyle="1" w:styleId="ParaCharCharCharCharCharCharCharCharCharChar">
    <w:name w:val="默认段落字体 Para Char Char Char Char Char Char Char Char Char Char"/>
    <w:basedOn w:val="BodyTextFirstIndent"/>
    <w:next w:val="BodyTextFirstIndent"/>
    <w:qFormat/>
    <w:pPr>
      <w:spacing w:after="0" w:line="240" w:lineRule="auto"/>
    </w:pPr>
    <w:rPr>
      <w:rFonts w:ascii="Tahoma" w:hAnsi="Tahoma"/>
      <w:color w:val="000000"/>
      <w:szCs w:val="20"/>
    </w:rPr>
  </w:style>
  <w:style w:type="character" w:customStyle="1" w:styleId="5Char">
    <w:name w:val="样式5 Char"/>
    <w:link w:val="51"/>
    <w:qFormat/>
    <w:locked/>
    <w:rPr>
      <w:szCs w:val="24"/>
    </w:rPr>
  </w:style>
  <w:style w:type="paragraph" w:customStyle="1" w:styleId="51">
    <w:name w:val="样式5"/>
    <w:basedOn w:val="Normal"/>
    <w:link w:val="5Char"/>
    <w:qFormat/>
    <w:pPr>
      <w:jc w:val="center"/>
    </w:pPr>
    <w:rPr>
      <w:kern w:val="0"/>
      <w:sz w:val="20"/>
    </w:rPr>
  </w:style>
  <w:style w:type="character" w:customStyle="1" w:styleId="5-Char">
    <w:name w:val="5-正文 Char"/>
    <w:link w:val="5-"/>
    <w:qFormat/>
    <w:rPr>
      <w:kern w:val="2"/>
      <w:sz w:val="24"/>
      <w:szCs w:val="24"/>
    </w:rPr>
  </w:style>
  <w:style w:type="paragraph" w:customStyle="1" w:styleId="5-">
    <w:name w:val="5-正文"/>
    <w:basedOn w:val="Normal"/>
    <w:link w:val="5-Char"/>
    <w:qFormat/>
    <w:pPr>
      <w:spacing w:line="360" w:lineRule="auto"/>
      <w:ind w:firstLine="200" w:firstLineChars="200"/>
      <w:jc w:val="left"/>
    </w:pPr>
    <w:rPr>
      <w:sz w:val="24"/>
    </w:rPr>
  </w:style>
  <w:style w:type="paragraph" w:customStyle="1" w:styleId="18">
    <w:name w:val="修订1"/>
    <w:uiPriority w:val="99"/>
    <w:unhideWhenUsed/>
    <w:qFormat/>
    <w:rPr>
      <w:rFonts w:ascii="Times New Roman" w:eastAsia="宋体" w:hAnsi="Times New Roman" w:cs="Times New Roman"/>
      <w:kern w:val="2"/>
      <w:sz w:val="21"/>
      <w:szCs w:val="24"/>
      <w:lang w:val="en-US" w:eastAsia="zh-CN" w:bidi="ar-SA"/>
    </w:rPr>
  </w:style>
  <w:style w:type="character" w:customStyle="1" w:styleId="-lsChar">
    <w:name w:val="正文-ls Char"/>
    <w:link w:val="-ls"/>
    <w:qFormat/>
    <w:rPr>
      <w:rFonts w:hAnsi="宋体" w:cs="宋体"/>
      <w:kern w:val="2"/>
      <w:sz w:val="24"/>
    </w:rPr>
  </w:style>
  <w:style w:type="paragraph" w:customStyle="1" w:styleId="-ls">
    <w:name w:val="正文-ls"/>
    <w:basedOn w:val="Normal"/>
    <w:link w:val="-lsChar"/>
    <w:qFormat/>
    <w:pPr>
      <w:spacing w:line="360" w:lineRule="auto"/>
      <w:ind w:firstLine="200" w:firstLineChars="200"/>
    </w:pPr>
    <w:rPr>
      <w:rFonts w:hAnsi="宋体" w:cs="宋体"/>
      <w:sz w:val="24"/>
      <w:szCs w:val="20"/>
    </w:rPr>
  </w:style>
  <w:style w:type="paragraph" w:customStyle="1" w:styleId="Default1">
    <w:name w:val="Default1"/>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2152">
    <w:name w:val="样式 样式 样式 首行缩进:  1 字符 + 首行缩进:  2 字符 行距: 1.5 倍行距 + 首行缩进:  2 字符"/>
    <w:basedOn w:val="Normal"/>
    <w:qFormat/>
    <w:pPr>
      <w:adjustRightInd w:val="0"/>
      <w:snapToGrid w:val="0"/>
      <w:spacing w:line="360" w:lineRule="auto"/>
      <w:ind w:firstLine="480" w:firstLineChars="200"/>
    </w:pPr>
    <w:rPr>
      <w:rFonts w:cs="宋体"/>
      <w:sz w:val="24"/>
      <w:szCs w:val="20"/>
    </w:rPr>
  </w:style>
  <w:style w:type="paragraph" w:customStyle="1" w:styleId="2CharCharCharCharCharCharChar">
    <w:name w:val="样式 正文缩进正文缩进2正文缩进 Char Char正文缩进 Char Char Char Char正文缩进 Char ..."/>
    <w:basedOn w:val="NormalIndent"/>
    <w:qFormat/>
    <w:pPr>
      <w:spacing w:before="0" w:line="360" w:lineRule="auto"/>
      <w:ind w:firstLine="200"/>
    </w:pPr>
    <w:rPr>
      <w:rFonts w:ascii="Times New Roman" w:hAnsi="Times New Roman" w:cs="宋体"/>
      <w:szCs w:val="24"/>
    </w:rPr>
  </w:style>
  <w:style w:type="paragraph" w:customStyle="1" w:styleId="a24">
    <w:name w:val="表内内容"/>
    <w:basedOn w:val="Normal"/>
    <w:qFormat/>
    <w:pPr>
      <w:jc w:val="center"/>
    </w:pPr>
  </w:style>
  <w:style w:type="character" w:customStyle="1" w:styleId="CharChar2">
    <w:name w:val="表格 Char Char"/>
    <w:qFormat/>
    <w:rPr>
      <w:sz w:val="21"/>
      <w:szCs w:val="28"/>
    </w:rPr>
  </w:style>
  <w:style w:type="paragraph" w:customStyle="1" w:styleId="a25">
    <w:name w:val="【正文】"/>
    <w:basedOn w:val="Normal"/>
    <w:link w:val="Char27"/>
    <w:qFormat/>
    <w:pPr>
      <w:spacing w:line="440" w:lineRule="exact"/>
      <w:ind w:firstLine="544" w:firstLineChars="200"/>
      <w:jc w:val="left"/>
    </w:pPr>
    <w:rPr>
      <w:sz w:val="24"/>
      <w:szCs w:val="20"/>
    </w:rPr>
  </w:style>
  <w:style w:type="character" w:customStyle="1" w:styleId="Char27">
    <w:name w:val="【正文】 Char"/>
    <w:link w:val="a25"/>
    <w:qFormat/>
    <w:rPr>
      <w:kern w:val="2"/>
      <w:sz w:val="24"/>
    </w:rPr>
  </w:style>
  <w:style w:type="character" w:customStyle="1" w:styleId="style331">
    <w:name w:val="style331"/>
    <w:qFormat/>
    <w:rPr>
      <w:color w:val="660000"/>
      <w:sz w:val="24"/>
      <w:szCs w:val="24"/>
    </w:rPr>
  </w:style>
  <w:style w:type="character" w:customStyle="1" w:styleId="style171">
    <w:name w:val="style171"/>
    <w:qFormat/>
    <w:rPr>
      <w:rFonts w:ascii="Times New Roman" w:eastAsia="宋体" w:hAnsi="Times New Roman" w:cs="Times New Roman"/>
      <w:sz w:val="14"/>
      <w:szCs w:val="14"/>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Calibri" w:hAnsi="Calibri" w:cs="Calibri" w:hint="default"/>
      <w:color w:val="000000"/>
      <w:sz w:val="24"/>
      <w:szCs w:val="24"/>
    </w:rPr>
  </w:style>
  <w:style w:type="character" w:customStyle="1" w:styleId="1222Char">
    <w:name w:val="样式 样式 样式 首行缩进:  1 字符 + 首行缩进:  2 字符2 + 首行缩进:  2 字符 Char"/>
    <w:link w:val="1222"/>
    <w:qFormat/>
    <w:locked/>
    <w:rPr>
      <w:rFonts w:ascii="宋体" w:hAnsi="宋体" w:cs="宋体"/>
      <w:kern w:val="2"/>
      <w:sz w:val="24"/>
    </w:rPr>
  </w:style>
  <w:style w:type="paragraph" w:customStyle="1" w:styleId="1222">
    <w:name w:val="样式 样式 样式 首行缩进:  1 字符 + 首行缩进:  2 字符2 + 首行缩进:  2 字符"/>
    <w:basedOn w:val="Normal"/>
    <w:link w:val="1222Char"/>
    <w:qFormat/>
    <w:pPr>
      <w:spacing w:line="360" w:lineRule="auto"/>
      <w:ind w:firstLine="480" w:firstLineChars="200"/>
    </w:pPr>
    <w:rPr>
      <w:rFonts w:ascii="宋体" w:hAnsi="宋体" w:cs="宋体"/>
      <w:sz w:val="24"/>
      <w:szCs w:val="20"/>
    </w:rPr>
  </w:style>
  <w:style w:type="paragraph" w:customStyle="1" w:styleId="ParaChar">
    <w:name w:val="默认段落字体 Para Char"/>
    <w:basedOn w:val="Normal"/>
    <w:qFormat/>
    <w:rPr>
      <w:rFonts w:ascii="Calibri" w:hAnsi="Calibri"/>
    </w:rPr>
  </w:style>
  <w:style w:type="paragraph" w:customStyle="1" w:styleId="TOC10">
    <w:name w:val="TOC 标题1"/>
    <w:basedOn w:val="Heading1"/>
    <w:next w:val="Normal"/>
    <w:uiPriority w:val="39"/>
    <w:unhideWhenUsed/>
    <w:qFormat/>
    <w:pPr>
      <w:keepLines/>
      <w:widowControl/>
      <w:overflowPunct/>
      <w:snapToGrid/>
      <w:spacing w:before="480" w:after="0" w:line="276" w:lineRule="auto"/>
      <w:ind w:left="0" w:firstLine="0"/>
      <w:jc w:val="left"/>
      <w:outlineLvl w:val="9"/>
    </w:pPr>
    <w:rPr>
      <w:rFonts w:asciiTheme="majorHAnsi" w:eastAsiaTheme="majorEastAsia" w:hAnsiTheme="majorHAnsi" w:cstheme="majorBidi"/>
      <w:color w:val="376092" w:themeColor="accent1" w:themeShade="BF"/>
      <w:kern w:val="0"/>
      <w:sz w:val="28"/>
      <w:szCs w:val="28"/>
    </w:rPr>
  </w:style>
  <w:style w:type="paragraph" w:customStyle="1" w:styleId="010">
    <w:name w:val="正文01"/>
    <w:basedOn w:val="Normal"/>
    <w:qFormat/>
    <w:pPr>
      <w:spacing w:before="60" w:line="460" w:lineRule="exact"/>
      <w:ind w:firstLine="200" w:firstLineChars="200"/>
    </w:pPr>
    <w:rPr>
      <w:sz w:val="24"/>
    </w:rPr>
  </w:style>
  <w:style w:type="paragraph" w:customStyle="1" w:styleId="00">
    <w:name w:val="0图表名"/>
    <w:basedOn w:val="Normal"/>
    <w:qFormat/>
    <w:pPr>
      <w:jc w:val="center"/>
    </w:pPr>
    <w:rPr>
      <w:rFonts w:eastAsia="黑体"/>
      <w:kern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566020121000010104"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_rels/settings.xml.rels><?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21F4DE-1DD2-4111-A255-21C8761F58B7}">
  <ds:schemaRefs/>
</ds:datastoreItem>
</file>

<file path=docProps/app.xml><?xml version="1.0" encoding="utf-8"?>
<Properties xmlns="http://schemas.openxmlformats.org/officeDocument/2006/extended-properties" xmlns:vt="http://schemas.openxmlformats.org/officeDocument/2006/docPropsVTypes">
  <Template>wdzx97</Template>
  <TotalTime>79</TotalTime>
  <Pages>14</Pages>
  <Words>16425</Words>
  <Characters>18890</Characters>
  <Application>Microsoft Office Word</Application>
  <DocSecurity>0</DocSecurity>
  <Lines>2361</Lines>
  <Paragraphs>2207</Paragraphs>
  <ScaleCrop>false</ScaleCrop>
  <Company>微软中国</Company>
  <LinksUpToDate>false</LinksUpToDate>
  <CharactersWithSpaces>33108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WPS_1559717548</cp:lastModifiedBy>
  <cp:revision>907</cp:revision>
  <cp:lastPrinted>2023-09-27T02:13:00Z</cp:lastPrinted>
  <dcterms:created xsi:type="dcterms:W3CDTF">2021-12-01T07:22:00Z</dcterms:created>
  <dcterms:modified xsi:type="dcterms:W3CDTF">2024-03-21T03:52:09Z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E001EC24F27A4491B929FE90D09FBF38</vt:lpwstr>
  </property>
  <property fmtid="{D5CDD505-2E9C-101B-9397-08002B2CF9AE}" pid="3" name="KSOProductBuildVer">
    <vt:lpwstr>2052-11.1.0.10009</vt:lpwstr>
  </property>
</Properties>
</file>