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2018-2023年天津现代职业技术学院高职单招（数学／语文／英语）历年常考试题库含答案解析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下列划横线的句子翻译正确的是（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A.未及见贼而士卒离散，君臣相顾，不知所归。君臣相顾：君王和大臣们互相照顾。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B.孟尝君不说，日：“诺，先生休矣！”先生休矣：先生休息吧！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C.城陷而虏，与巡死先后异耳。城陷而虏：城池陷落后他被敌人俘获。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D.举先王之政，以兴利除弊，不为生事。举先王之政：列举先王的治国方略。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李广将兵的特点是（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A.行军无部伍行阵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B.士吏治军簿至明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C.谨守法度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D.正部曲行伍营阵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宋代作家中，文艺成就最为全面的一位作家是（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A.欧阳修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《米龙老爹》在叙述方法上的特点是（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A.顺叙方式和第一人称与第三人称叙述方式交互使用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B.顺叙之中有插叙和第三人称叙述方式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C.倒叙方式和第一人称叙述方式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D.倒叙方式和第一人称与第三人称叙述方式交互使用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下列作品中，同属于人物传记的是（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A.《张中丞传后叙》《陈情表》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B.《五代史伶官传序》《马伶传》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C.《李将军列传》《冯谖客孟尝君》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D.《李将军列传》《马伶传》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在下列诗句中，使用了“赋”的表现手法的是（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A.于嗟鸠兮，无食桑葚。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B.淇则有岸，隰则有泮。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C.总角之宴，言笑晏晏。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D.桑之未落，其叶沃若。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“遥岑远目，献愁供恨，玉簪螺髻”所用的修辞手法是（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A.象征、比喻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B.象征、拟人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C.双关、比喻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冰心在《往事》一文中，用什么形象的特征象征人的品格（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A.灯光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B.大海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C.道路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D.蜜蜂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《张中丞传后叙》主要采用____的写法来补记许远的事迹（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A.夹叙夹议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B.议论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C.叙述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《风波》、《断魂枪》、《苦恼》的作者依次是（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A.鲁迅、契诃夫、老舍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B.契诃夫、鲁迅、老舍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C.鲁迅、老舍、契诃夫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D.契诃夫、老舍、鲁迅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《蜀相》是一首（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“多行不义必自毙”“贻笑大方”“夙兴夜寐”三个成语依次出自（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A.《寡人之于国也》、《庄子·秋水》、《季氏将伐颛臾》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B.《郑伯克段于鄢》、《庄子·秋水》、《诗经·氓》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C.《陈情表》、《诗经·氓》、《郑伯克段于鄢》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D.《礼记·大同》、《寡人之于国也》、《庄子·秋水》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李商隐的《无题》（相见时难别亦难）表达相思之苦的名句是（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A.东风无力百花残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B.晓镜但愁云鬓改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C.相见时难别亦难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D.春蚕到死丝方尽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下列选项中，画线部分翻译错误的一项是（）。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A.闻道百，以为莫己若者，我之谓也以为~~莫己若者：认为没有谁如同自己一样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B.今乃弃黔首以资敌国，却宾客以业诸侯~~却宾客以业诸侯：驱逐宾客使诸侯成就功业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https://d.book118.com/566120135230010052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566120135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