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2"/>
        <w:keepNext w:val="0"/>
        <w:keepLines w:val="0"/>
        <w:widowControl w:val="0"/>
        <w:shd w:val="clear" w:color="auto" w:fill="auto"/>
        <w:bidi w:val="0"/>
        <w:spacing w:before="0" w:after="0" w:line="722" w:lineRule="exact"/>
        <w:ind w:left="0" w:right="0" w:firstLine="0"/>
        <w:jc w:val="center"/>
      </w:pPr>
      <w:r>
        <w:rPr>
          <w:b/>
          <w:bCs/>
          <w:color w:val="000000"/>
          <w:spacing w:val="0"/>
          <w:w w:val="100"/>
          <w:position w:val="0"/>
        </w:rPr>
        <w:t>化疗药物的分类和原则</w:t>
      </w:r>
    </w:p>
    <w:p>
      <w:pPr>
        <w:pStyle w:val="a2"/>
        <w:keepNext w:val="0"/>
        <w:keepLines w:val="0"/>
        <w:widowControl w:val="0"/>
        <w:shd w:val="clear" w:color="auto" w:fill="auto"/>
        <w:tabs>
          <w:tab w:val="left" w:pos="2246"/>
          <w:tab w:val="left" w:pos="5731"/>
        </w:tabs>
        <w:bidi w:val="0"/>
        <w:spacing w:before="0" w:after="0" w:line="722" w:lineRule="exact"/>
        <w:ind w:left="0" w:right="0" w:firstLine="0"/>
        <w:jc w:val="center"/>
      </w:pPr>
      <w:r>
        <w:rPr>
          <w:b/>
          <w:bCs/>
          <w:color w:val="000000"/>
          <w:spacing w:val="0"/>
          <w:w w:val="100"/>
          <w:position w:val="0"/>
        </w:rPr>
        <w:t>药物</w:t>
        <w:tab/>
        <w:t>剂量和使用方法</w:t>
        <w:tab/>
        <w:t>急性副作用 毒性注 适应症</w:t>
      </w:r>
    </w:p>
    <w:p>
      <w:pPr>
        <w:pStyle w:val="a2"/>
        <w:keepNext w:val="0"/>
        <w:keepLines w:val="0"/>
        <w:widowControl w:val="0"/>
        <w:shd w:val="clear" w:color="auto" w:fill="auto"/>
        <w:bidi w:val="0"/>
        <w:spacing w:before="0" w:after="0" w:line="722" w:lineRule="exact"/>
        <w:ind w:left="10300" w:right="0" w:firstLine="0"/>
        <w:jc w:val="left"/>
      </w:pPr>
      <w:r>
        <w:rPr>
          <w:b/>
          <w:bCs/>
          <w:color w:val="000000"/>
          <w:spacing w:val="0"/>
          <w:w w:val="100"/>
          <w:position w:val="0"/>
        </w:rPr>
        <w:t>意</w:t>
      </w:r>
    </w:p>
    <w:p>
      <w:pPr>
        <w:pStyle w:val="a2"/>
        <w:keepNext w:val="0"/>
        <w:keepLines w:val="0"/>
        <w:widowControl w:val="0"/>
        <w:shd w:val="clear" w:color="auto" w:fill="auto"/>
        <w:bidi w:val="0"/>
        <w:spacing w:before="0" w:after="0" w:line="722" w:lineRule="exact"/>
        <w:ind w:left="10300" w:right="0" w:firstLine="0"/>
        <w:jc w:val="left"/>
      </w:pPr>
      <w:r>
        <w:rPr>
          <w:b/>
          <w:bCs/>
          <w:color w:val="000000"/>
          <w:spacing w:val="0"/>
          <w:w w:val="100"/>
          <w:position w:val="0"/>
        </w:rPr>
        <w:t>事</w:t>
      </w:r>
    </w:p>
    <w:p>
      <w:pPr>
        <w:pStyle w:val="a2"/>
        <w:keepNext w:val="0"/>
        <w:keepLines w:val="0"/>
        <w:widowControl w:val="0"/>
        <w:shd w:val="clear" w:color="auto" w:fill="auto"/>
        <w:bidi w:val="0"/>
        <w:spacing w:before="0" w:after="0" w:line="722" w:lineRule="exact"/>
        <w:ind w:left="10300" w:right="0" w:firstLine="0"/>
        <w:jc w:val="left"/>
      </w:pPr>
      <w:r>
        <w:rPr>
          <w:b/>
          <w:bCs/>
          <w:color w:val="000000"/>
          <w:spacing w:val="0"/>
          <w:w w:val="100"/>
          <w:position w:val="0"/>
        </w:rPr>
        <w:t>项</w:t>
      </w:r>
    </w:p>
    <w:p>
      <w:pPr>
        <w:pStyle w:val="a2"/>
        <w:keepNext w:val="0"/>
        <w:keepLines w:val="0"/>
        <w:widowControl w:val="0"/>
        <w:shd w:val="clear" w:color="auto" w:fill="auto"/>
        <w:tabs>
          <w:tab w:val="left" w:pos="1320"/>
        </w:tabs>
        <w:bidi w:val="0"/>
        <w:spacing w:before="0" w:after="0" w:line="715" w:lineRule="exact"/>
        <w:ind w:left="0" w:right="0" w:firstLine="0"/>
        <w:jc w:val="both"/>
      </w:pPr>
      <w:r>
        <w:rPr>
          <w:b/>
          <w:bCs/>
          <w:color w:val="000000"/>
          <w:spacing w:val="0"/>
          <w:w w:val="100"/>
          <w:position w:val="0"/>
        </w:rPr>
        <w:t>1.</w:t>
        <w:tab/>
      </w:r>
      <w:r>
        <w:rPr>
          <w:b/>
          <w:bCs/>
          <w:color w:val="000000"/>
          <w:spacing w:val="0"/>
          <w:w w:val="100"/>
          <w:position w:val="0"/>
        </w:rPr>
        <w:t>烷化剂/周期非特异性药物</w:t>
      </w:r>
      <w:r>
        <w:rPr>
          <w:color w:val="000000"/>
          <w:spacing w:val="0"/>
          <w:w w:val="100"/>
          <w:position w:val="0"/>
        </w:rPr>
        <w:t>（作用于</w:t>
      </w:r>
      <w:r>
        <w:rPr>
          <w:color w:val="000000"/>
          <w:spacing w:val="0"/>
          <w:w w:val="100"/>
          <w:position w:val="0"/>
        </w:rPr>
        <w:t>G0</w:t>
      </w:r>
      <w:r>
        <w:rPr>
          <w:color w:val="000000"/>
          <w:spacing w:val="0"/>
          <w:w w:val="100"/>
          <w:position w:val="0"/>
        </w:rPr>
        <w:t>到有丝分裂的所有期别）</w:t>
      </w:r>
    </w:p>
    <w:p>
      <w:pPr>
        <w:pStyle w:val="a2"/>
        <w:keepNext w:val="0"/>
        <w:keepLines w:val="0"/>
        <w:widowControl w:val="0"/>
        <w:shd w:val="clear" w:color="auto" w:fill="auto"/>
        <w:bidi w:val="0"/>
        <w:spacing w:before="0" w:after="0" w:line="715" w:lineRule="exact"/>
        <w:ind w:left="0" w:right="0" w:firstLine="0"/>
        <w:jc w:val="both"/>
      </w:pPr>
      <w:r>
        <w:rPr>
          <w:color w:val="000000"/>
          <w:spacing w:val="0"/>
          <w:w w:val="100"/>
          <w:position w:val="0"/>
        </w:rPr>
        <w:t>烷化剂可以进一步分为：</w:t>
      </w:r>
    </w:p>
    <w:p>
      <w:pPr>
        <w:pStyle w:val="a2"/>
        <w:keepNext w:val="0"/>
        <w:keepLines w:val="0"/>
        <w:widowControl w:val="0"/>
        <w:shd w:val="clear" w:color="auto" w:fill="auto"/>
        <w:bidi w:val="0"/>
        <w:spacing w:before="0" w:after="0" w:line="715" w:lineRule="exact"/>
        <w:ind w:left="0" w:right="0" w:firstLine="740"/>
        <w:jc w:val="both"/>
      </w:pPr>
      <w:r>
        <w:rPr>
          <w:color w:val="000000"/>
          <w:spacing w:val="0"/>
          <w:w w:val="100"/>
          <w:position w:val="0"/>
        </w:rPr>
        <w:t>氮芥类：均有活跃的双氯乙基集团，比较重要的有氮芥、苯丁酸氮芥、环磷 酰胺（</w:t>
      </w:r>
      <w:r>
        <w:rPr>
          <w:color w:val="000000"/>
          <w:spacing w:val="0"/>
          <w:w w:val="100"/>
          <w:position w:val="0"/>
        </w:rPr>
        <w:t>CTX）</w:t>
      </w:r>
      <w:r>
        <w:rPr>
          <w:color w:val="000000"/>
          <w:spacing w:val="0"/>
          <w:w w:val="100"/>
          <w:position w:val="0"/>
        </w:rPr>
        <w:t>、异环磷酰胺（</w:t>
      </w:r>
      <w:r>
        <w:rPr>
          <w:color w:val="000000"/>
          <w:spacing w:val="0"/>
          <w:w w:val="100"/>
          <w:position w:val="0"/>
        </w:rPr>
        <w:t>IFO）</w:t>
      </w:r>
      <w:r>
        <w:rPr>
          <w:color w:val="000000"/>
          <w:spacing w:val="0"/>
          <w:w w:val="100"/>
          <w:position w:val="0"/>
        </w:rPr>
        <w:t>等。其中环磷酰胺为潜伏化药物需要活化才能 起作用。目前临床广泛用于治疗淋巴瘤、白血病、多发性骨髓瘤，对乳腺癌、肺 癌等也有一定的疗效。</w:t>
      </w:r>
    </w:p>
    <w:p>
      <w:pPr>
        <w:pStyle w:val="a2"/>
        <w:keepNext w:val="0"/>
        <w:keepLines w:val="0"/>
        <w:widowControl w:val="0"/>
        <w:shd w:val="clear" w:color="auto" w:fill="auto"/>
        <w:bidi w:val="0"/>
        <w:spacing w:before="0" w:after="0" w:line="715" w:lineRule="exact"/>
        <w:ind w:left="0" w:right="0" w:firstLine="740"/>
        <w:jc w:val="both"/>
      </w:pPr>
      <w:r>
        <w:rPr>
          <w:color w:val="000000"/>
          <w:spacing w:val="0"/>
          <w:w w:val="100"/>
          <w:position w:val="0"/>
        </w:rPr>
        <w:t>该药除具有骨髓抑制、脱发、消化道反应，还可以引起充血性膀胱炎，病人 出现血尿，临床在使用此药时应鼓励病人多饮水，达到水化利尿，减少充血性膀 胱炎的发生。还可以配合应用尿路保护剂美斯纳。</w:t>
      </w:r>
    </w:p>
    <w:p>
      <w:pPr>
        <w:pStyle w:val="a2"/>
        <w:keepNext w:val="0"/>
        <w:keepLines w:val="0"/>
        <w:widowControl w:val="0"/>
        <w:shd w:val="clear" w:color="auto" w:fill="auto"/>
        <w:bidi w:val="0"/>
        <w:spacing w:before="0" w:after="0" w:line="722" w:lineRule="exact"/>
        <w:ind w:left="0" w:right="0" w:firstLine="740"/>
        <w:jc w:val="both"/>
      </w:pPr>
      <w:r>
        <w:rPr>
          <w:color w:val="000000"/>
          <w:spacing w:val="0"/>
          <w:w w:val="100"/>
          <w:position w:val="0"/>
        </w:rPr>
        <w:t>亚硝脲类：最早的结构是</w:t>
      </w:r>
      <w:r>
        <w:rPr>
          <w:color w:val="000000"/>
          <w:spacing w:val="0"/>
          <w:w w:val="100"/>
          <w:position w:val="0"/>
        </w:rPr>
        <w:t>N-</w:t>
      </w:r>
      <w:r>
        <w:rPr>
          <w:color w:val="000000"/>
          <w:spacing w:val="0"/>
          <w:w w:val="100"/>
          <w:position w:val="0"/>
        </w:rPr>
        <w:t>甲基亚硝脲</w:t>
      </w:r>
      <w:r>
        <w:rPr>
          <w:color w:val="000000"/>
          <w:spacing w:val="0"/>
          <w:w w:val="100"/>
          <w:position w:val="0"/>
        </w:rPr>
        <w:t>（MNU）</w:t>
      </w:r>
      <w:r>
        <w:rPr>
          <w:color w:val="000000"/>
          <w:spacing w:val="0"/>
          <w:w w:val="100"/>
          <w:position w:val="0"/>
        </w:rPr>
        <w:t>。以后，合成了加入氯乙集 团的系列化合物，其中临床有效的有</w:t>
      </w:r>
      <w:r>
        <w:rPr>
          <w:color w:val="000000"/>
          <w:spacing w:val="0"/>
          <w:w w:val="100"/>
          <w:position w:val="0"/>
        </w:rPr>
        <w:t>ACNU、BCNU、CCNU</w:t>
      </w:r>
      <w:r>
        <w:rPr>
          <w:color w:val="000000"/>
          <w:spacing w:val="0"/>
          <w:w w:val="100"/>
          <w:position w:val="0"/>
        </w:rPr>
        <w:t>、甲基</w:t>
      </w:r>
      <w:r>
        <w:rPr>
          <w:color w:val="000000"/>
          <w:spacing w:val="0"/>
          <w:w w:val="100"/>
          <w:position w:val="0"/>
        </w:rPr>
        <w:t>CCNU</w:t>
      </w:r>
      <w:r>
        <w:rPr>
          <w:color w:val="000000"/>
          <w:spacing w:val="0"/>
          <w:w w:val="100"/>
          <w:position w:val="0"/>
        </w:rPr>
        <w:t>等，链氮霉 素均曾进入临床，但目前已不用。其中</w:t>
      </w:r>
      <w:r>
        <w:rPr>
          <w:color w:val="000000"/>
          <w:spacing w:val="0"/>
          <w:w w:val="100"/>
          <w:position w:val="0"/>
        </w:rPr>
        <w:t>ACNU、BCNU、CCNU</w:t>
      </w:r>
      <w:r>
        <w:rPr>
          <w:color w:val="000000"/>
          <w:spacing w:val="0"/>
          <w:w w:val="100"/>
          <w:position w:val="0"/>
        </w:rPr>
        <w:t>、能通过血脑屏障， 临床用于脑瘤及颅内转移瘤的治疗。主要不良反应是消化道反应及迟发性的骨髓 抑制，应注意对血象'的观测，及时发现给予处理。</w:t>
      </w:r>
    </w:p>
    <w:p>
      <w:pPr>
        <w:pStyle w:val="a2"/>
        <w:keepNext w:val="0"/>
        <w:keepLines w:val="0"/>
        <w:widowControl w:val="0"/>
        <w:shd w:val="clear" w:color="auto" w:fill="auto"/>
        <w:bidi w:val="0"/>
        <w:spacing w:before="0" w:after="0" w:line="722" w:lineRule="exact"/>
        <w:ind w:left="0" w:right="0" w:firstLine="740"/>
        <w:jc w:val="both"/>
      </w:pPr>
      <w:r>
        <w:rPr>
          <w:color w:val="000000"/>
          <w:spacing w:val="0"/>
          <w:w w:val="100"/>
          <w:position w:val="0"/>
        </w:rPr>
        <w:t>乙烯亚胺类：在研究氮芥作用的过程中，发现氮芥是以乙烯亚胺形式发挥烷 化作用的，因此，合成了 2, 4, 6-三乙烯亚胺三嗪化合物</w:t>
      </w:r>
      <w:r>
        <w:rPr>
          <w:color w:val="000000"/>
          <w:spacing w:val="0"/>
          <w:w w:val="100"/>
          <w:position w:val="0"/>
        </w:rPr>
        <w:t>（TEM）</w:t>
      </w:r>
      <w:r>
        <w:rPr>
          <w:color w:val="000000"/>
          <w:spacing w:val="0"/>
          <w:w w:val="100"/>
          <w:position w:val="0"/>
        </w:rPr>
        <w:t>，并证明在临 床具有抗肿瘤效应，但目前在临床应用的只有塞替派。此药用于治疗卵巢癌、乳 腺癌、膀胱癌，不良反应主要为骨髓抑制，注意对血象定期监测。</w:t>
      </w:r>
    </w:p>
    <w:p>
      <w:pPr>
        <w:pStyle w:val="a2"/>
        <w:keepNext w:val="0"/>
        <w:keepLines w:val="0"/>
        <w:widowControl w:val="0"/>
        <w:shd w:val="clear" w:color="auto" w:fill="auto"/>
        <w:bidi w:val="0"/>
        <w:spacing w:before="0" w:after="0" w:line="722" w:lineRule="exact"/>
        <w:ind w:left="0" w:right="0" w:firstLine="740"/>
        <w:jc w:val="both"/>
      </w:pPr>
      <w:r>
        <w:rPr>
          <w:color w:val="000000"/>
          <w:spacing w:val="0"/>
          <w:w w:val="100"/>
          <w:position w:val="0"/>
        </w:rPr>
        <w:t>甲烷磺酸酯类：为根据交叉键联系之复合成的系列化合物，目前临床常用的 只有白消安（马利兰）。临床上主要用于慢性粒细胞白血病，主要不良反应是消 化道反应及骨髓抑制，个别病人可引起纤维化为严重的不良反应。遇到这种情况 应立即停药，更换其它药物。</w:t>
      </w:r>
    </w:p>
    <w:p>
      <w:pPr>
        <w:pStyle w:val="a2"/>
        <w:keepNext w:val="0"/>
        <w:keepLines w:val="0"/>
        <w:widowControl w:val="0"/>
        <w:shd w:val="clear" w:color="auto" w:fill="auto"/>
        <w:bidi w:val="0"/>
        <w:spacing w:before="0" w:after="0" w:line="722" w:lineRule="exact"/>
        <w:ind w:left="0" w:right="0" w:firstLine="720"/>
        <w:jc w:val="both"/>
        <w:sectPr>
          <w:pgSz w:w="17861" w:h="25258"/>
          <w:pgMar w:top="1829" w:right="2486" w:bottom="2287" w:left="2654" w:header="0" w:footer="3" w:gutter="0"/>
          <w:cols w:space="720"/>
          <w:noEndnote/>
          <w:rtlGutter w:val="0"/>
          <w:docGrid w:linePitch="360"/>
        </w:sectPr>
      </w:pPr>
      <w:r>
        <w:rPr>
          <w:color w:val="000000"/>
          <w:spacing w:val="0"/>
          <w:w w:val="100"/>
          <w:position w:val="0"/>
        </w:rPr>
        <w:t>其他：具有烷化作用的有达卡巴嗪</w:t>
      </w:r>
      <w:r>
        <w:rPr>
          <w:color w:val="000000"/>
          <w:spacing w:val="0"/>
          <w:w w:val="100"/>
          <w:position w:val="0"/>
        </w:rPr>
        <w:t>（DTIC）</w:t>
      </w:r>
      <w:r>
        <w:rPr>
          <w:color w:val="000000"/>
          <w:spacing w:val="0"/>
          <w:w w:val="100"/>
          <w:position w:val="0"/>
        </w:rPr>
        <w:t>、甲基苄肼</w:t>
      </w:r>
      <w:r>
        <w:rPr>
          <w:color w:val="000000"/>
          <w:spacing w:val="0"/>
          <w:w w:val="100"/>
          <w:position w:val="0"/>
        </w:rPr>
        <w:t>（PCZ</w:t>
      </w:r>
      <w:r>
        <w:rPr>
          <w:color w:val="000000"/>
          <w:spacing w:val="0"/>
          <w:w w:val="100"/>
          <w:position w:val="0"/>
        </w:rPr>
        <w:t>）六甲嘧胺</w:t>
      </w:r>
      <w:r>
        <w:rPr>
          <w:color w:val="000000"/>
          <w:spacing w:val="0"/>
          <w:w w:val="100"/>
          <w:position w:val="0"/>
        </w:rPr>
        <w:t>（H</w:t>
      </w:r>
    </w:p>
    <w:p>
      <w:pPr>
        <w:pStyle w:val="a3"/>
        <w:keepNext w:val="0"/>
        <w:keepLines w:val="0"/>
        <w:widowControl w:val="0"/>
        <w:shd w:val="clear" w:color="auto" w:fill="auto"/>
        <w:bidi w:val="0"/>
        <w:spacing w:before="0" w:after="0" w:line="240" w:lineRule="auto"/>
        <w:ind w:left="5" w:right="0" w:firstLine="0"/>
        <w:jc w:val="left"/>
      </w:pPr>
      <w:r>
        <w:rPr>
          <w:color w:val="000000"/>
          <w:spacing w:val="0"/>
          <w:w w:val="100"/>
          <w:position w:val="0"/>
        </w:rPr>
        <w:t>HN）</w:t>
      </w:r>
      <w:r>
        <w:rPr>
          <w:color w:val="000000"/>
          <w:spacing w:val="0"/>
          <w:w w:val="100"/>
          <w:position w:val="0"/>
        </w:rPr>
        <w:t>等。环氧化合物，由于严重不良反应目前已被淘汰。</w:t>
      </w:r>
    </w:p>
    <w:tbl>
      <w:tblPr>
        <w:tblStyle w:val="TableNormal"/>
        <w:tblOverlap w:val="never"/>
        <w:jc w:val="center"/>
        <w:tblLayout w:type="fixed"/>
        <w:tblCellMar>
          <w:left w:w="10" w:type="dxa"/>
          <w:right w:w="10" w:type="dxa"/>
        </w:tblCellMar>
      </w:tblPr>
      <w:tblGrid>
        <w:gridCol w:w="1714"/>
        <w:gridCol w:w="360"/>
        <w:gridCol w:w="4118"/>
        <w:gridCol w:w="1973"/>
        <w:gridCol w:w="2006"/>
        <w:gridCol w:w="638"/>
        <w:gridCol w:w="1709"/>
      </w:tblGrid>
      <w:tr>
        <w:tblPrEx>
          <w:jc w:val="center"/>
          <w:tblLayout w:type="fixed"/>
          <w:tblCellMar>
            <w:left w:w="10" w:type="dxa"/>
            <w:right w:w="10" w:type="dxa"/>
          </w:tblCellMar>
        </w:tblPrEx>
        <w:trPr>
          <w:trHeight w:hRule="exact" w:val="2203"/>
          <w:jc w:val="center"/>
        </w:trPr>
        <w:tc>
          <w:tcPr>
            <w:tcW w:w="171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320" w:line="240" w:lineRule="auto"/>
              <w:ind w:left="0" w:right="0" w:firstLine="0"/>
              <w:jc w:val="both"/>
            </w:pPr>
            <w:r>
              <w:rPr>
                <w:color w:val="000000"/>
                <w:spacing w:val="0"/>
                <w:w w:val="100"/>
                <w:position w:val="0"/>
              </w:rPr>
              <w:t>环磷</w:t>
            </w:r>
          </w:p>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酰胺</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00" w:after="300" w:line="240" w:lineRule="auto"/>
              <w:ind w:left="0" w:right="0" w:firstLine="0"/>
              <w:jc w:val="left"/>
              <w:rPr>
                <w:sz w:val="18"/>
                <w:szCs w:val="18"/>
              </w:rPr>
            </w:pPr>
            <w:r>
              <w:rPr>
                <w:color w:val="000000"/>
                <w:spacing w:val="0"/>
                <w:w w:val="100"/>
                <w:position w:val="0"/>
                <w:sz w:val="36"/>
                <w:szCs w:val="36"/>
              </w:rPr>
              <w:t>50-1500mg/m</w:t>
            </w:r>
            <w:r>
              <w:rPr>
                <w:color w:val="000000"/>
                <w:spacing w:val="0"/>
                <w:w w:val="100"/>
                <w:position w:val="0"/>
                <w:sz w:val="18"/>
                <w:szCs w:val="18"/>
              </w:rPr>
              <w:t>2</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单次IV</w:t>
            </w:r>
          </w:p>
        </w:tc>
        <w:tc>
          <w:tcPr>
            <w:tcW w:w="1973"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300" w:line="240" w:lineRule="auto"/>
              <w:ind w:left="0" w:right="0" w:firstLine="0"/>
              <w:jc w:val="left"/>
            </w:pPr>
            <w:r>
              <w:rPr>
                <w:color w:val="000000"/>
                <w:spacing w:val="0"/>
                <w:w w:val="100"/>
                <w:position w:val="0"/>
              </w:rPr>
              <w:t>恶心、呕吐</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恶心、呕吐</w:t>
            </w:r>
          </w:p>
        </w:tc>
        <w:tc>
          <w:tcPr>
            <w:tcW w:w="2006"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60" w:after="300" w:line="240" w:lineRule="auto"/>
              <w:ind w:left="0" w:right="0" w:firstLine="0"/>
              <w:jc w:val="left"/>
            </w:pPr>
            <w:r>
              <w:rPr>
                <w:color w:val="000000"/>
                <w:spacing w:val="0"/>
                <w:w w:val="100"/>
                <w:position w:val="0"/>
              </w:rPr>
              <w:t>骨髓抑制、</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脱发、</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膀胱炎</w:t>
            </w:r>
          </w:p>
        </w:tc>
        <w:tc>
          <w:tcPr>
            <w:tcW w:w="638" w:type="dxa"/>
            <w:vMerge w:val="restart"/>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保</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证</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摄</w:t>
            </w:r>
          </w:p>
          <w:p>
            <w:pPr>
              <w:pStyle w:val="a4"/>
              <w:keepNext w:val="0"/>
              <w:keepLines w:val="0"/>
              <w:widowControl w:val="0"/>
              <w:shd w:val="clear" w:color="auto" w:fill="auto"/>
              <w:bidi w:val="0"/>
              <w:spacing w:before="0" w:after="360" w:line="240" w:lineRule="auto"/>
              <w:ind w:left="0" w:right="0" w:firstLine="0"/>
              <w:jc w:val="both"/>
            </w:pPr>
            <w:r>
              <w:rPr>
                <w:color w:val="000000"/>
                <w:spacing w:val="0"/>
                <w:w w:val="100"/>
                <w:position w:val="0"/>
              </w:rPr>
              <w:t>入</w:t>
            </w:r>
          </w:p>
          <w:p>
            <w:pPr>
              <w:pStyle w:val="a4"/>
              <w:keepNext w:val="0"/>
              <w:keepLines w:val="0"/>
              <w:widowControl w:val="0"/>
              <w:shd w:val="clear" w:color="auto" w:fill="auto"/>
              <w:bidi w:val="0"/>
              <w:spacing w:before="0" w:after="360" w:line="240" w:lineRule="auto"/>
              <w:ind w:left="0" w:right="0" w:firstLine="0"/>
              <w:jc w:val="both"/>
            </w:pPr>
            <w:r>
              <w:rPr>
                <w:color w:val="000000"/>
                <w:spacing w:val="0"/>
                <w:w w:val="100"/>
                <w:position w:val="0"/>
              </w:rPr>
              <w:t>量，</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防</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止</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膀</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胱</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炎</w:t>
            </w:r>
          </w:p>
        </w:tc>
        <w:tc>
          <w:tcPr>
            <w:tcW w:w="1709"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宫颈癌，卵</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巢癌，宫体</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输卵管癌</w:t>
            </w:r>
          </w:p>
        </w:tc>
      </w:tr>
      <w:tr>
        <w:tblPrEx>
          <w:jc w:val="center"/>
          <w:tblLayout w:type="fixed"/>
          <w:tblCellMar>
            <w:left w:w="10" w:type="dxa"/>
            <w:right w:w="10" w:type="dxa"/>
          </w:tblCellMar>
        </w:tblPrEx>
        <w:trPr>
          <w:trHeight w:hRule="exact" w:val="5040"/>
          <w:jc w:val="center"/>
        </w:trPr>
        <w:tc>
          <w:tcPr>
            <w:tcW w:w="171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60" w:after="300" w:line="240" w:lineRule="auto"/>
              <w:ind w:left="0" w:right="0" w:firstLine="0"/>
              <w:jc w:val="both"/>
            </w:pPr>
            <w:r>
              <w:rPr>
                <w:color w:val="000000"/>
                <w:spacing w:val="0"/>
                <w:w w:val="100"/>
                <w:position w:val="0"/>
              </w:rPr>
              <w:t>异环磷</w:t>
            </w:r>
          </w:p>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酰胺</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300" w:line="240" w:lineRule="auto"/>
              <w:ind w:left="0" w:right="0" w:firstLine="0"/>
              <w:jc w:val="left"/>
              <w:rPr>
                <w:sz w:val="18"/>
                <w:szCs w:val="18"/>
              </w:rPr>
            </w:pPr>
            <w:r>
              <w:rPr>
                <w:color w:val="000000"/>
                <w:spacing w:val="0"/>
                <w:w w:val="100"/>
                <w:position w:val="0"/>
                <w:sz w:val="36"/>
                <w:szCs w:val="36"/>
              </w:rPr>
              <w:t xml:space="preserve">每 </w:t>
            </w:r>
            <w:r>
              <w:rPr>
                <w:color w:val="000000"/>
                <w:spacing w:val="0"/>
                <w:w w:val="100"/>
                <w:position w:val="0"/>
                <w:sz w:val="36"/>
                <w:szCs w:val="36"/>
              </w:rPr>
              <w:t xml:space="preserve">3-4 </w:t>
            </w:r>
            <w:r>
              <w:rPr>
                <w:color w:val="000000"/>
                <w:spacing w:val="0"/>
                <w:w w:val="100"/>
                <w:position w:val="0"/>
                <w:sz w:val="36"/>
                <w:szCs w:val="36"/>
              </w:rPr>
              <w:t>周，</w:t>
            </w:r>
            <w:r>
              <w:rPr>
                <w:color w:val="000000"/>
                <w:spacing w:val="0"/>
                <w:w w:val="100"/>
                <w:position w:val="0"/>
                <w:sz w:val="36"/>
                <w:szCs w:val="36"/>
              </w:rPr>
              <w:t>7-10g/m</w:t>
            </w:r>
            <w:r>
              <w:rPr>
                <w:color w:val="000000"/>
                <w:spacing w:val="0"/>
                <w:w w:val="100"/>
                <w:position w:val="0"/>
                <w:sz w:val="18"/>
                <w:szCs w:val="18"/>
              </w:rPr>
              <w:t>2</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IV， </w:t>
            </w:r>
            <w:r>
              <w:rPr>
                <w:color w:val="000000"/>
                <w:spacing w:val="0"/>
                <w:w w:val="100"/>
                <w:position w:val="0"/>
              </w:rPr>
              <w:t xml:space="preserve">3-5 </w:t>
            </w:r>
            <w:r>
              <w:rPr>
                <w:color w:val="000000"/>
                <w:spacing w:val="0"/>
                <w:w w:val="100"/>
                <w:position w:val="0"/>
              </w:rPr>
              <w:t>天</w:t>
            </w:r>
          </w:p>
        </w:tc>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bottom"/>
          </w:tcPr>
          <w:p/>
        </w:tc>
        <w:tc>
          <w:tcPr>
            <w:tcW w:w="1709"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260" w:after="300" w:line="240" w:lineRule="auto"/>
              <w:ind w:left="0" w:right="0" w:firstLine="0"/>
              <w:jc w:val="left"/>
            </w:pPr>
            <w:r>
              <w:rPr>
                <w:color w:val="000000"/>
                <w:spacing w:val="0"/>
                <w:w w:val="100"/>
                <w:position w:val="0"/>
              </w:rPr>
              <w:t>同上，及生</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殖细胞肿</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瘤</w:t>
            </w:r>
          </w:p>
        </w:tc>
      </w:tr>
      <w:tr>
        <w:tblPrEx>
          <w:jc w:val="center"/>
          <w:tblLayout w:type="fixed"/>
          <w:tblCellMar>
            <w:left w:w="10" w:type="dxa"/>
            <w:right w:w="10" w:type="dxa"/>
          </w:tblCellMar>
        </w:tblPrEx>
        <w:trPr>
          <w:trHeight w:hRule="exact" w:val="1507"/>
          <w:jc w:val="center"/>
        </w:trPr>
        <w:tc>
          <w:tcPr>
            <w:tcW w:w="171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0" w:line="240" w:lineRule="auto"/>
              <w:ind w:left="0" w:right="0" w:firstLine="0"/>
              <w:jc w:val="both"/>
            </w:pPr>
            <w:r>
              <w:rPr>
                <w:color w:val="000000"/>
                <w:spacing w:val="0"/>
                <w:w w:val="100"/>
                <w:position w:val="0"/>
              </w:rPr>
              <w:t>马法兰</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 xml:space="preserve">每 </w:t>
            </w:r>
            <w:r>
              <w:rPr>
                <w:color w:val="000000"/>
                <w:spacing w:val="0"/>
                <w:w w:val="100"/>
                <w:position w:val="0"/>
              </w:rPr>
              <w:t xml:space="preserve">4-6 </w:t>
            </w:r>
            <w:r>
              <w:rPr>
                <w:color w:val="000000"/>
                <w:spacing w:val="0"/>
                <w:w w:val="100"/>
                <w:position w:val="0"/>
              </w:rPr>
              <w:t xml:space="preserve">周 </w:t>
            </w:r>
            <w:r>
              <w:rPr>
                <w:color w:val="000000"/>
                <w:spacing w:val="0"/>
                <w:w w:val="100"/>
                <w:position w:val="0"/>
              </w:rPr>
              <w:t>0.2mg/(kg.d)</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口服，4天</w:t>
            </w:r>
          </w:p>
        </w:tc>
        <w:tc>
          <w:tcPr>
            <w:tcW w:w="1973"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320" w:line="240" w:lineRule="auto"/>
              <w:ind w:left="0" w:right="0" w:firstLine="0"/>
              <w:jc w:val="left"/>
            </w:pPr>
            <w:r>
              <w:rPr>
                <w:color w:val="000000"/>
                <w:spacing w:val="0"/>
                <w:w w:val="100"/>
                <w:position w:val="0"/>
              </w:rPr>
              <w:t>恶心、呕吐</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（大剂量）</w:t>
            </w:r>
          </w:p>
        </w:tc>
        <w:tc>
          <w:tcPr>
            <w:tcW w:w="2006"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60" w:after="0" w:line="240" w:lineRule="auto"/>
              <w:ind w:left="0" w:right="0" w:firstLine="0"/>
              <w:jc w:val="left"/>
            </w:pPr>
            <w:r>
              <w:rPr>
                <w:color w:val="000000"/>
                <w:spacing w:val="0"/>
                <w:w w:val="100"/>
                <w:position w:val="0"/>
              </w:rPr>
              <w:t>骨髓抑制</w:t>
            </w: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78"/>
          <w:jc w:val="center"/>
        </w:trPr>
        <w:tc>
          <w:tcPr>
            <w:tcW w:w="171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苯丁酸</w:t>
            </w:r>
          </w:p>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氮芥</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00" w:after="0" w:line="240" w:lineRule="auto"/>
              <w:ind w:left="0" w:right="0" w:firstLine="0"/>
              <w:jc w:val="left"/>
            </w:pPr>
            <w:r>
              <w:rPr>
                <w:color w:val="000000"/>
                <w:spacing w:val="0"/>
                <w:w w:val="100"/>
                <w:position w:val="0"/>
              </w:rPr>
              <w:t>0.1-0.2mg/kg.d，</w:t>
            </w:r>
            <w:r>
              <w:rPr>
                <w:color w:val="000000"/>
                <w:spacing w:val="0"/>
                <w:w w:val="100"/>
                <w:position w:val="0"/>
              </w:rPr>
              <w:t>口服</w:t>
            </w:r>
          </w:p>
        </w:tc>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top"/>
          </w:tcP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30"/>
          <w:jc w:val="center"/>
        </w:trPr>
        <w:tc>
          <w:tcPr>
            <w:tcW w:w="171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6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pStyle w:val="a3"/>
        <w:keepNext w:val="0"/>
        <w:keepLines w:val="0"/>
        <w:widowControl w:val="0"/>
        <w:shd w:val="clear" w:color="auto" w:fill="auto"/>
        <w:bidi w:val="0"/>
        <w:spacing w:before="0" w:after="0" w:line="240" w:lineRule="auto"/>
        <w:ind w:left="10" w:right="0" w:firstLine="0"/>
        <w:jc w:val="left"/>
      </w:pPr>
      <w:r>
        <w:rPr>
          <w:b/>
          <w:bCs/>
          <w:color w:val="000000"/>
          <w:spacing w:val="0"/>
          <w:w w:val="100"/>
          <w:position w:val="0"/>
        </w:rPr>
        <w:t>2.</w:t>
      </w:r>
      <w:r>
        <w:rPr>
          <w:b/>
          <w:bCs/>
          <w:color w:val="000000"/>
          <w:spacing w:val="0"/>
          <w:w w:val="100"/>
          <w:position w:val="0"/>
        </w:rPr>
        <w:t>周期特异性抗代谢药物</w:t>
      </w:r>
    </w:p>
    <w:p>
      <w:pPr>
        <w:pStyle w:val="a2"/>
        <w:keepNext w:val="0"/>
        <w:keepLines w:val="0"/>
        <w:widowControl w:val="0"/>
        <w:shd w:val="clear" w:color="auto" w:fill="auto"/>
        <w:bidi w:val="0"/>
        <w:spacing w:before="0" w:after="0" w:line="710" w:lineRule="exact"/>
        <w:ind w:left="0" w:right="0" w:firstLine="0"/>
        <w:jc w:val="left"/>
      </w:pPr>
      <w:r>
        <w:rPr>
          <w:color w:val="000000"/>
          <w:spacing w:val="0"/>
          <w:w w:val="100"/>
          <w:position w:val="0"/>
        </w:rPr>
        <w:t>胸苷酸合成酶抑制剂：氟尿嘧啶</w:t>
      </w:r>
      <w:r>
        <w:rPr>
          <w:color w:val="000000"/>
          <w:spacing w:val="0"/>
          <w:w w:val="100"/>
          <w:position w:val="0"/>
        </w:rPr>
        <w:t>（5-FU）、</w:t>
      </w:r>
      <w:r>
        <w:rPr>
          <w:color w:val="000000"/>
          <w:spacing w:val="0"/>
          <w:w w:val="100"/>
          <w:position w:val="0"/>
        </w:rPr>
        <w:t>吠喃氟尿嘧啶</w:t>
      </w:r>
      <w:r>
        <w:rPr>
          <w:color w:val="000000"/>
          <w:spacing w:val="0"/>
          <w:w w:val="100"/>
          <w:position w:val="0"/>
        </w:rPr>
        <w:t>（FT-207）、</w:t>
      </w:r>
      <w:r>
        <w:rPr>
          <w:color w:val="000000"/>
          <w:spacing w:val="0"/>
          <w:w w:val="100"/>
          <w:position w:val="0"/>
        </w:rPr>
        <w:t>二喃氟啶 （双吠啶</w:t>
      </w:r>
      <w:r>
        <w:rPr>
          <w:color w:val="000000"/>
          <w:spacing w:val="0"/>
          <w:w w:val="100"/>
          <w:position w:val="0"/>
        </w:rPr>
        <w:t>FD-1）</w:t>
      </w:r>
      <w:r>
        <w:rPr>
          <w:color w:val="000000"/>
          <w:spacing w:val="0"/>
          <w:w w:val="100"/>
          <w:position w:val="0"/>
        </w:rPr>
        <w:t>、优氟泰</w:t>
      </w:r>
      <w:r>
        <w:rPr>
          <w:color w:val="000000"/>
          <w:spacing w:val="0"/>
          <w:w w:val="100"/>
          <w:position w:val="0"/>
        </w:rPr>
        <w:t>（UFT）</w:t>
      </w:r>
      <w:r>
        <w:rPr>
          <w:color w:val="000000"/>
          <w:spacing w:val="0"/>
          <w:w w:val="100"/>
          <w:position w:val="0"/>
        </w:rPr>
        <w:t>、氟铁龙</w:t>
      </w:r>
      <w:r>
        <w:rPr>
          <w:color w:val="000000"/>
          <w:spacing w:val="0"/>
          <w:w w:val="100"/>
          <w:position w:val="0"/>
        </w:rPr>
        <w:t>（5-DFUR）。</w:t>
      </w:r>
    </w:p>
    <w:p>
      <w:pPr>
        <w:pStyle w:val="a2"/>
        <w:keepNext w:val="0"/>
        <w:keepLines w:val="0"/>
        <w:widowControl w:val="0"/>
        <w:shd w:val="clear" w:color="auto" w:fill="auto"/>
        <w:bidi w:val="0"/>
        <w:spacing w:before="0" w:after="0" w:line="722" w:lineRule="exact"/>
        <w:ind w:left="0" w:right="0" w:firstLine="740"/>
        <w:jc w:val="both"/>
      </w:pPr>
      <w:r>
        <w:rPr>
          <w:color w:val="000000"/>
          <w:spacing w:val="0"/>
          <w:w w:val="100"/>
          <w:position w:val="0"/>
        </w:rPr>
        <w:t xml:space="preserve">抗肿瘤作用主要由于其代谢活化物氟尿嘧啶脱氧核苷酸干扰了脱氧尿嘧啶 苷酸向脱氧胸腺嘧啶核苷酸转变，因而影响了 </w:t>
      </w:r>
      <w:r>
        <w:rPr>
          <w:color w:val="000000"/>
          <w:spacing w:val="0"/>
          <w:w w:val="100"/>
          <w:position w:val="0"/>
        </w:rPr>
        <w:t>DNA</w:t>
      </w:r>
      <w:r>
        <w:rPr>
          <w:color w:val="000000"/>
          <w:spacing w:val="0"/>
          <w:w w:val="100"/>
          <w:position w:val="0"/>
        </w:rPr>
        <w:t>的合成，经过四十年的临床应 用，成为临床上常用的抗肿瘤药物，成为治疗肺癌、乳腺癌、消化道癌症的基本 药物。</w:t>
      </w:r>
    </w:p>
    <w:p>
      <w:pPr>
        <w:pStyle w:val="a2"/>
        <w:keepNext w:val="0"/>
        <w:keepLines w:val="0"/>
        <w:widowControl w:val="0"/>
        <w:shd w:val="clear" w:color="auto" w:fill="auto"/>
        <w:bidi w:val="0"/>
        <w:spacing w:before="0" w:after="0" w:line="722" w:lineRule="exact"/>
        <w:ind w:left="0" w:right="0" w:firstLine="740"/>
        <w:jc w:val="both"/>
      </w:pPr>
      <w:r>
        <w:rPr>
          <w:color w:val="000000"/>
          <w:spacing w:val="0"/>
          <w:w w:val="100"/>
          <w:position w:val="0"/>
        </w:rPr>
        <w:t>不良反应比较迟缓，用药</w:t>
      </w:r>
      <w:r>
        <w:rPr>
          <w:color w:val="000000"/>
          <w:spacing w:val="0"/>
          <w:w w:val="100"/>
          <w:position w:val="0"/>
        </w:rPr>
        <w:t>6-7</w:t>
      </w:r>
      <w:r>
        <w:rPr>
          <w:color w:val="000000"/>
          <w:spacing w:val="0"/>
          <w:w w:val="100"/>
          <w:position w:val="0"/>
        </w:rPr>
        <w:t>天出现消化道粘膜损伤，例如：口腔溃疡、食 欲不振、恶心、呕吐、腹泻等，一周以后引起骨髓抑制。而连续96小时以上粘 腺炎则成为其主要毒性反应。临床上如长时间连续点滴此类药物应做好病人的口 腔护理，教会病人自己学会口腔清洁的方法，预防严重的粘膜炎发生。</w:t>
      </w:r>
    </w:p>
    <w:p>
      <w:pPr>
        <w:pStyle w:val="a2"/>
        <w:keepNext w:val="0"/>
        <w:keepLines w:val="0"/>
        <w:widowControl w:val="0"/>
        <w:shd w:val="clear" w:color="auto" w:fill="auto"/>
        <w:bidi w:val="0"/>
        <w:spacing w:before="0" w:after="0" w:line="722" w:lineRule="exact"/>
        <w:ind w:left="0" w:right="0" w:firstLine="740"/>
        <w:jc w:val="both"/>
        <w:sectPr>
          <w:type w:val="nextPage"/>
          <w:pgSz w:w="17861" w:h="25258"/>
          <w:pgMar w:top="1829" w:right="2486" w:bottom="2287" w:left="2654" w:header="0" w:footer="3" w:gutter="0"/>
          <w:pgNumType w:start="2"/>
          <w:cols w:space="720"/>
          <w:noEndnote/>
          <w:titlePg w:val="0"/>
          <w:rtlGutter w:val="0"/>
          <w:docGrid w:linePitch="360"/>
        </w:sectPr>
      </w:pPr>
      <w:r>
        <w:rPr>
          <w:color w:val="000000"/>
          <w:spacing w:val="0"/>
          <w:w w:val="100"/>
          <w:position w:val="0"/>
        </w:rPr>
        <w:t>二氢叶酸还原酶抑制剂：甲氨喋吟</w:t>
      </w:r>
      <w:r>
        <w:rPr>
          <w:color w:val="000000"/>
          <w:spacing w:val="0"/>
          <w:w w:val="100"/>
          <w:position w:val="0"/>
        </w:rPr>
        <w:t>（MTX）</w:t>
      </w:r>
      <w:r>
        <w:rPr>
          <w:color w:val="000000"/>
          <w:spacing w:val="0"/>
          <w:w w:val="100"/>
          <w:position w:val="0"/>
        </w:rPr>
        <w:t xml:space="preserve">、氨喋吟（白血宁）等。它们具 </w:t>
      </w:r>
      <w:r>
        <w:rPr>
          <w:color w:val="000000"/>
          <w:spacing w:val="0"/>
          <w:w w:val="100"/>
          <w:position w:val="0"/>
        </w:rPr>
        <w:t>有对二氢叶酸还原酶抑制作用，应用甲酰四氢叶酸</w:t>
      </w:r>
      <w:r>
        <w:rPr>
          <w:color w:val="000000"/>
          <w:spacing w:val="0"/>
          <w:w w:val="100"/>
          <w:position w:val="0"/>
        </w:rPr>
        <w:t>（CF）</w:t>
      </w:r>
      <w:r>
        <w:rPr>
          <w:color w:val="000000"/>
          <w:spacing w:val="0"/>
          <w:w w:val="100"/>
          <w:position w:val="0"/>
        </w:rPr>
        <w:t>解救</w:t>
      </w:r>
      <w:r>
        <w:rPr>
          <w:color w:val="000000"/>
          <w:spacing w:val="0"/>
          <w:w w:val="100"/>
          <w:position w:val="0"/>
        </w:rPr>
        <w:t>MTX</w:t>
      </w:r>
      <w:r>
        <w:rPr>
          <w:color w:val="000000"/>
          <w:spacing w:val="0"/>
          <w:w w:val="100"/>
          <w:position w:val="0"/>
        </w:rPr>
        <w:t>的毒性后，较</w:t>
      </w:r>
    </w:p>
    <w:p>
      <w:pPr>
        <w:pStyle w:val="a2"/>
        <w:keepNext w:val="0"/>
        <w:keepLines w:val="0"/>
        <w:widowControl w:val="0"/>
        <w:shd w:val="clear" w:color="auto" w:fill="auto"/>
        <w:bidi w:val="0"/>
        <w:spacing w:before="0" w:after="0" w:line="722" w:lineRule="exact"/>
        <w:ind w:left="0" w:right="0" w:firstLine="740"/>
        <w:jc w:val="both"/>
      </w:pPr>
      <w:r>
        <w:rPr>
          <w:color w:val="000000"/>
          <w:spacing w:val="0"/>
          <w:w w:val="100"/>
          <w:position w:val="0"/>
        </w:rPr>
        <w:t xml:space="preserve"> 大地增加</w:t>
      </w:r>
      <w:r>
        <w:rPr>
          <w:color w:val="000000"/>
          <w:spacing w:val="0"/>
          <w:w w:val="100"/>
          <w:position w:val="0"/>
        </w:rPr>
        <w:t>MTX</w:t>
      </w:r>
      <w:r>
        <w:rPr>
          <w:color w:val="000000"/>
          <w:spacing w:val="0"/>
          <w:w w:val="100"/>
          <w:position w:val="0"/>
        </w:rPr>
        <w:t>的剂量。它对治疗成骨肉瘤和头颈肿瘤以及某些免疫性疾病有效。 其不良反应可引起严重的口腔炎、溃疡性胃炎、出血性肠炎、甚至肠穿孔而死亡； 骨髓抑制与剂量和给药方案有关。临床上应做好病人的口腔护理，认真观察病人 有无肠穿孔等严重的不良反应的发生，及时报告医生，做好抢救准备。</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DNA</w:t>
      </w:r>
      <w:r>
        <w:rPr>
          <w:color w:val="000000"/>
          <w:spacing w:val="0"/>
          <w:w w:val="100"/>
          <w:position w:val="0"/>
        </w:rPr>
        <w:t>多聚酶抑制剂：阿糖胞苷</w:t>
      </w:r>
      <w:r>
        <w:rPr>
          <w:color w:val="000000"/>
          <w:spacing w:val="0"/>
          <w:w w:val="100"/>
          <w:position w:val="0"/>
        </w:rPr>
        <w:t>（Ara-c）</w:t>
      </w:r>
      <w:r>
        <w:rPr>
          <w:color w:val="000000"/>
          <w:spacing w:val="0"/>
          <w:w w:val="100"/>
          <w:position w:val="0"/>
        </w:rPr>
        <w:t>、环胞苷，氯环胞苷，它们在体内 变成阿糖胞苷三磷酸</w:t>
      </w:r>
      <w:r>
        <w:rPr>
          <w:color w:val="000000"/>
          <w:spacing w:val="0"/>
          <w:w w:val="100"/>
          <w:position w:val="0"/>
        </w:rPr>
        <w:t>（Ara-CTP</w:t>
      </w:r>
      <w:r>
        <w:rPr>
          <w:color w:val="000000"/>
          <w:spacing w:val="0"/>
          <w:w w:val="100"/>
          <w:position w:val="0"/>
        </w:rPr>
        <w:t>）后发挥作用，此反应由脱氧胞苷激酶催化。在 白血病细胞及淋巴细胞中此激酶的含量较高，故它对白血病有选择作用，对</w:t>
      </w:r>
      <w:r>
        <w:rPr>
          <w:color w:val="000000"/>
          <w:spacing w:val="0"/>
          <w:w w:val="100"/>
          <w:position w:val="0"/>
        </w:rPr>
        <w:t xml:space="preserve">DNA </w:t>
      </w:r>
      <w:r>
        <w:rPr>
          <w:color w:val="000000"/>
          <w:spacing w:val="0"/>
          <w:w w:val="100"/>
          <w:position w:val="0"/>
        </w:rPr>
        <w:t>多聚酶有强大的抑制作用，而影响</w:t>
      </w:r>
      <w:r>
        <w:rPr>
          <w:color w:val="000000"/>
          <w:spacing w:val="0"/>
          <w:w w:val="100"/>
          <w:position w:val="0"/>
        </w:rPr>
        <w:t>DNA</w:t>
      </w:r>
      <w:r>
        <w:rPr>
          <w:color w:val="000000"/>
          <w:spacing w:val="0"/>
          <w:w w:val="100"/>
          <w:position w:val="0"/>
        </w:rPr>
        <w:t>的复制。</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一般剂量可以引起骨髓抑制、恶心、呕吐等不良反应但较轻，高剂量时有严 重的骨髓抑制如白细胞、血小板降低和贫血，明显的恶心、呕吐、严重的腹泻， 护士应根据病人出现的不良反应的类型做好病人的相应的护理。如做好预防感 染、出血、腹泻的护理，减少不良反应带来的并发症。</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核苷酸还原酶抑制剂：羟基月尿</w:t>
      </w:r>
      <w:r>
        <w:rPr>
          <w:color w:val="000000"/>
          <w:spacing w:val="0"/>
          <w:w w:val="100"/>
          <w:position w:val="0"/>
        </w:rPr>
        <w:t>（HU）</w:t>
      </w:r>
      <w:r>
        <w:rPr>
          <w:color w:val="000000"/>
          <w:spacing w:val="0"/>
          <w:w w:val="100"/>
          <w:position w:val="0"/>
        </w:rPr>
        <w:t>、肌苷二醛（</w:t>
      </w:r>
      <w:r>
        <w:rPr>
          <w:color w:val="000000"/>
          <w:spacing w:val="0"/>
          <w:w w:val="100"/>
          <w:position w:val="0"/>
        </w:rPr>
        <w:t xml:space="preserve">inosine dialdehyde）、 </w:t>
      </w:r>
      <w:r>
        <w:rPr>
          <w:color w:val="000000"/>
          <w:spacing w:val="0"/>
          <w:w w:val="100"/>
          <w:position w:val="0"/>
        </w:rPr>
        <w:t>腺苷二醛</w:t>
      </w:r>
      <w:r>
        <w:rPr>
          <w:color w:val="000000"/>
          <w:spacing w:val="0"/>
          <w:w w:val="100"/>
          <w:position w:val="0"/>
        </w:rPr>
        <w:t>（adenosinediialde-hgde）</w:t>
      </w:r>
      <w:r>
        <w:rPr>
          <w:color w:val="000000"/>
          <w:spacing w:val="0"/>
          <w:w w:val="100"/>
          <w:position w:val="0"/>
        </w:rPr>
        <w:t>、胍唑</w:t>
      </w:r>
      <w:r>
        <w:rPr>
          <w:color w:val="000000"/>
          <w:spacing w:val="0"/>
          <w:w w:val="100"/>
          <w:position w:val="0"/>
        </w:rPr>
        <w:t>（guanazole）</w:t>
      </w:r>
      <w:r>
        <w:rPr>
          <w:color w:val="000000"/>
          <w:spacing w:val="0"/>
          <w:w w:val="100"/>
          <w:position w:val="0"/>
        </w:rPr>
        <w:t>,包括胞苷酸、鸟苷酸、 腺苷酸、胸苷酸还原成相应的脱氧核苷酸，最终阻止</w:t>
      </w:r>
      <w:r>
        <w:rPr>
          <w:color w:val="000000"/>
          <w:spacing w:val="0"/>
          <w:w w:val="100"/>
          <w:position w:val="0"/>
        </w:rPr>
        <w:t>DNA</w:t>
      </w:r>
      <w:r>
        <w:rPr>
          <w:color w:val="000000"/>
          <w:spacing w:val="0"/>
          <w:w w:val="100"/>
          <w:position w:val="0"/>
        </w:rPr>
        <w:t>的合成，通过抑制核酸 还原酶的抑制。临床用于治疗慢性粒细胞白血病、恶性黑色素瘤、乳腺癌、头颈 部癌、肠癌、对银屑病也有效。不良反应主要为骨髓抑制。临床上应注意对血 象的监测，预防感染。</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嘌吟核苷酸合成抑制剂：6-巯嘌吟</w:t>
      </w:r>
      <w:r>
        <w:rPr>
          <w:color w:val="000000"/>
          <w:spacing w:val="0"/>
          <w:w w:val="100"/>
          <w:position w:val="0"/>
        </w:rPr>
        <w:t>（6-MP）</w:t>
      </w:r>
      <w:r>
        <w:rPr>
          <w:color w:val="000000"/>
          <w:spacing w:val="0"/>
          <w:w w:val="100"/>
          <w:position w:val="0"/>
        </w:rPr>
        <w:t>为嘌吟类衍生物，由于</w:t>
      </w:r>
      <w:r>
        <w:rPr>
          <w:color w:val="000000"/>
          <w:spacing w:val="0"/>
          <w:w w:val="100"/>
          <w:position w:val="0"/>
        </w:rPr>
        <w:t xml:space="preserve">6-GMP </w:t>
      </w:r>
      <w:r>
        <w:rPr>
          <w:color w:val="000000"/>
          <w:spacing w:val="0"/>
          <w:w w:val="100"/>
          <w:position w:val="0"/>
        </w:rPr>
        <w:t>对鸟苷酸激酶有亲和能力，故</w:t>
      </w:r>
      <w:r>
        <w:rPr>
          <w:color w:val="000000"/>
          <w:spacing w:val="0"/>
          <w:w w:val="100"/>
          <w:position w:val="0"/>
        </w:rPr>
        <w:t>6-TG</w:t>
      </w:r>
      <w:r>
        <w:rPr>
          <w:color w:val="000000"/>
          <w:spacing w:val="0"/>
          <w:w w:val="100"/>
          <w:position w:val="0"/>
        </w:rPr>
        <w:t xml:space="preserve">最后可以取代鸟嘌吟，掺入到核酸中去。它 可以抑制嘌吟合成中的反应。临床用于治疗白血病，也可作为免疫抑制剂，用于 肾病综合征、器官移植、红斑狼疮。主要不良反应是骨髓抑制和消化道反应外还 可以引起高尿酸血症，用药后要充分水化及碱化尿液，减少高尿酸血症的发生。 </w:t>
      </w:r>
      <w:r>
        <w:rPr>
          <w:b/>
          <w:bCs/>
          <w:color w:val="000000"/>
          <w:spacing w:val="0"/>
          <w:w w:val="100"/>
          <w:position w:val="0"/>
        </w:rPr>
        <w:t>抗肿瘤抗生素</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抗肿瘤抗生素是由微生物产生的具有抗肿瘤活性的化学物质，是在抗感染抗 生素研究基础上发展起来，在寻找抗结核药发现了放线菌素</w:t>
      </w:r>
      <w:r>
        <w:rPr>
          <w:color w:val="000000"/>
          <w:spacing w:val="0"/>
          <w:w w:val="100"/>
          <w:position w:val="0"/>
        </w:rPr>
        <w:t>D （ACD）</w:t>
      </w:r>
      <w:r>
        <w:rPr>
          <w:color w:val="000000"/>
          <w:spacing w:val="0"/>
          <w:w w:val="100"/>
          <w:position w:val="0"/>
          <w:sz w:val="36"/>
          <w:szCs w:val="36"/>
          <w:vertAlign w:val="subscript"/>
        </w:rPr>
        <w:t>O</w:t>
      </w:r>
      <w:r>
        <w:rPr>
          <w:color w:val="000000"/>
          <w:spacing w:val="0"/>
          <w:w w:val="100"/>
          <w:position w:val="0"/>
          <w:sz w:val="36"/>
          <w:szCs w:val="36"/>
        </w:rPr>
        <w:t xml:space="preserve"> </w:t>
      </w:r>
      <w:r>
        <w:rPr>
          <w:color w:val="000000"/>
          <w:spacing w:val="0"/>
          <w:w w:val="100"/>
          <w:position w:val="0"/>
        </w:rPr>
        <w:t>ACD</w:t>
      </w:r>
      <w:r>
        <w:rPr>
          <w:color w:val="000000"/>
          <w:spacing w:val="0"/>
          <w:w w:val="100"/>
          <w:position w:val="0"/>
        </w:rPr>
        <w:t>是第 五个发现的有效抗肿瘤药物，也是第一个发现的抗肿瘤抗生素。</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作用机理采用不同机制影响</w:t>
      </w:r>
      <w:r>
        <w:rPr>
          <w:color w:val="000000"/>
          <w:spacing w:val="0"/>
          <w:w w:val="100"/>
          <w:position w:val="0"/>
        </w:rPr>
        <w:t>DNA、RNA</w:t>
      </w:r>
      <w:r>
        <w:rPr>
          <w:color w:val="000000"/>
          <w:spacing w:val="0"/>
          <w:w w:val="100"/>
          <w:position w:val="0"/>
        </w:rPr>
        <w:t>及蛋白质的生物合成，使细胞发生变</w:t>
      </w:r>
    </w:p>
    <w:p>
      <w:pPr>
        <w:pStyle w:val="a2"/>
        <w:keepNext w:val="0"/>
        <w:keepLines w:val="0"/>
        <w:widowControl w:val="0"/>
        <w:shd w:val="clear" w:color="auto" w:fill="auto"/>
        <w:bidi w:val="0"/>
        <w:spacing w:before="0" w:after="0" w:line="723" w:lineRule="exact"/>
        <w:ind w:left="0" w:right="0" w:firstLine="0"/>
        <w:jc w:val="both"/>
        <w:sectPr>
          <w:type w:val="nextPage"/>
          <w:pgSz w:w="17861" w:h="25258"/>
          <w:pgMar w:top="1829" w:right="2486" w:bottom="2287" w:left="2654" w:header="0" w:footer="3" w:gutter="0"/>
          <w:pgNumType w:start="3"/>
          <w:cols w:space="720"/>
          <w:noEndnote/>
          <w:titlePg w:val="0"/>
          <w:rtlGutter w:val="0"/>
          <w:docGrid w:linePitch="360"/>
        </w:sectPr>
      </w:pPr>
      <w:r>
        <w:rPr>
          <w:color w:val="000000"/>
          <w:spacing w:val="0"/>
          <w:w w:val="100"/>
          <w:position w:val="0"/>
        </w:rPr>
        <w:t>异，影响细胞分裂，导致细胞死亡。分为以下几类药物：</w:t>
      </w:r>
    </w:p>
    <w:p>
      <w:pPr>
        <w:pStyle w:val="a2"/>
        <w:keepNext w:val="0"/>
        <w:keepLines w:val="0"/>
        <w:widowControl w:val="0"/>
        <w:shd w:val="clear" w:color="auto" w:fill="auto"/>
        <w:bidi w:val="0"/>
        <w:spacing w:before="0" w:after="0" w:line="732" w:lineRule="exact"/>
        <w:ind w:left="0" w:right="0" w:firstLine="740"/>
        <w:jc w:val="both"/>
      </w:pPr>
      <w:r>
        <w:rPr>
          <w:color w:val="000000"/>
          <w:spacing w:val="0"/>
          <w:w w:val="100"/>
          <w:position w:val="0"/>
        </w:rPr>
        <w:t>蒽环类抗肿瘤抗生素：阿霉素</w:t>
      </w:r>
      <w:r>
        <w:rPr>
          <w:color w:val="000000"/>
          <w:spacing w:val="0"/>
          <w:w w:val="100"/>
          <w:position w:val="0"/>
        </w:rPr>
        <w:t>（ADM）</w:t>
      </w:r>
      <w:r>
        <w:rPr>
          <w:color w:val="000000"/>
          <w:spacing w:val="0"/>
          <w:w w:val="100"/>
          <w:position w:val="0"/>
        </w:rPr>
        <w:t>、柔红霉素（</w:t>
      </w:r>
      <w:r>
        <w:rPr>
          <w:color w:val="000000"/>
          <w:spacing w:val="0"/>
          <w:w w:val="100"/>
          <w:position w:val="0"/>
        </w:rPr>
        <w:t>DNR）</w:t>
      </w:r>
      <w:r>
        <w:rPr>
          <w:color w:val="000000"/>
          <w:spacing w:val="0"/>
          <w:w w:val="100"/>
          <w:position w:val="0"/>
        </w:rPr>
        <w:t>、表阿霉素</w:t>
      </w:r>
      <w:r>
        <w:rPr>
          <w:color w:val="000000"/>
          <w:spacing w:val="0"/>
          <w:w w:val="100"/>
          <w:position w:val="0"/>
        </w:rPr>
        <w:t xml:space="preserve">（EPI </w:t>
      </w:r>
      <w:r>
        <w:rPr>
          <w:color w:val="000000"/>
          <w:spacing w:val="0"/>
          <w:w w:val="100"/>
          <w:position w:val="0"/>
        </w:rPr>
        <w:t>或</w:t>
      </w:r>
      <w:r>
        <w:rPr>
          <w:color w:val="000000"/>
          <w:spacing w:val="0"/>
          <w:w w:val="100"/>
          <w:position w:val="0"/>
        </w:rPr>
        <w:t>E-ADM）</w:t>
      </w:r>
      <w:r>
        <w:rPr>
          <w:color w:val="000000"/>
          <w:spacing w:val="0"/>
          <w:w w:val="100"/>
          <w:position w:val="0"/>
        </w:rPr>
        <w:t>、米托蒽醌</w:t>
      </w:r>
      <w:r>
        <w:rPr>
          <w:color w:val="000000"/>
          <w:spacing w:val="0"/>
          <w:w w:val="100"/>
          <w:position w:val="0"/>
        </w:rPr>
        <w:t>（MTT、DHAD）</w:t>
      </w:r>
      <w:r>
        <w:rPr>
          <w:color w:val="000000"/>
          <w:spacing w:val="0"/>
          <w:w w:val="100"/>
          <w:position w:val="0"/>
        </w:rPr>
        <w:t>、毗喃阿霉素</w:t>
      </w:r>
      <w:r>
        <w:rPr>
          <w:color w:val="000000"/>
          <w:spacing w:val="0"/>
          <w:w w:val="100"/>
          <w:position w:val="0"/>
        </w:rPr>
        <w:t>（THP）</w:t>
      </w:r>
      <w:r>
        <w:rPr>
          <w:color w:val="000000"/>
          <w:spacing w:val="0"/>
          <w:w w:val="100"/>
          <w:position w:val="0"/>
        </w:rPr>
        <w:t>。作用机制有与</w:t>
      </w:r>
      <w:r>
        <w:rPr>
          <w:color w:val="000000"/>
          <w:spacing w:val="0"/>
          <w:w w:val="100"/>
          <w:position w:val="0"/>
        </w:rPr>
        <w:t xml:space="preserve">DNA </w:t>
      </w:r>
      <w:r>
        <w:rPr>
          <w:color w:val="000000"/>
          <w:spacing w:val="0"/>
          <w:w w:val="100"/>
          <w:position w:val="0"/>
        </w:rPr>
        <w:t>结合；自由基的生成；与金属离子结合；与细胞膜结合。</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对几乎70%实体瘤有效，如乳腺癌、恶性淋巴瘤、肺癌、急性白血病等；但 其心脏毒性和骨髓抑制成为限制剂量提高的主要因素，故临床上应用时注意做好 心脏的监护，预防心力衰竭的发生。此药外渗引起组织溃疡坏死，临床使用时注 意静脉的选择，加药时护士要守候在床旁，保证药物顺利走完，发现药物外渗及 时停药拔针，给与局部封闭，金黄散中药外敷，减轻组织坏死程度。</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放线菌素类抗肿瘤抗生素：放线菌素</w:t>
      </w:r>
      <w:r>
        <w:rPr>
          <w:color w:val="000000"/>
          <w:spacing w:val="0"/>
          <w:w w:val="100"/>
          <w:position w:val="0"/>
        </w:rPr>
        <w:t>D（ACD）</w:t>
      </w:r>
      <w:r>
        <w:rPr>
          <w:color w:val="000000"/>
          <w:spacing w:val="0"/>
          <w:w w:val="100"/>
          <w:position w:val="0"/>
        </w:rPr>
        <w:t>。作用机制是抑制</w:t>
      </w:r>
      <w:r>
        <w:rPr>
          <w:color w:val="000000"/>
          <w:spacing w:val="0"/>
          <w:w w:val="100"/>
          <w:position w:val="0"/>
        </w:rPr>
        <w:t>RNA</w:t>
      </w:r>
      <w:r>
        <w:rPr>
          <w:color w:val="000000"/>
          <w:spacing w:val="0"/>
          <w:w w:val="100"/>
          <w:position w:val="0"/>
        </w:rPr>
        <w:t>的合 成。静脉注射时可引起静脉炎，漏出血管外可能导致组织坏死。用药注意事项同 阿霉素。</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博莱霉素类抗肿瘤抗生素：博莱霉素（争光霉素）、平阳霉素</w:t>
      </w:r>
      <w:r>
        <w:rPr>
          <w:color w:val="000000"/>
          <w:spacing w:val="0"/>
          <w:w w:val="100"/>
          <w:position w:val="0"/>
        </w:rPr>
        <w:t>（A5）。</w:t>
      </w:r>
      <w:r>
        <w:rPr>
          <w:color w:val="000000"/>
          <w:spacing w:val="0"/>
          <w:w w:val="100"/>
          <w:position w:val="0"/>
        </w:rPr>
        <w:t>可引 起皮肤反应，表现为色素沉着、皮炎、角化增后、皮疹等。还可引起肺组织的纤 维化，用药期间应注意检查肺部，如肺底有啰音应停药。</w:t>
      </w:r>
    </w:p>
    <w:p>
      <w:pPr>
        <w:pStyle w:val="a2"/>
        <w:keepNext w:val="0"/>
        <w:keepLines w:val="0"/>
        <w:widowControl w:val="0"/>
        <w:shd w:val="clear" w:color="auto" w:fill="auto"/>
        <w:bidi w:val="0"/>
        <w:spacing w:before="0" w:after="0" w:line="727" w:lineRule="exact"/>
        <w:ind w:left="0" w:right="0" w:firstLine="740"/>
        <w:jc w:val="both"/>
      </w:pPr>
      <w:r>
        <w:rPr>
          <w:color w:val="000000"/>
          <w:spacing w:val="0"/>
          <w:w w:val="100"/>
          <w:position w:val="0"/>
        </w:rPr>
        <w:t>丝裂霉素类抗肿瘤抗生素：丝裂霉素</w:t>
      </w:r>
      <w:r>
        <w:rPr>
          <w:color w:val="000000"/>
          <w:spacing w:val="0"/>
          <w:w w:val="100"/>
          <w:position w:val="0"/>
        </w:rPr>
        <w:t>A、</w:t>
      </w:r>
      <w:r>
        <w:rPr>
          <w:color w:val="000000"/>
          <w:spacing w:val="0"/>
          <w:w w:val="100"/>
          <w:position w:val="0"/>
        </w:rPr>
        <w:t>丝裂霉素</w:t>
      </w:r>
      <w:r>
        <w:rPr>
          <w:color w:val="000000"/>
          <w:spacing w:val="0"/>
          <w:w w:val="100"/>
          <w:position w:val="0"/>
        </w:rPr>
        <w:t>B、</w:t>
      </w:r>
      <w:r>
        <w:rPr>
          <w:color w:val="000000"/>
          <w:spacing w:val="0"/>
          <w:w w:val="100"/>
          <w:position w:val="0"/>
        </w:rPr>
        <w:t>丝裂霉素</w:t>
      </w:r>
      <w:r>
        <w:rPr>
          <w:color w:val="000000"/>
          <w:spacing w:val="0"/>
          <w:w w:val="100"/>
          <w:position w:val="0"/>
        </w:rPr>
        <w:t xml:space="preserve">C（MMC）。 </w:t>
      </w:r>
      <w:r>
        <w:rPr>
          <w:color w:val="000000"/>
          <w:spacing w:val="0"/>
          <w:w w:val="100"/>
          <w:position w:val="0"/>
        </w:rPr>
        <w:t>作用机制是与</w:t>
      </w:r>
      <w:r>
        <w:rPr>
          <w:color w:val="000000"/>
          <w:spacing w:val="0"/>
          <w:w w:val="100"/>
          <w:position w:val="0"/>
        </w:rPr>
        <w:t>DNA</w:t>
      </w:r>
      <w:r>
        <w:rPr>
          <w:color w:val="000000"/>
          <w:spacing w:val="0"/>
          <w:w w:val="100"/>
          <w:position w:val="0"/>
        </w:rPr>
        <w:t>形成双链间或链内交叉连结，从而抑制</w:t>
      </w:r>
      <w:r>
        <w:rPr>
          <w:color w:val="000000"/>
          <w:spacing w:val="0"/>
          <w:w w:val="100"/>
          <w:position w:val="0"/>
        </w:rPr>
        <w:t>DNA</w:t>
      </w:r>
      <w:r>
        <w:rPr>
          <w:color w:val="000000"/>
          <w:spacing w:val="0"/>
          <w:w w:val="100"/>
          <w:position w:val="0"/>
        </w:rPr>
        <w:t>合成。另外，</w:t>
      </w:r>
      <w:r>
        <w:rPr>
          <w:color w:val="000000"/>
          <w:spacing w:val="0"/>
          <w:w w:val="100"/>
          <w:position w:val="0"/>
        </w:rPr>
        <w:t xml:space="preserve">MMC </w:t>
      </w:r>
      <w:r>
        <w:rPr>
          <w:color w:val="000000"/>
          <w:spacing w:val="0"/>
          <w:w w:val="100"/>
          <w:position w:val="0"/>
        </w:rPr>
        <w:t>导致的氧自由基曾加也可能与抗肿瘤活性有关。此药不良反应有骨髓抑制，主要 表现为血小板下降，用药时加强对血象的监测。药物外渗可引起组织溃疡坏死， 用药注意事项同阿霉素。</w:t>
      </w:r>
    </w:p>
    <w:p>
      <w:pPr>
        <w:pStyle w:val="a2"/>
        <w:keepNext w:val="0"/>
        <w:keepLines w:val="0"/>
        <w:widowControl w:val="0"/>
        <w:shd w:val="clear" w:color="auto" w:fill="auto"/>
        <w:bidi w:val="0"/>
        <w:spacing w:before="0" w:after="0" w:line="727" w:lineRule="exact"/>
        <w:ind w:left="0" w:right="0" w:firstLine="740"/>
        <w:jc w:val="both"/>
      </w:pPr>
      <w:r>
        <w:rPr>
          <w:color w:val="000000"/>
          <w:spacing w:val="0"/>
          <w:w w:val="100"/>
          <w:position w:val="0"/>
        </w:rPr>
        <w:t>光辉霉素类抗肿瘤抗生素：光辉霉素（</w:t>
      </w:r>
      <w:r>
        <w:rPr>
          <w:color w:val="000000"/>
          <w:spacing w:val="0"/>
          <w:w w:val="100"/>
          <w:position w:val="0"/>
        </w:rPr>
        <w:t>MTH）</w:t>
      </w:r>
      <w:r>
        <w:rPr>
          <w:color w:val="000000"/>
          <w:spacing w:val="0"/>
          <w:w w:val="100"/>
          <w:position w:val="0"/>
        </w:rPr>
        <w:t>、橄榄霉素。作用机制是与</w:t>
      </w:r>
      <w:r>
        <w:rPr>
          <w:color w:val="000000"/>
          <w:spacing w:val="0"/>
          <w:w w:val="100"/>
          <w:position w:val="0"/>
        </w:rPr>
        <w:t>DN A</w:t>
      </w:r>
      <w:r>
        <w:rPr>
          <w:color w:val="000000"/>
          <w:spacing w:val="0"/>
          <w:w w:val="100"/>
          <w:position w:val="0"/>
        </w:rPr>
        <w:t>结合，抑制</w:t>
      </w:r>
      <w:r>
        <w:rPr>
          <w:color w:val="000000"/>
          <w:spacing w:val="0"/>
          <w:w w:val="100"/>
          <w:position w:val="0"/>
        </w:rPr>
        <w:t>DNA</w:t>
      </w:r>
      <w:r>
        <w:rPr>
          <w:color w:val="000000"/>
          <w:spacing w:val="0"/>
          <w:w w:val="100"/>
          <w:position w:val="0"/>
        </w:rPr>
        <w:t>依赖性</w:t>
      </w:r>
      <w:r>
        <w:rPr>
          <w:color w:val="000000"/>
          <w:spacing w:val="0"/>
          <w:w w:val="100"/>
          <w:position w:val="0"/>
        </w:rPr>
        <w:t>RNA</w:t>
      </w:r>
      <w:r>
        <w:rPr>
          <w:color w:val="000000"/>
          <w:spacing w:val="0"/>
          <w:w w:val="100"/>
          <w:position w:val="0"/>
        </w:rPr>
        <w:t>聚合酶，从而抑制</w:t>
      </w:r>
      <w:r>
        <w:rPr>
          <w:color w:val="000000"/>
          <w:spacing w:val="0"/>
          <w:w w:val="100"/>
          <w:position w:val="0"/>
        </w:rPr>
        <w:t>RNA</w:t>
      </w:r>
      <w:r>
        <w:rPr>
          <w:color w:val="000000"/>
          <w:spacing w:val="0"/>
          <w:w w:val="100"/>
          <w:position w:val="0"/>
        </w:rPr>
        <w:t>的合成。尚能阻断药理剂量 维生素</w:t>
      </w:r>
      <w:r>
        <w:rPr>
          <w:color w:val="000000"/>
          <w:spacing w:val="0"/>
          <w:w w:val="100"/>
          <w:position w:val="0"/>
        </w:rPr>
        <w:t>D</w:t>
      </w:r>
      <w:r>
        <w:rPr>
          <w:color w:val="000000"/>
          <w:spacing w:val="0"/>
          <w:w w:val="100"/>
          <w:position w:val="0"/>
        </w:rPr>
        <w:t>的升血钙作用，并能抑制甲状腺对破骨细胞的作用。主要用于睾丸胚胎 癌。</w:t>
      </w:r>
    </w:p>
    <w:p>
      <w:pPr>
        <w:pStyle w:val="a2"/>
        <w:keepNext w:val="0"/>
        <w:keepLines w:val="0"/>
        <w:widowControl w:val="0"/>
        <w:shd w:val="clear" w:color="auto" w:fill="auto"/>
        <w:bidi w:val="0"/>
        <w:spacing w:before="0" w:after="0" w:line="722" w:lineRule="exact"/>
        <w:ind w:left="0" w:right="0" w:firstLine="740"/>
        <w:jc w:val="both"/>
        <w:sectPr>
          <w:type w:val="nextPage"/>
          <w:pgSz w:w="17861" w:h="25258"/>
          <w:pgMar w:top="1829" w:right="2486" w:bottom="2287" w:left="2654" w:header="0" w:footer="3" w:gutter="0"/>
          <w:pgNumType w:start="4"/>
          <w:cols w:space="720"/>
          <w:noEndnote/>
          <w:titlePg w:val="0"/>
          <w:rtlGutter w:val="0"/>
          <w:docGrid w:linePitch="360"/>
        </w:sectPr>
      </w:pPr>
      <w:r>
        <w:rPr>
          <w:color w:val="000000"/>
          <w:spacing w:val="0"/>
          <w:w w:val="100"/>
          <w:position w:val="0"/>
        </w:rPr>
        <w:t>其他抗肿瘤抗生素：链脲霉素</w:t>
      </w:r>
      <w:r>
        <w:rPr>
          <w:color w:val="000000"/>
          <w:spacing w:val="0"/>
          <w:w w:val="100"/>
          <w:position w:val="0"/>
        </w:rPr>
        <w:t>（STT）</w:t>
      </w:r>
      <w:r>
        <w:rPr>
          <w:color w:val="000000"/>
          <w:spacing w:val="0"/>
          <w:w w:val="100"/>
          <w:position w:val="0"/>
        </w:rPr>
        <w:t>。作用机制是能抑制</w:t>
      </w:r>
      <w:r>
        <w:rPr>
          <w:color w:val="000000"/>
          <w:spacing w:val="0"/>
          <w:w w:val="100"/>
          <w:position w:val="0"/>
        </w:rPr>
        <w:t>DNA</w:t>
      </w:r>
      <w:r>
        <w:rPr>
          <w:color w:val="000000"/>
          <w:spacing w:val="0"/>
          <w:w w:val="100"/>
          <w:position w:val="0"/>
        </w:rPr>
        <w:t>合成，并能 抑制嘧啶核苷代谢和糖原异生的某些关键酶。临床主要用于恶性淋巴瘤、急、慢 性淋巴细胞白血病和肾母细胞瘤等。主要副作用为骨髓抑制，临床应用时注意定 期对血象的监测。</w:t>
      </w:r>
    </w:p>
    <w:tbl>
      <w:tblPr>
        <w:tblStyle w:val="TableNormal"/>
        <w:tblOverlap w:val="never"/>
        <w:jc w:val="center"/>
        <w:tblLayout w:type="fixed"/>
        <w:tblCellMar>
          <w:left w:w="10" w:type="dxa"/>
          <w:right w:w="10" w:type="dxa"/>
        </w:tblCellMar>
      </w:tblPr>
      <w:tblGrid>
        <w:gridCol w:w="1714"/>
        <w:gridCol w:w="360"/>
        <w:gridCol w:w="4118"/>
        <w:gridCol w:w="1973"/>
        <w:gridCol w:w="2006"/>
        <w:gridCol w:w="638"/>
        <w:gridCol w:w="1709"/>
      </w:tblGrid>
      <w:tr>
        <w:tblPrEx>
          <w:jc w:val="center"/>
          <w:tblLayout w:type="fixed"/>
          <w:tblCellMar>
            <w:left w:w="10" w:type="dxa"/>
            <w:right w:w="10" w:type="dxa"/>
          </w:tblCellMar>
        </w:tblPrEx>
        <w:trPr>
          <w:trHeight w:hRule="exact" w:val="768"/>
          <w:jc w:val="center"/>
        </w:trPr>
        <w:tc>
          <w:tcPr>
            <w:tcW w:w="12518" w:type="dxa"/>
            <w:gridSpan w:val="7"/>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2.1 S</w:t>
            </w:r>
            <w:r>
              <w:rPr>
                <w:b/>
                <w:bCs/>
                <w:color w:val="000000"/>
                <w:spacing w:val="0"/>
                <w:w w:val="100"/>
                <w:position w:val="0"/>
              </w:rPr>
              <w:t>期特异性</w:t>
            </w:r>
            <w:r>
              <w:rPr>
                <w:b/>
                <w:bCs/>
                <w:color w:val="000000"/>
                <w:spacing w:val="0"/>
                <w:w w:val="100"/>
                <w:position w:val="0"/>
              </w:rPr>
              <w:t>一一</w:t>
            </w:r>
            <w:r>
              <w:rPr>
                <w:b/>
                <w:bCs/>
                <w:color w:val="000000"/>
                <w:spacing w:val="0"/>
                <w:w w:val="100"/>
                <w:position w:val="0"/>
              </w:rPr>
              <w:t>抗代谢药</w:t>
            </w:r>
          </w:p>
        </w:tc>
      </w:tr>
      <w:tr>
        <w:tblPrEx>
          <w:jc w:val="center"/>
          <w:tblLayout w:type="fixed"/>
          <w:tblCellMar>
            <w:left w:w="10" w:type="dxa"/>
            <w:right w:w="10" w:type="dxa"/>
          </w:tblCellMar>
        </w:tblPrEx>
        <w:trPr>
          <w:trHeight w:hRule="exact" w:val="821"/>
          <w:jc w:val="center"/>
        </w:trPr>
        <w:tc>
          <w:tcPr>
            <w:tcW w:w="17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5-氟脲</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每周</w:t>
            </w:r>
            <w:r>
              <w:rPr>
                <w:color w:val="000000"/>
                <w:spacing w:val="0"/>
                <w:w w:val="100"/>
                <w:position w:val="0"/>
              </w:rPr>
              <w:t>12-15mg/kg</w:t>
            </w:r>
            <w:r>
              <w:rPr>
                <w:color w:val="000000"/>
                <w:spacing w:val="0"/>
                <w:w w:val="100"/>
                <w:position w:val="0"/>
              </w:rPr>
              <w:t>，最大剂</w:t>
            </w:r>
          </w:p>
        </w:tc>
        <w:tc>
          <w:tcPr>
            <w:tcW w:w="1973"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偶尔恶心、</w:t>
            </w:r>
          </w:p>
        </w:tc>
        <w:tc>
          <w:tcPr>
            <w:tcW w:w="20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骨髓抑制</w:t>
            </w:r>
          </w:p>
        </w:tc>
        <w:tc>
          <w:tcPr>
            <w:tcW w:w="6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肝</w:t>
            </w:r>
          </w:p>
        </w:tc>
        <w:tc>
          <w:tcPr>
            <w:tcW w:w="170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卵巢癌</w:t>
            </w:r>
          </w:p>
        </w:tc>
      </w:tr>
      <w:tr>
        <w:tblPrEx>
          <w:jc w:val="center"/>
          <w:tblLayout w:type="fixed"/>
          <w:tblCellMar>
            <w:left w:w="10" w:type="dxa"/>
            <w:right w:w="10" w:type="dxa"/>
          </w:tblCellMar>
        </w:tblPrEx>
        <w:trPr>
          <w:trHeight w:hRule="exact" w:val="7853"/>
          <w:jc w:val="center"/>
        </w:trPr>
        <w:tc>
          <w:tcPr>
            <w:tcW w:w="1714" w:type="dxa"/>
            <w:tcBorders>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left"/>
            </w:pPr>
            <w:r>
              <w:rPr>
                <w:color w:val="000000"/>
                <w:spacing w:val="0"/>
                <w:w w:val="100"/>
                <w:position w:val="0"/>
              </w:rPr>
              <w:t>嘧啶</w:t>
            </w:r>
          </w:p>
        </w:tc>
        <w:tc>
          <w:tcPr>
            <w:tcW w:w="360" w:type="dxa"/>
            <w:tcBorders>
              <w:left w:val="single" w:sz="4" w:space="0" w:color="auto"/>
            </w:tcBorders>
            <w:shd w:val="clear" w:color="auto" w:fill="FFFFFF"/>
            <w:vAlign w:val="top"/>
          </w:tcPr>
          <w:p>
            <w:pPr>
              <w:widowControl w:val="0"/>
              <w:rPr>
                <w:sz w:val="10"/>
                <w:szCs w:val="10"/>
              </w:rPr>
            </w:pPr>
          </w:p>
        </w:tc>
        <w:tc>
          <w:tcPr>
            <w:tcW w:w="4118"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706" w:lineRule="exact"/>
              <w:ind w:left="0" w:right="0" w:firstLine="0"/>
              <w:jc w:val="left"/>
            </w:pPr>
            <w:r>
              <w:rPr>
                <w:color w:val="000000"/>
                <w:spacing w:val="0"/>
                <w:w w:val="100"/>
                <w:position w:val="0"/>
              </w:rPr>
              <w:t>量</w:t>
            </w:r>
            <w:r>
              <w:rPr>
                <w:color w:val="000000"/>
                <w:spacing w:val="0"/>
                <w:w w:val="100"/>
                <w:position w:val="0"/>
              </w:rPr>
              <w:t xml:space="preserve">1g; </w:t>
            </w:r>
            <w:r>
              <w:rPr>
                <w:color w:val="000000"/>
                <w:spacing w:val="0"/>
                <w:w w:val="100"/>
                <w:position w:val="0"/>
              </w:rPr>
              <w:t>一般作为联合化疗 的一种，剂量为</w:t>
            </w:r>
            <w:r>
              <w:rPr>
                <w:color w:val="000000"/>
                <w:spacing w:val="0"/>
                <w:w w:val="100"/>
                <w:position w:val="0"/>
              </w:rPr>
              <w:t>500mg/m</w:t>
            </w:r>
            <w:r>
              <w:rPr>
                <w:color w:val="000000"/>
                <w:spacing w:val="0"/>
                <w:w w:val="100"/>
                <w:position w:val="0"/>
                <w:sz w:val="18"/>
                <w:szCs w:val="18"/>
              </w:rPr>
              <w:t>2</w:t>
            </w:r>
            <w:r>
              <w:rPr>
                <w:color w:val="000000"/>
                <w:spacing w:val="0"/>
                <w:w w:val="100"/>
                <w:position w:val="0"/>
              </w:rPr>
              <w:t xml:space="preserve">, </w:t>
            </w:r>
            <w:r>
              <w:rPr>
                <w:color w:val="000000"/>
                <w:spacing w:val="0"/>
                <w:w w:val="100"/>
                <w:position w:val="0"/>
              </w:rPr>
              <w:t>IV</w:t>
            </w:r>
          </w:p>
        </w:tc>
        <w:tc>
          <w:tcPr>
            <w:tcW w:w="1973" w:type="dxa"/>
            <w:tcBorders>
              <w:left w:val="single" w:sz="4" w:space="0" w:color="auto"/>
            </w:tcBorders>
            <w:shd w:val="clear" w:color="auto" w:fill="FFFFFF"/>
            <w:vAlign w:val="top"/>
          </w:tcPr>
          <w:p>
            <w:pPr>
              <w:pStyle w:val="a4"/>
              <w:keepNext w:val="0"/>
              <w:keepLines w:val="0"/>
              <w:widowControl w:val="0"/>
              <w:shd w:val="clear" w:color="auto" w:fill="auto"/>
              <w:bidi w:val="0"/>
              <w:spacing w:before="120" w:after="0" w:line="240" w:lineRule="auto"/>
              <w:ind w:left="0" w:right="0" w:firstLine="0"/>
              <w:jc w:val="left"/>
            </w:pPr>
            <w:r>
              <w:rPr>
                <w:color w:val="000000"/>
                <w:spacing w:val="0"/>
                <w:w w:val="100"/>
                <w:position w:val="0"/>
              </w:rPr>
              <w:t>呕吐</w:t>
            </w:r>
          </w:p>
        </w:tc>
        <w:tc>
          <w:tcPr>
            <w:tcW w:w="2006" w:type="dxa"/>
            <w:tcBorders>
              <w:left w:val="single" w:sz="4" w:space="0" w:color="auto"/>
            </w:tcBorders>
            <w:shd w:val="clear" w:color="auto" w:fill="FFFFFF"/>
            <w:vAlign w:val="top"/>
          </w:tcPr>
          <w:p>
            <w:pPr>
              <w:pStyle w:val="a4"/>
              <w:keepNext w:val="0"/>
              <w:keepLines w:val="0"/>
              <w:widowControl w:val="0"/>
              <w:shd w:val="clear" w:color="auto" w:fill="auto"/>
              <w:bidi w:val="0"/>
              <w:spacing w:before="140" w:after="300" w:line="240" w:lineRule="auto"/>
              <w:ind w:left="0" w:right="0" w:firstLine="0"/>
              <w:jc w:val="both"/>
            </w:pPr>
            <w:r>
              <w:rPr>
                <w:color w:val="000000"/>
                <w:spacing w:val="0"/>
                <w:w w:val="100"/>
                <w:position w:val="0"/>
              </w:rPr>
              <w:t>腹泻，脱发</w:t>
            </w:r>
          </w:p>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口腔炎</w:t>
            </w:r>
          </w:p>
        </w:tc>
        <w:tc>
          <w:tcPr>
            <w:tcW w:w="638" w:type="dxa"/>
            <w:tcBorders>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肾</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功</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能</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不</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佳/</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骨</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髓</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抑</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制</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减</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量</w:t>
            </w:r>
          </w:p>
        </w:tc>
        <w:tc>
          <w:tcPr>
            <w:tcW w:w="1709" w:type="dxa"/>
            <w:tcBorders>
              <w:left w:val="single" w:sz="4" w:space="0" w:color="auto"/>
            </w:tcBorders>
            <w:shd w:val="clear" w:color="auto" w:fill="FFFFFF"/>
            <w:vAlign w:val="top"/>
          </w:tcPr>
          <w:p>
            <w:pPr>
              <w:pStyle w:val="a4"/>
              <w:keepNext w:val="0"/>
              <w:keepLines w:val="0"/>
              <w:widowControl w:val="0"/>
              <w:shd w:val="clear" w:color="auto" w:fill="auto"/>
              <w:bidi w:val="0"/>
              <w:spacing w:before="140" w:after="300" w:line="240" w:lineRule="auto"/>
              <w:ind w:left="0" w:right="0" w:firstLine="0"/>
              <w:jc w:val="left"/>
            </w:pPr>
            <w:r>
              <w:rPr>
                <w:color w:val="000000"/>
                <w:spacing w:val="0"/>
                <w:w w:val="100"/>
                <w:position w:val="0"/>
              </w:rPr>
              <w:t>子宫内膜</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癌</w:t>
            </w:r>
          </w:p>
        </w:tc>
      </w:tr>
      <w:tr>
        <w:tblPrEx>
          <w:jc w:val="center"/>
          <w:tblLayout w:type="fixed"/>
          <w:tblCellMar>
            <w:left w:w="10" w:type="dxa"/>
            <w:right w:w="10" w:type="dxa"/>
          </w:tblCellMar>
        </w:tblPrEx>
        <w:trPr>
          <w:trHeight w:hRule="exact" w:val="830"/>
          <w:jc w:val="center"/>
        </w:trPr>
        <w:tc>
          <w:tcPr>
            <w:tcW w:w="171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甲氨</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绒癌：</w:t>
            </w:r>
            <w:r>
              <w:rPr>
                <w:color w:val="000000"/>
                <w:spacing w:val="0"/>
                <w:w w:val="100"/>
                <w:position w:val="0"/>
              </w:rPr>
              <w:t xml:space="preserve">10-30mg/d,IV,5 </w:t>
            </w:r>
            <w:r>
              <w:rPr>
                <w:color w:val="000000"/>
                <w:spacing w:val="0"/>
                <w:w w:val="100"/>
                <w:position w:val="0"/>
              </w:rPr>
              <w:t>天</w:t>
            </w:r>
          </w:p>
        </w:tc>
        <w:tc>
          <w:tcPr>
            <w:tcW w:w="1973" w:type="dxa"/>
            <w:tcBorders>
              <w:top w:val="single" w:sz="4" w:space="0" w:color="auto"/>
              <w:left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骨髓抑制</w:t>
            </w:r>
          </w:p>
        </w:tc>
        <w:tc>
          <w:tcPr>
            <w:tcW w:w="6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肾</w:t>
            </w:r>
          </w:p>
        </w:tc>
        <w:tc>
          <w:tcPr>
            <w:tcW w:w="170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绒癌，</w:t>
            </w:r>
          </w:p>
        </w:tc>
      </w:tr>
      <w:tr>
        <w:tblPrEx>
          <w:jc w:val="center"/>
          <w:tblLayout w:type="fixed"/>
          <w:tblCellMar>
            <w:left w:w="10" w:type="dxa"/>
            <w:right w:w="10" w:type="dxa"/>
          </w:tblCellMar>
        </w:tblPrEx>
        <w:trPr>
          <w:trHeight w:hRule="exact" w:val="4277"/>
          <w:jc w:val="center"/>
        </w:trPr>
        <w:tc>
          <w:tcPr>
            <w:tcW w:w="1714" w:type="dxa"/>
            <w:tcBorders>
              <w:left w:val="single" w:sz="4" w:space="0" w:color="auto"/>
            </w:tcBorders>
            <w:shd w:val="clear" w:color="auto" w:fill="FFFFFF"/>
            <w:vAlign w:val="top"/>
          </w:tcPr>
          <w:p>
            <w:pPr>
              <w:pStyle w:val="a4"/>
              <w:keepNext w:val="0"/>
              <w:keepLines w:val="0"/>
              <w:widowControl w:val="0"/>
              <w:shd w:val="clear" w:color="auto" w:fill="auto"/>
              <w:bidi w:val="0"/>
              <w:spacing w:before="140" w:after="0" w:line="240" w:lineRule="auto"/>
              <w:ind w:left="0" w:right="0" w:firstLine="0"/>
              <w:jc w:val="left"/>
            </w:pPr>
            <w:r>
              <w:rPr>
                <w:color w:val="000000"/>
                <w:spacing w:val="0"/>
                <w:w w:val="100"/>
                <w:position w:val="0"/>
              </w:rPr>
              <w:t>蝶吟</w:t>
            </w:r>
          </w:p>
        </w:tc>
        <w:tc>
          <w:tcPr>
            <w:tcW w:w="360" w:type="dxa"/>
            <w:tcBorders>
              <w:left w:val="single" w:sz="4" w:space="0" w:color="auto"/>
            </w:tcBorders>
            <w:shd w:val="clear" w:color="auto" w:fill="FFFFFF"/>
            <w:vAlign w:val="top"/>
          </w:tcPr>
          <w:p>
            <w:pPr>
              <w:widowControl w:val="0"/>
              <w:rPr>
                <w:sz w:val="10"/>
                <w:szCs w:val="10"/>
              </w:rPr>
            </w:pPr>
          </w:p>
        </w:tc>
        <w:tc>
          <w:tcPr>
            <w:tcW w:w="4118" w:type="dxa"/>
            <w:tcBorders>
              <w:left w:val="single" w:sz="4" w:space="0" w:color="auto"/>
            </w:tcBorders>
            <w:shd w:val="clear" w:color="auto" w:fill="FFFFFF"/>
            <w:vAlign w:val="top"/>
          </w:tcPr>
          <w:p>
            <w:pPr>
              <w:pStyle w:val="a4"/>
              <w:keepNext w:val="0"/>
              <w:keepLines w:val="0"/>
              <w:widowControl w:val="0"/>
              <w:shd w:val="clear" w:color="auto" w:fill="auto"/>
              <w:bidi w:val="0"/>
              <w:spacing w:before="120" w:after="280" w:line="240" w:lineRule="auto"/>
              <w:ind w:left="0" w:right="0" w:firstLine="0"/>
              <w:jc w:val="left"/>
            </w:pPr>
            <w:r>
              <w:rPr>
                <w:color w:val="000000"/>
                <w:spacing w:val="0"/>
                <w:w w:val="100"/>
                <w:position w:val="0"/>
              </w:rPr>
              <w:t>卵巢宫颈癌：</w:t>
            </w:r>
            <w:r>
              <w:rPr>
                <w:color w:val="000000"/>
                <w:spacing w:val="0"/>
                <w:w w:val="100"/>
                <w:position w:val="0"/>
              </w:rPr>
              <w:t>200-2000mg</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/m</w:t>
            </w:r>
            <w:r>
              <w:rPr>
                <w:color w:val="000000"/>
                <w:spacing w:val="0"/>
                <w:w w:val="100"/>
                <w:position w:val="0"/>
                <w:sz w:val="18"/>
                <w:szCs w:val="18"/>
              </w:rPr>
              <w:t>2</w:t>
            </w:r>
            <w:r>
              <w:rPr>
                <w:color w:val="000000"/>
                <w:spacing w:val="0"/>
                <w:w w:val="100"/>
                <w:position w:val="0"/>
              </w:rPr>
              <w:t>,IV</w:t>
            </w:r>
          </w:p>
        </w:tc>
        <w:tc>
          <w:tcPr>
            <w:tcW w:w="1973" w:type="dxa"/>
            <w:tcBorders>
              <w:left w:val="single" w:sz="4" w:space="0" w:color="auto"/>
            </w:tcBorders>
            <w:shd w:val="clear" w:color="auto" w:fill="FFFFFF"/>
            <w:vAlign w:val="top"/>
          </w:tcPr>
          <w:p>
            <w:pPr>
              <w:widowControl w:val="0"/>
              <w:rPr>
                <w:sz w:val="10"/>
                <w:szCs w:val="10"/>
              </w:rPr>
            </w:pPr>
          </w:p>
        </w:tc>
        <w:tc>
          <w:tcPr>
            <w:tcW w:w="2006" w:type="dxa"/>
            <w:tcBorders>
              <w:left w:val="single" w:sz="4" w:space="0" w:color="auto"/>
            </w:tcBorders>
            <w:shd w:val="clear" w:color="auto" w:fill="FFFFFF"/>
            <w:vAlign w:val="top"/>
          </w:tcPr>
          <w:p>
            <w:pPr>
              <w:pStyle w:val="a4"/>
              <w:keepNext w:val="0"/>
              <w:keepLines w:val="0"/>
              <w:widowControl w:val="0"/>
              <w:shd w:val="clear" w:color="auto" w:fill="auto"/>
              <w:bidi w:val="0"/>
              <w:spacing w:before="140" w:after="300" w:line="240" w:lineRule="auto"/>
              <w:ind w:left="0" w:right="0" w:firstLine="0"/>
              <w:jc w:val="both"/>
            </w:pPr>
            <w:r>
              <w:rPr>
                <w:color w:val="000000"/>
                <w:spacing w:val="0"/>
                <w:w w:val="100"/>
                <w:position w:val="0"/>
              </w:rPr>
              <w:t>腹泻，脱发</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口腔炎，偶</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见纤维化</w:t>
            </w:r>
          </w:p>
        </w:tc>
        <w:tc>
          <w:tcPr>
            <w:tcW w:w="638" w:type="dxa"/>
            <w:tcBorders>
              <w:left w:val="single" w:sz="4" w:space="0" w:color="auto"/>
            </w:tcBorders>
            <w:shd w:val="clear" w:color="auto" w:fill="FFFFFF"/>
            <w:vAlign w:val="bottom"/>
          </w:tcPr>
          <w:p>
            <w:pPr>
              <w:pStyle w:val="a4"/>
              <w:keepNext w:val="0"/>
              <w:keepLines w:val="0"/>
              <w:widowControl w:val="0"/>
              <w:shd w:val="clear" w:color="auto" w:fill="auto"/>
              <w:bidi w:val="0"/>
              <w:spacing w:before="0" w:after="0" w:line="720" w:lineRule="exact"/>
              <w:ind w:left="0" w:right="0" w:firstLine="0"/>
              <w:jc w:val="both"/>
            </w:pPr>
            <w:r>
              <w:rPr>
                <w:color w:val="000000"/>
                <w:spacing w:val="0"/>
                <w:w w:val="100"/>
                <w:position w:val="0"/>
              </w:rPr>
              <w:t>功 能 必 须 良 好</w:t>
            </w:r>
          </w:p>
        </w:tc>
        <w:tc>
          <w:tcPr>
            <w:tcW w:w="1709" w:type="dxa"/>
            <w:tcBorders>
              <w:left w:val="single" w:sz="4" w:space="0" w:color="auto"/>
            </w:tcBorders>
            <w:shd w:val="clear" w:color="auto" w:fill="FFFFFF"/>
            <w:vAlign w:val="top"/>
          </w:tcPr>
          <w:p>
            <w:pPr>
              <w:pStyle w:val="a4"/>
              <w:keepNext w:val="0"/>
              <w:keepLines w:val="0"/>
              <w:widowControl w:val="0"/>
              <w:shd w:val="clear" w:color="auto" w:fill="auto"/>
              <w:bidi w:val="0"/>
              <w:spacing w:before="140" w:after="300" w:line="240" w:lineRule="auto"/>
              <w:ind w:left="0" w:right="0" w:firstLine="0"/>
              <w:jc w:val="left"/>
            </w:pPr>
            <w:r>
              <w:rPr>
                <w:color w:val="000000"/>
                <w:spacing w:val="0"/>
                <w:w w:val="100"/>
                <w:position w:val="0"/>
              </w:rPr>
              <w:t>卵巢癌</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宫颈癌</w:t>
            </w:r>
          </w:p>
        </w:tc>
      </w:tr>
      <w:tr>
        <w:tblPrEx>
          <w:jc w:val="center"/>
          <w:tblLayout w:type="fixed"/>
          <w:tblCellMar>
            <w:left w:w="10" w:type="dxa"/>
            <w:right w:w="10" w:type="dxa"/>
          </w:tblCellMar>
        </w:tblPrEx>
        <w:trPr>
          <w:trHeight w:hRule="exact" w:val="1478"/>
          <w:jc w:val="center"/>
        </w:trPr>
        <w:tc>
          <w:tcPr>
            <w:tcW w:w="171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0" w:line="240" w:lineRule="auto"/>
              <w:ind w:left="0" w:right="0" w:firstLine="0"/>
              <w:jc w:val="left"/>
            </w:pPr>
            <w:r>
              <w:rPr>
                <w:color w:val="000000"/>
                <w:spacing w:val="0"/>
                <w:w w:val="100"/>
                <w:position w:val="0"/>
              </w:rPr>
              <w:t>阿糖孢苷</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00" w:after="0" w:line="240" w:lineRule="auto"/>
              <w:ind w:left="0" w:right="0" w:firstLine="0"/>
              <w:jc w:val="left"/>
            </w:pPr>
            <w:r>
              <w:rPr>
                <w:color w:val="000000"/>
                <w:spacing w:val="0"/>
                <w:w w:val="100"/>
                <w:position w:val="0"/>
              </w:rPr>
              <w:t xml:space="preserve">200mg/m2.dX5 </w:t>
            </w:r>
            <w:r>
              <w:rPr>
                <w:color w:val="000000"/>
                <w:spacing w:val="0"/>
                <w:w w:val="100"/>
                <w:position w:val="0"/>
              </w:rPr>
              <w:t>天，</w:t>
            </w:r>
            <w:r>
              <w:rPr>
                <w:color w:val="000000"/>
                <w:spacing w:val="0"/>
                <w:w w:val="100"/>
                <w:position w:val="0"/>
              </w:rPr>
              <w:t>ivgtt</w:t>
            </w:r>
          </w:p>
        </w:tc>
        <w:tc>
          <w:tcPr>
            <w:tcW w:w="19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00" w:after="0" w:line="240" w:lineRule="auto"/>
              <w:ind w:left="0" w:right="0" w:firstLine="0"/>
              <w:jc w:val="left"/>
            </w:pPr>
            <w:r>
              <w:rPr>
                <w:color w:val="000000"/>
                <w:spacing w:val="0"/>
                <w:w w:val="100"/>
                <w:position w:val="0"/>
              </w:rPr>
              <w:t>恶心、呕吐</w:t>
            </w:r>
          </w:p>
        </w:tc>
        <w:tc>
          <w:tcPr>
            <w:tcW w:w="200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0" w:line="240" w:lineRule="auto"/>
              <w:ind w:left="0" w:right="0" w:firstLine="0"/>
              <w:jc w:val="both"/>
            </w:pPr>
            <w:r>
              <w:rPr>
                <w:color w:val="000000"/>
                <w:spacing w:val="0"/>
                <w:w w:val="100"/>
                <w:position w:val="0"/>
              </w:rPr>
              <w:t>骨髓抑制</w:t>
            </w: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20" w:line="240" w:lineRule="auto"/>
              <w:ind w:left="0" w:right="0" w:firstLine="0"/>
              <w:jc w:val="left"/>
            </w:pPr>
            <w:r>
              <w:rPr>
                <w:color w:val="000000"/>
                <w:spacing w:val="0"/>
                <w:w w:val="100"/>
                <w:position w:val="0"/>
              </w:rPr>
              <w:t>卵巢癌（腹</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腔）</w:t>
            </w:r>
          </w:p>
        </w:tc>
      </w:tr>
      <w:tr>
        <w:tblPrEx>
          <w:jc w:val="center"/>
          <w:tblLayout w:type="fixed"/>
          <w:tblCellMar>
            <w:left w:w="10" w:type="dxa"/>
            <w:right w:w="10" w:type="dxa"/>
          </w:tblCellMar>
        </w:tblPrEx>
        <w:trPr>
          <w:trHeight w:hRule="exact" w:val="4354"/>
          <w:jc w:val="center"/>
        </w:trPr>
        <w:tc>
          <w:tcPr>
            <w:tcW w:w="171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0" w:line="240" w:lineRule="auto"/>
              <w:ind w:left="0" w:right="0" w:firstLine="0"/>
              <w:jc w:val="left"/>
            </w:pPr>
            <w:r>
              <w:rPr>
                <w:color w:val="000000"/>
                <w:spacing w:val="0"/>
                <w:w w:val="100"/>
                <w:position w:val="0"/>
              </w:rPr>
              <w:t>阿霉素</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00" w:after="0" w:line="240" w:lineRule="auto"/>
              <w:ind w:left="0" w:right="0" w:firstLine="0"/>
              <w:jc w:val="left"/>
            </w:pPr>
            <w:r>
              <w:rPr>
                <w:color w:val="000000"/>
                <w:spacing w:val="0"/>
                <w:w w:val="100"/>
                <w:position w:val="0"/>
              </w:rPr>
              <w:t xml:space="preserve">每 3 周 </w:t>
            </w:r>
            <w:r>
              <w:rPr>
                <w:color w:val="000000"/>
                <w:spacing w:val="0"/>
                <w:w w:val="100"/>
                <w:position w:val="0"/>
              </w:rPr>
              <w:t>60-100mg/m</w:t>
            </w:r>
            <w:r>
              <w:rPr>
                <w:color w:val="000000"/>
                <w:spacing w:val="0"/>
                <w:w w:val="100"/>
                <w:position w:val="0"/>
                <w:sz w:val="18"/>
                <w:szCs w:val="18"/>
              </w:rPr>
              <w:t>2</w:t>
            </w:r>
            <w:r>
              <w:rPr>
                <w:color w:val="000000"/>
                <w:spacing w:val="0"/>
                <w:w w:val="100"/>
                <w:position w:val="0"/>
              </w:rPr>
              <w:t>,IV</w:t>
            </w:r>
          </w:p>
        </w:tc>
        <w:tc>
          <w:tcPr>
            <w:tcW w:w="19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300" w:line="240" w:lineRule="auto"/>
              <w:ind w:left="0" w:right="0" w:firstLine="0"/>
              <w:jc w:val="left"/>
            </w:pPr>
            <w:r>
              <w:rPr>
                <w:color w:val="000000"/>
                <w:spacing w:val="0"/>
                <w:w w:val="100"/>
                <w:position w:val="0"/>
              </w:rPr>
              <w:t>恶心、呕吐/</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发热，局部</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静脉炎，外</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渗可致坏</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死，红尿</w:t>
            </w:r>
          </w:p>
        </w:tc>
        <w:tc>
          <w:tcPr>
            <w:tcW w:w="200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300" w:line="240" w:lineRule="auto"/>
              <w:ind w:left="0" w:right="0" w:firstLine="0"/>
              <w:jc w:val="both"/>
            </w:pPr>
            <w:r>
              <w:rPr>
                <w:color w:val="000000"/>
                <w:spacing w:val="0"/>
                <w:w w:val="100"/>
                <w:position w:val="0"/>
              </w:rPr>
              <w:t>骨髓抑制</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腹泻，脱发</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口腔炎，剂</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量累积有关</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的心脏毒性</w:t>
            </w:r>
          </w:p>
        </w:tc>
        <w:tc>
          <w:tcPr>
            <w:tcW w:w="63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静</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脉</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输</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液</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给</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药，</w:t>
            </w:r>
          </w:p>
        </w:tc>
        <w:tc>
          <w:tcPr>
            <w:tcW w:w="17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300" w:line="240" w:lineRule="auto"/>
              <w:ind w:left="0" w:right="0" w:firstLine="0"/>
              <w:jc w:val="left"/>
            </w:pPr>
            <w:r>
              <w:rPr>
                <w:color w:val="000000"/>
                <w:spacing w:val="0"/>
                <w:w w:val="100"/>
                <w:position w:val="0"/>
              </w:rPr>
              <w:t>子宫内膜</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癌，输卵</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管、卵巢和</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阴道腺癌，</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子宫肉瘤</w:t>
            </w:r>
          </w:p>
        </w:tc>
      </w:tr>
    </w:tbl>
    <w:p>
      <w:pPr>
        <w:sectPr>
          <w:type w:val="nextPage"/>
          <w:pgSz w:w="17861" w:h="25258"/>
          <w:pgMar w:top="1829" w:right="2486" w:bottom="2287" w:left="2654" w:header="0" w:footer="3" w:gutter="0"/>
          <w:pgNumType w:start="5"/>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714"/>
        <w:gridCol w:w="360"/>
        <w:gridCol w:w="4118"/>
        <w:gridCol w:w="1973"/>
        <w:gridCol w:w="2006"/>
        <w:gridCol w:w="638"/>
        <w:gridCol w:w="1718"/>
      </w:tblGrid>
      <w:tr>
        <w:tblPrEx>
          <w:jc w:val="center"/>
          <w:tblLayout w:type="fixed"/>
          <w:tblCellMar>
            <w:left w:w="10" w:type="dxa"/>
            <w:right w:w="10" w:type="dxa"/>
          </w:tblCellMar>
        </w:tblPrEx>
        <w:trPr>
          <w:trHeight w:hRule="exact" w:val="6528"/>
          <w:jc w:val="center"/>
        </w:trPr>
        <w:tc>
          <w:tcPr>
            <w:tcW w:w="1714" w:type="dxa"/>
            <w:tcBorders>
              <w:top w:val="single" w:sz="4" w:space="0" w:color="auto"/>
              <w:left w:val="single" w:sz="4" w:space="0" w:color="auto"/>
            </w:tcBorders>
            <w:shd w:val="clear" w:color="auto" w:fill="FFFFFF"/>
            <w:vAlign w:val="top"/>
          </w:tcPr>
          <w:p>
            <w:pPr>
              <w:widowControl w:val="0"/>
              <w:rPr>
                <w:sz w:val="10"/>
                <w:szCs w:val="10"/>
              </w:rPr>
            </w:pP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随</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诊</w:t>
            </w:r>
            <w:r>
              <w:rPr>
                <w:color w:val="000000"/>
                <w:spacing w:val="0"/>
                <w:w w:val="100"/>
                <w:position w:val="0"/>
              </w:rPr>
              <w:t>E</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KG</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和</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心</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衰</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的</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征</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象</w:t>
            </w:r>
          </w:p>
        </w:tc>
        <w:tc>
          <w:tcPr>
            <w:tcW w:w="1718" w:type="dxa"/>
            <w:tcBorders>
              <w:top w:val="single" w:sz="4" w:space="0" w:color="auto"/>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92"/>
          <w:jc w:val="center"/>
        </w:trPr>
        <w:tc>
          <w:tcPr>
            <w:tcW w:w="171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36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7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r>
    </w:tbl>
    <w:p>
      <w:pPr>
        <w:pStyle w:val="a3"/>
        <w:keepNext w:val="0"/>
        <w:keepLines w:val="0"/>
        <w:widowControl w:val="0"/>
        <w:shd w:val="clear" w:color="auto" w:fill="auto"/>
        <w:bidi w:val="0"/>
        <w:spacing w:before="0" w:after="0" w:line="240" w:lineRule="auto"/>
        <w:ind w:left="10" w:right="0" w:firstLine="0"/>
        <w:jc w:val="left"/>
      </w:pPr>
      <w:r>
        <w:rPr>
          <w:b/>
          <w:bCs/>
          <w:color w:val="000000"/>
          <w:spacing w:val="0"/>
          <w:w w:val="100"/>
          <w:position w:val="0"/>
        </w:rPr>
        <w:t>2.2 M</w:t>
      </w:r>
      <w:r>
        <w:rPr>
          <w:b/>
          <w:bCs/>
          <w:color w:val="000000"/>
          <w:spacing w:val="0"/>
          <w:w w:val="100"/>
          <w:position w:val="0"/>
        </w:rPr>
        <w:t>期特异性一 春花生物碱类+鬼臼毒素</w:t>
      </w:r>
    </w:p>
    <w:p>
      <w:pPr>
        <w:pStyle w:val="10"/>
        <w:keepNext/>
        <w:keepLines/>
        <w:widowControl w:val="0"/>
        <w:shd w:val="clear" w:color="auto" w:fill="auto"/>
        <w:bidi w:val="0"/>
        <w:spacing w:before="0" w:after="0" w:line="723" w:lineRule="exact"/>
        <w:ind w:left="0" w:right="0" w:firstLine="0"/>
        <w:jc w:val="both"/>
      </w:pPr>
      <w:bookmarkStart w:id="0" w:name="bookmark0"/>
      <w:bookmarkStart w:id="1" w:name="bookmark1"/>
      <w:bookmarkStart w:id="2" w:name="bookmark2"/>
      <w:r>
        <w:rPr>
          <w:color w:val="000000"/>
          <w:spacing w:val="0"/>
          <w:w w:val="100"/>
          <w:position w:val="0"/>
        </w:rPr>
        <w:t>2.2.1</w:t>
      </w:r>
      <w:r>
        <w:rPr>
          <w:color w:val="000000"/>
          <w:spacing w:val="0"/>
          <w:w w:val="100"/>
          <w:position w:val="0"/>
        </w:rPr>
        <w:t>长春花生物碱类</w:t>
      </w:r>
      <w:bookmarkEnd w:id="0"/>
      <w:bookmarkEnd w:id="1"/>
      <w:bookmarkEnd w:id="2"/>
    </w:p>
    <w:p>
      <w:pPr>
        <w:pStyle w:val="a2"/>
        <w:keepNext w:val="0"/>
        <w:keepLines w:val="0"/>
        <w:widowControl w:val="0"/>
        <w:shd w:val="clear" w:color="auto" w:fill="auto"/>
        <w:bidi w:val="0"/>
        <w:spacing w:before="0" w:after="0" w:line="725" w:lineRule="exact"/>
        <w:ind w:left="0" w:right="0" w:firstLine="0"/>
        <w:jc w:val="both"/>
      </w:pPr>
      <w:r>
        <w:rPr>
          <w:color w:val="000000"/>
          <w:spacing w:val="0"/>
          <w:w w:val="100"/>
          <w:position w:val="0"/>
        </w:rPr>
        <w:t>抗肿瘤植物药指来源于植物的具有抗肿瘤作用的药物，其有效成分中以生物碱占 多数，作用机制可归为以下三类：</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用于微管和微管蛋白：长春碱和紫杉类。长春花碱</w:t>
      </w:r>
      <w:r>
        <w:rPr>
          <w:color w:val="000000"/>
          <w:spacing w:val="0"/>
          <w:w w:val="100"/>
          <w:position w:val="0"/>
        </w:rPr>
        <w:t>（VLB）、</w:t>
      </w:r>
      <w:r>
        <w:rPr>
          <w:color w:val="000000"/>
          <w:spacing w:val="0"/>
          <w:w w:val="100"/>
          <w:position w:val="0"/>
        </w:rPr>
        <w:t>长春新碱</w:t>
      </w:r>
      <w:r>
        <w:rPr>
          <w:color w:val="000000"/>
          <w:spacing w:val="0"/>
          <w:w w:val="100"/>
          <w:position w:val="0"/>
        </w:rPr>
        <w:t>（VC R）、</w:t>
      </w:r>
      <w:r>
        <w:rPr>
          <w:color w:val="000000"/>
          <w:spacing w:val="0"/>
          <w:w w:val="100"/>
          <w:position w:val="0"/>
        </w:rPr>
        <w:t>长春花碱酰胺</w:t>
      </w:r>
      <w:r>
        <w:rPr>
          <w:color w:val="000000"/>
          <w:spacing w:val="0"/>
          <w:w w:val="100"/>
          <w:position w:val="0"/>
        </w:rPr>
        <w:t>（VDS）</w:t>
      </w:r>
      <w:r>
        <w:rPr>
          <w:color w:val="000000"/>
          <w:spacing w:val="0"/>
          <w:w w:val="100"/>
          <w:position w:val="0"/>
        </w:rPr>
        <w:t>、去甲长春花碱（</w:t>
      </w:r>
      <w:r>
        <w:rPr>
          <w:color w:val="000000"/>
          <w:spacing w:val="0"/>
          <w:w w:val="100"/>
          <w:position w:val="0"/>
        </w:rPr>
        <w:t>NVB）</w:t>
      </w:r>
      <w:r>
        <w:rPr>
          <w:color w:val="000000"/>
          <w:spacing w:val="0"/>
          <w:w w:val="100"/>
          <w:position w:val="0"/>
        </w:rPr>
        <w:t>、紫杉醇</w:t>
      </w:r>
      <w:r>
        <w:rPr>
          <w:color w:val="000000"/>
          <w:spacing w:val="0"/>
          <w:w w:val="100"/>
          <w:position w:val="0"/>
        </w:rPr>
        <w:t>（PTX）</w:t>
      </w:r>
      <w:r>
        <w:rPr>
          <w:color w:val="000000"/>
          <w:spacing w:val="0"/>
          <w:w w:val="100"/>
          <w:position w:val="0"/>
        </w:rPr>
        <w:t>、泰索帝。 抑制微管蛋白的聚合，而妨碍纺锤体微管的形成，使有丝分裂停止于中期；也可 作用于细胞膜，干扰细胞膜对氨基酸的转运，使蛋白质的合成受抑，从而导致肿 瘤细胞死亡。抗瘤谱广，主要用于各种实体瘤的治疗。长春碱类药物的不良反应 为血液毒性、消化道反应恶心呕吐、周围神经毒性表现指（趾）尖麻木，四肢疼 痛，肌肉震颤，腱反射消失；在应用过程中注意观察，可以用一些营养神经的药 物。</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还可以引起局部刺激，出现组织坏死，在使用过程同阿霉素。紫杉类药物主 要不良反应是过敏反应，在用药前先询问有无过敏史，服用抗过敏药物预防过敏 反应的发生，使用中慢滴</w:t>
      </w:r>
      <w:r>
        <w:rPr>
          <w:color w:val="000000"/>
          <w:spacing w:val="0"/>
          <w:w w:val="100"/>
          <w:position w:val="0"/>
        </w:rPr>
        <w:t>3-4</w:t>
      </w:r>
      <w:r>
        <w:rPr>
          <w:color w:val="000000"/>
          <w:spacing w:val="0"/>
          <w:w w:val="100"/>
          <w:position w:val="0"/>
        </w:rPr>
        <w:t>小时，同时认真观察生命体征，注意有无过敏反应， 发现过敏反应立即停药。输紫杉醇时应使用聚丙烯输液器，不可使用聚乙烯输液 器。</w:t>
      </w:r>
    </w:p>
    <w:p>
      <w:pPr>
        <w:pStyle w:val="a2"/>
        <w:keepNext w:val="0"/>
        <w:keepLines w:val="0"/>
        <w:widowControl w:val="0"/>
        <w:shd w:val="clear" w:color="auto" w:fill="auto"/>
        <w:bidi w:val="0"/>
        <w:spacing w:before="0" w:after="0" w:line="723" w:lineRule="exact"/>
        <w:ind w:left="0" w:right="0" w:firstLine="740"/>
        <w:jc w:val="both"/>
        <w:sectPr>
          <w:type w:val="nextPage"/>
          <w:pgSz w:w="17861" w:h="25258"/>
          <w:pgMar w:top="1829" w:right="2486" w:bottom="2287" w:left="2654" w:header="0" w:footer="3" w:gutter="0"/>
          <w:pgNumType w:start="6"/>
          <w:cols w:space="720"/>
          <w:noEndnote/>
          <w:titlePg w:val="0"/>
          <w:rtlGutter w:val="0"/>
          <w:docGrid w:linePitch="360"/>
        </w:sectPr>
      </w:pPr>
      <w:r>
        <w:rPr>
          <w:color w:val="000000"/>
          <w:spacing w:val="0"/>
          <w:w w:val="100"/>
          <w:position w:val="0"/>
        </w:rPr>
        <w:t>用于拓扑异构酶：喜树碱和鬼臼毒类。喜树碱</w:t>
      </w:r>
      <w:r>
        <w:rPr>
          <w:color w:val="000000"/>
          <w:spacing w:val="0"/>
          <w:w w:val="100"/>
          <w:position w:val="0"/>
        </w:rPr>
        <w:t>（CPT）</w:t>
      </w:r>
      <w:r>
        <w:rPr>
          <w:color w:val="000000"/>
          <w:spacing w:val="0"/>
          <w:w w:val="100"/>
          <w:position w:val="0"/>
        </w:rPr>
        <w:t>、羟基喜树碱</w:t>
      </w:r>
      <w:r>
        <w:rPr>
          <w:color w:val="000000"/>
          <w:spacing w:val="0"/>
          <w:w w:val="100"/>
          <w:position w:val="0"/>
        </w:rPr>
        <w:t>（HCPT）</w:t>
      </w:r>
      <w:r>
        <w:rPr>
          <w:color w:val="000000"/>
          <w:spacing w:val="0"/>
          <w:w w:val="100"/>
          <w:position w:val="0"/>
        </w:rPr>
        <w:t>、</w:t>
      </w:r>
    </w:p>
    <w:p>
      <w:pPr>
        <w:pStyle w:val="a2"/>
        <w:keepNext w:val="0"/>
        <w:keepLines w:val="0"/>
        <w:widowControl w:val="0"/>
        <w:shd w:val="clear" w:color="auto" w:fill="auto"/>
        <w:bidi w:val="0"/>
        <w:spacing w:before="0" w:after="0" w:line="723" w:lineRule="exact"/>
        <w:ind w:left="0" w:right="0" w:firstLine="740"/>
        <w:jc w:val="both"/>
      </w:pPr>
      <w:r>
        <w:rPr>
          <w:color w:val="000000"/>
          <w:spacing w:val="0"/>
          <w:w w:val="100"/>
          <w:position w:val="0"/>
        </w:rPr>
        <w:t>鬼臼乙叉甙（足叶乙甙，</w:t>
      </w:r>
      <w:r>
        <w:rPr>
          <w:color w:val="000000"/>
          <w:spacing w:val="0"/>
          <w:w w:val="100"/>
          <w:position w:val="0"/>
        </w:rPr>
        <w:t>VP-16）。</w:t>
      </w:r>
      <w:r>
        <w:rPr>
          <w:color w:val="000000"/>
          <w:spacing w:val="0"/>
          <w:w w:val="100"/>
          <w:position w:val="0"/>
        </w:rPr>
        <w:t>干扰</w:t>
      </w:r>
      <w:r>
        <w:rPr>
          <w:color w:val="000000"/>
          <w:spacing w:val="0"/>
          <w:w w:val="100"/>
          <w:position w:val="0"/>
        </w:rPr>
        <w:t>DNA</w:t>
      </w:r>
      <w:r>
        <w:rPr>
          <w:color w:val="000000"/>
          <w:spacing w:val="0"/>
          <w:w w:val="100"/>
          <w:position w:val="0"/>
        </w:rPr>
        <w:t>的复制。临床用于膀胱癌、大肠癌、 原发性肝癌等很有效。不良反应主要为消化道反应，表现恶心、呕吐、腹泻等。 做好消化道反应的处理。</w:t>
      </w:r>
    </w:p>
    <w:p>
      <w:pPr>
        <w:pStyle w:val="a2"/>
        <w:keepNext w:val="0"/>
        <w:keepLines w:val="0"/>
        <w:widowControl w:val="0"/>
        <w:shd w:val="clear" w:color="auto" w:fill="auto"/>
        <w:bidi w:val="0"/>
        <w:spacing w:before="0" w:after="60" w:line="732" w:lineRule="exact"/>
        <w:ind w:left="0" w:right="0" w:firstLine="720"/>
        <w:jc w:val="both"/>
      </w:pPr>
      <w:r>
        <w:rPr>
          <w:color w:val="000000"/>
          <w:spacing w:val="0"/>
          <w:w w:val="100"/>
          <w:position w:val="0"/>
        </w:rPr>
        <w:t>抑制肿瘤细胞</w:t>
      </w:r>
      <w:r>
        <w:rPr>
          <w:color w:val="000000"/>
          <w:spacing w:val="0"/>
          <w:w w:val="100"/>
          <w:position w:val="0"/>
        </w:rPr>
        <w:t>DNA</w:t>
      </w:r>
      <w:r>
        <w:rPr>
          <w:color w:val="000000"/>
          <w:spacing w:val="0"/>
          <w:w w:val="100"/>
          <w:position w:val="0"/>
        </w:rPr>
        <w:t>合成：三尖杉酯碱和靛玉红。用于治疗血液病，如急、慢</w:t>
      </w:r>
    </w:p>
    <w:p>
      <w:pPr>
        <w:pStyle w:val="a3"/>
        <w:keepNext w:val="0"/>
        <w:keepLines w:val="0"/>
        <w:widowControl w:val="0"/>
        <w:shd w:val="clear" w:color="auto" w:fill="auto"/>
        <w:bidi w:val="0"/>
        <w:spacing w:before="0" w:after="0" w:line="720" w:lineRule="exact"/>
        <w:ind w:left="0" w:right="0" w:firstLine="0"/>
        <w:jc w:val="left"/>
      </w:pPr>
      <w:r>
        <w:rPr>
          <w:color w:val="000000"/>
          <w:spacing w:val="0"/>
          <w:w w:val="100"/>
          <w:position w:val="0"/>
        </w:rPr>
        <w:t>性粒细胞白血病。不良反应有轻微的消化道反应如恶心、呕吐；血液毒性表现为 全血细胞下降，注意对血象的监测。</w:t>
      </w:r>
    </w:p>
    <w:tbl>
      <w:tblPr>
        <w:tblStyle w:val="TableNormal"/>
        <w:tblOverlap w:val="never"/>
        <w:jc w:val="center"/>
        <w:tblLayout w:type="fixed"/>
        <w:tblCellMar>
          <w:left w:w="10" w:type="dxa"/>
          <w:right w:w="10" w:type="dxa"/>
        </w:tblCellMar>
      </w:tblPr>
      <w:tblGrid>
        <w:gridCol w:w="1690"/>
        <w:gridCol w:w="360"/>
        <w:gridCol w:w="4118"/>
        <w:gridCol w:w="1973"/>
        <w:gridCol w:w="2006"/>
        <w:gridCol w:w="638"/>
        <w:gridCol w:w="1666"/>
      </w:tblGrid>
      <w:tr>
        <w:tblPrEx>
          <w:jc w:val="center"/>
          <w:tblLayout w:type="fixed"/>
          <w:tblCellMar>
            <w:left w:w="10" w:type="dxa"/>
            <w:right w:w="10" w:type="dxa"/>
          </w:tblCellMar>
        </w:tblPrEx>
        <w:trPr>
          <w:trHeight w:hRule="exact" w:val="3034"/>
          <w:jc w:val="center"/>
        </w:trPr>
        <w:tc>
          <w:tcPr>
            <w:tcW w:w="169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360" w:after="260" w:line="240" w:lineRule="auto"/>
              <w:ind w:left="0" w:right="0" w:firstLine="0"/>
              <w:jc w:val="both"/>
            </w:pPr>
            <w:r>
              <w:rPr>
                <w:color w:val="000000"/>
                <w:spacing w:val="0"/>
                <w:w w:val="100"/>
                <w:position w:val="0"/>
              </w:rPr>
              <w:t>长春新碱</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VCR</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320" w:after="300" w:line="240" w:lineRule="auto"/>
              <w:ind w:left="0" w:right="0" w:firstLine="0"/>
              <w:jc w:val="left"/>
            </w:pPr>
            <w:r>
              <w:rPr>
                <w:color w:val="000000"/>
                <w:spacing w:val="0"/>
                <w:w w:val="100"/>
                <w:position w:val="0"/>
              </w:rPr>
              <w:t xml:space="preserve">成人每周 </w:t>
            </w:r>
            <w:r>
              <w:rPr>
                <w:color w:val="000000"/>
                <w:spacing w:val="0"/>
                <w:w w:val="100"/>
                <w:position w:val="0"/>
              </w:rPr>
              <w:t>0.4-1.4mg/m</w:t>
            </w:r>
            <w:r>
              <w:rPr>
                <w:color w:val="000000"/>
                <w:spacing w:val="0"/>
                <w:w w:val="100"/>
                <w:position w:val="0"/>
                <w:sz w:val="18"/>
                <w:szCs w:val="18"/>
              </w:rPr>
              <w:t>2</w:t>
            </w:r>
            <w:r>
              <w:rPr>
                <w:color w:val="000000"/>
                <w:spacing w:val="0"/>
                <w:w w:val="100"/>
                <w:position w:val="0"/>
              </w:rPr>
              <w:t>,I</w:t>
            </w:r>
          </w:p>
          <w:p>
            <w:pPr>
              <w:pStyle w:val="a4"/>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36"/>
                <w:szCs w:val="36"/>
              </w:rPr>
              <w:t>V,儿童每周</w:t>
            </w:r>
            <w:r>
              <w:rPr>
                <w:color w:val="000000"/>
                <w:spacing w:val="0"/>
                <w:w w:val="100"/>
                <w:position w:val="0"/>
                <w:sz w:val="36"/>
                <w:szCs w:val="36"/>
              </w:rPr>
              <w:t>2mg/m</w:t>
            </w:r>
            <w:r>
              <w:rPr>
                <w:color w:val="000000"/>
                <w:spacing w:val="0"/>
                <w:w w:val="100"/>
                <w:position w:val="0"/>
                <w:sz w:val="18"/>
                <w:szCs w:val="18"/>
              </w:rPr>
              <w:t>2</w:t>
            </w:r>
          </w:p>
        </w:tc>
        <w:tc>
          <w:tcPr>
            <w:tcW w:w="19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360" w:after="300" w:line="240" w:lineRule="auto"/>
              <w:ind w:left="0" w:right="0" w:firstLine="0"/>
              <w:jc w:val="left"/>
            </w:pPr>
            <w:r>
              <w:rPr>
                <w:color w:val="000000"/>
                <w:spacing w:val="0"/>
                <w:w w:val="100"/>
                <w:position w:val="0"/>
              </w:rPr>
              <w:t>外渗可致局</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部炎症</w:t>
            </w:r>
          </w:p>
        </w:tc>
        <w:tc>
          <w:tcPr>
            <w:tcW w:w="2006"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麻痹，无力，</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反射消失，</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便秘，声嘶，</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痛</w:t>
            </w:r>
          </w:p>
        </w:tc>
        <w:tc>
          <w:tcPr>
            <w:tcW w:w="638" w:type="dxa"/>
            <w:vMerge w:val="restart"/>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40" w:line="719" w:lineRule="exact"/>
              <w:ind w:left="0" w:right="0" w:firstLine="0"/>
              <w:jc w:val="both"/>
            </w:pPr>
            <w:r>
              <w:rPr>
                <w:color w:val="000000"/>
                <w:spacing w:val="0"/>
                <w:w w:val="100"/>
                <w:position w:val="0"/>
              </w:rPr>
              <w:t>静 脉 输 液 或 注 射 防 止 外</w:t>
            </w:r>
          </w:p>
          <w:p>
            <w:pPr>
              <w:pStyle w:val="a4"/>
              <w:keepNext w:val="0"/>
              <w:keepLines w:val="0"/>
              <w:widowControl w:val="0"/>
              <w:shd w:val="clear" w:color="auto" w:fill="auto"/>
              <w:bidi w:val="0"/>
              <w:spacing w:before="0" w:after="40" w:line="719" w:lineRule="exact"/>
              <w:ind w:left="0" w:right="0" w:firstLine="0"/>
              <w:jc w:val="both"/>
            </w:pPr>
            <w:r>
              <w:rPr>
                <w:color w:val="000000"/>
                <w:spacing w:val="0"/>
                <w:w w:val="100"/>
                <w:position w:val="0"/>
              </w:rPr>
              <w:t>渗；</w:t>
            </w:r>
          </w:p>
          <w:p>
            <w:pPr>
              <w:pStyle w:val="a4"/>
              <w:keepNext w:val="0"/>
              <w:keepLines w:val="0"/>
              <w:widowControl w:val="0"/>
              <w:shd w:val="clear" w:color="auto" w:fill="auto"/>
              <w:bidi w:val="0"/>
              <w:spacing w:before="0" w:after="200" w:line="719" w:lineRule="exact"/>
              <w:ind w:left="0" w:right="0" w:firstLine="0"/>
              <w:jc w:val="both"/>
            </w:pPr>
            <w:r>
              <w:rPr>
                <w:color w:val="000000"/>
                <w:spacing w:val="0"/>
                <w:w w:val="100"/>
                <w:position w:val="0"/>
              </w:rPr>
              <w:t>肝 病、 神 经 系 统 疾 病 慎 用</w:t>
            </w:r>
          </w:p>
        </w:tc>
        <w:tc>
          <w:tcPr>
            <w:tcW w:w="166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子宫肉瘤，</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卵巢的生</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殖细胞肿</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瘤</w:t>
            </w:r>
          </w:p>
        </w:tc>
      </w:tr>
      <w:tr>
        <w:tblPrEx>
          <w:jc w:val="center"/>
          <w:tblLayout w:type="fixed"/>
          <w:tblCellMar>
            <w:left w:w="10" w:type="dxa"/>
            <w:right w:w="10" w:type="dxa"/>
          </w:tblCellMar>
        </w:tblPrEx>
        <w:trPr>
          <w:trHeight w:hRule="exact" w:val="12264"/>
          <w:jc w:val="center"/>
        </w:trPr>
        <w:tc>
          <w:tcPr>
            <w:tcW w:w="169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60" w:after="0" w:line="240" w:lineRule="auto"/>
              <w:ind w:left="0" w:right="0" w:firstLine="0"/>
              <w:jc w:val="left"/>
            </w:pPr>
            <w:r>
              <w:rPr>
                <w:color w:val="000000"/>
                <w:spacing w:val="0"/>
                <w:w w:val="100"/>
                <w:position w:val="0"/>
              </w:rPr>
              <w:t>长春花碱</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0" w:line="240" w:lineRule="auto"/>
              <w:ind w:left="0" w:right="0" w:firstLine="0"/>
              <w:jc w:val="left"/>
            </w:pPr>
            <w:r>
              <w:rPr>
                <w:color w:val="000000"/>
                <w:spacing w:val="0"/>
                <w:w w:val="100"/>
                <w:position w:val="0"/>
              </w:rPr>
              <w:t>0.1-0.15mg/kg.wk,IV</w:t>
            </w:r>
          </w:p>
        </w:tc>
        <w:tc>
          <w:tcPr>
            <w:tcW w:w="19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300" w:line="240" w:lineRule="auto"/>
              <w:ind w:left="0" w:right="0" w:firstLine="0"/>
              <w:jc w:val="left"/>
            </w:pPr>
            <w:r>
              <w:rPr>
                <w:color w:val="000000"/>
                <w:spacing w:val="0"/>
                <w:w w:val="100"/>
                <w:position w:val="0"/>
              </w:rPr>
              <w:t>同上，恶心</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呕吐，头痛、</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麻痹</w:t>
            </w:r>
          </w:p>
        </w:tc>
        <w:tc>
          <w:tcPr>
            <w:tcW w:w="200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60" w:after="300" w:line="240" w:lineRule="auto"/>
              <w:ind w:left="0" w:right="0" w:firstLine="0"/>
              <w:jc w:val="left"/>
            </w:pPr>
            <w:r>
              <w:rPr>
                <w:color w:val="000000"/>
                <w:spacing w:val="0"/>
                <w:w w:val="100"/>
                <w:position w:val="0"/>
              </w:rPr>
              <w:t>骨髓抑制，</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脱发，肌无</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力，轻度周</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围神经炎</w:t>
            </w:r>
          </w:p>
        </w:tc>
        <w:tc>
          <w:tcPr>
            <w:tcW w:w="1" w:type="dxa"/>
            <w:vMerge/>
            <w:tcBorders>
              <w:left w:val="single" w:sz="4" w:space="0" w:color="auto"/>
            </w:tcBorders>
            <w:shd w:val="clear" w:color="auto" w:fill="FFFFFF"/>
            <w:vAlign w:val="bottom"/>
          </w:tcPr>
          <w:p/>
        </w:tc>
        <w:tc>
          <w:tcPr>
            <w:tcW w:w="166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260" w:after="0" w:line="240" w:lineRule="auto"/>
              <w:ind w:left="0" w:right="0" w:firstLine="0"/>
              <w:jc w:val="left"/>
            </w:pPr>
            <w:r>
              <w:rPr>
                <w:color w:val="000000"/>
                <w:spacing w:val="0"/>
                <w:w w:val="100"/>
                <w:position w:val="0"/>
              </w:rPr>
              <w:t>绒癌</w:t>
            </w:r>
          </w:p>
        </w:tc>
      </w:tr>
      <w:tr>
        <w:tblPrEx>
          <w:jc w:val="center"/>
          <w:tblLayout w:type="fixed"/>
          <w:tblCellMar>
            <w:left w:w="10" w:type="dxa"/>
            <w:right w:w="10" w:type="dxa"/>
          </w:tblCellMar>
        </w:tblPrEx>
        <w:trPr>
          <w:trHeight w:hRule="exact" w:val="720"/>
          <w:jc w:val="center"/>
        </w:trPr>
        <w:tc>
          <w:tcPr>
            <w:tcW w:w="1690"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紫杉醇</w:t>
            </w:r>
          </w:p>
        </w:tc>
        <w:tc>
          <w:tcPr>
            <w:tcW w:w="36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每 </w:t>
            </w:r>
            <w:r>
              <w:rPr>
                <w:color w:val="000000"/>
                <w:spacing w:val="0"/>
                <w:w w:val="100"/>
                <w:position w:val="0"/>
              </w:rPr>
              <w:t xml:space="preserve">3-4 </w:t>
            </w:r>
            <w:r>
              <w:rPr>
                <w:color w:val="000000"/>
                <w:spacing w:val="0"/>
                <w:w w:val="100"/>
                <w:position w:val="0"/>
              </w:rPr>
              <w:t xml:space="preserve">周 </w:t>
            </w:r>
            <w:r>
              <w:rPr>
                <w:color w:val="000000"/>
                <w:spacing w:val="0"/>
                <w:w w:val="100"/>
                <w:position w:val="0"/>
              </w:rPr>
              <w:t>170-250mg/m2,I</w:t>
            </w:r>
          </w:p>
        </w:tc>
        <w:tc>
          <w:tcPr>
            <w:tcW w:w="1973"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过敏反应，</w:t>
            </w:r>
          </w:p>
        </w:tc>
        <w:tc>
          <w:tcPr>
            <w:tcW w:w="2006"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骨髓抑制，</w:t>
            </w:r>
          </w:p>
        </w:tc>
        <w:tc>
          <w:tcPr>
            <w:tcW w:w="63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可</w:t>
            </w:r>
          </w:p>
        </w:tc>
        <w:tc>
          <w:tcPr>
            <w:tcW w:w="1666"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卵巢癌</w:t>
            </w:r>
          </w:p>
        </w:tc>
      </w:tr>
    </w:tbl>
    <w:p>
      <w:pPr>
        <w:sectPr>
          <w:type w:val="nextPage"/>
          <w:pgSz w:w="17861" w:h="25258"/>
          <w:pgMar w:top="1829" w:right="2486" w:bottom="2287" w:left="2654" w:header="0" w:footer="3" w:gutter="0"/>
          <w:pgNumType w:start="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714"/>
        <w:gridCol w:w="360"/>
        <w:gridCol w:w="4118"/>
        <w:gridCol w:w="1973"/>
        <w:gridCol w:w="2006"/>
        <w:gridCol w:w="638"/>
        <w:gridCol w:w="1709"/>
      </w:tblGrid>
      <w:tr>
        <w:tblPrEx>
          <w:jc w:val="center"/>
          <w:tblLayout w:type="fixed"/>
          <w:tblCellMar>
            <w:left w:w="10" w:type="dxa"/>
            <w:right w:w="10" w:type="dxa"/>
          </w:tblCellMar>
        </w:tblPrEx>
        <w:trPr>
          <w:trHeight w:hRule="exact" w:val="5088"/>
          <w:jc w:val="center"/>
        </w:trPr>
        <w:tc>
          <w:tcPr>
            <w:tcW w:w="171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380" w:line="240" w:lineRule="auto"/>
              <w:ind w:left="0" w:right="0" w:firstLine="0"/>
              <w:jc w:val="both"/>
            </w:pPr>
            <w:r>
              <w:rPr>
                <w:color w:val="000000"/>
                <w:spacing w:val="0"/>
                <w:w w:val="100"/>
                <w:position w:val="0"/>
              </w:rPr>
              <w:t>泰素</w:t>
            </w:r>
            <w:r>
              <w:rPr>
                <w:color w:val="000000"/>
                <w:spacing w:val="0"/>
                <w:w w:val="100"/>
                <w:position w:val="0"/>
              </w:rPr>
              <w:t>/Taxo</w:t>
            </w:r>
          </w:p>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rPr>
              <w:t>l</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0" w:line="240" w:lineRule="auto"/>
              <w:ind w:left="0" w:right="0" w:firstLine="0"/>
              <w:jc w:val="left"/>
            </w:pPr>
            <w:r>
              <w:rPr>
                <w:color w:val="000000"/>
                <w:spacing w:val="0"/>
                <w:w w:val="100"/>
                <w:position w:val="0"/>
              </w:rPr>
              <w:t>V</w:t>
            </w:r>
          </w:p>
        </w:tc>
        <w:tc>
          <w:tcPr>
            <w:tcW w:w="19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0" w:line="240" w:lineRule="auto"/>
              <w:ind w:left="0" w:right="0" w:firstLine="0"/>
              <w:jc w:val="left"/>
            </w:pPr>
            <w:r>
              <w:rPr>
                <w:color w:val="000000"/>
                <w:spacing w:val="0"/>
                <w:w w:val="100"/>
                <w:position w:val="0"/>
              </w:rPr>
              <w:t>恶心，呕吐</w:t>
            </w:r>
          </w:p>
        </w:tc>
        <w:tc>
          <w:tcPr>
            <w:tcW w:w="200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718" w:lineRule="exact"/>
              <w:ind w:left="0" w:right="0" w:firstLine="0"/>
              <w:jc w:val="left"/>
            </w:pPr>
            <w:r>
              <w:rPr>
                <w:color w:val="000000"/>
                <w:spacing w:val="0"/>
                <w:w w:val="100"/>
                <w:position w:val="0"/>
              </w:rPr>
              <w:t>严重过敏反 应，心脏毒 性</w:t>
            </w:r>
          </w:p>
        </w:tc>
        <w:tc>
          <w:tcPr>
            <w:tcW w:w="63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能</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需</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要</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心</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脏</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监</w:t>
            </w:r>
          </w:p>
          <w:p>
            <w:pPr>
              <w:pStyle w:val="a4"/>
              <w:keepNext w:val="0"/>
              <w:keepLines w:val="0"/>
              <w:widowControl w:val="0"/>
              <w:shd w:val="clear" w:color="auto" w:fill="auto"/>
              <w:bidi w:val="0"/>
              <w:spacing w:before="0" w:after="300" w:line="240" w:lineRule="auto"/>
              <w:ind w:left="0" w:right="0" w:firstLine="0"/>
              <w:jc w:val="both"/>
            </w:pPr>
            <w:r>
              <w:rPr>
                <w:color w:val="000000"/>
                <w:spacing w:val="0"/>
                <w:w w:val="100"/>
                <w:position w:val="0"/>
              </w:rPr>
              <w:t>护</w:t>
            </w:r>
          </w:p>
        </w:tc>
        <w:tc>
          <w:tcPr>
            <w:tcW w:w="1709" w:type="dxa"/>
            <w:tcBorders>
              <w:top w:val="single" w:sz="4" w:space="0" w:color="auto"/>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4"/>
          <w:jc w:val="center"/>
        </w:trPr>
        <w:tc>
          <w:tcPr>
            <w:tcW w:w="1714" w:type="dxa"/>
            <w:tcBorders>
              <w:top w:val="single" w:sz="4" w:space="0" w:color="auto"/>
              <w:left w:val="single" w:sz="4" w:space="0" w:color="auto"/>
            </w:tcBorders>
            <w:shd w:val="clear" w:color="auto" w:fill="FFFFFF"/>
            <w:vAlign w:val="top"/>
          </w:tcPr>
          <w:p>
            <w:pPr>
              <w:widowControl w:val="0"/>
              <w:rPr>
                <w:sz w:val="10"/>
                <w:szCs w:val="10"/>
              </w:rPr>
            </w:pP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87"/>
          <w:jc w:val="center"/>
        </w:trPr>
        <w:tc>
          <w:tcPr>
            <w:tcW w:w="1714" w:type="dxa"/>
            <w:tcBorders>
              <w:top w:val="single" w:sz="4" w:space="0" w:color="auto"/>
              <w:left w:val="single" w:sz="4" w:space="0" w:color="auto"/>
            </w:tcBorders>
            <w:shd w:val="clear" w:color="auto" w:fill="FFFFFF"/>
            <w:vAlign w:val="top"/>
          </w:tcPr>
          <w:p>
            <w:pPr>
              <w:widowControl w:val="0"/>
              <w:rPr>
                <w:sz w:val="10"/>
                <w:szCs w:val="10"/>
              </w:rPr>
            </w:pP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714" w:type="dxa"/>
            <w:tcBorders>
              <w:top w:val="single" w:sz="4" w:space="0" w:color="auto"/>
              <w:left w:val="single" w:sz="4" w:space="0" w:color="auto"/>
            </w:tcBorders>
            <w:shd w:val="clear" w:color="auto" w:fill="FFFFFF"/>
            <w:vAlign w:val="top"/>
          </w:tcPr>
          <w:p>
            <w:pPr>
              <w:widowControl w:val="0"/>
              <w:rPr>
                <w:sz w:val="10"/>
                <w:szCs w:val="10"/>
              </w:rPr>
            </w:pP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2518" w:type="dxa"/>
            <w:gridSpan w:val="7"/>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2.2.2</w:t>
            </w:r>
            <w:r>
              <w:rPr>
                <w:b/>
                <w:bCs/>
                <w:color w:val="000000"/>
                <w:spacing w:val="0"/>
                <w:w w:val="100"/>
                <w:position w:val="0"/>
              </w:rPr>
              <w:t>鬼臼毒素</w:t>
            </w:r>
          </w:p>
        </w:tc>
      </w:tr>
      <w:tr>
        <w:tblPrEx>
          <w:jc w:val="center"/>
          <w:tblLayout w:type="fixed"/>
          <w:tblCellMar>
            <w:left w:w="10" w:type="dxa"/>
            <w:right w:w="10" w:type="dxa"/>
          </w:tblCellMar>
        </w:tblPrEx>
        <w:trPr>
          <w:trHeight w:hRule="exact" w:val="9422"/>
          <w:jc w:val="center"/>
        </w:trPr>
        <w:tc>
          <w:tcPr>
            <w:tcW w:w="1714"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260" w:line="240" w:lineRule="auto"/>
              <w:ind w:left="0" w:right="0" w:firstLine="0"/>
              <w:jc w:val="left"/>
            </w:pPr>
            <w:r>
              <w:rPr>
                <w:color w:val="000000"/>
                <w:spacing w:val="0"/>
                <w:w w:val="100"/>
                <w:position w:val="0"/>
              </w:rPr>
              <w:t>依托泊苷</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VP-16</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300" w:line="240" w:lineRule="auto"/>
              <w:ind w:left="0" w:right="0" w:firstLine="0"/>
              <w:jc w:val="left"/>
            </w:pPr>
            <w:r>
              <w:rPr>
                <w:color w:val="000000"/>
                <w:spacing w:val="0"/>
                <w:w w:val="100"/>
                <w:position w:val="0"/>
              </w:rPr>
              <w:t xml:space="preserve">第 1、3、5 天用 </w:t>
            </w:r>
            <w:r>
              <w:rPr>
                <w:color w:val="000000"/>
                <w:spacing w:val="0"/>
                <w:w w:val="100"/>
                <w:position w:val="0"/>
              </w:rPr>
              <w:t>100mg/m2,</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IV；每4周一次</w:t>
            </w:r>
          </w:p>
        </w:tc>
        <w:tc>
          <w:tcPr>
            <w:tcW w:w="197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0" w:line="240" w:lineRule="auto"/>
              <w:ind w:left="0" w:right="0" w:firstLine="0"/>
              <w:jc w:val="left"/>
            </w:pPr>
            <w:r>
              <w:rPr>
                <w:color w:val="000000"/>
                <w:spacing w:val="0"/>
                <w:w w:val="100"/>
                <w:position w:val="0"/>
              </w:rPr>
              <w:t>恶心，呕吐</w:t>
            </w:r>
          </w:p>
        </w:tc>
        <w:tc>
          <w:tcPr>
            <w:tcW w:w="200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20" w:after="300" w:line="240" w:lineRule="auto"/>
              <w:ind w:left="0" w:right="0" w:firstLine="0"/>
              <w:jc w:val="left"/>
            </w:pPr>
            <w:r>
              <w:rPr>
                <w:color w:val="000000"/>
                <w:spacing w:val="0"/>
                <w:w w:val="100"/>
                <w:position w:val="0"/>
              </w:rPr>
              <w:t>WBC</w:t>
            </w:r>
            <w:r>
              <w:rPr>
                <w:color w:val="000000"/>
                <w:spacing w:val="0"/>
                <w:w w:val="100"/>
                <w:position w:val="0"/>
              </w:rPr>
              <w:t>减少，</w:t>
            </w:r>
            <w:r>
              <w:rPr>
                <w:color w:val="000000"/>
                <w:spacing w:val="0"/>
                <w:w w:val="100"/>
                <w:position w:val="0"/>
              </w:rPr>
              <w:t>P</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LT</w:t>
            </w:r>
            <w:r>
              <w:rPr>
                <w:color w:val="000000"/>
                <w:spacing w:val="0"/>
                <w:w w:val="100"/>
                <w:position w:val="0"/>
              </w:rPr>
              <w:t>减少，脱</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发，头痛，</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发热</w:t>
            </w:r>
          </w:p>
        </w:tc>
        <w:tc>
          <w:tcPr>
            <w:tcW w:w="63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718" w:lineRule="exact"/>
              <w:ind w:left="0" w:right="0" w:firstLine="0"/>
              <w:jc w:val="both"/>
            </w:pPr>
            <w:r>
              <w:rPr>
                <w:color w:val="000000"/>
                <w:spacing w:val="0"/>
                <w:w w:val="100"/>
                <w:position w:val="0"/>
              </w:rPr>
              <w:t>有 骨 髓 抑 制 则 降 低 剂</w:t>
            </w:r>
          </w:p>
          <w:p>
            <w:pPr>
              <w:pStyle w:val="a4"/>
              <w:keepNext w:val="0"/>
              <w:keepLines w:val="0"/>
              <w:widowControl w:val="0"/>
              <w:shd w:val="clear" w:color="auto" w:fill="auto"/>
              <w:bidi w:val="0"/>
              <w:spacing w:before="0" w:after="0" w:line="718" w:lineRule="exact"/>
              <w:ind w:left="0" w:right="0" w:firstLine="0"/>
              <w:jc w:val="both"/>
            </w:pPr>
            <w:r>
              <w:rPr>
                <w:color w:val="000000"/>
                <w:spacing w:val="0"/>
                <w:w w:val="100"/>
                <w:position w:val="0"/>
              </w:rPr>
              <w:t xml:space="preserve">量 的2 </w:t>
            </w:r>
            <w:r>
              <w:rPr>
                <w:color w:val="000000"/>
                <w:spacing w:val="0"/>
                <w:w w:val="100"/>
                <w:position w:val="0"/>
              </w:rPr>
              <w:t>5-5</w:t>
            </w:r>
          </w:p>
          <w:p>
            <w:pPr>
              <w:pStyle w:val="a4"/>
              <w:keepNext w:val="0"/>
              <w:keepLines w:val="0"/>
              <w:widowControl w:val="0"/>
              <w:shd w:val="clear" w:color="auto" w:fill="auto"/>
              <w:bidi w:val="0"/>
              <w:spacing w:before="0" w:after="0" w:line="718" w:lineRule="exact"/>
              <w:ind w:left="0" w:right="0" w:firstLine="0"/>
              <w:jc w:val="both"/>
            </w:pPr>
            <w:r>
              <w:rPr>
                <w:color w:val="000000"/>
                <w:spacing w:val="0"/>
                <w:w w:val="100"/>
                <w:position w:val="0"/>
              </w:rPr>
              <w:t>0%</w:t>
            </w:r>
          </w:p>
        </w:tc>
        <w:tc>
          <w:tcPr>
            <w:tcW w:w="17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240" w:after="300" w:line="240" w:lineRule="auto"/>
              <w:ind w:left="0" w:right="0" w:firstLine="0"/>
              <w:jc w:val="left"/>
            </w:pPr>
            <w:r>
              <w:rPr>
                <w:color w:val="000000"/>
                <w:spacing w:val="0"/>
                <w:w w:val="100"/>
                <w:position w:val="0"/>
              </w:rPr>
              <w:t>滋养细胞</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疾病，生殖</w:t>
            </w:r>
          </w:p>
          <w:p>
            <w:pPr>
              <w:pStyle w:val="a4"/>
              <w:keepNext w:val="0"/>
              <w:keepLines w:val="0"/>
              <w:widowControl w:val="0"/>
              <w:shd w:val="clear" w:color="auto" w:fill="auto"/>
              <w:bidi w:val="0"/>
              <w:spacing w:before="0" w:after="300" w:line="240" w:lineRule="auto"/>
              <w:ind w:left="0" w:right="0" w:firstLine="0"/>
              <w:jc w:val="left"/>
            </w:pPr>
            <w:r>
              <w:rPr>
                <w:color w:val="000000"/>
                <w:spacing w:val="0"/>
                <w:w w:val="100"/>
                <w:position w:val="0"/>
              </w:rPr>
              <w:t>细胞肿瘤</w:t>
            </w:r>
          </w:p>
        </w:tc>
      </w:tr>
      <w:tr>
        <w:tblPrEx>
          <w:jc w:val="center"/>
          <w:tblLayout w:type="fixed"/>
          <w:tblCellMar>
            <w:left w:w="10" w:type="dxa"/>
            <w:right w:w="10" w:type="dxa"/>
          </w:tblCellMar>
        </w:tblPrEx>
        <w:trPr>
          <w:trHeight w:hRule="exact" w:val="758"/>
          <w:jc w:val="center"/>
        </w:trPr>
        <w:tc>
          <w:tcPr>
            <w:tcW w:w="1714"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替尼泊苷</w:t>
            </w: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714" w:type="dxa"/>
            <w:tcBorders>
              <w:top w:val="single" w:sz="4" w:space="0" w:color="auto"/>
              <w:left w:val="single" w:sz="4" w:space="0" w:color="auto"/>
            </w:tcBorders>
            <w:shd w:val="clear" w:color="auto" w:fill="FFFFFF"/>
            <w:vAlign w:val="top"/>
          </w:tcPr>
          <w:p>
            <w:pPr>
              <w:widowControl w:val="0"/>
              <w:rPr>
                <w:sz w:val="10"/>
                <w:szCs w:val="10"/>
              </w:rPr>
            </w:pPr>
          </w:p>
        </w:tc>
        <w:tc>
          <w:tcPr>
            <w:tcW w:w="360" w:type="dxa"/>
            <w:tcBorders>
              <w:top w:val="single" w:sz="4" w:space="0" w:color="auto"/>
              <w:left w:val="single" w:sz="4" w:space="0" w:color="auto"/>
            </w:tcBorders>
            <w:shd w:val="clear" w:color="auto" w:fill="FFFFFF"/>
            <w:vAlign w:val="top"/>
          </w:tcPr>
          <w:p>
            <w:pPr>
              <w:widowControl w:val="0"/>
              <w:rPr>
                <w:sz w:val="10"/>
                <w:szCs w:val="10"/>
              </w:rPr>
            </w:pPr>
          </w:p>
        </w:tc>
        <w:tc>
          <w:tcPr>
            <w:tcW w:w="4118" w:type="dxa"/>
            <w:tcBorders>
              <w:top w:val="single" w:sz="4" w:space="0" w:color="auto"/>
              <w:left w:val="single" w:sz="4" w:space="0" w:color="auto"/>
            </w:tcBorders>
            <w:shd w:val="clear" w:color="auto" w:fill="FFFFFF"/>
            <w:vAlign w:val="top"/>
          </w:tcPr>
          <w:p>
            <w:pPr>
              <w:widowControl w:val="0"/>
              <w:rPr>
                <w:sz w:val="10"/>
                <w:szCs w:val="10"/>
              </w:rPr>
            </w:pPr>
          </w:p>
        </w:tc>
        <w:tc>
          <w:tcPr>
            <w:tcW w:w="1973" w:type="dxa"/>
            <w:tcBorders>
              <w:top w:val="single" w:sz="4" w:space="0" w:color="auto"/>
              <w:left w:val="single" w:sz="4" w:space="0" w:color="auto"/>
            </w:tcBorders>
            <w:shd w:val="clear" w:color="auto" w:fill="FFFFFF"/>
            <w:vAlign w:val="top"/>
          </w:tcPr>
          <w:p>
            <w:pPr>
              <w:widowControl w:val="0"/>
              <w:rPr>
                <w:sz w:val="10"/>
                <w:szCs w:val="10"/>
              </w:rPr>
            </w:pPr>
          </w:p>
        </w:tc>
        <w:tc>
          <w:tcPr>
            <w:tcW w:w="2006" w:type="dxa"/>
            <w:tcBorders>
              <w:top w:val="single" w:sz="4" w:space="0" w:color="auto"/>
              <w:left w:val="single" w:sz="4" w:space="0" w:color="auto"/>
            </w:tcBorders>
            <w:shd w:val="clear" w:color="auto" w:fill="FFFFFF"/>
            <w:vAlign w:val="top"/>
          </w:tcPr>
          <w:p>
            <w:pPr>
              <w:widowControl w:val="0"/>
              <w:rPr>
                <w:sz w:val="10"/>
                <w:szCs w:val="10"/>
              </w:rPr>
            </w:pPr>
          </w:p>
        </w:tc>
        <w:tc>
          <w:tcPr>
            <w:tcW w:w="638" w:type="dxa"/>
            <w:tcBorders>
              <w:top w:val="single" w:sz="4" w:space="0" w:color="auto"/>
              <w:left w:val="single" w:sz="4" w:space="0" w:color="auto"/>
            </w:tcBorders>
            <w:shd w:val="clear" w:color="auto" w:fill="FFFFFF"/>
            <w:vAlign w:val="top"/>
          </w:tcPr>
          <w:p>
            <w:pPr>
              <w:widowControl w:val="0"/>
              <w:rPr>
                <w:sz w:val="10"/>
                <w:szCs w:val="10"/>
              </w:rPr>
            </w:pPr>
          </w:p>
        </w:tc>
        <w:tc>
          <w:tcPr>
            <w:tcW w:w="1709" w:type="dxa"/>
            <w:tcBorders>
              <w:top w:val="single" w:sz="4" w:space="0" w:color="auto"/>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478"/>
          <w:jc w:val="center"/>
        </w:trPr>
        <w:tc>
          <w:tcPr>
            <w:tcW w:w="12518" w:type="dxa"/>
            <w:gridSpan w:val="7"/>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754" w:lineRule="exact"/>
              <w:ind w:left="0" w:right="0" w:firstLine="0"/>
              <w:jc w:val="left"/>
            </w:pPr>
            <w:r>
              <w:rPr>
                <w:b/>
                <w:bCs/>
                <w:color w:val="000000"/>
                <w:spacing w:val="0"/>
                <w:w w:val="100"/>
                <w:position w:val="0"/>
              </w:rPr>
              <w:t>2.3 G2</w:t>
            </w:r>
            <w:r>
              <w:rPr>
                <w:b/>
                <w:bCs/>
                <w:color w:val="000000"/>
                <w:spacing w:val="0"/>
                <w:w w:val="100"/>
                <w:position w:val="0"/>
              </w:rPr>
              <w:t>期特异性一博莱霉素（抗生素类有放线霉素、丝裂霉素</w:t>
            </w:r>
            <w:r>
              <w:rPr>
                <w:b/>
                <w:bCs/>
                <w:color w:val="000000"/>
                <w:spacing w:val="0"/>
                <w:w w:val="100"/>
                <w:position w:val="0"/>
              </w:rPr>
              <w:t>C、</w:t>
            </w:r>
            <w:r>
              <w:rPr>
                <w:b/>
                <w:bCs/>
                <w:color w:val="000000"/>
                <w:spacing w:val="0"/>
                <w:w w:val="100"/>
                <w:position w:val="0"/>
              </w:rPr>
              <w:t>博莱霉素, 阿霉素）</w:t>
            </w:r>
          </w:p>
        </w:tc>
      </w:tr>
    </w:tbl>
    <w:p>
      <w:pPr>
        <w:sectPr>
          <w:type w:val="nextPage"/>
          <w:pgSz w:w="17861" w:h="25258"/>
          <w:pgMar w:top="1829" w:right="2486" w:bottom="2287" w:left="2654" w:header="0" w:footer="3" w:gutter="0"/>
          <w:pgNumType w:start="8"/>
          <w:cols w:space="720"/>
          <w:noEndnote/>
          <w:titlePg w:val="0"/>
          <w:rtlGutter w:val="0"/>
          <w:docGrid w:linePitch="360"/>
        </w:sectPr>
      </w:pPr>
    </w:p>
    <w:p>
      <w:pPr>
        <w:widowControl w:val="0"/>
        <w:jc w:val="center"/>
        <w:rPr>
          <w:sz w:val="2"/>
          <w:szCs w:val="2"/>
        </w:rPr>
      </w:pPr>
      <w:r>
        <w:drawing>
          <wp:inline>
            <wp:extent cx="7967345" cy="13301345"/>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7967345" cy="13301345"/>
                    </a:xfrm>
                    <a:prstGeom prst="rect">
                      <a:avLst/>
                    </a:prstGeom>
                  </pic:spPr>
                </pic:pic>
              </a:graphicData>
            </a:graphic>
          </wp:inline>
        </w:drawing>
      </w:r>
      <w:r>
        <w:rPr>
          <w:sz w:val="2"/>
          <w:szCs w:val="2"/>
        </w:rPr>
        <w:br/>
      </w:r>
      <w:r>
        <w:rPr>
          <w:sz w:val="2"/>
          <w:szCs w:val="2"/>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https://d.book118.com/567020034143006031</w:t>
        </w:r>
      </w:hyperlink>
    </w:p>
    <w:p>
      <w:pPr>
        <w:widowControl w:val="0"/>
        <w:jc w:val="center"/>
        <w:rPr>
          <w:sz w:val="2"/>
          <w:szCs w:val="2"/>
        </w:rPr>
      </w:pPr>
    </w:p>
    <w:sectPr>
      <w:type w:val="nextPage"/>
      <w:pgSz w:w="17861" w:h="25258"/>
      <w:pgMar w:top="1829" w:right="2486" w:bottom="2287" w:left="2654" w:header="0" w:footer="3" w:gutter="0"/>
      <w:pgNumType w:start="9"/>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8EFD6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9AC464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EC1842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14B039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8FDFF5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954A67A"/>
    <w:multiLevelType w:val="multilevel"/>
    <w:tmpl w:val="00000000"/>
    <w:lvl w:ilvl="0">
      <w:start w:val="4"/>
      <w:numFmt w:val="decimal"/>
      <w:lvlText w:val="1.%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D88941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3E5648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5037DE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AAF132A"/>
    <w:multiLevelType w:val="multilevel"/>
    <w:tmpl w:val="00000000"/>
    <w:lvl w:ilvl="0">
      <w:start w:val="1"/>
      <w:numFmt w:val="ideographDigit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4A0B52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A55B20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478CE95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4212ED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E53AC3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72EA1C7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79F043E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9"/>
  </w:num>
  <w:num w:numId="2">
    <w:abstractNumId w:val="0"/>
  </w:num>
  <w:num w:numId="3">
    <w:abstractNumId w:val="2"/>
  </w:num>
  <w:num w:numId="4">
    <w:abstractNumId w:val="3"/>
  </w:num>
  <w:num w:numId="5">
    <w:abstractNumId w:val="12"/>
  </w:num>
  <w:num w:numId="6">
    <w:abstractNumId w:val="8"/>
  </w:num>
  <w:num w:numId="7">
    <w:abstractNumId w:val="1"/>
  </w:num>
  <w:num w:numId="8">
    <w:abstractNumId w:val="15"/>
  </w:num>
  <w:num w:numId="9">
    <w:abstractNumId w:val="13"/>
  </w:num>
  <w:num w:numId="10">
    <w:abstractNumId w:val="14"/>
  </w:num>
  <w:num w:numId="11">
    <w:abstractNumId w:val="11"/>
  </w:num>
  <w:num w:numId="12">
    <w:abstractNumId w:val="6"/>
  </w:num>
  <w:num w:numId="13">
    <w:abstractNumId w:val="10"/>
  </w:num>
  <w:num w:numId="14">
    <w:abstractNumId w:val="16"/>
  </w:num>
  <w:num w:numId="15">
    <w:abstractNumId w:val="7"/>
  </w:num>
  <w:num w:numId="16">
    <w:abstractNumId w:val="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2"/>
    <w:rPr>
      <w:rFonts w:ascii="SimSun" w:eastAsia="SimSun" w:hAnsi="SimSun" w:cs="SimSun"/>
      <w:b w:val="0"/>
      <w:bCs w:val="0"/>
      <w:i w:val="0"/>
      <w:iCs w:val="0"/>
      <w:smallCaps w:val="0"/>
      <w:strike w:val="0"/>
      <w:sz w:val="36"/>
      <w:szCs w:val="36"/>
      <w:u w:val="none"/>
      <w:shd w:val="clear" w:color="auto" w:fill="auto"/>
    </w:rPr>
  </w:style>
  <w:style w:type="character" w:customStyle="1" w:styleId="a0">
    <w:name w:val="表格标题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1">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36"/>
      <w:szCs w:val="36"/>
      <w:u w:val="none"/>
      <w:shd w:val="clear" w:color="auto" w:fill="auto"/>
    </w:rPr>
  </w:style>
  <w:style w:type="paragraph" w:customStyle="1" w:styleId="a2">
    <w:name w:val="正文文本"/>
    <w:basedOn w:val="Normal"/>
    <w:link w:val="a"/>
    <w:pPr>
      <w:widowControl w:val="0"/>
      <w:shd w:val="clear" w:color="auto" w:fill="auto"/>
      <w:spacing w:line="422"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a3">
    <w:name w:val="表格标题"/>
    <w:basedOn w:val="Normal"/>
    <w:link w:val="a0"/>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其他"/>
    <w:basedOn w:val="Normal"/>
    <w:link w:val="a1"/>
    <w:pPr>
      <w:widowControl w:val="0"/>
      <w:shd w:val="clear" w:color="auto" w:fill="auto"/>
      <w:spacing w:line="422"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line="734" w:lineRule="exact"/>
      <w:outlineLvl w:val="0"/>
    </w:pPr>
    <w:rPr>
      <w:rFonts w:ascii="SimSun" w:eastAsia="SimSun" w:hAnsi="SimSun" w:cs="SimSun"/>
      <w:b/>
      <w:bCs/>
      <w:i w:val="0"/>
      <w:iCs w:val="0"/>
      <w:smallCaps w:val="0"/>
      <w:strike w:val="0"/>
      <w:sz w:val="36"/>
      <w:szCs w:val="3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567020034143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