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41AFD">
        <w:rPr>
          <w:rFonts w:ascii="微软雅黑" w:eastAsia="微软雅黑" w:hAnsi="微软雅黑"/>
          <w:b/>
          <w:sz w:val="28"/>
          <w:szCs w:val="28"/>
        </w:rPr>
        <w:t>建筑钢材购销合同(17篇)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41AFD">
        <w:rPr>
          <w:rFonts w:ascii="微软雅黑" w:eastAsia="微软雅黑" w:hAnsi="微软雅黑"/>
          <w:sz w:val="24"/>
          <w:szCs w:val="24"/>
        </w:rPr>
        <w:t xml:space="preserve">    建筑钢材购销合同篇一</w:t>
        <w:br/>
        <w:t xml:space="preserve">    第一条</w:t>
        <w:br/>
        <w:t xml:space="preserve">    品种、规格、材质</w:t>
        <w:br/>
        <w:t xml:space="preserve">    第二条合同金额</w:t>
        <w:br/>
        <w:t xml:space="preserve">    (一)合同总价暂定：(大写)元，￥元;</w:t>
        <w:br/>
        <w:t xml:space="preserve">    (二)付款时间与方式：甲方每次付款时，乙方需提供正规发票，并作为付款的前提条件。</w:t>
        <w:br/>
        <w:t xml:space="preserve">    (三)在合同签约时，乙方对本工程的资金支付情况已作充分了解，乙方同意甲方按照业主资金到位情况给予材料款的支付，并共同承担资金风险。</w:t>
        <w:br/>
        <w:t xml:space="preserve">    由于业主拖欠工程款而造成甲方不能支付乙方的情况，乙方同意不追究甲方逾期付款责任，并自愿与甲</w:t>
      </w:r>
      <w:r w:rsidR="00D41AFD">
        <w:rPr>
          <w:rFonts w:ascii="微软雅黑" w:eastAsia="微软雅黑" w:hAnsi="微软雅黑"/>
          <w:sz w:val="24"/>
          <w:szCs w:val="24"/>
        </w:rPr>
        <w:t>方共同向业主进行资金催讨</w:t>
      </w:r>
      <w:r w:rsidR="00D41AFD">
        <w:rPr>
          <w:rFonts w:ascii="微软雅黑" w:eastAsia="微软雅黑" w:hAnsi="微软雅黑"/>
          <w:sz w:val="24"/>
          <w:szCs w:val="24"/>
        </w:rPr>
        <w:t>。</w:t>
      </w:r>
      <w:r w:rsidR="00D41AFD">
        <w:rPr>
          <w:rFonts w:ascii="微软雅黑" w:eastAsia="微软雅黑" w:hAnsi="微软雅黑"/>
          <w:sz w:val="24"/>
          <w:szCs w:val="24"/>
        </w:rPr>
        <w:br/>
        <w:t xml:space="preserve">    第三条钢材数量按第条规则计算</w:t>
        <w:br/>
        <w:t xml:space="preserve">    1.现场设置地磅，按实测吨位计算。</w:t>
        <w:br/>
        <w:t xml:space="preserve">    2.圆钢以过磅数量为准;螺纹钢现场点数，计算延长米数，按每米理论重量计算吨位。</w:t>
        <w:br/>
        <w:t xml:space="preserve">    若现场抽验的每米实际重量误差小于理论重量的97%时，按每米实际重量计算(如不符合工程质量要求，甲方有权拒绝接收)。</w:t>
        <w:br/>
        <w:t xml:space="preserve">    第四条交货规定</w:t>
        <w:br/>
        <w:t xml:space="preserve">    (一)甲方至少提前三天通知乙方，乙方应按通知要求时间按时交货。</w:t>
        <w:br/>
        <w:t xml:space="preserve">    因乙方原因使甲方停工待料，给甲方造成的经济损失</w:t>
      </w:r>
      <w:r w:rsidR="00D41AFD">
        <w:rPr>
          <w:rFonts w:ascii="微软雅黑" w:eastAsia="微软雅黑" w:hAnsi="微软雅黑"/>
          <w:sz w:val="24"/>
          <w:szCs w:val="24"/>
        </w:rPr>
        <w:t>由乙方承担。</w:t>
        <w:br/>
        <w:t xml:space="preserve">    (二)乙方送货至工地，甲方联系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41AFD">
        <w:rPr>
          <w:rFonts w:ascii="微软雅黑" w:eastAsia="微软雅黑" w:hAnsi="微软雅黑"/>
          <w:sz w:val="24"/>
          <w:szCs w:val="24"/>
        </w:rPr>
        <w:t>人联系方式，到工地的运费由乙方承担，卸车的费用由甲方承担，在运输途中的安全及责任由乙方负责。</w:t>
        <w:br/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(三)乙方交货时提交送货单，本批次的材质检验单及相应钢材，乙方钢材送到现场后，甲方当场办理验收手续。</w:t>
        <w:br/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第五条验收方法现场由监理和甲方按规范标准见证取样、送检。</w:t>
        <w:br/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第六条甲乙双方的权利和义务</w:t>
        <w:br/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(一)甲方负责每月提交一次钢材用量计划，提前叁天向乙方提供所采购的详细数量、规格型号清单及到货日期。</w:t>
        <w:br/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在收到乙方准确到货时间通知后组织验收、收货。</w:t>
        <w:br/>
        <w:t xml:space="preserve">    (二)甲方按照约定的</w:t>
      </w:r>
      <w:r w:rsidR="00D41AFD">
        <w:rPr>
          <w:rFonts w:ascii="微软雅黑" w:eastAsia="微软雅黑" w:hAnsi="微软雅黑"/>
          <w:sz w:val="24"/>
          <w:szCs w:val="24"/>
        </w:rPr>
        <w:t>付款方式向乙方支付款项。</w:t>
        <w:br/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  (三)乙方所交货物品种、规格、质量不符本合同规定时，甲方不能利用的，乙方应负责包退、包换。</w:t>
        <w:br/>
        <w:t xml:space="preserve">    由于上述原因导致延误交货时间，按第六条中第(四)款执行。</w:t>
        <w:br/>
        <w:t xml:space="preserve">    (四)乙方延迟供货，每天按本合同暂定总价款的%支付违约金。</w:t>
        <w:br/>
        <w:t xml:space="preserve">    乙方以任何理由拒绝供货的，按本合同暂定总价款的</w:t>
        <w:br/>
        <w:t xml:space="preserve">    %向甲方支付违约金。</w:t>
        <w:br/>
        <w:t xml:space="preserve">    甲方也可主张损失赔偿，乙方延迟或拒绝供货给</w:t>
      </w:r>
      <w:r w:rsidR="00D41AFD">
        <w:rPr>
          <w:rFonts w:ascii="微软雅黑" w:eastAsia="微软雅黑" w:hAnsi="微软雅黑"/>
          <w:sz w:val="24"/>
          <w:szCs w:val="24"/>
        </w:rPr>
        <w:t>甲方造成的损失包括但不限于工期违约、赔偿(罚款)损失、班组停(窝)工赔偿损失、租赁设备租杂费损失、管理</w:t>
      </w:r>
      <w:r w:rsidR="00D41AFD">
        <w:rPr>
          <w:rFonts w:ascii="微软雅黑" w:eastAsia="微软雅黑" w:hAnsi="微软雅黑"/>
          <w:sz w:val="24"/>
          <w:szCs w:val="24"/>
        </w:rPr>
        <w:t>成本增加带来的损失、更换供应商的损失、物价上涨损失等。</w:t>
        <w:br/>
      </w:r>
      <w:r w:rsidR="00D41AFD">
        <w:rPr>
          <w:rFonts w:ascii="微软雅黑" w:eastAsia="微软雅黑" w:hAnsi="微软雅黑"/>
          <w:sz w:val="24"/>
          <w:szCs w:val="24"/>
        </w:rPr>
        <w:t xml:space="preserve">  </w:t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(五)乙方延迟供货超过三日或两次以上未能按时供货，甲方有权解除合同，乙方应按照第六条中第(四)款赔偿甲方损失。</w:t>
        <w:br/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第七条产品价格如需调整，必须经双方协商。</w:t>
        <w:br/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="00D41AFD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https://d.book118.com/567063031106006044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7F332A"/>
    <w:rsid w:val="008636A4"/>
    <w:rsid w:val="00D41AFD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67063031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3949</Words>
  <Characters>22514</Characters>
  <Application>Microsoft Office Word</Application>
  <DocSecurity>0</DocSecurity>
  <Lines>187</Lines>
  <Paragraphs>52</Paragraphs>
  <ScaleCrop>false</ScaleCrop>
  <Company/>
  <LinksUpToDate>false</LinksUpToDate>
  <CharactersWithSpaces>26411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