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D5310" w:rsidP="00DD5310" w14:paraId="4D3CF541" w14:textId="77777777">
      <w:pPr>
        <w:spacing w:before="48" w:beforeLines="20" w:after="360" w:afterLines="150" w:line="360" w:lineRule="auto"/>
        <w:jc w:val="center"/>
        <w:rPr>
          <w:rFonts w:ascii="华文中宋" w:eastAsia="华文中宋" w:hAnsi="华文中宋"/>
          <w:b/>
          <w:sz w:val="30"/>
        </w:rPr>
      </w:pPr>
      <w:r w:rsidRPr="00DD5310">
        <w:rPr>
          <w:rFonts w:ascii="华文中宋" w:eastAsia="华文中宋" w:hAnsi="华文中宋"/>
          <w:b/>
          <w:sz w:val="30"/>
        </w:rPr>
        <w:t>2024</w:t>
      </w:r>
      <w:r w:rsidRPr="00DD5310">
        <w:rPr>
          <w:rFonts w:ascii="华文中宋" w:eastAsia="华文中宋" w:hAnsi="华文中宋"/>
          <w:b/>
          <w:sz w:val="30"/>
        </w:rPr>
        <w:t>年北京石油管理干部学院人员招聘考试题库及答案解析</w:t>
      </w:r>
    </w:p>
    <w:p w:rsidR="00A77B3E" w14:paraId="36999CB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E1E4471" w14:textId="77777777">
      <w:pPr>
        <w:spacing w:after="260" w:line="360" w:lineRule="auto"/>
      </w:pPr>
      <w:r>
        <w:rPr>
          <w:rFonts w:eastAsia="微软雅黑" w:cs="宋体"/>
          <w:b/>
        </w:rPr>
        <w:t>一、言语理解与表达</w:t>
      </w:r>
    </w:p>
    <w:p w:rsidR="00E0697D" w14:paraId="2A3477B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食品药品安全追溯体系是依赖现代信息技术，对可能存在的食品药品安全隐患发出预警的一项制度。它之所以被一些国家广泛采用，是因为一方面能降低监管部门信息获取成本，提升监管效率</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另一方面也能倒逼企业提高安全意识，主动进行风险控制。这项制度已引进我国多年，并体现在相关法律法规以及行动规划中。但在实践中，区域分割、部门分治等问题仍比较突出，没有形成高效的地方联动、部门合力，对解决食品药品安全问题缺少整体效果。</w:t>
      </w:r>
    </w:p>
    <w:p w:rsidR="00E0697D" w14:paraId="39E1B16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260657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、我国的食品药品安全追溯制度仍有待完善</w:t>
      </w:r>
    </w:p>
    <w:p w:rsidR="00E0697D" w14:paraId="67202E0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、完善的食品药品安全追溯体系有重要价值</w:t>
      </w:r>
    </w:p>
    <w:p w:rsidR="00E0697D" w14:paraId="5893F4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、相关部门应该加强对食品药品安全的监管</w:t>
      </w:r>
    </w:p>
    <w:p w:rsidR="00E0697D" w14:paraId="3F12FB8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、多方合作是解决食品药品安全问题的关键</w:t>
      </w:r>
    </w:p>
    <w:p w:rsidR="00E0697D" w14:paraId="5648AFD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3D8F2C6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开篇介绍食品药品安全追溯体系这一制度，并分析了它被一些国家广泛采用的原因，同时说明我国已引进该制度。紧接着通过转折关联词“但”，重点指出实践中所遇的问题，即“区域分割、部门分治”、“没有形成高效的地方联动、部门合</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力”，故文段意在针对这一问题提出对策，即解决食品药品安全问题需要各方联动形成合力。故选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38A7BFC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当站在童年面前的时候，我们是童年的</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——在各自的城市和村庄，在各自的爱心树下捡过叶子、吃过果子、把自己装扮成假想的森林之王。我们会欢悦地说，童年真有趣。</w:t>
      </w:r>
    </w:p>
    <w:p w:rsidR="00E0697D" w14:paraId="1674933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13FF2E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、欣赏者</w:t>
      </w:r>
    </w:p>
    <w:p w:rsidR="00E0697D" w14:paraId="5D57616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、回忆者</w:t>
      </w:r>
    </w:p>
    <w:p w:rsidR="00E0697D" w14:paraId="7C40E7E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、苦恼者</w:t>
      </w:r>
    </w:p>
    <w:p w:rsidR="00E0697D" w14:paraId="610CDB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、见证者</w:t>
      </w:r>
    </w:p>
    <w:p w:rsidR="00E0697D" w14:paraId="453FA84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362882F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破折号的作用是对前面内容的解释说明，破折号后面讲的是对童年的回忆，故此处填入“回忆者”最恰当。故选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4B351446"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低利率政策的初衷是刺激美国人迅速消费，以弥补危机带来的需求萎缩。但经历了数年的储蓄资产贬值后，相信低利率的刺激作用的边际效应已缩减到了几近于无。危机之初，开启低利率的另一个目的是为流动性紧张的金融机构提供“免费”资金，并帮助金融业补充资本。凭借零利率的借贷，银行可投资于政府债券，获得稳定而无风险的回报。可正因为此，银行丧失了为企业提供信贷这一风险和收益并存的业务和动力，从而未能够帮助中小企业创造就业岗位。</w:t>
      </w:r>
    </w:p>
    <w:p w:rsidR="00E0697D" w14:paraId="4E57936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0BEA55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、暗示低利率政策必须做出调整</w:t>
      </w:r>
    </w:p>
    <w:p w:rsidR="00E0697D" w14:paraId="7CD8F88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、分析实行低利率政策的弊端</w:t>
      </w:r>
    </w:p>
    <w:p w:rsidR="00E0697D" w14:paraId="2AC346A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、强调应鼓励银行开展企业信贷业务</w:t>
      </w:r>
    </w:p>
    <w:p w:rsidR="00E0697D" w14:paraId="207A7F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、说明低利率政策刺激消费的作用有限</w:t>
      </w:r>
    </w:p>
    <w:p w:rsidR="00E0697D" w14:paraId="1674CE9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1A25DBA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的第一句话点明低利率政策的初衷。第二句说明低利率的刺激作用已经缩减到了几近于无。后三句分析低利率的实行所带来的问题并列举银行的例子来说明。主旨是在分析低利率政策的弊端。本文段为主旨概括，优选主旨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项即为文段的主旨。</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项属于引申，为无中生有项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项是文段中例子的对策</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项刺激消费作用有限无法从文中得知。故选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396898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中国人均实际可利用水资源量为</w:t>
      </w:r>
      <w:r w:rsidRPr="00E0697D">
        <w:rPr>
          <w:rFonts w:ascii="Times New Roman" w:eastAsia="微软雅黑" w:hAnsi="微软雅黑" w:cs="宋体" w:hint="eastAsia"/>
          <w:szCs w:val="18"/>
        </w:rPr>
        <w:t>900</w:t>
      </w:r>
      <w:r w:rsidRPr="00E0697D">
        <w:rPr>
          <w:rFonts w:ascii="Times New Roman" w:eastAsia="微软雅黑" w:hAnsi="微软雅黑" w:cs="宋体" w:hint="eastAsia"/>
          <w:szCs w:val="18"/>
        </w:rPr>
        <w:t>立方米，且时空分布极不均衡。全国每年缺水量为</w:t>
      </w:r>
      <w:r w:rsidRPr="00E0697D">
        <w:rPr>
          <w:rFonts w:ascii="Times New Roman" w:eastAsia="微软雅黑" w:hAnsi="微软雅黑" w:cs="宋体" w:hint="eastAsia"/>
          <w:szCs w:val="18"/>
        </w:rPr>
        <w:t>500</w:t>
      </w:r>
      <w:r w:rsidRPr="00E0697D">
        <w:rPr>
          <w:rFonts w:ascii="Times New Roman" w:eastAsia="微软雅黑" w:hAnsi="微软雅黑" w:cs="宋体" w:hint="eastAsia"/>
          <w:szCs w:val="18"/>
        </w:rPr>
        <w:t>多亿立方米。</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年，北京人均水资源降至</w:t>
      </w:r>
      <w:r w:rsidRPr="00E0697D">
        <w:rPr>
          <w:rFonts w:ascii="Times New Roman" w:eastAsia="微软雅黑" w:hAnsi="微软雅黑" w:cs="宋体" w:hint="eastAsia"/>
          <w:szCs w:val="18"/>
        </w:rPr>
        <w:t>107</w:t>
      </w:r>
      <w:r w:rsidRPr="00E0697D">
        <w:rPr>
          <w:rFonts w:ascii="Times New Roman" w:eastAsia="微软雅黑" w:hAnsi="微软雅黑" w:cs="宋体" w:hint="eastAsia"/>
          <w:szCs w:val="18"/>
        </w:rPr>
        <w:t>立方米，同期巴黎为</w:t>
      </w:r>
      <w:r w:rsidRPr="00E0697D">
        <w:rPr>
          <w:rFonts w:ascii="Times New Roman" w:eastAsia="微软雅黑" w:hAnsi="微软雅黑" w:cs="宋体" w:hint="eastAsia"/>
          <w:szCs w:val="18"/>
        </w:rPr>
        <w:t>490</w:t>
      </w:r>
      <w:r w:rsidRPr="00E0697D">
        <w:rPr>
          <w:rFonts w:ascii="Times New Roman" w:eastAsia="微软雅黑" w:hAnsi="微软雅黑" w:cs="宋体" w:hint="eastAsia"/>
          <w:szCs w:val="18"/>
        </w:rPr>
        <w:t>立方米，东京为</w:t>
      </w:r>
      <w:r w:rsidRPr="00E0697D">
        <w:rPr>
          <w:rFonts w:ascii="Times New Roman" w:eastAsia="微软雅黑" w:hAnsi="微软雅黑" w:cs="宋体" w:hint="eastAsia"/>
          <w:szCs w:val="18"/>
        </w:rPr>
        <w:t>398</w:t>
      </w:r>
      <w:r w:rsidRPr="00E0697D">
        <w:rPr>
          <w:rFonts w:ascii="Times New Roman" w:eastAsia="微软雅黑" w:hAnsi="微软雅黑" w:cs="宋体" w:hint="eastAsia"/>
          <w:szCs w:val="18"/>
        </w:rPr>
        <w:t>立方米。北方资源性缺水程度加剧，而南方水质型缺水现象突出，地下水污染状况严重。在</w:t>
      </w:r>
      <w:r w:rsidRPr="00E0697D">
        <w:rPr>
          <w:rFonts w:ascii="Times New Roman" w:eastAsia="微软雅黑" w:hAnsi="微软雅黑" w:cs="宋体" w:hint="eastAsia"/>
          <w:szCs w:val="18"/>
        </w:rPr>
        <w:t>200</w:t>
      </w:r>
      <w:r w:rsidRPr="00E0697D">
        <w:rPr>
          <w:rFonts w:ascii="Times New Roman" w:eastAsia="微软雅黑" w:hAnsi="微软雅黑" w:cs="宋体" w:hint="eastAsia"/>
          <w:szCs w:val="18"/>
        </w:rPr>
        <w:t>个城市的地下水监测中，水质较差的有</w:t>
      </w:r>
      <w:r w:rsidRPr="00E0697D">
        <w:rPr>
          <w:rFonts w:ascii="Times New Roman" w:eastAsia="微软雅黑" w:hAnsi="微软雅黑" w:cs="宋体" w:hint="eastAsia"/>
          <w:szCs w:val="18"/>
        </w:rPr>
        <w:t>40.3%</w:t>
      </w:r>
      <w:r w:rsidRPr="00E0697D">
        <w:rPr>
          <w:rFonts w:ascii="Times New Roman" w:eastAsia="微软雅黑" w:hAnsi="微软雅黑" w:cs="宋体" w:hint="eastAsia"/>
          <w:szCs w:val="18"/>
        </w:rPr>
        <w:t>，极差的有</w:t>
      </w:r>
      <w:r w:rsidRPr="00E0697D">
        <w:rPr>
          <w:rFonts w:ascii="Times New Roman" w:eastAsia="微软雅黑" w:hAnsi="微软雅黑" w:cs="宋体" w:hint="eastAsia"/>
          <w:szCs w:val="18"/>
        </w:rPr>
        <w:t>14.7%</w:t>
      </w:r>
      <w:r w:rsidRPr="00E0697D">
        <w:rPr>
          <w:rFonts w:ascii="Times New Roman" w:eastAsia="微软雅黑" w:hAnsi="微软雅黑" w:cs="宋体" w:hint="eastAsia"/>
          <w:szCs w:val="18"/>
        </w:rPr>
        <w:t>，珠三角等区域内主要城市及近郊地下水中普遍监测出有毒微量有机污染指标。</w:t>
      </w:r>
    </w:p>
    <w:p w:rsidR="00E0697D" w14:paraId="7CA9396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30C82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、中国水资源的问题主要在于分布不均</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https://d.book118.com/567105024162006030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rsidP="00496691" w14:paraId="5FB1BC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5310" w14:paraId="4BD84D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rsidP="00496691" w14:paraId="4089CC45" w14:textId="7ACE6A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D5310" w14:paraId="2F2CA47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paraId="40DA5C4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531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rsidP="00496691" w14:textId="7ACE6A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D531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D531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rsidP="00496691" w14:textId="7ACE6A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D531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paraId="49286AF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paraId="2690FB2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paraId="4F5267D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531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CA2A55"/>
    <w:rsid w:val="00DD5310"/>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584934A"/>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DD531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D5310"/>
    <w:rPr>
      <w:sz w:val="18"/>
      <w:szCs w:val="18"/>
    </w:rPr>
  </w:style>
  <w:style w:type="paragraph" w:styleId="Footer">
    <w:name w:val="footer"/>
    <w:basedOn w:val="Normal"/>
    <w:link w:val="a0"/>
    <w:rsid w:val="00DD5310"/>
    <w:pPr>
      <w:tabs>
        <w:tab w:val="center" w:pos="4153"/>
        <w:tab w:val="right" w:pos="8306"/>
      </w:tabs>
      <w:snapToGrid w:val="0"/>
    </w:pPr>
    <w:rPr>
      <w:sz w:val="18"/>
      <w:szCs w:val="18"/>
    </w:rPr>
  </w:style>
  <w:style w:type="character" w:customStyle="1" w:styleId="a0">
    <w:name w:val="页脚 字符"/>
    <w:basedOn w:val="DefaultParagraphFont"/>
    <w:link w:val="Footer"/>
    <w:rsid w:val="00DD5310"/>
    <w:rPr>
      <w:sz w:val="18"/>
      <w:szCs w:val="18"/>
    </w:rPr>
  </w:style>
  <w:style w:type="character" w:styleId="PageNumber">
    <w:name w:val="page number"/>
    <w:basedOn w:val="DefaultParagraphFont"/>
    <w:rsid w:val="00DD5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67105024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3993</Words>
  <Characters>22762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2024-01-12T14:14:00Z</dcterms:created>
  <dcterms:modified xsi:type="dcterms:W3CDTF">2024-01-12T14:14:00Z</dcterms:modified>
</cp:coreProperties>
</file>