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rPr>
          <w:rFonts w:ascii="宋体" w:eastAsia="宋体" w:hAnsi="宋体" w:cstheme="minorBidi"/>
          <w:b/>
          <w:bCs/>
          <w:kern w:val="2"/>
          <w:sz w:val="32"/>
          <w:szCs w:val="36"/>
          <w:lang w:val="en-US" w:eastAsia="zh-CN" w:bidi="ar-SA"/>
        </w:rPr>
        <w:id w:val="147466416"/>
        <w:docPartObj>
          <w:docPartGallery w:val="Table of Contents"/>
          <w:docPartUnique/>
        </w:docPartObj>
        <w15:color w:val="DBDBDB"/>
      </w:sdtPr>
      <w:sdtEndPr>
        <w:rPr>
          <w:rFonts w:ascii="黑体" w:eastAsia="黑体" w:hAnsi="黑体" w:cs="黑体" w:hint="eastAsia"/>
          <w:b/>
          <w:bCs/>
          <w:kern w:val="44"/>
          <w:sz w:val="36"/>
          <w:szCs w:val="36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eastAsia="宋体" w:hint="default"/>
              <w:b/>
              <w:bCs/>
              <w:sz w:val="32"/>
              <w:szCs w:val="36"/>
            </w:rPr>
          </w:pPr>
          <w:bookmarkStart w:id="0" w:name="_Toc71122170"/>
          <w:bookmarkStart w:id="1" w:name="_Toc4724"/>
          <w:bookmarkStart w:id="2" w:name="_GoBack"/>
          <w:r>
            <w:rPr>
              <w:rFonts w:ascii="宋体" w:eastAsia="宋体" w:hAnsi="宋体" w:hint="eastAsia"/>
              <w:b/>
              <w:bCs/>
              <w:sz w:val="32"/>
              <w:szCs w:val="36"/>
              <w:lang w:val="en-US" w:eastAsia="zh-CN"/>
            </w:rPr>
            <w:t>基于SLP的S医药公司仓储布局优化研究</w:t>
          </w:r>
        </w:p>
        <w:bookmarkEnd w:id="2"/>
        <w:p>
          <w:pPr>
            <w:pStyle w:val="WPSOffice1"/>
            <w:tabs>
              <w:tab w:val="right" w:leader="dot" w:pos="9355"/>
            </w:tabs>
            <w:rPr>
              <w:b/>
            </w:rPr>
          </w:pPr>
          <w:r>
            <w:rPr>
              <w:rFonts w:ascii="黑体" w:hAnsi="黑体" w:cs="黑体" w:hint="eastAsia"/>
              <w:szCs w:val="36"/>
            </w:rPr>
            <w:fldChar w:fldCharType="begin"/>
          </w:r>
          <w:r>
            <w:rPr>
              <w:rFonts w:ascii="黑体" w:hAnsi="黑体" w:cs="黑体" w:hint="eastAsia"/>
              <w:szCs w:val="36"/>
            </w:rPr>
            <w:instrText xml:space="preserve">TOC \o "1-2" \h \u </w:instrText>
          </w:r>
          <w:r>
            <w:rPr>
              <w:rFonts w:ascii="黑体" w:hAnsi="黑体" w:cs="黑体" w:hint="eastAsia"/>
              <w:szCs w:val="36"/>
            </w:rPr>
            <w:fldChar w:fldCharType="separate"/>
          </w:r>
          <w:r>
            <w:rPr>
              <w:rFonts w:ascii="黑体" w:hAnsi="黑体" w:cs="黑体" w:hint="eastAsia"/>
              <w:b/>
              <w:szCs w:val="36"/>
            </w:rPr>
            <w:fldChar w:fldCharType="begin"/>
          </w:r>
          <w:r>
            <w:rPr>
              <w:rFonts w:ascii="黑体" w:hAnsi="黑体" w:cs="黑体" w:hint="eastAsia"/>
              <w:b/>
              <w:szCs w:val="36"/>
            </w:rPr>
            <w:instrText xml:space="preserve"> HYPERLINK \l _Toc13575 </w:instrText>
          </w:r>
          <w:r>
            <w:rPr>
              <w:rFonts w:ascii="黑体" w:hAnsi="黑体" w:cs="黑体" w:hint="eastAsia"/>
              <w:b/>
              <w:szCs w:val="36"/>
            </w:rPr>
            <w:fldChar w:fldCharType="separate"/>
          </w:r>
          <w:r>
            <w:rPr>
              <w:rFonts w:ascii="黑体" w:hAnsi="黑体" w:cs="黑体" w:hint="eastAsia"/>
              <w:b/>
              <w:szCs w:val="36"/>
            </w:rPr>
            <w:t>第一章  绪论</w:t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PAGEREF _Toc13575 \h </w:instrText>
          </w:r>
          <w:r>
            <w:rPr>
              <w:b/>
            </w:rP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rFonts w:ascii="黑体" w:hAnsi="黑体" w:cs="黑体" w:hint="eastAsia"/>
              <w:b/>
              <w:szCs w:val="36"/>
            </w:rPr>
            <w:fldChar w:fldCharType="end"/>
          </w:r>
        </w:p>
        <w:p>
          <w:pPr>
            <w:pStyle w:val="WPSOffice2"/>
            <w:tabs>
              <w:tab w:val="right" w:leader="dot" w:pos="9355"/>
            </w:tabs>
          </w:pPr>
          <w:hyperlink w:anchor="_Toc24787" w:history="1">
            <w:r>
              <w:rPr>
                <w:rFonts w:ascii="黑体" w:hAnsi="黑体" w:cs="黑体" w:hint="eastAsia"/>
              </w:rPr>
              <w:t>1.1研究背景</w:t>
            </w:r>
            <w:r>
              <w:tab/>
            </w:r>
            <w:r>
              <w:fldChar w:fldCharType="begin"/>
            </w:r>
            <w:r>
              <w:instrText xml:space="preserve"> PAGEREF _Toc24787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8642" w:history="1">
            <w:r>
              <w:rPr>
                <w:rFonts w:ascii="黑体" w:hAnsi="黑体" w:cs="黑体" w:hint="eastAsia"/>
              </w:rPr>
              <w:t>1.2 研究目的</w:t>
            </w:r>
            <w:r>
              <w:tab/>
            </w:r>
            <w:r>
              <w:fldChar w:fldCharType="begin"/>
            </w:r>
            <w:r>
              <w:instrText xml:space="preserve"> PAGEREF _Toc8642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10348" w:history="1">
            <w:r>
              <w:rPr>
                <w:rFonts w:ascii="黑体" w:hAnsi="黑体" w:cs="黑体" w:hint="eastAsia"/>
              </w:rPr>
              <w:t>1.3 主要内容</w:t>
            </w:r>
            <w:r>
              <w:tab/>
            </w:r>
            <w:r>
              <w:fldChar w:fldCharType="begin"/>
            </w:r>
            <w:r>
              <w:instrText xml:space="preserve"> PAGEREF _Toc10348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13497" w:history="1">
            <w:r>
              <w:rPr>
                <w:rFonts w:ascii="黑体" w:hAnsi="黑体" w:cs="黑体" w:hint="eastAsia"/>
              </w:rPr>
              <w:t>1.4 研究方法</w:t>
            </w:r>
            <w:r>
              <w:tab/>
            </w:r>
            <w:r>
              <w:fldChar w:fldCharType="begin"/>
            </w:r>
            <w:r>
              <w:instrText xml:space="preserve"> PAGEREF _Toc13497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30950" w:history="1">
            <w:r>
              <w:rPr>
                <w:rFonts w:ascii="黑体" w:hAnsi="黑体" w:cs="黑体" w:hint="eastAsia"/>
              </w:rPr>
              <w:t>1.5 文献综述</w:t>
            </w:r>
            <w:r>
              <w:tab/>
            </w:r>
            <w:r>
              <w:fldChar w:fldCharType="begin"/>
            </w:r>
            <w:r>
              <w:instrText xml:space="preserve"> PAGEREF _Toc30950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9355"/>
            </w:tabs>
            <w:rPr>
              <w:b/>
            </w:rPr>
          </w:pPr>
          <w:hyperlink w:anchor="_Toc21335" w:history="1">
            <w:r>
              <w:rPr>
                <w:rFonts w:ascii="黑体" w:hAnsi="黑体" w:cs="黑体" w:hint="eastAsia"/>
                <w:b/>
                <w:szCs w:val="36"/>
              </w:rPr>
              <w:t>第二章  理论概述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_Toc21335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26764" w:history="1">
            <w:r>
              <w:rPr>
                <w:rFonts w:ascii="黑体" w:hAnsi="黑体" w:cs="黑体" w:hint="eastAsia"/>
              </w:rPr>
              <w:t>2.1 仓储布局的概念及原则</w:t>
            </w:r>
            <w:r>
              <w:tab/>
            </w:r>
            <w:r>
              <w:fldChar w:fldCharType="begin"/>
            </w:r>
            <w:r>
              <w:instrText xml:space="preserve"> PAGEREF _Toc26764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12033" w:history="1">
            <w:r>
              <w:rPr>
                <w:rFonts w:ascii="黑体" w:hAnsi="黑体" w:cs="黑体" w:hint="eastAsia"/>
              </w:rPr>
              <w:t>2.2 仓储布局主的主要内容</w:t>
            </w:r>
            <w:r>
              <w:tab/>
            </w:r>
            <w:r>
              <w:fldChar w:fldCharType="begin"/>
            </w:r>
            <w:r>
              <w:instrText xml:space="preserve"> PAGEREF _Toc12033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11860" w:history="1">
            <w:r>
              <w:rPr>
                <w:rFonts w:ascii="黑体" w:hAnsi="黑体" w:cs="黑体" w:hint="eastAsia"/>
              </w:rPr>
              <w:t>2.3 仓储布局对企业的重要性</w:t>
            </w:r>
            <w:r>
              <w:tab/>
            </w:r>
            <w:r>
              <w:fldChar w:fldCharType="begin"/>
            </w:r>
            <w:r>
              <w:instrText xml:space="preserve"> PAGEREF _Toc11860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18803" w:history="1">
            <w:r>
              <w:rPr>
                <w:rFonts w:ascii="黑体" w:hAnsi="黑体" w:cs="黑体" w:hint="eastAsia"/>
              </w:rPr>
              <w:t>2.4 仓储布局的SLP分析方法</w:t>
            </w:r>
            <w:r>
              <w:tab/>
            </w:r>
            <w:r>
              <w:fldChar w:fldCharType="begin"/>
            </w:r>
            <w:r>
              <w:instrText xml:space="preserve"> PAGEREF _Toc18803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14655" w:history="1">
            <w:r>
              <w:rPr>
                <w:rFonts w:ascii="黑体" w:hAnsi="黑体" w:cs="黑体" w:hint="eastAsia"/>
              </w:rPr>
              <w:t>2.5 仓储布局的IQ-ABC分类法</w:t>
            </w:r>
            <w:r>
              <w:tab/>
            </w:r>
            <w:r>
              <w:fldChar w:fldCharType="begin"/>
            </w:r>
            <w:r>
              <w:instrText xml:space="preserve"> PAGEREF _Toc14655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9355"/>
            </w:tabs>
            <w:rPr>
              <w:b/>
            </w:rPr>
          </w:pPr>
          <w:hyperlink w:anchor="_Toc16663" w:history="1">
            <w:r>
              <w:rPr>
                <w:rFonts w:ascii="黑体" w:hAnsi="黑体" w:cs="黑体" w:hint="eastAsia"/>
                <w:b/>
                <w:szCs w:val="36"/>
              </w:rPr>
              <w:t xml:space="preserve">第三章  </w:t>
            </w:r>
            <w:r>
              <w:rPr>
                <w:rFonts w:ascii="黑体" w:hAnsi="黑体" w:cs="黑体" w:hint="eastAsia"/>
                <w:b/>
                <w:szCs w:val="36"/>
                <w:lang w:eastAsia="zh-CN"/>
              </w:rPr>
              <w:t>S</w:t>
            </w:r>
            <w:r>
              <w:rPr>
                <w:rFonts w:ascii="黑体" w:hAnsi="黑体" w:cs="黑体" w:hint="eastAsia"/>
                <w:b/>
                <w:szCs w:val="36"/>
              </w:rPr>
              <w:t>医药物流公司仓储布局现状及问题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_Toc16663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8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5069" w:history="1">
            <w:r>
              <w:rPr>
                <w:rFonts w:ascii="黑体" w:hAnsi="黑体" w:cs="黑体" w:hint="eastAsia"/>
              </w:rPr>
              <w:t xml:space="preserve">3.1 </w:t>
            </w:r>
            <w:r>
              <w:rPr>
                <w:rFonts w:ascii="黑体" w:hAnsi="黑体" w:cs="黑体" w:hint="eastAsia"/>
                <w:lang w:eastAsia="zh-CN"/>
              </w:rPr>
              <w:t>S</w:t>
            </w:r>
            <w:r>
              <w:rPr>
                <w:rFonts w:ascii="黑体" w:hAnsi="黑体" w:cs="黑体" w:hint="eastAsia"/>
              </w:rPr>
              <w:t>医药物流公司简介</w:t>
            </w:r>
            <w:r>
              <w:tab/>
            </w:r>
            <w:r>
              <w:fldChar w:fldCharType="begin"/>
            </w:r>
            <w:r>
              <w:instrText xml:space="preserve"> PAGEREF _Toc5069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19743" w:history="1">
            <w:r>
              <w:rPr>
                <w:rFonts w:ascii="黑体" w:hAnsi="黑体" w:cs="黑体" w:hint="eastAsia"/>
              </w:rPr>
              <w:t xml:space="preserve">3.2 </w:t>
            </w:r>
            <w:r>
              <w:rPr>
                <w:rFonts w:ascii="黑体" w:hAnsi="黑体" w:cs="黑体" w:hint="eastAsia"/>
                <w:lang w:eastAsia="zh-CN"/>
              </w:rPr>
              <w:t>S</w:t>
            </w:r>
            <w:r>
              <w:rPr>
                <w:rFonts w:ascii="黑体" w:hAnsi="黑体" w:cs="黑体" w:hint="eastAsia"/>
              </w:rPr>
              <w:t>医药物流公司仓储布局现状</w:t>
            </w:r>
            <w:r>
              <w:tab/>
            </w:r>
            <w:r>
              <w:fldChar w:fldCharType="begin"/>
            </w:r>
            <w:r>
              <w:instrText xml:space="preserve"> PAGEREF _Toc19743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31801" w:history="1">
            <w:r>
              <w:rPr>
                <w:rFonts w:ascii="黑体" w:hAnsi="黑体" w:cs="黑体" w:hint="eastAsia"/>
              </w:rPr>
              <w:t>3.3 仓储布局问题</w:t>
            </w:r>
            <w:r>
              <w:tab/>
            </w:r>
            <w:r>
              <w:fldChar w:fldCharType="begin"/>
            </w:r>
            <w:r>
              <w:instrText xml:space="preserve"> PAGEREF _Toc31801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9355"/>
            </w:tabs>
            <w:rPr>
              <w:b/>
            </w:rPr>
          </w:pPr>
          <w:hyperlink w:anchor="_Toc20330" w:history="1">
            <w:r>
              <w:rPr>
                <w:rFonts w:ascii="黑体" w:hAnsi="黑体" w:cs="黑体" w:hint="eastAsia"/>
                <w:b/>
                <w:szCs w:val="36"/>
              </w:rPr>
              <w:t>第四章  兰州</w:t>
            </w:r>
            <w:r>
              <w:rPr>
                <w:rFonts w:ascii="黑体" w:hAnsi="黑体" w:cs="黑体" w:hint="eastAsia"/>
                <w:b/>
                <w:szCs w:val="36"/>
                <w:lang w:eastAsia="zh-CN"/>
              </w:rPr>
              <w:t>S</w:t>
            </w:r>
            <w:r>
              <w:rPr>
                <w:rFonts w:ascii="黑体" w:hAnsi="黑体" w:cs="黑体" w:hint="eastAsia"/>
                <w:b/>
                <w:szCs w:val="36"/>
              </w:rPr>
              <w:t>医药物流公司仓储布局优化分析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_Toc20330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11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8013" w:history="1">
            <w:r>
              <w:rPr>
                <w:rFonts w:ascii="黑体" w:hAnsi="黑体" w:cs="黑体" w:hint="eastAsia"/>
              </w:rPr>
              <w:t>4.1 基于SLP方法的仓库布局优化</w:t>
            </w:r>
            <w:r>
              <w:tab/>
            </w:r>
            <w:r>
              <w:fldChar w:fldCharType="begin"/>
            </w:r>
            <w:r>
              <w:instrText xml:space="preserve"> PAGEREF _Toc8013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21105" w:history="1">
            <w:r>
              <w:rPr>
                <w:rFonts w:ascii="黑体" w:hAnsi="黑体" w:cs="黑体" w:hint="eastAsia"/>
              </w:rPr>
              <w:t>4.2 IQ-ABC仓库储位优化分析</w:t>
            </w:r>
            <w:r>
              <w:tab/>
            </w:r>
            <w:r>
              <w:fldChar w:fldCharType="begin"/>
            </w:r>
            <w:r>
              <w:instrText xml:space="preserve"> PAGEREF _Toc21105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9355"/>
            </w:tabs>
          </w:pPr>
          <w:hyperlink w:anchor="_Toc4875" w:history="1">
            <w:r>
              <w:rPr>
                <w:rFonts w:ascii="黑体" w:hAnsi="黑体" w:cs="黑体" w:hint="eastAsia"/>
              </w:rPr>
              <w:t>4.3 其他优化意见</w:t>
            </w:r>
            <w:r>
              <w:tab/>
            </w:r>
            <w:r>
              <w:fldChar w:fldCharType="begin"/>
            </w:r>
            <w:r>
              <w:instrText xml:space="preserve"> PAGEREF _Toc4875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9355"/>
            </w:tabs>
            <w:rPr>
              <w:b/>
            </w:rPr>
          </w:pPr>
          <w:hyperlink w:anchor="_Toc15322" w:history="1">
            <w:r>
              <w:rPr>
                <w:rFonts w:ascii="黑体" w:hAnsi="黑体" w:cs="黑体" w:hint="eastAsia"/>
                <w:b/>
                <w:szCs w:val="36"/>
              </w:rPr>
              <w:t>结  语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_Toc15322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20</w:t>
            </w:r>
            <w:r>
              <w:rPr>
                <w:b/>
              </w:rPr>
              <w:fldChar w:fldCharType="end"/>
            </w:r>
          </w:hyperlink>
        </w:p>
        <w:p>
          <w:pPr>
            <w:pStyle w:val="Heading1"/>
            <w:numPr>
              <w:ilvl w:val="0"/>
              <w:numId w:val="0"/>
            </w:numPr>
            <w:spacing w:before="156" w:beforeLines="50" w:after="156" w:afterLines="50" w:line="360" w:lineRule="auto"/>
            <w:ind w:firstLine="360" w:firstLineChars="100"/>
            <w:rPr>
              <w:rFonts w:ascii="黑体" w:hAnsi="黑体" w:cs="黑体" w:hint="eastAsia"/>
              <w:szCs w:val="36"/>
            </w:rPr>
          </w:pPr>
          <w:r>
            <w:rPr>
              <w:rFonts w:ascii="黑体" w:hAnsi="黑体" w:cs="黑体" w:hint="eastAsia"/>
              <w:b/>
              <w:szCs w:val="36"/>
            </w:rPr>
            <w:fldChar w:fldCharType="end"/>
          </w:r>
        </w:p>
      </w:sdtContent>
    </w:sdt>
    <w:p>
      <w:pPr>
        <w:pStyle w:val="Heading1"/>
        <w:numPr>
          <w:ilvl w:val="0"/>
          <w:numId w:val="0"/>
        </w:numPr>
        <w:spacing w:before="156" w:beforeLines="50" w:after="156" w:afterLines="50" w:line="360" w:lineRule="auto"/>
        <w:ind w:firstLine="360" w:firstLineChars="100"/>
        <w:rPr>
          <w:rFonts w:ascii="黑体" w:hAnsi="黑体" w:cs="黑体"/>
          <w:szCs w:val="36"/>
        </w:rPr>
      </w:pPr>
      <w:bookmarkStart w:id="3" w:name="_Toc13575"/>
      <w:r>
        <w:rPr>
          <w:rFonts w:ascii="黑体" w:hAnsi="黑体" w:cs="黑体" w:hint="eastAsia"/>
          <w:szCs w:val="36"/>
        </w:rPr>
        <w:t>第一章  绪论</w:t>
      </w:r>
      <w:bookmarkEnd w:id="0"/>
      <w:bookmarkEnd w:id="1"/>
      <w:bookmarkEnd w:id="3"/>
    </w:p>
    <w:p/>
    <w:p>
      <w:pPr>
        <w:pStyle w:val="Heading2"/>
        <w:numPr>
          <w:ilvl w:val="1"/>
          <w:numId w:val="0"/>
        </w:numPr>
        <w:spacing w:before="0" w:after="0" w:line="400" w:lineRule="exact"/>
        <w:rPr>
          <w:rFonts w:ascii="黑体" w:hAnsi="黑体" w:cs="黑体"/>
        </w:rPr>
      </w:pPr>
      <w:bookmarkStart w:id="4" w:name="_Toc71122171"/>
      <w:bookmarkStart w:id="5" w:name="_Toc9049"/>
      <w:bookmarkStart w:id="6" w:name="_Toc24787"/>
      <w:r>
        <w:rPr>
          <w:rFonts w:ascii="黑体" w:hAnsi="黑体" w:cs="黑体" w:hint="eastAsia"/>
        </w:rPr>
        <w:t>1.1研究背景</w:t>
      </w:r>
      <w:bookmarkEnd w:id="4"/>
      <w:bookmarkEnd w:id="5"/>
      <w:bookmarkEnd w:id="6"/>
      <w:r>
        <w:rPr>
          <w:rFonts w:ascii="黑体" w:hAnsi="黑体" w:cs="黑体" w:hint="eastAsia"/>
        </w:rPr>
        <w:t xml:space="preserve"> </w:t>
      </w:r>
      <w:r>
        <w:rPr>
          <w:rFonts w:ascii="黑体" w:hAnsi="黑体" w:cs="黑体"/>
        </w:rPr>
        <w:t xml:space="preserve"> 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物流行业作为我国的第三产业，一直在我国的经济发展中扮演着重要的角色，对促进我国区城经济发展有极大的推动作用，我国的物流行业正在朝着更加科学化与现代化的方向发展。物流仓储管理涉及许多方面，并且在采购，生产和销售方面起着重要的作用，有助于提高物流行业的效率。随着我国经济的快速发展，物流仓储一直伴随着社会一系列的生产和经营活动，近些年以来物流慢慢受到广大企业的重视，许多大型企业们也逐渐开始发展属于自己的物流生态链，整个物流行业的发展势头趋于良好。近些年来，为了满足企业乃至整个社会的物流需求，传统的物流仓储模式已经无法适应企业的快速发展，对仓储管理的要求越来越高，如何快速提升物流仓储的发展显得尤为重要，物流仓储成为了企业发展的所关注的重点。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headerReference w:type="first" r:id="rId6"/>
          <w:pgSz w:w="11906" w:h="16838"/>
          <w:pgMar w:top="1417" w:right="1134" w:bottom="1417" w:left="1417" w:header="851" w:footer="850" w:gutter="0"/>
          <w:cols w:num="1" w:space="0"/>
          <w:titlePg/>
          <w:docGrid w:type="lines" w:linePitch="312" w:charSpace="0"/>
        </w:sectPr>
      </w:pPr>
      <w:r>
        <w:rPr>
          <w:rFonts w:ascii="宋体" w:eastAsia="宋体" w:hAnsi="宋体" w:hint="eastAsia"/>
          <w:sz w:val="24"/>
          <w:szCs w:val="24"/>
        </w:rPr>
        <w:t>基于此，本文叙述了仓储管理的内涵，分析仓储管理对企业发展的重要性，接着以兰州九州通医药物流有限公司为例，分析其仓储管理现状与存在的问题。</w:t>
      </w:r>
      <w:r>
        <w:rPr>
          <w:rFonts w:ascii="宋体" w:eastAsia="宋体" w:hAnsi="宋体" w:hint="eastAsia"/>
          <w:sz w:val="24"/>
          <w:szCs w:val="24"/>
          <w:lang w:eastAsia="zh-CN"/>
        </w:rPr>
        <w:t>S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医药物流有限公司总部位于湖北省武汉市，先后在北京、上海、广东等地建立了31家大型医药物流中心，该公司在全国业务的稳定发展离不开其背后支撑着的强大物流体系，其中物流仓储管理就占据了很大的比重，在激烈竞争的市场有一定的优势，但是其仓库的管理仍然缺乏科学的手段，依旧存在一些可以考虑改进的问题。首先是随着公司的逐步发展，外界的市场的变化对公司物流运输以及仓储管理的要求越来越高，但是仓储空间布局与分区存在一定的不合理之处，其次设施设备配置不合理，购买的许多设施设备存在一定的闲置现象，造成企业在仓储资源上存在巨大的浪费，对企业的发展存在一定程度上的影响。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</w:p>
    <w:p>
      <w:pPr>
        <w:pStyle w:val="Heading2"/>
        <w:numPr>
          <w:ilvl w:val="1"/>
          <w:numId w:val="0"/>
        </w:numPr>
        <w:spacing w:before="0" w:after="0" w:line="400" w:lineRule="exact"/>
        <w:rPr>
          <w:rFonts w:ascii="黑体" w:hAnsi="黑体" w:cs="黑体"/>
        </w:rPr>
      </w:pPr>
      <w:bookmarkStart w:id="7" w:name="_Toc71122172"/>
      <w:bookmarkStart w:id="8" w:name="_Toc30511"/>
      <w:bookmarkStart w:id="9" w:name="_Toc8642"/>
      <w:r>
        <w:rPr>
          <w:rFonts w:ascii="黑体" w:hAnsi="黑体" w:cs="黑体" w:hint="eastAsia"/>
        </w:rPr>
        <w:t>1.2 研究目的</w:t>
      </w:r>
      <w:bookmarkEnd w:id="7"/>
      <w:bookmarkEnd w:id="8"/>
      <w:bookmarkEnd w:id="9"/>
    </w:p>
    <w:p>
      <w:pPr>
        <w:spacing w:line="400" w:lineRule="exact"/>
        <w:ind w:firstLine="480" w:firstLineChars="20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24"/>
          <w:szCs w:val="24"/>
        </w:rPr>
        <w:t>本文从仓储管理中仓储布局规划以及储位管理等方面入手，运用了SLP法和IQ-ABC分类法对</w:t>
      </w:r>
      <w:bookmarkStart w:id="10" w:name="_Hlk66870502"/>
      <w:r>
        <w:rPr>
          <w:rFonts w:ascii="宋体" w:eastAsia="宋体" w:hAnsi="宋体" w:hint="eastAsia"/>
          <w:sz w:val="24"/>
          <w:szCs w:val="24"/>
        </w:rPr>
        <w:t>兰州</w:t>
      </w:r>
      <w:r>
        <w:rPr>
          <w:rFonts w:ascii="宋体" w:eastAsia="宋体" w:hAnsi="宋体" w:hint="eastAsia"/>
          <w:sz w:val="24"/>
          <w:szCs w:val="24"/>
          <w:lang w:eastAsia="zh-CN"/>
        </w:rPr>
        <w:t>S</w:t>
      </w:r>
      <w:r>
        <w:rPr>
          <w:rFonts w:ascii="宋体" w:eastAsia="宋体" w:hAnsi="宋体" w:hint="eastAsia"/>
          <w:sz w:val="24"/>
          <w:szCs w:val="24"/>
        </w:rPr>
        <w:t>医药物流公司</w:t>
      </w:r>
      <w:bookmarkEnd w:id="10"/>
      <w:r>
        <w:rPr>
          <w:rFonts w:ascii="宋体" w:eastAsia="宋体" w:hAnsi="宋体" w:hint="eastAsia"/>
          <w:sz w:val="24"/>
          <w:szCs w:val="24"/>
        </w:rPr>
        <w:t>的仓储管理进行分析，找出该公司仓储管理中存在的问题，并结合该地实际运营情况，利用科学的仓储管理理论，提出改善后的优化模型，帮助企业改善当前不合理的仓储管理现状，提高企业的核心竞争力，为企业改革提供一定的理论基础。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随着近些年来我国的企业数量不断增加，逐步加快了我国物流行业的发展，提高了社会的服务质量和服务效率，物流仓储的重要新不言而喻。物流仓储也提高了企业的经济效益，还提升了企业的社会竞争力。在过去很多企业都只重视生产力的发展，忽略了物流仓储的重要性，导致公司产品在运输或者仓储等方面出现了大大小小的错误，使得产品丢失或者破损，直接导致了公司利益的损失。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因此企业应该重视物流仓储的发展，这对企业社会甚至国家的发展都有积极的作用。在社会竞争的大环境下，企业除了提升自身物流仓储管理水平外还应该提供一些增值服务，使自身的仓储管理效益不断提高，为企业和社会创造源源不断的价值。</w:t>
      </w:r>
    </w:p>
    <w:p>
      <w:pPr>
        <w:spacing w:line="400" w:lineRule="exact"/>
        <w:rPr>
          <w:rFonts w:ascii="宋体" w:eastAsia="宋体" w:hAnsi="宋体"/>
          <w:sz w:val="24"/>
          <w:szCs w:val="24"/>
        </w:rPr>
      </w:pPr>
    </w:p>
    <w:p>
      <w:pPr>
        <w:pStyle w:val="Heading2"/>
        <w:numPr>
          <w:ilvl w:val="1"/>
          <w:numId w:val="0"/>
        </w:numPr>
        <w:spacing w:before="0" w:after="0" w:line="400" w:lineRule="exact"/>
        <w:jc w:val="both"/>
        <w:rPr>
          <w:rFonts w:ascii="黑体" w:hAnsi="黑体" w:cs="黑体"/>
        </w:rPr>
      </w:pPr>
      <w:bookmarkStart w:id="11" w:name="_Toc71122173"/>
      <w:bookmarkStart w:id="12" w:name="_Toc18706"/>
      <w:bookmarkStart w:id="13" w:name="_Toc10348"/>
      <w:r>
        <w:rPr>
          <w:rFonts w:ascii="黑体" w:hAnsi="黑体" w:cs="黑体" w:hint="eastAsia"/>
        </w:rPr>
        <w:t>1.3 主要内容</w:t>
      </w:r>
      <w:bookmarkEnd w:id="11"/>
      <w:bookmarkEnd w:id="12"/>
      <w:bookmarkEnd w:id="13"/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随着社会经济的快速发展，市场竞争日益激烈，越来越多的企业认为优秀的仓储管理在降低物流成本、提高供应链管理效率、改善客户体验等方面发挥着重要的作用。</w:t>
      </w:r>
      <w:r>
        <w:rPr>
          <w:rFonts w:ascii="宋体" w:eastAsia="宋体" w:hAnsi="宋体"/>
          <w:sz w:val="24"/>
          <w:szCs w:val="24"/>
        </w:rPr>
        <w:t xml:space="preserve"> 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本文首先简述了仓储布局的内涵以及其对企业发展的重要性。在此基础上，以兰州</w:t>
      </w:r>
      <w:r>
        <w:rPr>
          <w:rFonts w:ascii="宋体" w:eastAsia="宋体" w:hAnsi="宋体" w:hint="eastAsia"/>
          <w:sz w:val="24"/>
          <w:szCs w:val="24"/>
          <w:lang w:eastAsia="zh-CN"/>
        </w:rPr>
        <w:t>S</w:t>
      </w:r>
      <w:r>
        <w:rPr>
          <w:rFonts w:ascii="宋体" w:eastAsia="宋体" w:hAnsi="宋体" w:hint="eastAsia"/>
          <w:sz w:val="24"/>
          <w:szCs w:val="24"/>
        </w:rPr>
        <w:t>医药物流公司为例，对目标企业仓储布局现状及其存在的问题进行了分析。最后，本文分别运用SLP分析法和IQ-ABC方法对该公司仓储布局提出了具体的优化对策建议，并指出企业只有不断提高仓储管理水平和服务意识，才能为企业带来更多的经济效益、并且为社会创造源源不断的价值。</w:t>
      </w:r>
    </w:p>
    <w:p>
      <w:pPr>
        <w:spacing w:line="400" w:lineRule="exac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 </w:t>
      </w:r>
      <w:r>
        <w:rPr>
          <w:rFonts w:ascii="宋体" w:eastAsia="宋体" w:hAnsi="宋体"/>
          <w:sz w:val="32"/>
          <w:szCs w:val="32"/>
        </w:rPr>
        <w:t xml:space="preserve">  </w:t>
      </w:r>
    </w:p>
    <w:p>
      <w:pPr>
        <w:pStyle w:val="Heading2"/>
        <w:numPr>
          <w:ilvl w:val="1"/>
          <w:numId w:val="0"/>
        </w:numPr>
        <w:spacing w:before="0" w:after="0" w:line="400" w:lineRule="exact"/>
        <w:jc w:val="both"/>
        <w:rPr>
          <w:rFonts w:ascii="黑体" w:hAnsi="黑体" w:cs="黑体"/>
        </w:rPr>
      </w:pPr>
      <w:bookmarkStart w:id="14" w:name="_Toc2152"/>
      <w:bookmarkStart w:id="15" w:name="_Toc71122174"/>
      <w:bookmarkStart w:id="16" w:name="_Toc13497"/>
      <w:r>
        <w:rPr>
          <w:rFonts w:ascii="黑体" w:hAnsi="黑体" w:cs="黑体" w:hint="eastAsia"/>
        </w:rPr>
        <w:t>1.4 研究方法</w:t>
      </w:r>
      <w:bookmarkEnd w:id="14"/>
      <w:bookmarkEnd w:id="15"/>
      <w:bookmarkEnd w:id="16"/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  <w:sectPr>
          <w:headerReference w:type="first" r:id="rId7"/>
          <w:type w:val="nextPage"/>
          <w:pgSz w:w="11906" w:h="16838"/>
          <w:pgMar w:top="1417" w:right="1134" w:bottom="1417" w:left="1417" w:header="851" w:footer="850" w:gutter="0"/>
          <w:pgNumType w:start="2"/>
          <w:cols w:num="1" w:space="0"/>
          <w:titlePg w:val="0"/>
          <w:docGrid w:type="lines" w:linePitch="312" w:charSpace="0"/>
        </w:sectPr>
      </w:pP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文采用的研究方法主要有：1.文献研究法。根据所要研究的课题，通过搜集查阅文献来获得资料，对文献进行仔细研究，从而全面地了解所要研究问题的一种方法。2.案例分析法。根据研究目的对具体案例进行分析,以寻求解决同类问题的方法，有助于提出新的问题,验证普遍性规律的一种社会科学研究方法。3.调查研究法。调查研究法是科学研究方法中最常用的方法之一，它是通过有目的、有计划地搜集有关研究对象资料的一种方法。</w:t>
      </w:r>
    </w:p>
    <w:p>
      <w:pPr>
        <w:spacing w:line="400" w:lineRule="exact"/>
        <w:ind w:firstLine="480" w:firstLineChars="200"/>
        <w:rPr>
          <w:rFonts w:ascii="宋体" w:eastAsia="宋体" w:hAnsi="宋体"/>
          <w:sz w:val="24"/>
          <w:szCs w:val="24"/>
        </w:rPr>
      </w:pPr>
    </w:p>
    <w:p>
      <w:pPr>
        <w:pStyle w:val="Heading2"/>
        <w:numPr>
          <w:ilvl w:val="1"/>
          <w:numId w:val="0"/>
        </w:numPr>
        <w:spacing w:before="0" w:after="0" w:line="400" w:lineRule="exact"/>
        <w:jc w:val="both"/>
        <w:rPr>
          <w:rFonts w:ascii="黑体" w:hAnsi="黑体" w:cs="黑体"/>
        </w:rPr>
      </w:pPr>
      <w:bookmarkStart w:id="17" w:name="_Toc71122175"/>
      <w:bookmarkStart w:id="18" w:name="_Toc5080"/>
      <w:bookmarkStart w:id="19" w:name="_Toc30950"/>
      <w:r>
        <w:rPr>
          <w:rFonts w:ascii="黑体" w:hAnsi="黑体" w:cs="黑体" w:hint="eastAsia"/>
        </w:rPr>
        <w:t>1.5 文献综述</w:t>
      </w:r>
      <w:bookmarkEnd w:id="17"/>
      <w:bookmarkEnd w:id="18"/>
      <w:bookmarkEnd w:id="19"/>
    </w:p>
    <w:p>
      <w:pPr>
        <w:spacing w:line="400" w:lineRule="exact"/>
        <w:ind w:firstLine="490"/>
        <w:rPr>
          <w:rFonts w:ascii="宋体" w:eastAsia="宋体" w:hAnsi="宋体"/>
          <w:sz w:val="24"/>
          <w:szCs w:val="24"/>
        </w:rPr>
        <w:sectPr>
          <w:headerReference w:type="first" r:id="rId8"/>
          <w:type w:val="nextPage"/>
          <w:pgSz w:w="11906" w:h="16838"/>
          <w:pgMar w:top="1417" w:right="1134" w:bottom="1417" w:left="1417" w:header="851" w:footer="850" w:gutter="0"/>
          <w:pgNumType w:start="3"/>
          <w:cols w:num="1" w:space="0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 w:val="24"/>
          <w:szCs w:val="24"/>
        </w:rPr>
        <w:t>马丽（2</w:t>
      </w:r>
      <w:r>
        <w:rPr>
          <w:rFonts w:ascii="宋体" w:eastAsia="宋体" w:hAnsi="宋体"/>
          <w:sz w:val="24"/>
          <w:szCs w:val="24"/>
        </w:rPr>
        <w:t>021</w:t>
      </w:r>
      <w:r>
        <w:rPr>
          <w:rFonts w:ascii="宋体" w:eastAsia="宋体" w:hAnsi="宋体" w:hint="eastAsia"/>
          <w:sz w:val="24"/>
          <w:szCs w:val="24"/>
        </w:rPr>
        <w:t>）针对冷链仓储中心布局问题,提出了一种基于系统布置设计法（SLP方法）和遗传算法（GA）相结合的方法对冷链仓储布局进行优化,创建多目标函数模型。张永强（2</w:t>
      </w:r>
      <w:r>
        <w:rPr>
          <w:rFonts w:ascii="宋体" w:eastAsia="宋体" w:hAnsi="宋体"/>
          <w:sz w:val="24"/>
          <w:szCs w:val="24"/>
        </w:rPr>
        <w:t>021</w:t>
      </w:r>
      <w:r>
        <w:rPr>
          <w:rFonts w:ascii="宋体" w:eastAsia="宋体" w:hAnsi="宋体" w:hint="eastAsia"/>
          <w:sz w:val="24"/>
          <w:szCs w:val="24"/>
        </w:rPr>
        <w:t>）针对传统林产品仓储布局存在的问题,采用优化后的系统布置设计法（SLP）结合搬运系统分析法（SHA）对仓储布局进行重新设计。韩昉、刘利军、张鸿斌（2</w:t>
      </w:r>
      <w:r>
        <w:rPr>
          <w:rFonts w:ascii="宋体" w:eastAsia="宋体" w:hAnsi="宋体"/>
          <w:sz w:val="24"/>
          <w:szCs w:val="24"/>
        </w:rPr>
        <w:t>021</w:t>
      </w:r>
      <w:r>
        <w:rPr>
          <w:rFonts w:ascii="宋体" w:eastAsia="宋体" w:hAnsi="宋体" w:hint="eastAsia"/>
          <w:sz w:val="24"/>
          <w:szCs w:val="24"/>
        </w:rPr>
        <w:t>）以S公司生产车间为研究对象,运用传统SLP方法对车间的15个作业单位进行相关性分析,对原有布局进行优化,得到优化方案。张祖荻、胡明琦（2</w:t>
      </w:r>
      <w:r>
        <w:rPr>
          <w:rFonts w:ascii="宋体" w:eastAsia="宋体" w:hAnsi="宋体"/>
          <w:sz w:val="24"/>
          <w:szCs w:val="24"/>
        </w:rPr>
        <w:t>020</w:t>
      </w:r>
      <w:r>
        <w:rPr>
          <w:rFonts w:ascii="宋体" w:eastAsia="宋体" w:hAnsi="宋体" w:hint="eastAsia"/>
          <w:sz w:val="24"/>
          <w:szCs w:val="24"/>
        </w:rPr>
        <w:t>）以H电商公司作为研究对象,分析其仓库的布局，再运用仓储知识分析其仓库问题并且得出解决方法。谢美娥（2</w:t>
      </w:r>
      <w:r>
        <w:rPr>
          <w:rFonts w:ascii="宋体" w:eastAsia="宋体" w:hAnsi="宋体"/>
          <w:sz w:val="24"/>
          <w:szCs w:val="24"/>
        </w:rPr>
        <w:t>019</w:t>
      </w:r>
      <w:r>
        <w:rPr>
          <w:rFonts w:ascii="宋体" w:eastAsia="宋体" w:hAnsi="宋体" w:hint="eastAsia"/>
          <w:sz w:val="24"/>
          <w:szCs w:val="24"/>
        </w:rPr>
        <w:t>）以,分析九州通公司配送中心存在的问题,然后针对问题给出相应的解决方案。张敏、刁宏冬等（2</w:t>
      </w:r>
      <w:r>
        <w:rPr>
          <w:rFonts w:ascii="宋体" w:eastAsia="宋体" w:hAnsi="宋体"/>
          <w:sz w:val="24"/>
          <w:szCs w:val="24"/>
        </w:rPr>
        <w:t>020</w:t>
      </w:r>
      <w:r>
        <w:rPr>
          <w:rFonts w:ascii="宋体" w:eastAsia="宋体" w:hAnsi="宋体" w:hint="eastAsia"/>
          <w:sz w:val="24"/>
          <w:szCs w:val="24"/>
        </w:rPr>
        <w:t>）本文首先阐述库存控制与仓储管理的概念,然后对库存控制与仓储管理现状进行分析,最后提出针对性的优化措施。熊立华、徐嘉（2</w:t>
      </w:r>
      <w:r>
        <w:rPr>
          <w:rFonts w:ascii="宋体" w:eastAsia="宋体" w:hAnsi="宋体"/>
          <w:sz w:val="24"/>
          <w:szCs w:val="24"/>
        </w:rPr>
        <w:t>016</w:t>
      </w:r>
      <w:r>
        <w:rPr>
          <w:rFonts w:ascii="宋体" w:eastAsia="宋体" w:hAnsi="宋体" w:hint="eastAsia"/>
          <w:sz w:val="24"/>
          <w:szCs w:val="24"/>
        </w:rPr>
        <w:t>）以</w:t>
      </w:r>
      <w:r>
        <w:rPr>
          <w:rFonts w:ascii="宋体" w:eastAsia="宋体" w:hAnsi="宋体"/>
          <w:sz w:val="24"/>
          <w:szCs w:val="24"/>
        </w:rPr>
        <w:t>B</w:t>
      </w:r>
      <w:r>
        <w:rPr>
          <w:rFonts w:ascii="宋体" w:eastAsia="宋体" w:hAnsi="宋体" w:hint="eastAsia"/>
          <w:sz w:val="24"/>
          <w:szCs w:val="24"/>
        </w:rPr>
        <w:t>公司配送中心为例,运用SLP方法对其进行优化,提高企业的仓储效益。王婧、杨迪、汪世志（2</w:t>
      </w:r>
      <w:r>
        <w:rPr>
          <w:rFonts w:ascii="宋体" w:eastAsia="宋体" w:hAnsi="宋体"/>
          <w:sz w:val="24"/>
          <w:szCs w:val="24"/>
        </w:rPr>
        <w:t>014</w:t>
      </w:r>
      <w:r>
        <w:rPr>
          <w:rFonts w:ascii="宋体" w:eastAsia="宋体" w:hAnsi="宋体" w:hint="eastAsia"/>
          <w:sz w:val="24"/>
          <w:szCs w:val="24"/>
        </w:rPr>
        <w:t>）针对,以A某公司的仓储中心为例,分析其仓储作业中存在的一系列问题，提出了有关的优化方案。侯智,孟祥超（2</w:t>
      </w:r>
      <w:r>
        <w:rPr>
          <w:rFonts w:ascii="宋体" w:eastAsia="宋体" w:hAnsi="宋体"/>
          <w:sz w:val="24"/>
          <w:szCs w:val="24"/>
        </w:rPr>
        <w:t>020</w:t>
      </w:r>
      <w:r>
        <w:rPr>
          <w:rFonts w:ascii="宋体" w:eastAsia="宋体" w:hAnsi="宋体" w:hint="eastAsia"/>
          <w:sz w:val="24"/>
          <w:szCs w:val="24"/>
        </w:rPr>
        <w:t>）分析B公司的仓储现状，针对仓库局部产生优化方案，运用SLP方法和遗传算法相结合使整体仓库布局进行优化。李娟（2</w:t>
      </w:r>
      <w:r>
        <w:rPr>
          <w:rFonts w:ascii="宋体" w:eastAsia="宋体" w:hAnsi="宋体"/>
          <w:sz w:val="24"/>
          <w:szCs w:val="24"/>
        </w:rPr>
        <w:t>009</w:t>
      </w:r>
      <w:r>
        <w:rPr>
          <w:rFonts w:ascii="宋体" w:eastAsia="宋体" w:hAnsi="宋体" w:hint="eastAsia"/>
          <w:sz w:val="24"/>
          <w:szCs w:val="24"/>
        </w:rPr>
        <w:t>）运用SLP方法，分析各个作业单位的相互关系，得到优化方案。李琴、李泽蓉、文忠波（2</w:t>
      </w:r>
      <w:r>
        <w:rPr>
          <w:rFonts w:ascii="宋体" w:eastAsia="宋体" w:hAnsi="宋体"/>
          <w:sz w:val="24"/>
          <w:szCs w:val="24"/>
        </w:rPr>
        <w:t>011</w:t>
      </w:r>
      <w:r>
        <w:rPr>
          <w:rFonts w:ascii="宋体" w:eastAsia="宋体" w:hAnsi="宋体" w:hint="eastAsia"/>
          <w:sz w:val="24"/>
          <w:szCs w:val="24"/>
        </w:rPr>
        <w:t>）针对某公司的生产车间设施布局问题进行深入分析，运用SLP方法对生产车间进行优化。</w:t>
      </w:r>
    </w:p>
    <w:p>
      <w:pPr>
        <w:pStyle w:val="Heading1"/>
        <w:numPr>
          <w:ilvl w:val="0"/>
          <w:numId w:val="0"/>
        </w:numPr>
        <w:spacing w:before="156" w:beforeLines="50" w:after="156" w:afterLines="50" w:line="360" w:lineRule="auto"/>
        <w:rPr>
          <w:rFonts w:ascii="黑体" w:hAnsi="黑体" w:cs="黑体"/>
          <w:szCs w:val="36"/>
        </w:rPr>
      </w:pPr>
      <w:bookmarkStart w:id="20" w:name="_Toc71122176"/>
      <w:bookmarkStart w:id="21" w:name="_Toc7138"/>
      <w:bookmarkStart w:id="22" w:name="_Toc21335"/>
      <w:r>
        <w:rPr>
          <w:rFonts w:ascii="黑体" w:hAnsi="黑体" w:cs="黑体" w:hint="eastAsia"/>
          <w:szCs w:val="36"/>
        </w:rPr>
        <w:t>第二章  理论概述</w:t>
      </w:r>
      <w:bookmarkEnd w:id="20"/>
      <w:bookmarkEnd w:id="21"/>
      <w:bookmarkEnd w:id="22"/>
    </w:p>
    <w:p/>
    <w:p>
      <w:pPr>
        <w:pStyle w:val="Heading2"/>
        <w:numPr>
          <w:ilvl w:val="1"/>
          <w:numId w:val="0"/>
        </w:numPr>
        <w:spacing w:before="0" w:after="0" w:line="400" w:lineRule="exact"/>
        <w:rPr>
          <w:rFonts w:ascii="黑体" w:hAnsi="黑体" w:cs="黑体"/>
        </w:rPr>
      </w:pPr>
      <w:bookmarkStart w:id="23" w:name="_Toc12452"/>
      <w:bookmarkStart w:id="24" w:name="_Toc71122177"/>
      <w:bookmarkStart w:id="25" w:name="_Toc26764"/>
      <w:r>
        <w:rPr>
          <w:rFonts w:ascii="黑体" w:hAnsi="黑体" w:cs="黑体" w:hint="eastAsia"/>
        </w:rPr>
        <w:t>2.1 仓储布局的概念及原则</w:t>
      </w:r>
      <w:bookmarkEnd w:id="23"/>
      <w:bookmarkEnd w:id="24"/>
      <w:bookmarkEnd w:id="25"/>
    </w:p>
    <w:p>
      <w:pPr>
        <w:tabs>
          <w:tab w:val="left" w:pos="567"/>
        </w:tabs>
        <w:spacing w:line="400" w:lineRule="exact"/>
        <w:ind w:firstLine="480" w:firstLineChars="2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仓储布局是在一定区域或库区内，对仓库的数量、规模、地理位置和仓库设施、道路等各要素进行的科学规划和总体设计。</w:t>
      </w:r>
    </w:p>
    <w:p>
      <w:pPr>
        <w:tabs>
          <w:tab w:val="left" w:pos="567"/>
        </w:tabs>
        <w:spacing w:line="400" w:lineRule="exact"/>
        <w:ind w:firstLine="480" w:firstLineChars="2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仓储的合理布局应遵循以下几个原则：</w:t>
      </w:r>
    </w:p>
    <w:p>
      <w:pPr>
        <w:tabs>
          <w:tab w:val="left" w:pos="567"/>
        </w:tabs>
        <w:spacing w:line="400" w:lineRule="exact"/>
        <w:ind w:firstLine="480" w:firstLineChars="2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单层储存，使用一些单层的设备，提高设备的利用率，降低仓储的作业成本；</w:t>
      </w:r>
    </w:p>
    <w:p>
      <w:pPr>
        <w:tabs>
          <w:tab w:val="left" w:pos="567"/>
        </w:tabs>
        <w:spacing w:line="400" w:lineRule="exact"/>
        <w:ind w:firstLine="480" w:firstLineChars="2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直线移动，尽量使仓库内物资的搬运是直线的单向运动货，减少一些逆向移动，提高仓库作业效率；</w:t>
      </w:r>
      <w:r>
        <w:rPr>
          <w:rFonts w:ascii="宋体" w:eastAsia="宋体" w:hAnsi="宋体"/>
          <w:sz w:val="24"/>
          <w:szCs w:val="24"/>
        </w:rPr>
        <w:t xml:space="preserve"> </w:t>
      </w:r>
    </w:p>
    <w:p>
      <w:pPr>
        <w:tabs>
          <w:tab w:val="left" w:pos="567"/>
        </w:tabs>
        <w:spacing w:line="400" w:lineRule="exact"/>
        <w:ind w:firstLine="480" w:firstLineChars="2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</w:t>
      </w:r>
      <w:r>
        <w:rPr>
          <w:rFonts w:ascii="宋体" w:eastAsia="宋体" w:hAnsi="宋体" w:hint="eastAsia"/>
          <w:sz w:val="24"/>
          <w:szCs w:val="24"/>
        </w:rPr>
        <w:t>储存有计划性，仓库里应采用有效的存储计划；</w:t>
      </w:r>
    </w:p>
    <w:p>
      <w:pPr>
        <w:tabs>
          <w:tab w:val="left" w:pos="567"/>
        </w:tabs>
        <w:spacing w:line="400" w:lineRule="exact"/>
        <w:ind w:firstLine="480" w:firstLineChars="2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</w:t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通道要尽量的小，想要提高仓库的作业面积就要尽量减少通道所占用的空间；</w:t>
      </w:r>
    </w:p>
    <w:p>
      <w:pPr>
        <w:tabs>
          <w:tab w:val="left" w:pos="567"/>
        </w:tabs>
        <w:spacing w:line="400" w:lineRule="exact"/>
        <w:ind w:firstLine="480" w:firstLineChars="20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5.</w:t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利用高度，利用仓库的高度，使仓库有效的利用容积最大化。</w:t>
      </w:r>
    </w:p>
    <w:p>
      <w:pPr>
        <w:tabs>
          <w:tab w:val="left" w:pos="567"/>
        </w:tabs>
        <w:spacing w:line="400" w:lineRule="exact"/>
        <w:jc w:val="left"/>
        <w:rPr>
          <w:rFonts w:ascii="宋体" w:eastAsia="宋体" w:hAnsi="宋体"/>
          <w:sz w:val="24"/>
          <w:szCs w:val="24"/>
        </w:rPr>
      </w:pPr>
    </w:p>
    <w:p>
      <w:pPr>
        <w:pStyle w:val="Heading2"/>
        <w:numPr>
          <w:ilvl w:val="1"/>
          <w:numId w:val="0"/>
        </w:numPr>
        <w:spacing w:before="0" w:after="0" w:line="400" w:lineRule="exact"/>
        <w:rPr>
          <w:rFonts w:ascii="黑体" w:hAnsi="黑体" w:cs="黑体"/>
        </w:rPr>
      </w:pPr>
      <w:bookmarkStart w:id="26" w:name="_Toc71122178"/>
      <w:bookmarkStart w:id="27" w:name="_Toc10217"/>
      <w:bookmarkStart w:id="28" w:name="_Toc12033"/>
      <w:r>
        <w:rPr>
          <w:rFonts w:ascii="黑体" w:hAnsi="黑体" w:cs="黑体" w:hint="eastAsia"/>
        </w:rPr>
        <w:t>2.2 仓储布局主的主要内容</w:t>
      </w:r>
      <w:bookmarkEnd w:id="26"/>
      <w:bookmarkEnd w:id="27"/>
      <w:bookmarkEnd w:id="28"/>
    </w:p>
    <w:p>
      <w:pPr>
        <w:pStyle w:val="Default"/>
        <w:spacing w:line="400" w:lineRule="exact"/>
        <w:ind w:firstLine="48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仓库布局是根据仓库一系列的生产需要，对整个仓库所有设施进行规划，确定一系列生产活动的场所，区别仓库内各种设施设备。</w:t>
      </w:r>
    </w:p>
    <w:p>
      <w:pPr>
        <w:pStyle w:val="10"/>
      </w:pPr>
      <w:r>
        <w:rPr>
          <w:rFonts w:hint="eastAsia"/>
        </w:rPr>
        <w:t>（1）功能布局</w:t>
      </w:r>
    </w:p>
    <w:p>
      <w:pPr>
        <w:pStyle w:val="Default"/>
        <w:spacing w:line="400" w:lineRule="exact"/>
        <w:ind w:firstLine="48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仓库按功能可划分为生产作业区、辅助生产区、行政生活区、道路与停车场绿化区等。生产作业区作为仓库的主要构成部分，主要活动包括货物的存储、检验、入库等。辅助生产区顾名思义是为仓库一系列区域提供辅助服务的区域，包括一些变电室与辅助维修车间。行政生活区是仓库行政管理机构的办公地点和生活区域，为了便于仓储业务的办公室和各种生活场所。在进行库区分区规划时，应该按照货物种类和性质、货物的发放性质以及货物危险性质进行分区分类。</w:t>
      </w:r>
    </w:p>
    <w:p>
      <w:pPr>
        <w:pStyle w:val="Default"/>
        <w:spacing w:line="400" w:lineRule="exact"/>
        <w:ind w:firstLine="48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（2）货区布局</w:t>
      </w:r>
    </w:p>
    <w:p>
      <w:pPr>
        <w:pStyle w:val="Default"/>
        <w:spacing w:line="400" w:lineRule="exact"/>
        <w:ind w:firstLine="566" w:firstLineChars="236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在仓库内进行货区布局时有两种基本形式，一种是平面布局，该布局又可以分为垂直式和倾斜式；另一种是空间布局，例如就地堆码、上货架存放等。平面垂直式布局又分为横列式布局、纵列式布局与混合式布局。横列式布局的主要优点是主通道长、副通道短，方便仓库作业人员的存取。纵列式布局的优点是可以根据货物的出入库流量安排其具体位置，提高作业效率。纵横式布局是指横列式布局和纵列式布局相结合的布局方式，综合了两种布局的优点。平面布局的另一种方式是倾斜式布局，具体分为货垛倾斜式布局和通道倾斜式布局。这两种布局方式都便于货物搬运，提高作业效率。</w:t>
      </w:r>
    </w:p>
    <w:p>
      <w:pPr>
        <w:pStyle w:val="Default"/>
        <w:spacing w:line="400" w:lineRule="exact"/>
        <w:ind w:firstLine="566" w:firstLineChars="236"/>
        <w:rPr>
          <w:rFonts w:ascii="宋体" w:eastAsia="宋体" w:hAnsi="宋体"/>
        </w:rPr>
      </w:pPr>
      <w:r>
        <w:rPr>
          <w:rFonts w:ascii="宋体" w:eastAsia="宋体" w:hAnsi="宋体"/>
        </w:rPr>
        <w:br/>
      </w:r>
      <w:r>
        <w:rPr>
          <w:rFonts w:ascii="宋体" w:eastAsia="宋体" w:hAnsi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https://d.book118.com/567110023023006033</w:t>
        </w:r>
      </w:hyperlink>
    </w:p>
    <w:p>
      <w:pPr>
        <w:pStyle w:val="Default"/>
        <w:spacing w:line="400" w:lineRule="exact"/>
        <w:ind w:firstLine="566" w:firstLineChars="236"/>
        <w:rPr>
          <w:rFonts w:ascii="宋体" w:eastAsia="宋体" w:hAnsi="宋体"/>
        </w:rPr>
      </w:pPr>
    </w:p>
    <w:sectPr>
      <w:headerReference w:type="first" r:id="rId10"/>
      <w:type w:val="nextPage"/>
      <w:pgSz w:w="11906" w:h="16838"/>
      <w:pgMar w:top="1417" w:right="1134" w:bottom="1417" w:left="1417" w:header="851" w:footer="850" w:gutter="0"/>
      <w:pgNumType w:start="4"/>
      <w:cols w:num="1" w:space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rPr>
        <w:rFonts w:ascii="宋体" w:eastAsia="宋体" w:hAnsi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rPr>
        <w:rFonts w:ascii="宋体" w:eastAsia="宋体" w:hAnsi="宋体" w:cs="宋体"/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rPr>
        <w:rFonts w:ascii="宋体" w:eastAsia="宋体" w:hAnsi="宋体" w:cs="宋体"/>
        <w:sz w:val="21"/>
        <w:szCs w:val="21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rPr>
        <w:rFonts w:ascii="宋体" w:eastAsia="宋体" w:hAnsi="宋体" w:cs="宋体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5A34A24"/>
    <w:multiLevelType w:val="multilevel"/>
    <w:tmpl w:val="35A34A24"/>
    <w:lvl w:ilvl="0">
      <w:start w:val="1"/>
      <w:numFmt w:val="chineseCounting"/>
      <w:pStyle w:val="Heading1"/>
      <w:suff w:val="nothing"/>
      <w:lvlText w:val="第%1章 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Heading2"/>
      <w:isLgl/>
      <w:lvlText w:val="%1.%2."/>
      <w:lvlJc w:val="left"/>
      <w:pPr>
        <w:ind w:left="1001" w:hanging="575"/>
      </w:pPr>
      <w:rPr>
        <w:rFonts w:ascii="黑体" w:eastAsia="黑体" w:hAnsi="黑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8"/>
        <w:szCs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legacyObliqueTopLef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720" w:hanging="720"/>
      </w:pPr>
      <w:rPr>
        <w:rFonts w:ascii="黑体" w:eastAsia="黑体" w:hAnsi="黑体" w:hint="eastAsia"/>
        <w:b w:val="0"/>
        <w:bCs w:val="0"/>
        <w:sz w:val="28"/>
        <w:szCs w:val="28"/>
      </w:rPr>
    </w:lvl>
    <w:lvl w:ilvl="3">
      <w:start w:val="1"/>
      <w:numFmt w:val="decimal"/>
      <w:pStyle w:val="Heading4"/>
      <w:isLgl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Heading5"/>
      <w:isLgl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Heading6"/>
      <w:isLgl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pStyle w:val="Heading7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Heading8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Heading9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2B2"/>
    <w:rsid w:val="00006A28"/>
    <w:rsid w:val="0001246F"/>
    <w:rsid w:val="0001307C"/>
    <w:rsid w:val="00013919"/>
    <w:rsid w:val="00014358"/>
    <w:rsid w:val="00014730"/>
    <w:rsid w:val="0001631B"/>
    <w:rsid w:val="00023BA2"/>
    <w:rsid w:val="0002501C"/>
    <w:rsid w:val="00037391"/>
    <w:rsid w:val="0004317E"/>
    <w:rsid w:val="000449CE"/>
    <w:rsid w:val="00051E7F"/>
    <w:rsid w:val="00053C40"/>
    <w:rsid w:val="00060DB8"/>
    <w:rsid w:val="000641F6"/>
    <w:rsid w:val="000657F1"/>
    <w:rsid w:val="00073FCA"/>
    <w:rsid w:val="00076E4C"/>
    <w:rsid w:val="00083859"/>
    <w:rsid w:val="000851BB"/>
    <w:rsid w:val="000860C7"/>
    <w:rsid w:val="00086C88"/>
    <w:rsid w:val="00095A70"/>
    <w:rsid w:val="000A1342"/>
    <w:rsid w:val="000B14FB"/>
    <w:rsid w:val="000C0C1E"/>
    <w:rsid w:val="000C35A4"/>
    <w:rsid w:val="000C6B1C"/>
    <w:rsid w:val="000D3693"/>
    <w:rsid w:val="000D64E1"/>
    <w:rsid w:val="000E27B4"/>
    <w:rsid w:val="000E7171"/>
    <w:rsid w:val="00104214"/>
    <w:rsid w:val="00104D13"/>
    <w:rsid w:val="00106305"/>
    <w:rsid w:val="00113822"/>
    <w:rsid w:val="00113F82"/>
    <w:rsid w:val="00114C39"/>
    <w:rsid w:val="00157FB9"/>
    <w:rsid w:val="001642FA"/>
    <w:rsid w:val="001669A9"/>
    <w:rsid w:val="001722F5"/>
    <w:rsid w:val="00175DE2"/>
    <w:rsid w:val="00181FB9"/>
    <w:rsid w:val="001A00D0"/>
    <w:rsid w:val="001A0AE4"/>
    <w:rsid w:val="001A223E"/>
    <w:rsid w:val="001A51AA"/>
    <w:rsid w:val="001B1872"/>
    <w:rsid w:val="001B19C7"/>
    <w:rsid w:val="001B4CAC"/>
    <w:rsid w:val="001B68CC"/>
    <w:rsid w:val="001C357C"/>
    <w:rsid w:val="001C6C8E"/>
    <w:rsid w:val="001C7343"/>
    <w:rsid w:val="001E02C3"/>
    <w:rsid w:val="001E0845"/>
    <w:rsid w:val="001E276D"/>
    <w:rsid w:val="001E7EC2"/>
    <w:rsid w:val="001F3878"/>
    <w:rsid w:val="00203F71"/>
    <w:rsid w:val="002067E9"/>
    <w:rsid w:val="00216222"/>
    <w:rsid w:val="00220E06"/>
    <w:rsid w:val="00224CAE"/>
    <w:rsid w:val="00227167"/>
    <w:rsid w:val="002356B5"/>
    <w:rsid w:val="002410E3"/>
    <w:rsid w:val="0024296E"/>
    <w:rsid w:val="00243475"/>
    <w:rsid w:val="00244178"/>
    <w:rsid w:val="00250528"/>
    <w:rsid w:val="002779C6"/>
    <w:rsid w:val="0028101E"/>
    <w:rsid w:val="002832A7"/>
    <w:rsid w:val="00287FF4"/>
    <w:rsid w:val="00293566"/>
    <w:rsid w:val="002B2F94"/>
    <w:rsid w:val="002B41D3"/>
    <w:rsid w:val="002C1FC7"/>
    <w:rsid w:val="002C4E93"/>
    <w:rsid w:val="002C5395"/>
    <w:rsid w:val="002C708F"/>
    <w:rsid w:val="002C7B77"/>
    <w:rsid w:val="002D41A8"/>
    <w:rsid w:val="002E048B"/>
    <w:rsid w:val="002F3658"/>
    <w:rsid w:val="002F6263"/>
    <w:rsid w:val="00304D32"/>
    <w:rsid w:val="00317A94"/>
    <w:rsid w:val="00334B1B"/>
    <w:rsid w:val="00334F5B"/>
    <w:rsid w:val="003403F6"/>
    <w:rsid w:val="00341A0A"/>
    <w:rsid w:val="0035336D"/>
    <w:rsid w:val="0035644E"/>
    <w:rsid w:val="00357C1E"/>
    <w:rsid w:val="00357CA9"/>
    <w:rsid w:val="0037570C"/>
    <w:rsid w:val="0038314B"/>
    <w:rsid w:val="003913EB"/>
    <w:rsid w:val="00393A35"/>
    <w:rsid w:val="00396EF7"/>
    <w:rsid w:val="003A36A3"/>
    <w:rsid w:val="003B23E8"/>
    <w:rsid w:val="003B6AE7"/>
    <w:rsid w:val="003C2C91"/>
    <w:rsid w:val="003C2D9C"/>
    <w:rsid w:val="003D5015"/>
    <w:rsid w:val="003E1C29"/>
    <w:rsid w:val="003E5400"/>
    <w:rsid w:val="003F4F78"/>
    <w:rsid w:val="003F68D2"/>
    <w:rsid w:val="00401494"/>
    <w:rsid w:val="0040234C"/>
    <w:rsid w:val="004052E7"/>
    <w:rsid w:val="00416C33"/>
    <w:rsid w:val="00425673"/>
    <w:rsid w:val="004262AE"/>
    <w:rsid w:val="004273CB"/>
    <w:rsid w:val="00434672"/>
    <w:rsid w:val="004431CC"/>
    <w:rsid w:val="0044490A"/>
    <w:rsid w:val="00447288"/>
    <w:rsid w:val="0045269D"/>
    <w:rsid w:val="00455537"/>
    <w:rsid w:val="0046094F"/>
    <w:rsid w:val="004610A1"/>
    <w:rsid w:val="00462BC6"/>
    <w:rsid w:val="00466904"/>
    <w:rsid w:val="00467BA6"/>
    <w:rsid w:val="004765DF"/>
    <w:rsid w:val="0048293C"/>
    <w:rsid w:val="00486699"/>
    <w:rsid w:val="00497FD8"/>
    <w:rsid w:val="004A0A1D"/>
    <w:rsid w:val="004B523D"/>
    <w:rsid w:val="004D6C06"/>
    <w:rsid w:val="004E7B91"/>
    <w:rsid w:val="004F4021"/>
    <w:rsid w:val="005028D9"/>
    <w:rsid w:val="00504394"/>
    <w:rsid w:val="00505A81"/>
    <w:rsid w:val="00510DC2"/>
    <w:rsid w:val="005124DC"/>
    <w:rsid w:val="005160BD"/>
    <w:rsid w:val="00520E3B"/>
    <w:rsid w:val="0052475B"/>
    <w:rsid w:val="00527816"/>
    <w:rsid w:val="005366D9"/>
    <w:rsid w:val="005372C9"/>
    <w:rsid w:val="0055219A"/>
    <w:rsid w:val="00554994"/>
    <w:rsid w:val="005569A5"/>
    <w:rsid w:val="00557B38"/>
    <w:rsid w:val="0056110D"/>
    <w:rsid w:val="00565B34"/>
    <w:rsid w:val="00572A28"/>
    <w:rsid w:val="00584948"/>
    <w:rsid w:val="00585623"/>
    <w:rsid w:val="00585D22"/>
    <w:rsid w:val="005956DC"/>
    <w:rsid w:val="005A65DF"/>
    <w:rsid w:val="005B315B"/>
    <w:rsid w:val="005B482F"/>
    <w:rsid w:val="005D260C"/>
    <w:rsid w:val="005D3D23"/>
    <w:rsid w:val="005E2143"/>
    <w:rsid w:val="005E393B"/>
    <w:rsid w:val="005E44E6"/>
    <w:rsid w:val="005F7437"/>
    <w:rsid w:val="00611F66"/>
    <w:rsid w:val="00615C60"/>
    <w:rsid w:val="00623179"/>
    <w:rsid w:val="00636127"/>
    <w:rsid w:val="00641627"/>
    <w:rsid w:val="00643087"/>
    <w:rsid w:val="00646CD0"/>
    <w:rsid w:val="00647612"/>
    <w:rsid w:val="00662EBE"/>
    <w:rsid w:val="006632D7"/>
    <w:rsid w:val="00667D03"/>
    <w:rsid w:val="00681E5E"/>
    <w:rsid w:val="006914BA"/>
    <w:rsid w:val="00693C92"/>
    <w:rsid w:val="006A747C"/>
    <w:rsid w:val="006A7646"/>
    <w:rsid w:val="006B1033"/>
    <w:rsid w:val="006B6AE4"/>
    <w:rsid w:val="006C0593"/>
    <w:rsid w:val="006C5A42"/>
    <w:rsid w:val="006D5BDD"/>
    <w:rsid w:val="006D7C38"/>
    <w:rsid w:val="006F0E6B"/>
    <w:rsid w:val="006F5333"/>
    <w:rsid w:val="00702C13"/>
    <w:rsid w:val="00703110"/>
    <w:rsid w:val="00704BDD"/>
    <w:rsid w:val="0070646C"/>
    <w:rsid w:val="00706741"/>
    <w:rsid w:val="0071335F"/>
    <w:rsid w:val="00721E84"/>
    <w:rsid w:val="00723CC2"/>
    <w:rsid w:val="00726DE6"/>
    <w:rsid w:val="00732FF8"/>
    <w:rsid w:val="00736DF8"/>
    <w:rsid w:val="00750736"/>
    <w:rsid w:val="0075310F"/>
    <w:rsid w:val="00762AD2"/>
    <w:rsid w:val="00792234"/>
    <w:rsid w:val="00795402"/>
    <w:rsid w:val="007A17B4"/>
    <w:rsid w:val="007A2C7E"/>
    <w:rsid w:val="007A61B5"/>
    <w:rsid w:val="007D2DB9"/>
    <w:rsid w:val="007E5514"/>
    <w:rsid w:val="007E7DBB"/>
    <w:rsid w:val="007F554D"/>
    <w:rsid w:val="00815821"/>
    <w:rsid w:val="00822301"/>
    <w:rsid w:val="008273EF"/>
    <w:rsid w:val="008279B4"/>
    <w:rsid w:val="00830363"/>
    <w:rsid w:val="008435E7"/>
    <w:rsid w:val="00850DF4"/>
    <w:rsid w:val="00855F60"/>
    <w:rsid w:val="00860A85"/>
    <w:rsid w:val="008632B2"/>
    <w:rsid w:val="008763A9"/>
    <w:rsid w:val="008807A4"/>
    <w:rsid w:val="00896AE9"/>
    <w:rsid w:val="008B51DC"/>
    <w:rsid w:val="008C41E1"/>
    <w:rsid w:val="008D61E2"/>
    <w:rsid w:val="008E210F"/>
    <w:rsid w:val="008E570B"/>
    <w:rsid w:val="008F62BA"/>
    <w:rsid w:val="009025C2"/>
    <w:rsid w:val="00911854"/>
    <w:rsid w:val="0091387A"/>
    <w:rsid w:val="00913CB8"/>
    <w:rsid w:val="0092261D"/>
    <w:rsid w:val="00923402"/>
    <w:rsid w:val="009310C1"/>
    <w:rsid w:val="00960A5C"/>
    <w:rsid w:val="009705F5"/>
    <w:rsid w:val="00970F3E"/>
    <w:rsid w:val="00971F80"/>
    <w:rsid w:val="00977EA5"/>
    <w:rsid w:val="00983806"/>
    <w:rsid w:val="0098754A"/>
    <w:rsid w:val="009A4B47"/>
    <w:rsid w:val="009A5714"/>
    <w:rsid w:val="009A7E8E"/>
    <w:rsid w:val="009B084D"/>
    <w:rsid w:val="009B53F4"/>
    <w:rsid w:val="009B5CB4"/>
    <w:rsid w:val="009C0151"/>
    <w:rsid w:val="009C231A"/>
    <w:rsid w:val="009C3637"/>
    <w:rsid w:val="009D63B5"/>
    <w:rsid w:val="009E448D"/>
    <w:rsid w:val="009E562E"/>
    <w:rsid w:val="009E5927"/>
    <w:rsid w:val="009F0878"/>
    <w:rsid w:val="009F0C7D"/>
    <w:rsid w:val="009F1360"/>
    <w:rsid w:val="009F27D1"/>
    <w:rsid w:val="009F3EE6"/>
    <w:rsid w:val="009F77DB"/>
    <w:rsid w:val="00A0153E"/>
    <w:rsid w:val="00A04901"/>
    <w:rsid w:val="00A06EE5"/>
    <w:rsid w:val="00A14237"/>
    <w:rsid w:val="00A14D74"/>
    <w:rsid w:val="00A15972"/>
    <w:rsid w:val="00A3072D"/>
    <w:rsid w:val="00A60302"/>
    <w:rsid w:val="00A61E82"/>
    <w:rsid w:val="00A61EE0"/>
    <w:rsid w:val="00A62A41"/>
    <w:rsid w:val="00A62A4B"/>
    <w:rsid w:val="00A6328B"/>
    <w:rsid w:val="00A71DB5"/>
    <w:rsid w:val="00A811A3"/>
    <w:rsid w:val="00A81D89"/>
    <w:rsid w:val="00A84D39"/>
    <w:rsid w:val="00A91950"/>
    <w:rsid w:val="00A9446E"/>
    <w:rsid w:val="00AA00A7"/>
    <w:rsid w:val="00AB28D6"/>
    <w:rsid w:val="00AB31B9"/>
    <w:rsid w:val="00AB51F7"/>
    <w:rsid w:val="00AB671C"/>
    <w:rsid w:val="00AB78A9"/>
    <w:rsid w:val="00AE5BEE"/>
    <w:rsid w:val="00AF1D00"/>
    <w:rsid w:val="00AF39F7"/>
    <w:rsid w:val="00AF526E"/>
    <w:rsid w:val="00AF6155"/>
    <w:rsid w:val="00AF72CC"/>
    <w:rsid w:val="00AF7F37"/>
    <w:rsid w:val="00B03038"/>
    <w:rsid w:val="00B03B4F"/>
    <w:rsid w:val="00B1100D"/>
    <w:rsid w:val="00B11BE3"/>
    <w:rsid w:val="00B15171"/>
    <w:rsid w:val="00B15914"/>
    <w:rsid w:val="00B173B5"/>
    <w:rsid w:val="00B228A2"/>
    <w:rsid w:val="00B22906"/>
    <w:rsid w:val="00B23D99"/>
    <w:rsid w:val="00B30016"/>
    <w:rsid w:val="00B34919"/>
    <w:rsid w:val="00B501A8"/>
    <w:rsid w:val="00B56969"/>
    <w:rsid w:val="00B617B5"/>
    <w:rsid w:val="00B6277F"/>
    <w:rsid w:val="00B774E2"/>
    <w:rsid w:val="00B85D1E"/>
    <w:rsid w:val="00BC4DD7"/>
    <w:rsid w:val="00BC584D"/>
    <w:rsid w:val="00BD3BE6"/>
    <w:rsid w:val="00BE160A"/>
    <w:rsid w:val="00BE2B61"/>
    <w:rsid w:val="00BE5AFC"/>
    <w:rsid w:val="00BE746D"/>
    <w:rsid w:val="00BF1BCF"/>
    <w:rsid w:val="00C138ED"/>
    <w:rsid w:val="00C13D61"/>
    <w:rsid w:val="00C2425E"/>
    <w:rsid w:val="00C24C6E"/>
    <w:rsid w:val="00C333CE"/>
    <w:rsid w:val="00C35F48"/>
    <w:rsid w:val="00C4008E"/>
    <w:rsid w:val="00C406AB"/>
    <w:rsid w:val="00C46963"/>
    <w:rsid w:val="00C4716D"/>
    <w:rsid w:val="00C47ECC"/>
    <w:rsid w:val="00C75B24"/>
    <w:rsid w:val="00C777B6"/>
    <w:rsid w:val="00C85F23"/>
    <w:rsid w:val="00C8719D"/>
    <w:rsid w:val="00C90597"/>
    <w:rsid w:val="00CA16C8"/>
    <w:rsid w:val="00CA1DA8"/>
    <w:rsid w:val="00CC2662"/>
    <w:rsid w:val="00CC4DDB"/>
    <w:rsid w:val="00CE1114"/>
    <w:rsid w:val="00CE2097"/>
    <w:rsid w:val="00CE52D4"/>
    <w:rsid w:val="00CE5AC1"/>
    <w:rsid w:val="00CF51A0"/>
    <w:rsid w:val="00CF5920"/>
    <w:rsid w:val="00D02460"/>
    <w:rsid w:val="00D037C2"/>
    <w:rsid w:val="00D05ECE"/>
    <w:rsid w:val="00D07A16"/>
    <w:rsid w:val="00D20166"/>
    <w:rsid w:val="00D2071F"/>
    <w:rsid w:val="00D330BC"/>
    <w:rsid w:val="00D3747F"/>
    <w:rsid w:val="00D40284"/>
    <w:rsid w:val="00D4060E"/>
    <w:rsid w:val="00D57350"/>
    <w:rsid w:val="00D629F1"/>
    <w:rsid w:val="00D658A4"/>
    <w:rsid w:val="00D6714E"/>
    <w:rsid w:val="00D747DF"/>
    <w:rsid w:val="00D74EEE"/>
    <w:rsid w:val="00D767AA"/>
    <w:rsid w:val="00D801D7"/>
    <w:rsid w:val="00D85DD3"/>
    <w:rsid w:val="00D86A54"/>
    <w:rsid w:val="00D96700"/>
    <w:rsid w:val="00D968C6"/>
    <w:rsid w:val="00DA0B14"/>
    <w:rsid w:val="00DA2218"/>
    <w:rsid w:val="00DB3ABE"/>
    <w:rsid w:val="00DC0555"/>
    <w:rsid w:val="00DC0A80"/>
    <w:rsid w:val="00DC1ECA"/>
    <w:rsid w:val="00DC49AC"/>
    <w:rsid w:val="00DC75FF"/>
    <w:rsid w:val="00DD6D41"/>
    <w:rsid w:val="00DE01CE"/>
    <w:rsid w:val="00DE0448"/>
    <w:rsid w:val="00E0748A"/>
    <w:rsid w:val="00E156AE"/>
    <w:rsid w:val="00E34445"/>
    <w:rsid w:val="00E36300"/>
    <w:rsid w:val="00E45351"/>
    <w:rsid w:val="00E46070"/>
    <w:rsid w:val="00E46A25"/>
    <w:rsid w:val="00E51AC4"/>
    <w:rsid w:val="00E620A2"/>
    <w:rsid w:val="00E6355C"/>
    <w:rsid w:val="00E64046"/>
    <w:rsid w:val="00E67EBF"/>
    <w:rsid w:val="00E70782"/>
    <w:rsid w:val="00E800DF"/>
    <w:rsid w:val="00E82308"/>
    <w:rsid w:val="00E8466D"/>
    <w:rsid w:val="00E84BAE"/>
    <w:rsid w:val="00E857BE"/>
    <w:rsid w:val="00E87F8D"/>
    <w:rsid w:val="00EA4380"/>
    <w:rsid w:val="00EA7A29"/>
    <w:rsid w:val="00EC0F75"/>
    <w:rsid w:val="00EC4018"/>
    <w:rsid w:val="00EC4E52"/>
    <w:rsid w:val="00ED0FE8"/>
    <w:rsid w:val="00ED2E75"/>
    <w:rsid w:val="00ED483B"/>
    <w:rsid w:val="00EE0B55"/>
    <w:rsid w:val="00EE1B19"/>
    <w:rsid w:val="00EE25D2"/>
    <w:rsid w:val="00EE346F"/>
    <w:rsid w:val="00EE4A38"/>
    <w:rsid w:val="00EE6756"/>
    <w:rsid w:val="00EF1857"/>
    <w:rsid w:val="00F05A96"/>
    <w:rsid w:val="00F10748"/>
    <w:rsid w:val="00F2677D"/>
    <w:rsid w:val="00F35F40"/>
    <w:rsid w:val="00F41356"/>
    <w:rsid w:val="00F51CFD"/>
    <w:rsid w:val="00F550B9"/>
    <w:rsid w:val="00F60FDB"/>
    <w:rsid w:val="00F62BB2"/>
    <w:rsid w:val="00F70FBD"/>
    <w:rsid w:val="00F848DA"/>
    <w:rsid w:val="00F97C26"/>
    <w:rsid w:val="00FA0E13"/>
    <w:rsid w:val="00FA7D7E"/>
    <w:rsid w:val="00FB17C9"/>
    <w:rsid w:val="00FB63C6"/>
    <w:rsid w:val="00FC5436"/>
    <w:rsid w:val="00FC7C53"/>
    <w:rsid w:val="00FC7DD0"/>
    <w:rsid w:val="00FE3DF2"/>
    <w:rsid w:val="00FF067C"/>
    <w:rsid w:val="00FF0A7D"/>
    <w:rsid w:val="00FF22E4"/>
    <w:rsid w:val="00FF7159"/>
    <w:rsid w:val="00FF798C"/>
    <w:rsid w:val="04D548DC"/>
    <w:rsid w:val="0E465497"/>
    <w:rsid w:val="15D37C4B"/>
    <w:rsid w:val="1A070DCD"/>
    <w:rsid w:val="1B75594E"/>
    <w:rsid w:val="1D6D1AF9"/>
    <w:rsid w:val="1F550C9F"/>
    <w:rsid w:val="23CB4B58"/>
    <w:rsid w:val="23EC5E35"/>
    <w:rsid w:val="2B72394F"/>
    <w:rsid w:val="2B7B1650"/>
    <w:rsid w:val="2D2B1478"/>
    <w:rsid w:val="35B13DD0"/>
    <w:rsid w:val="3B4913AB"/>
    <w:rsid w:val="3E2C0519"/>
    <w:rsid w:val="4DCB13B4"/>
    <w:rsid w:val="517841AF"/>
    <w:rsid w:val="57AF3A11"/>
    <w:rsid w:val="59DA512A"/>
    <w:rsid w:val="5B575D55"/>
    <w:rsid w:val="5DF55D40"/>
    <w:rsid w:val="65083C4C"/>
    <w:rsid w:val="6B237BC5"/>
    <w:rsid w:val="75041024"/>
    <w:rsid w:val="75103187"/>
    <w:rsid w:val="774324F4"/>
    <w:rsid w:val="787B468E"/>
  </w:rsids>
  <w:docVars>
    <w:docVar w:name="commondata" w:val="eyJoZGlkIjoiNWFhMWI5MDQwNDBiYWI1ZmY5ZTQxYWNiYzY0MTdmZD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uiPriority w:val="9"/>
    <w:qFormat/>
    <w:pPr>
      <w:keepNext/>
      <w:keepLines/>
      <w:numPr>
        <w:ilvl w:val="0"/>
        <w:numId w:val="1"/>
      </w:numPr>
      <w:spacing w:before="340" w:after="330" w:line="576" w:lineRule="auto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pPr>
      <w:keepNext/>
      <w:keepLines/>
      <w:numPr>
        <w:ilvl w:val="1"/>
        <w:numId w:val="1"/>
      </w:numPr>
      <w:spacing w:before="260" w:after="260" w:line="415" w:lineRule="auto"/>
      <w:ind w:left="575"/>
      <w:jc w:val="left"/>
      <w:outlineLvl w:val="1"/>
    </w:pPr>
    <w:rPr>
      <w:rFonts w:eastAsia="黑体" w:asciiTheme="majorHAnsi" w:hAnsiTheme="majorHAnsi" w:cstheme="majorBidi"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rFonts w:eastAsia="宋体"/>
      <w:b/>
      <w:bCs/>
      <w:sz w:val="32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"/>
    <w:autoRedefine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autoRedefine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1"/>
    <w:autoRedefine/>
    <w:uiPriority w:val="99"/>
    <w:semiHidden/>
    <w:unhideWhenUsed/>
    <w:qFormat/>
    <w:pPr>
      <w:jc w:val="left"/>
    </w:p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a3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CommentSubject">
    <w:name w:val="annotation subject"/>
    <w:basedOn w:val="CommentText"/>
    <w:next w:val="CommentText"/>
    <w:link w:val="a2"/>
    <w:autoRedefine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文字 字符"/>
    <w:basedOn w:val="DefaultParagraphFont"/>
    <w:link w:val="CommentText"/>
    <w:uiPriority w:val="99"/>
    <w:semiHidden/>
    <w:qFormat/>
  </w:style>
  <w:style w:type="character" w:customStyle="1" w:styleId="a2">
    <w:name w:val="批注主题 字符"/>
    <w:basedOn w:val="a1"/>
    <w:link w:val="CommentSubject"/>
    <w:uiPriority w:val="99"/>
    <w:semiHidden/>
    <w:qFormat/>
    <w:rPr>
      <w:b/>
      <w:bCs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eastAsia="黑体"/>
      <w:bCs/>
      <w:kern w:val="44"/>
      <w:sz w:val="36"/>
      <w:szCs w:val="44"/>
    </w:rPr>
  </w:style>
  <w:style w:type="character" w:customStyle="1" w:styleId="2">
    <w:name w:val="标题 2 字符"/>
    <w:basedOn w:val="DefaultParagraphFont"/>
    <w:link w:val="Heading2"/>
    <w:autoRedefine/>
    <w:uiPriority w:val="9"/>
    <w:semiHidden/>
    <w:qFormat/>
    <w:rPr>
      <w:rFonts w:eastAsia="黑体" w:asciiTheme="majorHAnsi" w:hAnsiTheme="majorHAnsi" w:cstheme="majorBidi"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semiHidden/>
    <w:qFormat/>
    <w:rPr>
      <w:rFonts w:eastAsia="宋体"/>
      <w:b/>
      <w:bCs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Default">
    <w:name w:val="Default"/>
    <w:link w:val="Default0"/>
    <w:qFormat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  <w:lang w:val="en-US" w:eastAsia="zh-CN" w:bidi="ar-SA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a3">
    <w:name w:val="批注框文本 字符"/>
    <w:basedOn w:val="DefaultParagraphFont"/>
    <w:link w:val="BalloonText"/>
    <w:autoRedefine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ListParagraph">
    <w:name w:val="List Paragraph"/>
    <w:basedOn w:val="Normal"/>
    <w:autoRedefine/>
    <w:uiPriority w:val="99"/>
    <w:pPr>
      <w:ind w:firstLine="420" w:firstLineChars="200"/>
    </w:pPr>
  </w:style>
  <w:style w:type="paragraph" w:customStyle="1" w:styleId="10">
    <w:name w:val="（1）"/>
    <w:basedOn w:val="Default"/>
    <w:link w:val="11"/>
    <w:qFormat/>
    <w:pPr>
      <w:spacing w:line="400" w:lineRule="exact"/>
      <w:ind w:firstLine="480"/>
    </w:pPr>
    <w:rPr>
      <w:rFonts w:ascii="宋体" w:eastAsia="宋体" w:hAnsi="宋体"/>
    </w:rPr>
  </w:style>
  <w:style w:type="character" w:customStyle="1" w:styleId="Default0">
    <w:name w:val="Default 字符"/>
    <w:basedOn w:val="DefaultParagraphFont"/>
    <w:link w:val="Default"/>
    <w:qFormat/>
    <w:rPr>
      <w:rFonts w:ascii="黑体" w:eastAsia="黑体" w:cs="黑体"/>
      <w:color w:val="000000"/>
      <w:sz w:val="24"/>
      <w:szCs w:val="24"/>
    </w:rPr>
  </w:style>
  <w:style w:type="character" w:customStyle="1" w:styleId="11">
    <w:name w:val="（1） 字符"/>
    <w:basedOn w:val="Default0"/>
    <w:link w:val="10"/>
    <w:autoRedefine/>
    <w:rPr>
      <w:rFonts w:ascii="宋体" w:eastAsia="黑体" w:hAnsi="宋体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yperlink" Target="https://d.book118.com/567110023023006033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E254E7-4A02-40EE-A47C-1F6853D576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1916</Words>
  <Characters>10927</Characters>
  <Application>Microsoft Office Word</Application>
  <DocSecurity>0</DocSecurity>
  <Lines>91</Lines>
  <Paragraphs>25</Paragraphs>
  <ScaleCrop>false</ScaleCrop>
  <Company/>
  <LinksUpToDate>false</LinksUpToDate>
  <CharactersWithSpaces>12818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烁 杨</dc:creator>
  <cp:lastModifiedBy>ABEEL</cp:lastModifiedBy>
  <cp:revision>2</cp:revision>
  <dcterms:created xsi:type="dcterms:W3CDTF">2021-05-07T04:39:00Z</dcterms:created>
  <dcterms:modified xsi:type="dcterms:W3CDTF">2024-01-21T14:17:13Z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D9A4F4C77B9A477D9D26A092D60C16FE_13</vt:lpwstr>
  </property>
  <property fmtid="{D5CDD505-2E9C-101B-9397-08002B2CF9AE}" pid="3" name="KSOProductBuildVer">
    <vt:lpwstr>2052-12.1.0.16120</vt:lpwstr>
  </property>
  <property fmtid="{D5CDD505-2E9C-101B-9397-08002B2CF9AE}" pid="4" name="_DocHome">
    <vt:i4>-940438542</vt:i4>
  </property>
</Properties>
</file>