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极细射频同轴电缆相关行业公司员工职业发展支持与推动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16" w:history="1">
        <w:r>
          <w:rPr>
            <w:rFonts w:ascii="仿宋" w:eastAsia="仿宋" w:hAnsi="仿宋" w:cs="仿宋" w:hint="eastAsia"/>
            <w:lang w:eastAsia="zh-CN"/>
          </w:rPr>
          <w:t>概论</w:t>
        </w:r>
        <w:r>
          <w:tab/>
        </w:r>
        <w:r>
          <w:fldChar w:fldCharType="begin"/>
        </w:r>
        <w:r>
          <w:instrText xml:space="preserve"> PAGEREF _Toc13516 \h </w:instrText>
        </w:r>
        <w:r>
          <w:fldChar w:fldCharType="separate"/>
        </w:r>
        <w:r>
          <w:t>3</w:t>
        </w:r>
        <w:r>
          <w:fldChar w:fldCharType="end"/>
        </w:r>
      </w:hyperlink>
    </w:p>
    <w:p>
      <w:pPr>
        <w:pStyle w:val="TOC1"/>
        <w:tabs>
          <w:tab w:val="right" w:leader="dot" w:pos="8306"/>
        </w:tabs>
      </w:pPr>
      <w:hyperlink w:anchor="_Toc19557" w:history="1">
        <w:r>
          <w:rPr>
            <w:rFonts w:ascii="仿宋" w:eastAsia="仿宋" w:hAnsi="仿宋" w:cs="仿宋" w:hint="eastAsia"/>
            <w:lang w:eastAsia="zh-CN"/>
          </w:rPr>
          <w:t>一、薪酬制度管理</w:t>
        </w:r>
        <w:r>
          <w:tab/>
        </w:r>
        <w:r>
          <w:fldChar w:fldCharType="begin"/>
        </w:r>
        <w:r>
          <w:instrText xml:space="preserve"> PAGEREF _Toc19557 \h </w:instrText>
        </w:r>
        <w:r>
          <w:fldChar w:fldCharType="separate"/>
        </w:r>
        <w:r>
          <w:t>3</w:t>
        </w:r>
        <w:r>
          <w:fldChar w:fldCharType="end"/>
        </w:r>
      </w:hyperlink>
    </w:p>
    <w:p>
      <w:pPr>
        <w:pStyle w:val="TOC2"/>
        <w:tabs>
          <w:tab w:val="right" w:leader="dot" w:pos="8306"/>
        </w:tabs>
      </w:pPr>
      <w:hyperlink w:anchor="_Toc29169" w:history="1">
        <w:r>
          <w:rPr>
            <w:rFonts w:ascii="仿宋" w:eastAsia="仿宋" w:hAnsi="仿宋" w:cs="仿宋" w:hint="eastAsia"/>
            <w:lang w:eastAsia="zh-CN"/>
          </w:rPr>
          <w:t>(一)、薪酬管理制度</w:t>
        </w:r>
        <w:r>
          <w:tab/>
        </w:r>
        <w:r>
          <w:fldChar w:fldCharType="begin"/>
        </w:r>
        <w:r>
          <w:instrText xml:space="preserve"> PAGEREF _Toc29169 \h </w:instrText>
        </w:r>
        <w:r>
          <w:fldChar w:fldCharType="separate"/>
        </w:r>
        <w:r>
          <w:t>3</w:t>
        </w:r>
        <w:r>
          <w:fldChar w:fldCharType="end"/>
        </w:r>
      </w:hyperlink>
    </w:p>
    <w:p>
      <w:pPr>
        <w:pStyle w:val="TOC2"/>
        <w:tabs>
          <w:tab w:val="right" w:leader="dot" w:pos="8306"/>
        </w:tabs>
      </w:pPr>
      <w:hyperlink w:anchor="_Toc1207" w:history="1">
        <w:r>
          <w:rPr>
            <w:rFonts w:ascii="仿宋" w:eastAsia="仿宋" w:hAnsi="仿宋" w:cs="仿宋" w:hint="eastAsia"/>
            <w:lang w:eastAsia="zh-CN"/>
          </w:rPr>
          <w:t>(二)、奖金制度的制定</w:t>
        </w:r>
        <w:r>
          <w:tab/>
        </w:r>
        <w:r>
          <w:fldChar w:fldCharType="begin"/>
        </w:r>
        <w:r>
          <w:instrText xml:space="preserve"> PAGEREF _Toc1207 \h </w:instrText>
        </w:r>
        <w:r>
          <w:fldChar w:fldCharType="separate"/>
        </w:r>
        <w:r>
          <w:t>6</w:t>
        </w:r>
        <w:r>
          <w:fldChar w:fldCharType="end"/>
        </w:r>
      </w:hyperlink>
    </w:p>
    <w:p>
      <w:pPr>
        <w:pStyle w:val="TOC2"/>
        <w:tabs>
          <w:tab w:val="right" w:leader="dot" w:pos="8306"/>
        </w:tabs>
      </w:pPr>
      <w:hyperlink w:anchor="_Toc10456" w:history="1">
        <w:r>
          <w:rPr>
            <w:rFonts w:ascii="仿宋" w:eastAsia="仿宋" w:hAnsi="仿宋" w:cs="仿宋" w:hint="eastAsia"/>
            <w:lang w:eastAsia="zh-CN"/>
          </w:rPr>
          <w:t>(三)、岗位薪酬体系设计</w:t>
        </w:r>
        <w:r>
          <w:tab/>
        </w:r>
        <w:r>
          <w:fldChar w:fldCharType="begin"/>
        </w:r>
        <w:r>
          <w:instrText xml:space="preserve"> PAGEREF _Toc10456 \h </w:instrText>
        </w:r>
        <w:r>
          <w:fldChar w:fldCharType="separate"/>
        </w:r>
        <w:r>
          <w:t>9</w:t>
        </w:r>
        <w:r>
          <w:fldChar w:fldCharType="end"/>
        </w:r>
      </w:hyperlink>
    </w:p>
    <w:p>
      <w:pPr>
        <w:pStyle w:val="TOC2"/>
        <w:tabs>
          <w:tab w:val="right" w:leader="dot" w:pos="8306"/>
        </w:tabs>
      </w:pPr>
      <w:hyperlink w:anchor="_Toc13069" w:history="1">
        <w:r>
          <w:rPr>
            <w:rFonts w:ascii="仿宋" w:eastAsia="仿宋" w:hAnsi="仿宋" w:cs="仿宋" w:hint="eastAsia"/>
            <w:lang w:eastAsia="zh-CN"/>
          </w:rPr>
          <w:t>(四)、绩效薪酬体系设计</w:t>
        </w:r>
        <w:r>
          <w:tab/>
        </w:r>
        <w:r>
          <w:fldChar w:fldCharType="begin"/>
        </w:r>
        <w:r>
          <w:instrText xml:space="preserve"> PAGEREF _Toc13069 \h </w:instrText>
        </w:r>
        <w:r>
          <w:fldChar w:fldCharType="separate"/>
        </w:r>
        <w:r>
          <w:t>11</w:t>
        </w:r>
        <w:r>
          <w:fldChar w:fldCharType="end"/>
        </w:r>
      </w:hyperlink>
    </w:p>
    <w:p>
      <w:pPr>
        <w:pStyle w:val="TOC1"/>
        <w:tabs>
          <w:tab w:val="right" w:leader="dot" w:pos="8306"/>
        </w:tabs>
      </w:pPr>
      <w:hyperlink w:anchor="_Toc19666" w:history="1">
        <w:r>
          <w:rPr>
            <w:rFonts w:ascii="仿宋" w:eastAsia="仿宋" w:hAnsi="仿宋" w:cs="仿宋" w:hint="eastAsia"/>
            <w:lang w:eastAsia="zh-CN"/>
          </w:rPr>
          <w:t>二、宏观环境分析</w:t>
        </w:r>
        <w:r>
          <w:tab/>
        </w:r>
        <w:r>
          <w:fldChar w:fldCharType="begin"/>
        </w:r>
        <w:r>
          <w:instrText xml:space="preserve"> PAGEREF _Toc19666 \h </w:instrText>
        </w:r>
        <w:r>
          <w:fldChar w:fldCharType="separate"/>
        </w:r>
        <w:r>
          <w:t>12</w:t>
        </w:r>
        <w:r>
          <w:fldChar w:fldCharType="end"/>
        </w:r>
      </w:hyperlink>
    </w:p>
    <w:p>
      <w:pPr>
        <w:pStyle w:val="TOC2"/>
        <w:tabs>
          <w:tab w:val="right" w:leader="dot" w:pos="8306"/>
        </w:tabs>
      </w:pPr>
      <w:hyperlink w:anchor="_Toc16840" w:history="1">
        <w:r>
          <w:rPr>
            <w:rFonts w:ascii="仿宋" w:eastAsia="仿宋" w:hAnsi="仿宋" w:cs="仿宋" w:hint="eastAsia"/>
            <w:lang w:eastAsia="zh-CN"/>
          </w:rPr>
          <w:t>(一)、宏观环境分析</w:t>
        </w:r>
        <w:r>
          <w:tab/>
        </w:r>
        <w:r>
          <w:fldChar w:fldCharType="begin"/>
        </w:r>
        <w:r>
          <w:instrText xml:space="preserve"> PAGEREF _Toc16840 \h </w:instrText>
        </w:r>
        <w:r>
          <w:fldChar w:fldCharType="separate"/>
        </w:r>
        <w:r>
          <w:t>12</w:t>
        </w:r>
        <w:r>
          <w:fldChar w:fldCharType="end"/>
        </w:r>
      </w:hyperlink>
    </w:p>
    <w:p>
      <w:pPr>
        <w:pStyle w:val="TOC1"/>
        <w:tabs>
          <w:tab w:val="right" w:leader="dot" w:pos="8306"/>
        </w:tabs>
      </w:pPr>
      <w:hyperlink w:anchor="_Toc6602" w:history="1">
        <w:r>
          <w:rPr>
            <w:rFonts w:ascii="仿宋" w:eastAsia="仿宋" w:hAnsi="仿宋" w:cs="仿宋" w:hint="eastAsia"/>
            <w:lang w:eastAsia="zh-CN"/>
          </w:rPr>
          <w:t>三、员工职业生涯规划与发展</w:t>
        </w:r>
        <w:r>
          <w:tab/>
        </w:r>
        <w:r>
          <w:fldChar w:fldCharType="begin"/>
        </w:r>
        <w:r>
          <w:instrText xml:space="preserve"> PAGEREF _Toc6602 \h </w:instrText>
        </w:r>
        <w:r>
          <w:fldChar w:fldCharType="separate"/>
        </w:r>
        <w:r>
          <w:t>14</w:t>
        </w:r>
        <w:r>
          <w:fldChar w:fldCharType="end"/>
        </w:r>
      </w:hyperlink>
    </w:p>
    <w:p>
      <w:pPr>
        <w:pStyle w:val="TOC2"/>
        <w:tabs>
          <w:tab w:val="right" w:leader="dot" w:pos="8306"/>
        </w:tabs>
      </w:pPr>
      <w:hyperlink w:anchor="_Toc13315" w:history="1">
        <w:r>
          <w:rPr>
            <w:rFonts w:ascii="仿宋" w:eastAsia="仿宋" w:hAnsi="仿宋" w:cs="仿宋" w:hint="eastAsia"/>
            <w:lang w:eastAsia="zh-CN"/>
          </w:rPr>
          <w:t>(一)、职业生涯规划概述</w:t>
        </w:r>
        <w:r>
          <w:tab/>
        </w:r>
        <w:r>
          <w:fldChar w:fldCharType="begin"/>
        </w:r>
        <w:r>
          <w:instrText xml:space="preserve"> PAGEREF _Toc13315 \h </w:instrText>
        </w:r>
        <w:r>
          <w:fldChar w:fldCharType="separate"/>
        </w:r>
        <w:r>
          <w:t>14</w:t>
        </w:r>
        <w:r>
          <w:fldChar w:fldCharType="end"/>
        </w:r>
      </w:hyperlink>
    </w:p>
    <w:p>
      <w:pPr>
        <w:pStyle w:val="TOC2"/>
        <w:tabs>
          <w:tab w:val="right" w:leader="dot" w:pos="8306"/>
        </w:tabs>
      </w:pPr>
      <w:hyperlink w:anchor="_Toc27077" w:history="1">
        <w:r>
          <w:rPr>
            <w:rFonts w:ascii="仿宋" w:eastAsia="仿宋" w:hAnsi="仿宋" w:cs="仿宋" w:hint="eastAsia"/>
            <w:lang w:eastAsia="zh-CN"/>
          </w:rPr>
          <w:t>(二)、基本原则与方法</w:t>
        </w:r>
        <w:r>
          <w:tab/>
        </w:r>
        <w:r>
          <w:fldChar w:fldCharType="begin"/>
        </w:r>
        <w:r>
          <w:instrText xml:space="preserve"> PAGEREF _Toc27077 \h </w:instrText>
        </w:r>
        <w:r>
          <w:fldChar w:fldCharType="separate"/>
        </w:r>
        <w:r>
          <w:t>15</w:t>
        </w:r>
        <w:r>
          <w:fldChar w:fldCharType="end"/>
        </w:r>
      </w:hyperlink>
    </w:p>
    <w:p>
      <w:pPr>
        <w:pStyle w:val="TOC2"/>
        <w:tabs>
          <w:tab w:val="right" w:leader="dot" w:pos="8306"/>
        </w:tabs>
      </w:pPr>
      <w:hyperlink w:anchor="_Toc14762" w:history="1">
        <w:r>
          <w:rPr>
            <w:rFonts w:ascii="仿宋" w:eastAsia="仿宋" w:hAnsi="仿宋" w:cs="仿宋" w:hint="eastAsia"/>
            <w:lang w:eastAsia="zh-CN"/>
          </w:rPr>
          <w:t>(三)、员工职业生涯管理</w:t>
        </w:r>
        <w:r>
          <w:tab/>
        </w:r>
        <w:r>
          <w:fldChar w:fldCharType="begin"/>
        </w:r>
        <w:r>
          <w:instrText xml:space="preserve"> PAGEREF _Toc14762 \h </w:instrText>
        </w:r>
        <w:r>
          <w:fldChar w:fldCharType="separate"/>
        </w:r>
        <w:r>
          <w:t>16</w:t>
        </w:r>
        <w:r>
          <w:fldChar w:fldCharType="end"/>
        </w:r>
      </w:hyperlink>
    </w:p>
    <w:p>
      <w:pPr>
        <w:pStyle w:val="TOC2"/>
        <w:tabs>
          <w:tab w:val="right" w:leader="dot" w:pos="8306"/>
        </w:tabs>
      </w:pPr>
      <w:hyperlink w:anchor="_Toc15151" w:history="1">
        <w:r>
          <w:rPr>
            <w:rFonts w:ascii="仿宋" w:eastAsia="仿宋" w:hAnsi="仿宋" w:cs="仿宋" w:hint="eastAsia"/>
            <w:lang w:eastAsia="zh-CN"/>
          </w:rPr>
          <w:t>(四)、职业生涯发展支持体系</w:t>
        </w:r>
        <w:r>
          <w:tab/>
        </w:r>
        <w:r>
          <w:fldChar w:fldCharType="begin"/>
        </w:r>
        <w:r>
          <w:instrText xml:space="preserve"> PAGEREF _Toc15151 \h </w:instrText>
        </w:r>
        <w:r>
          <w:fldChar w:fldCharType="separate"/>
        </w:r>
        <w:r>
          <w:t>17</w:t>
        </w:r>
        <w:r>
          <w:fldChar w:fldCharType="end"/>
        </w:r>
      </w:hyperlink>
    </w:p>
    <w:p>
      <w:pPr>
        <w:pStyle w:val="TOC2"/>
        <w:tabs>
          <w:tab w:val="right" w:leader="dot" w:pos="8306"/>
        </w:tabs>
      </w:pPr>
      <w:hyperlink w:anchor="_Toc21749" w:history="1">
        <w:r>
          <w:rPr>
            <w:rFonts w:ascii="仿宋" w:eastAsia="仿宋" w:hAnsi="仿宋" w:cs="仿宋" w:hint="eastAsia"/>
            <w:lang w:eastAsia="zh-CN"/>
          </w:rPr>
          <w:t>(五)、公司文化与员工职业发展融合</w:t>
        </w:r>
        <w:r>
          <w:tab/>
        </w:r>
        <w:r>
          <w:fldChar w:fldCharType="begin"/>
        </w:r>
        <w:r>
          <w:instrText xml:space="preserve"> PAGEREF _Toc21749 \h </w:instrText>
        </w:r>
        <w:r>
          <w:fldChar w:fldCharType="separate"/>
        </w:r>
        <w:r>
          <w:t>19</w:t>
        </w:r>
        <w:r>
          <w:fldChar w:fldCharType="end"/>
        </w:r>
      </w:hyperlink>
    </w:p>
    <w:p>
      <w:pPr>
        <w:pStyle w:val="TOC2"/>
        <w:tabs>
          <w:tab w:val="right" w:leader="dot" w:pos="8306"/>
        </w:tabs>
      </w:pPr>
      <w:hyperlink w:anchor="_Toc5846" w:history="1">
        <w:r>
          <w:rPr>
            <w:rFonts w:ascii="仿宋" w:eastAsia="仿宋" w:hAnsi="仿宋" w:cs="仿宋" w:hint="eastAsia"/>
            <w:lang w:eastAsia="zh-CN"/>
          </w:rPr>
          <w:t>(六)、未来趋势与发展策略</w:t>
        </w:r>
        <w:r>
          <w:tab/>
        </w:r>
        <w:r>
          <w:fldChar w:fldCharType="begin"/>
        </w:r>
        <w:r>
          <w:instrText xml:space="preserve"> PAGEREF _Toc5846 \h </w:instrText>
        </w:r>
        <w:r>
          <w:fldChar w:fldCharType="separate"/>
        </w:r>
        <w:r>
          <w:t>21</w:t>
        </w:r>
        <w:r>
          <w:fldChar w:fldCharType="end"/>
        </w:r>
      </w:hyperlink>
    </w:p>
    <w:p>
      <w:pPr>
        <w:pStyle w:val="TOC1"/>
        <w:tabs>
          <w:tab w:val="right" w:leader="dot" w:pos="8306"/>
        </w:tabs>
      </w:pPr>
      <w:hyperlink w:anchor="_Toc9486" w:history="1">
        <w:r>
          <w:rPr>
            <w:rFonts w:ascii="仿宋" w:eastAsia="仿宋" w:hAnsi="仿宋" w:cs="仿宋" w:hint="eastAsia"/>
            <w:lang w:eastAsia="zh-CN"/>
          </w:rPr>
          <w:t>四、极细射频同轴电缆行业背景分析</w:t>
        </w:r>
        <w:r>
          <w:tab/>
        </w:r>
        <w:r>
          <w:fldChar w:fldCharType="begin"/>
        </w:r>
        <w:r>
          <w:instrText xml:space="preserve"> PAGEREF _Toc9486 \h </w:instrText>
        </w:r>
        <w:r>
          <w:fldChar w:fldCharType="separate"/>
        </w:r>
        <w:r>
          <w:t>23</w:t>
        </w:r>
        <w:r>
          <w:fldChar w:fldCharType="end"/>
        </w:r>
      </w:hyperlink>
    </w:p>
    <w:p>
      <w:pPr>
        <w:pStyle w:val="TOC2"/>
        <w:tabs>
          <w:tab w:val="right" w:leader="dot" w:pos="8306"/>
        </w:tabs>
      </w:pPr>
      <w:hyperlink w:anchor="_Toc14980" w:history="1">
        <w:r>
          <w:rPr>
            <w:rFonts w:ascii="仿宋" w:eastAsia="仿宋" w:hAnsi="仿宋" w:cs="仿宋" w:hint="eastAsia"/>
            <w:lang w:eastAsia="zh-CN"/>
          </w:rPr>
          <w:t>(一)、极细射频同轴电缆行业背景分析</w:t>
        </w:r>
        <w:r>
          <w:tab/>
        </w:r>
        <w:r>
          <w:fldChar w:fldCharType="begin"/>
        </w:r>
        <w:r>
          <w:instrText xml:space="preserve"> PAGEREF _Toc14980 \h </w:instrText>
        </w:r>
        <w:r>
          <w:fldChar w:fldCharType="separate"/>
        </w:r>
        <w:r>
          <w:t>23</w:t>
        </w:r>
        <w:r>
          <w:fldChar w:fldCharType="end"/>
        </w:r>
      </w:hyperlink>
    </w:p>
    <w:p>
      <w:pPr>
        <w:pStyle w:val="TOC1"/>
        <w:tabs>
          <w:tab w:val="right" w:leader="dot" w:pos="8306"/>
        </w:tabs>
      </w:pPr>
      <w:hyperlink w:anchor="_Toc18102" w:history="1">
        <w:r>
          <w:rPr>
            <w:rFonts w:ascii="仿宋" w:eastAsia="仿宋" w:hAnsi="仿宋" w:cs="仿宋" w:hint="eastAsia"/>
            <w:lang w:eastAsia="zh-CN"/>
          </w:rPr>
          <w:t>五、项目基本情况</w:t>
        </w:r>
        <w:r>
          <w:tab/>
        </w:r>
        <w:r>
          <w:fldChar w:fldCharType="begin"/>
        </w:r>
        <w:r>
          <w:instrText xml:space="preserve"> PAGEREF _Toc18102 \h </w:instrText>
        </w:r>
        <w:r>
          <w:fldChar w:fldCharType="separate"/>
        </w:r>
        <w:r>
          <w:t>25</w:t>
        </w:r>
        <w:r>
          <w:fldChar w:fldCharType="end"/>
        </w:r>
      </w:hyperlink>
    </w:p>
    <w:p>
      <w:pPr>
        <w:pStyle w:val="TOC2"/>
        <w:tabs>
          <w:tab w:val="right" w:leader="dot" w:pos="8306"/>
        </w:tabs>
      </w:pPr>
      <w:hyperlink w:anchor="_Toc21906" w:history="1">
        <w:r>
          <w:rPr>
            <w:rFonts w:ascii="仿宋" w:eastAsia="仿宋" w:hAnsi="仿宋" w:cs="仿宋" w:hint="eastAsia"/>
            <w:lang w:eastAsia="zh-CN"/>
          </w:rPr>
          <w:t>(一)、项目名称及建设性质</w:t>
        </w:r>
        <w:r>
          <w:tab/>
        </w:r>
        <w:r>
          <w:fldChar w:fldCharType="begin"/>
        </w:r>
        <w:r>
          <w:instrText xml:space="preserve"> PAGEREF _Toc21906 \h </w:instrText>
        </w:r>
        <w:r>
          <w:fldChar w:fldCharType="separate"/>
        </w:r>
        <w:r>
          <w:t>25</w:t>
        </w:r>
        <w:r>
          <w:fldChar w:fldCharType="end"/>
        </w:r>
      </w:hyperlink>
    </w:p>
    <w:p>
      <w:pPr>
        <w:pStyle w:val="TOC2"/>
        <w:tabs>
          <w:tab w:val="right" w:leader="dot" w:pos="8306"/>
        </w:tabs>
      </w:pPr>
      <w:hyperlink w:anchor="_Toc791" w:history="1">
        <w:r>
          <w:rPr>
            <w:rFonts w:ascii="仿宋" w:eastAsia="仿宋" w:hAnsi="仿宋" w:cs="仿宋" w:hint="eastAsia"/>
            <w:lang w:eastAsia="zh-CN"/>
          </w:rPr>
          <w:t>(二)、项目承办单位</w:t>
        </w:r>
        <w:r>
          <w:tab/>
        </w:r>
        <w:r>
          <w:fldChar w:fldCharType="begin"/>
        </w:r>
        <w:r>
          <w:instrText xml:space="preserve"> PAGEREF _Toc791 \h </w:instrText>
        </w:r>
        <w:r>
          <w:fldChar w:fldCharType="separate"/>
        </w:r>
        <w:r>
          <w:t>26</w:t>
        </w:r>
        <w:r>
          <w:fldChar w:fldCharType="end"/>
        </w:r>
      </w:hyperlink>
    </w:p>
    <w:p>
      <w:pPr>
        <w:pStyle w:val="TOC2"/>
        <w:tabs>
          <w:tab w:val="right" w:leader="dot" w:pos="8306"/>
        </w:tabs>
      </w:pPr>
      <w:hyperlink w:anchor="_Toc20205" w:history="1">
        <w:r>
          <w:rPr>
            <w:rFonts w:ascii="仿宋" w:eastAsia="仿宋" w:hAnsi="仿宋" w:cs="仿宋" w:hint="eastAsia"/>
            <w:lang w:eastAsia="zh-CN"/>
          </w:rPr>
          <w:t>(三)、项目实施的可行性</w:t>
        </w:r>
        <w:r>
          <w:tab/>
        </w:r>
        <w:r>
          <w:fldChar w:fldCharType="begin"/>
        </w:r>
        <w:r>
          <w:instrText xml:space="preserve"> PAGEREF _Toc20205 \h </w:instrText>
        </w:r>
        <w:r>
          <w:fldChar w:fldCharType="separate"/>
        </w:r>
        <w:r>
          <w:t>27</w:t>
        </w:r>
        <w:r>
          <w:fldChar w:fldCharType="end"/>
        </w:r>
      </w:hyperlink>
    </w:p>
    <w:p>
      <w:pPr>
        <w:pStyle w:val="TOC2"/>
        <w:tabs>
          <w:tab w:val="right" w:leader="dot" w:pos="8306"/>
        </w:tabs>
      </w:pPr>
      <w:hyperlink w:anchor="_Toc1579" w:history="1">
        <w:r>
          <w:rPr>
            <w:rFonts w:ascii="仿宋" w:eastAsia="仿宋" w:hAnsi="仿宋" w:cs="仿宋" w:hint="eastAsia"/>
            <w:lang w:eastAsia="zh-CN"/>
          </w:rPr>
          <w:t>(四)、项目建设选址</w:t>
        </w:r>
        <w:r>
          <w:tab/>
        </w:r>
        <w:r>
          <w:fldChar w:fldCharType="begin"/>
        </w:r>
        <w:r>
          <w:instrText xml:space="preserve"> PAGEREF _Toc1579 \h </w:instrText>
        </w:r>
        <w:r>
          <w:fldChar w:fldCharType="separate"/>
        </w:r>
        <w:r>
          <w:t>28</w:t>
        </w:r>
        <w:r>
          <w:fldChar w:fldCharType="end"/>
        </w:r>
      </w:hyperlink>
    </w:p>
    <w:p>
      <w:pPr>
        <w:pStyle w:val="TOC2"/>
        <w:tabs>
          <w:tab w:val="right" w:leader="dot" w:pos="8306"/>
        </w:tabs>
      </w:pPr>
      <w:hyperlink w:anchor="_Toc2145" w:history="1">
        <w:r>
          <w:rPr>
            <w:rFonts w:ascii="仿宋" w:eastAsia="仿宋" w:hAnsi="仿宋" w:cs="仿宋" w:hint="eastAsia"/>
            <w:lang w:eastAsia="zh-CN"/>
          </w:rPr>
          <w:t>(五)、建筑物建设规模</w:t>
        </w:r>
        <w:r>
          <w:tab/>
        </w:r>
        <w:r>
          <w:fldChar w:fldCharType="begin"/>
        </w:r>
        <w:r>
          <w:instrText xml:space="preserve"> PAGEREF _Toc2145 \h </w:instrText>
        </w:r>
        <w:r>
          <w:fldChar w:fldCharType="separate"/>
        </w:r>
        <w:r>
          <w:t>30</w:t>
        </w:r>
        <w:r>
          <w:fldChar w:fldCharType="end"/>
        </w:r>
      </w:hyperlink>
    </w:p>
    <w:p>
      <w:pPr>
        <w:pStyle w:val="TOC2"/>
        <w:tabs>
          <w:tab w:val="right" w:leader="dot" w:pos="8306"/>
        </w:tabs>
      </w:pPr>
      <w:hyperlink w:anchor="_Toc24929" w:history="1">
        <w:r>
          <w:rPr>
            <w:rFonts w:ascii="仿宋" w:eastAsia="仿宋" w:hAnsi="仿宋" w:cs="仿宋" w:hint="eastAsia"/>
            <w:lang w:eastAsia="zh-CN"/>
          </w:rPr>
          <w:t>(六)、项目总投资及资金构成</w:t>
        </w:r>
        <w:r>
          <w:tab/>
        </w:r>
        <w:r>
          <w:fldChar w:fldCharType="begin"/>
        </w:r>
        <w:r>
          <w:instrText xml:space="preserve"> PAGEREF _Toc24929 \h </w:instrText>
        </w:r>
        <w:r>
          <w:fldChar w:fldCharType="separate"/>
        </w:r>
        <w:r>
          <w:t>31</w:t>
        </w:r>
        <w:r>
          <w:fldChar w:fldCharType="end"/>
        </w:r>
      </w:hyperlink>
    </w:p>
    <w:p>
      <w:pPr>
        <w:pStyle w:val="TOC2"/>
        <w:tabs>
          <w:tab w:val="right" w:leader="dot" w:pos="8306"/>
        </w:tabs>
      </w:pPr>
      <w:hyperlink w:anchor="_Toc28970" w:history="1">
        <w:r>
          <w:rPr>
            <w:rFonts w:ascii="仿宋" w:eastAsia="仿宋" w:hAnsi="仿宋" w:cs="仿宋" w:hint="eastAsia"/>
            <w:lang w:eastAsia="zh-CN"/>
          </w:rPr>
          <w:t>(七)、资金筹措方案</w:t>
        </w:r>
        <w:r>
          <w:tab/>
        </w:r>
        <w:r>
          <w:fldChar w:fldCharType="begin"/>
        </w:r>
        <w:r>
          <w:instrText xml:space="preserve"> PAGEREF _Toc28970 \h </w:instrText>
        </w:r>
        <w:r>
          <w:fldChar w:fldCharType="separate"/>
        </w:r>
        <w:r>
          <w:t>32</w:t>
        </w:r>
        <w:r>
          <w:fldChar w:fldCharType="end"/>
        </w:r>
      </w:hyperlink>
    </w:p>
    <w:p>
      <w:pPr>
        <w:pStyle w:val="TOC2"/>
        <w:tabs>
          <w:tab w:val="right" w:leader="dot" w:pos="8306"/>
        </w:tabs>
      </w:pPr>
      <w:hyperlink w:anchor="_Toc1127" w:history="1">
        <w:r>
          <w:rPr>
            <w:rFonts w:ascii="仿宋" w:eastAsia="仿宋" w:hAnsi="仿宋" w:cs="仿宋" w:hint="eastAsia"/>
            <w:lang w:eastAsia="zh-CN"/>
          </w:rPr>
          <w:t>(八)、项目预期经济效益规划目标</w:t>
        </w:r>
        <w:r>
          <w:tab/>
        </w:r>
        <w:r>
          <w:fldChar w:fldCharType="begin"/>
        </w:r>
        <w:r>
          <w:instrText xml:space="preserve"> PAGEREF _Toc1127 \h </w:instrText>
        </w:r>
        <w:r>
          <w:fldChar w:fldCharType="separate"/>
        </w:r>
        <w:r>
          <w:t>33</w:t>
        </w:r>
        <w:r>
          <w:fldChar w:fldCharType="end"/>
        </w:r>
      </w:hyperlink>
    </w:p>
    <w:p>
      <w:pPr>
        <w:pStyle w:val="TOC2"/>
        <w:tabs>
          <w:tab w:val="right" w:leader="dot" w:pos="8306"/>
        </w:tabs>
      </w:pPr>
      <w:hyperlink w:anchor="_Toc2582" w:history="1">
        <w:r>
          <w:rPr>
            <w:rFonts w:ascii="仿宋" w:eastAsia="仿宋" w:hAnsi="仿宋" w:cs="仿宋" w:hint="eastAsia"/>
            <w:lang w:eastAsia="zh-CN"/>
          </w:rPr>
          <w:t>(九)、项目建设进度规划</w:t>
        </w:r>
        <w:r>
          <w:tab/>
        </w:r>
        <w:r>
          <w:fldChar w:fldCharType="begin"/>
        </w:r>
        <w:r>
          <w:instrText xml:space="preserve"> PAGEREF _Toc2582 \h </w:instrText>
        </w:r>
        <w:r>
          <w:fldChar w:fldCharType="separate"/>
        </w:r>
        <w:r>
          <w:t>34</w:t>
        </w:r>
        <w:r>
          <w:fldChar w:fldCharType="end"/>
        </w:r>
      </w:hyperlink>
    </w:p>
    <w:p>
      <w:pPr>
        <w:pStyle w:val="TOC1"/>
        <w:tabs>
          <w:tab w:val="right" w:leader="dot" w:pos="8306"/>
        </w:tabs>
      </w:pPr>
      <w:hyperlink w:anchor="_Toc25922" w:history="1">
        <w:r>
          <w:rPr>
            <w:rFonts w:ascii="仿宋" w:eastAsia="仿宋" w:hAnsi="仿宋" w:cs="仿宋" w:hint="eastAsia"/>
            <w:lang w:eastAsia="zh-CN"/>
          </w:rPr>
          <w:t>六、员工家庭与工作平衡支持计划</w:t>
        </w:r>
        <w:r>
          <w:tab/>
        </w:r>
        <w:r>
          <w:fldChar w:fldCharType="begin"/>
        </w:r>
        <w:r>
          <w:instrText xml:space="preserve"> PAGEREF _Toc25922 \h </w:instrText>
        </w:r>
        <w:r>
          <w:fldChar w:fldCharType="separate"/>
        </w:r>
        <w:r>
          <w:t>36</w:t>
        </w:r>
        <w:r>
          <w:fldChar w:fldCharType="end"/>
        </w:r>
      </w:hyperlink>
    </w:p>
    <w:p>
      <w:pPr>
        <w:pStyle w:val="TOC2"/>
        <w:tabs>
          <w:tab w:val="right" w:leader="dot" w:pos="8306"/>
        </w:tabs>
      </w:pPr>
      <w:hyperlink w:anchor="_Toc20422" w:history="1">
        <w:r>
          <w:rPr>
            <w:rFonts w:ascii="仿宋" w:eastAsia="仿宋" w:hAnsi="仿宋" w:cs="仿宋" w:hint="eastAsia"/>
            <w:lang w:eastAsia="zh-CN"/>
          </w:rPr>
          <w:t>(一)、家庭与工作平衡的重要性分析</w:t>
        </w:r>
        <w:r>
          <w:tab/>
        </w:r>
        <w:r>
          <w:fldChar w:fldCharType="begin"/>
        </w:r>
        <w:r>
          <w:instrText xml:space="preserve"> PAGEREF _Toc20422 \h </w:instrText>
        </w:r>
        <w:r>
          <w:fldChar w:fldCharType="separate"/>
        </w:r>
        <w:r>
          <w:t>36</w:t>
        </w:r>
        <w:r>
          <w:fldChar w:fldCharType="end"/>
        </w:r>
      </w:hyperlink>
    </w:p>
    <w:p>
      <w:pPr>
        <w:pStyle w:val="TOC2"/>
        <w:tabs>
          <w:tab w:val="right" w:leader="dot" w:pos="8306"/>
        </w:tabs>
      </w:pPr>
      <w:hyperlink w:anchor="_Toc6677" w:history="1">
        <w:r>
          <w:rPr>
            <w:rFonts w:ascii="仿宋" w:eastAsia="仿宋" w:hAnsi="仿宋" w:cs="仿宋" w:hint="eastAsia"/>
            <w:lang w:eastAsia="zh-CN"/>
          </w:rPr>
          <w:t>(二)、支持计划的制定与实施步骤</w:t>
        </w:r>
        <w:r>
          <w:tab/>
        </w:r>
        <w:r>
          <w:fldChar w:fldCharType="begin"/>
        </w:r>
        <w:r>
          <w:instrText xml:space="preserve"> PAGEREF _Toc6677 \h </w:instrText>
        </w:r>
        <w:r>
          <w:fldChar w:fldCharType="separate"/>
        </w:r>
        <w:r>
          <w:t>36</w:t>
        </w:r>
        <w:r>
          <w:fldChar w:fldCharType="end"/>
        </w:r>
      </w:hyperlink>
    </w:p>
    <w:p>
      <w:pPr>
        <w:pStyle w:val="TOC2"/>
        <w:tabs>
          <w:tab w:val="right" w:leader="dot" w:pos="8306"/>
        </w:tabs>
      </w:pPr>
      <w:hyperlink w:anchor="_Toc25541" w:history="1">
        <w:r>
          <w:rPr>
            <w:rFonts w:ascii="仿宋" w:eastAsia="仿宋" w:hAnsi="仿宋" w:cs="仿宋" w:hint="eastAsia"/>
            <w:lang w:eastAsia="zh-CN"/>
          </w:rPr>
          <w:t>(三)、平衡效果的评估及调整优化</w:t>
        </w:r>
        <w:r>
          <w:tab/>
        </w:r>
        <w:r>
          <w:fldChar w:fldCharType="begin"/>
        </w:r>
        <w:r>
          <w:instrText xml:space="preserve"> PAGEREF _Toc25541 \h </w:instrText>
        </w:r>
        <w:r>
          <w:fldChar w:fldCharType="separate"/>
        </w:r>
        <w:r>
          <w:t>37</w:t>
        </w:r>
        <w:r>
          <w:fldChar w:fldCharType="end"/>
        </w:r>
      </w:hyperlink>
    </w:p>
    <w:p>
      <w:pPr>
        <w:pStyle w:val="TOC1"/>
        <w:tabs>
          <w:tab w:val="right" w:leader="dot" w:pos="8306"/>
        </w:tabs>
      </w:pPr>
      <w:hyperlink w:anchor="_Toc31311" w:history="1">
        <w:r>
          <w:rPr>
            <w:rFonts w:ascii="仿宋" w:eastAsia="仿宋" w:hAnsi="仿宋" w:cs="仿宋" w:hint="eastAsia"/>
            <w:lang w:eastAsia="zh-CN"/>
          </w:rPr>
          <w:t>七、第三十八章员工社交媒体管理</w:t>
        </w:r>
        <w:r>
          <w:tab/>
        </w:r>
        <w:r>
          <w:fldChar w:fldCharType="begin"/>
        </w:r>
        <w:r>
          <w:instrText xml:space="preserve"> PAGEREF _Toc31311 \h </w:instrText>
        </w:r>
        <w:r>
          <w:fldChar w:fldCharType="separate"/>
        </w:r>
        <w:r>
          <w:t>38</w:t>
        </w:r>
        <w:r>
          <w:fldChar w:fldCharType="end"/>
        </w:r>
      </w:hyperlink>
    </w:p>
    <w:p>
      <w:pPr>
        <w:pStyle w:val="TOC2"/>
        <w:tabs>
          <w:tab w:val="right" w:leader="dot" w:pos="8306"/>
        </w:tabs>
      </w:pPr>
      <w:hyperlink w:anchor="_Toc21393" w:history="1">
        <w:r>
          <w:rPr>
            <w:rFonts w:ascii="仿宋" w:eastAsia="仿宋" w:hAnsi="仿宋" w:cs="仿宋" w:hint="eastAsia"/>
            <w:lang w:eastAsia="zh-CN"/>
          </w:rPr>
          <w:t>(一)、员工社交媒体政策</w:t>
        </w:r>
        <w:r>
          <w:tab/>
        </w:r>
        <w:r>
          <w:fldChar w:fldCharType="begin"/>
        </w:r>
        <w:r>
          <w:instrText xml:space="preserve"> PAGEREF _Toc21393 \h </w:instrText>
        </w:r>
        <w:r>
          <w:fldChar w:fldCharType="separate"/>
        </w:r>
        <w:r>
          <w:t>38</w:t>
        </w:r>
        <w:r>
          <w:fldChar w:fldCharType="end"/>
        </w:r>
      </w:hyperlink>
    </w:p>
    <w:p>
      <w:pPr>
        <w:pStyle w:val="TOC2"/>
        <w:tabs>
          <w:tab w:val="right" w:leader="dot" w:pos="8306"/>
        </w:tabs>
      </w:pPr>
      <w:hyperlink w:anchor="_Toc18966" w:history="1">
        <w:r>
          <w:rPr>
            <w:rFonts w:ascii="仿宋" w:eastAsia="仿宋" w:hAnsi="仿宋" w:cs="仿宋" w:hint="eastAsia"/>
            <w:lang w:eastAsia="zh-CN"/>
          </w:rPr>
          <w:t>(二)、个人品牌与公司形象的关联</w:t>
        </w:r>
        <w:r>
          <w:tab/>
        </w:r>
        <w:r>
          <w:fldChar w:fldCharType="begin"/>
        </w:r>
        <w:r>
          <w:instrText xml:space="preserve"> PAGEREF _Toc18966 \h </w:instrText>
        </w:r>
        <w:r>
          <w:fldChar w:fldCharType="separate"/>
        </w:r>
        <w:r>
          <w:t>39</w:t>
        </w:r>
        <w:r>
          <w:fldChar w:fldCharType="end"/>
        </w:r>
      </w:hyperlink>
    </w:p>
    <w:p>
      <w:pPr>
        <w:pStyle w:val="TOC2"/>
        <w:tabs>
          <w:tab w:val="right" w:leader="dot" w:pos="8306"/>
        </w:tabs>
      </w:pPr>
      <w:hyperlink w:anchor="_Toc5332" w:history="1">
        <w:r>
          <w:rPr>
            <w:rFonts w:ascii="仿宋" w:eastAsia="仿宋" w:hAnsi="仿宋" w:cs="仿宋" w:hint="eastAsia"/>
            <w:lang w:eastAsia="zh-CN"/>
          </w:rPr>
          <w:t>(三)、社交媒体使用准则</w:t>
        </w:r>
        <w:r>
          <w:tab/>
        </w:r>
        <w:r>
          <w:fldChar w:fldCharType="begin"/>
        </w:r>
        <w:r>
          <w:instrText xml:space="preserve"> PAGEREF _Toc5332 \h </w:instrText>
        </w:r>
        <w:r>
          <w:fldChar w:fldCharType="separate"/>
        </w:r>
        <w:r>
          <w:t>40</w:t>
        </w:r>
        <w:r>
          <w:fldChar w:fldCharType="end"/>
        </w:r>
      </w:hyperlink>
    </w:p>
    <w:p>
      <w:pPr>
        <w:pStyle w:val="TOC2"/>
        <w:tabs>
          <w:tab w:val="right" w:leader="dot" w:pos="8306"/>
        </w:tabs>
      </w:pPr>
      <w:hyperlink w:anchor="_Toc18978" w:history="1">
        <w:r>
          <w:rPr>
            <w:rFonts w:ascii="仿宋" w:eastAsia="仿宋" w:hAnsi="仿宋" w:cs="仿宋" w:hint="eastAsia"/>
            <w:lang w:eastAsia="zh-CN"/>
          </w:rPr>
          <w:t>(四)、公司与员工互动</w:t>
        </w:r>
        <w:r>
          <w:tab/>
        </w:r>
        <w:r>
          <w:fldChar w:fldCharType="begin"/>
        </w:r>
        <w:r>
          <w:instrText xml:space="preserve"> PAGEREF _Toc18978 \h </w:instrText>
        </w:r>
        <w:r>
          <w:fldChar w:fldCharType="separate"/>
        </w:r>
        <w:r>
          <w:t>42</w:t>
        </w:r>
        <w:r>
          <w:fldChar w:fldCharType="end"/>
        </w:r>
      </w:hyperlink>
    </w:p>
    <w:p>
      <w:pPr>
        <w:pStyle w:val="TOC2"/>
        <w:tabs>
          <w:tab w:val="right" w:leader="dot" w:pos="8306"/>
        </w:tabs>
      </w:pPr>
      <w:hyperlink w:anchor="_Toc18513" w:history="1">
        <w:r>
          <w:rPr>
            <w:rFonts w:ascii="仿宋" w:eastAsia="仿宋" w:hAnsi="仿宋" w:cs="仿宋" w:hint="eastAsia"/>
            <w:lang w:eastAsia="zh-CN"/>
          </w:rPr>
          <w:t>(五)、公司社交媒体账号管理</w:t>
        </w:r>
        <w:r>
          <w:tab/>
        </w:r>
        <w:r>
          <w:fldChar w:fldCharType="begin"/>
        </w:r>
        <w:r>
          <w:instrText xml:space="preserve"> PAGEREF _Toc18513 \h </w:instrText>
        </w:r>
        <w:r>
          <w:fldChar w:fldCharType="separate"/>
        </w:r>
        <w:r>
          <w:t>44</w:t>
        </w:r>
        <w:r>
          <w:fldChar w:fldCharType="end"/>
        </w:r>
      </w:hyperlink>
    </w:p>
    <w:p>
      <w:pPr>
        <w:pStyle w:val="TOC2"/>
        <w:tabs>
          <w:tab w:val="right" w:leader="dot" w:pos="8306"/>
        </w:tabs>
      </w:pPr>
      <w:hyperlink w:anchor="_Toc5996" w:history="1">
        <w:r>
          <w:rPr>
            <w:rFonts w:ascii="仿宋" w:eastAsia="仿宋" w:hAnsi="仿宋" w:cs="仿宋" w:hint="eastAsia"/>
            <w:lang w:eastAsia="zh-CN"/>
          </w:rPr>
          <w:t>(六)、职业发展机会的分享与推广</w:t>
        </w:r>
        <w:r>
          <w:tab/>
        </w:r>
        <w:r>
          <w:fldChar w:fldCharType="begin"/>
        </w:r>
        <w:r>
          <w:instrText xml:space="preserve"> PAGEREF _Toc5996 \h </w:instrText>
        </w:r>
        <w:r>
          <w:fldChar w:fldCharType="separate"/>
        </w:r>
        <w:r>
          <w:t>45</w:t>
        </w:r>
        <w:r>
          <w:fldChar w:fldCharType="end"/>
        </w:r>
      </w:hyperlink>
    </w:p>
    <w:p>
      <w:pPr>
        <w:pStyle w:val="TOC1"/>
        <w:tabs>
          <w:tab w:val="right" w:leader="dot" w:pos="8306"/>
        </w:tabs>
      </w:pPr>
      <w:hyperlink w:anchor="_Toc8533" w:history="1">
        <w:r>
          <w:rPr>
            <w:rFonts w:ascii="仿宋" w:eastAsia="仿宋" w:hAnsi="仿宋" w:cs="仿宋" w:hint="eastAsia"/>
            <w:lang w:eastAsia="zh-CN"/>
          </w:rPr>
          <w:t>八、第三十二章未来发展愿景</w:t>
        </w:r>
        <w:r>
          <w:tab/>
        </w:r>
        <w:r>
          <w:fldChar w:fldCharType="begin"/>
        </w:r>
        <w:r>
          <w:instrText xml:space="preserve"> PAGEREF _Toc8533 \h </w:instrText>
        </w:r>
        <w:r>
          <w:fldChar w:fldCharType="separate"/>
        </w:r>
        <w:r>
          <w:t>46</w:t>
        </w:r>
        <w:r>
          <w:fldChar w:fldCharType="end"/>
        </w:r>
      </w:hyperlink>
    </w:p>
    <w:p>
      <w:pPr>
        <w:pStyle w:val="TOC2"/>
        <w:tabs>
          <w:tab w:val="right" w:leader="dot" w:pos="8306"/>
        </w:tabs>
      </w:pPr>
      <w:hyperlink w:anchor="_Toc24923" w:history="1">
        <w:r>
          <w:rPr>
            <w:rFonts w:ascii="仿宋" w:eastAsia="仿宋" w:hAnsi="仿宋" w:cs="仿宋" w:hint="eastAsia"/>
            <w:lang w:eastAsia="zh-CN"/>
          </w:rPr>
          <w:t>(一)、员工职业生涯管理的未来趋势</w:t>
        </w:r>
        <w:r>
          <w:tab/>
        </w:r>
        <w:r>
          <w:fldChar w:fldCharType="begin"/>
        </w:r>
        <w:r>
          <w:instrText xml:space="preserve"> PAGEREF _Toc24923 \h </w:instrText>
        </w:r>
        <w:r>
          <w:fldChar w:fldCharType="separate"/>
        </w:r>
        <w:r>
          <w:t>46</w:t>
        </w:r>
        <w:r>
          <w:fldChar w:fldCharType="end"/>
        </w:r>
      </w:hyperlink>
    </w:p>
    <w:p>
      <w:pPr>
        <w:pStyle w:val="TOC2"/>
        <w:tabs>
          <w:tab w:val="right" w:leader="dot" w:pos="8306"/>
        </w:tabs>
      </w:pPr>
      <w:hyperlink w:anchor="_Toc32181" w:history="1">
        <w:r>
          <w:rPr>
            <w:rFonts w:ascii="仿宋" w:eastAsia="仿宋" w:hAnsi="仿宋" w:cs="仿宋" w:hint="eastAsia"/>
            <w:lang w:eastAsia="zh-CN"/>
          </w:rPr>
          <w:t>(二)、公司在员工发展中的未来愿景</w:t>
        </w:r>
        <w:r>
          <w:tab/>
        </w:r>
        <w:r>
          <w:fldChar w:fldCharType="begin"/>
        </w:r>
        <w:r>
          <w:instrText xml:space="preserve"> PAGEREF _Toc32181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71" w:history="1">
        <w:r>
          <w:rPr>
            <w:rFonts w:ascii="仿宋" w:eastAsia="仿宋" w:hAnsi="仿宋" w:cs="仿宋" w:hint="eastAsia"/>
            <w:lang w:eastAsia="zh-CN"/>
          </w:rPr>
          <w:t>九、第十四章员工健康与安全管理</w:t>
        </w:r>
        <w:r>
          <w:tab/>
        </w:r>
        <w:r>
          <w:fldChar w:fldCharType="begin"/>
        </w:r>
        <w:r>
          <w:instrText xml:space="preserve"> PAGEREF _Toc29271 \h </w:instrText>
        </w:r>
        <w:r>
          <w:fldChar w:fldCharType="separate"/>
        </w:r>
        <w:r>
          <w:t>47</w:t>
        </w:r>
        <w:r>
          <w:fldChar w:fldCharType="end"/>
        </w:r>
      </w:hyperlink>
    </w:p>
    <w:p>
      <w:pPr>
        <w:pStyle w:val="TOC2"/>
        <w:tabs>
          <w:tab w:val="right" w:leader="dot" w:pos="8306"/>
        </w:tabs>
      </w:pPr>
      <w:hyperlink w:anchor="_Toc23187" w:history="1">
        <w:r>
          <w:rPr>
            <w:rFonts w:ascii="仿宋" w:eastAsia="仿宋" w:hAnsi="仿宋" w:cs="仿宋" w:hint="eastAsia"/>
            <w:lang w:eastAsia="zh-CN"/>
          </w:rPr>
          <w:t>(一)、健康保障计划</w:t>
        </w:r>
        <w:r>
          <w:tab/>
        </w:r>
        <w:r>
          <w:fldChar w:fldCharType="begin"/>
        </w:r>
        <w:r>
          <w:instrText xml:space="preserve"> PAGEREF _Toc23187 \h </w:instrText>
        </w:r>
        <w:r>
          <w:fldChar w:fldCharType="separate"/>
        </w:r>
        <w:r>
          <w:t>47</w:t>
        </w:r>
        <w:r>
          <w:fldChar w:fldCharType="end"/>
        </w:r>
      </w:hyperlink>
    </w:p>
    <w:p>
      <w:pPr>
        <w:pStyle w:val="TOC2"/>
        <w:tabs>
          <w:tab w:val="right" w:leader="dot" w:pos="8306"/>
        </w:tabs>
      </w:pPr>
      <w:hyperlink w:anchor="_Toc9701" w:history="1">
        <w:r>
          <w:rPr>
            <w:rFonts w:ascii="仿宋" w:eastAsia="仿宋" w:hAnsi="仿宋" w:cs="仿宋" w:hint="eastAsia"/>
            <w:lang w:eastAsia="zh-CN"/>
          </w:rPr>
          <w:t>(二)、安全管理体系</w:t>
        </w:r>
        <w:r>
          <w:tab/>
        </w:r>
        <w:r>
          <w:fldChar w:fldCharType="begin"/>
        </w:r>
        <w:r>
          <w:instrText xml:space="preserve"> PAGEREF _Toc9701 \h </w:instrText>
        </w:r>
        <w:r>
          <w:fldChar w:fldCharType="separate"/>
        </w:r>
        <w:r>
          <w:t>48</w:t>
        </w:r>
        <w:r>
          <w:fldChar w:fldCharType="end"/>
        </w:r>
      </w:hyperlink>
    </w:p>
    <w:p>
      <w:pPr>
        <w:pStyle w:val="TOC1"/>
        <w:tabs>
          <w:tab w:val="right" w:leader="dot" w:pos="8306"/>
        </w:tabs>
      </w:pPr>
      <w:hyperlink w:anchor="_Toc29834" w:history="1">
        <w:r>
          <w:rPr>
            <w:rFonts w:ascii="仿宋" w:eastAsia="仿宋" w:hAnsi="仿宋" w:cs="仿宋" w:hint="eastAsia"/>
            <w:lang w:eastAsia="zh-CN"/>
          </w:rPr>
          <w:t>十、第十三章技术与创新支持</w:t>
        </w:r>
        <w:r>
          <w:tab/>
        </w:r>
        <w:r>
          <w:fldChar w:fldCharType="begin"/>
        </w:r>
        <w:r>
          <w:instrText xml:space="preserve"> PAGEREF _Toc29834 \h </w:instrText>
        </w:r>
        <w:r>
          <w:fldChar w:fldCharType="separate"/>
        </w:r>
        <w:r>
          <w:t>50</w:t>
        </w:r>
        <w:r>
          <w:fldChar w:fldCharType="end"/>
        </w:r>
      </w:hyperlink>
    </w:p>
    <w:p>
      <w:pPr>
        <w:pStyle w:val="TOC2"/>
        <w:tabs>
          <w:tab w:val="right" w:leader="dot" w:pos="8306"/>
        </w:tabs>
      </w:pPr>
      <w:hyperlink w:anchor="_Toc189" w:history="1">
        <w:r>
          <w:rPr>
            <w:rFonts w:ascii="仿宋" w:eastAsia="仿宋" w:hAnsi="仿宋" w:cs="仿宋" w:hint="eastAsia"/>
            <w:lang w:eastAsia="zh-CN"/>
          </w:rPr>
          <w:t>(一)、技术培训与更新</w:t>
        </w:r>
        <w:r>
          <w:tab/>
        </w:r>
        <w:r>
          <w:fldChar w:fldCharType="begin"/>
        </w:r>
        <w:r>
          <w:instrText xml:space="preserve"> PAGEREF _Toc189 \h </w:instrText>
        </w:r>
        <w:r>
          <w:fldChar w:fldCharType="separate"/>
        </w:r>
        <w:r>
          <w:t>50</w:t>
        </w:r>
        <w:r>
          <w:fldChar w:fldCharType="end"/>
        </w:r>
      </w:hyperlink>
    </w:p>
    <w:p>
      <w:pPr>
        <w:pStyle w:val="TOC2"/>
        <w:tabs>
          <w:tab w:val="right" w:leader="dot" w:pos="8306"/>
        </w:tabs>
      </w:pPr>
      <w:hyperlink w:anchor="_Toc5611" w:history="1">
        <w:r>
          <w:rPr>
            <w:rFonts w:ascii="仿宋" w:eastAsia="仿宋" w:hAnsi="仿宋" w:cs="仿宋" w:hint="eastAsia"/>
            <w:lang w:eastAsia="zh-CN"/>
          </w:rPr>
          <w:t>(二)、创新文化与项目支持</w:t>
        </w:r>
        <w:r>
          <w:tab/>
        </w:r>
        <w:r>
          <w:fldChar w:fldCharType="begin"/>
        </w:r>
        <w:r>
          <w:instrText xml:space="preserve"> PAGEREF _Toc5611 \h </w:instrText>
        </w:r>
        <w:r>
          <w:fldChar w:fldCharType="separate"/>
        </w:r>
        <w:r>
          <w:t>51</w:t>
        </w:r>
        <w:r>
          <w:fldChar w:fldCharType="end"/>
        </w:r>
      </w:hyperlink>
    </w:p>
    <w:p>
      <w:pPr>
        <w:pStyle w:val="TOC1"/>
        <w:tabs>
          <w:tab w:val="right" w:leader="dot" w:pos="8306"/>
        </w:tabs>
      </w:pPr>
      <w:hyperlink w:anchor="_Toc635" w:history="1">
        <w:r>
          <w:rPr>
            <w:rFonts w:ascii="仿宋" w:eastAsia="仿宋" w:hAnsi="仿宋" w:cs="仿宋" w:hint="eastAsia"/>
            <w:lang w:eastAsia="zh-CN"/>
          </w:rPr>
          <w:t>十一、员工晋升与职业发展通道</w:t>
        </w:r>
        <w:r>
          <w:tab/>
        </w:r>
        <w:r>
          <w:fldChar w:fldCharType="begin"/>
        </w:r>
        <w:r>
          <w:instrText xml:space="preserve"> PAGEREF _Toc635 \h </w:instrText>
        </w:r>
        <w:r>
          <w:fldChar w:fldCharType="separate"/>
        </w:r>
        <w:r>
          <w:t>52</w:t>
        </w:r>
        <w:r>
          <w:fldChar w:fldCharType="end"/>
        </w:r>
      </w:hyperlink>
    </w:p>
    <w:p>
      <w:pPr>
        <w:pStyle w:val="TOC2"/>
        <w:tabs>
          <w:tab w:val="right" w:leader="dot" w:pos="8306"/>
        </w:tabs>
      </w:pPr>
      <w:hyperlink w:anchor="_Toc27697" w:history="1">
        <w:r>
          <w:rPr>
            <w:rFonts w:ascii="仿宋" w:eastAsia="仿宋" w:hAnsi="仿宋" w:cs="仿宋" w:hint="eastAsia"/>
            <w:lang w:eastAsia="zh-CN"/>
          </w:rPr>
          <w:t>(一)、晋升制度的设计与实施</w:t>
        </w:r>
        <w:r>
          <w:tab/>
        </w:r>
        <w:r>
          <w:fldChar w:fldCharType="begin"/>
        </w:r>
        <w:r>
          <w:instrText xml:space="preserve"> PAGEREF _Toc27697 \h </w:instrText>
        </w:r>
        <w:r>
          <w:fldChar w:fldCharType="separate"/>
        </w:r>
        <w:r>
          <w:t>52</w:t>
        </w:r>
        <w:r>
          <w:fldChar w:fldCharType="end"/>
        </w:r>
      </w:hyperlink>
    </w:p>
    <w:p>
      <w:pPr>
        <w:pStyle w:val="TOC2"/>
        <w:tabs>
          <w:tab w:val="right" w:leader="dot" w:pos="8306"/>
        </w:tabs>
      </w:pPr>
      <w:hyperlink w:anchor="_Toc17871" w:history="1">
        <w:r>
          <w:rPr>
            <w:rFonts w:ascii="仿宋" w:eastAsia="仿宋" w:hAnsi="仿宋" w:cs="仿宋" w:hint="eastAsia"/>
            <w:lang w:eastAsia="zh-CN"/>
          </w:rPr>
          <w:t>(二)、职业发展通道的建立与拓展</w:t>
        </w:r>
        <w:r>
          <w:tab/>
        </w:r>
        <w:r>
          <w:fldChar w:fldCharType="begin"/>
        </w:r>
        <w:r>
          <w:instrText xml:space="preserve"> PAGEREF _Toc17871 \h </w:instrText>
        </w:r>
        <w:r>
          <w:fldChar w:fldCharType="separate"/>
        </w:r>
        <w:r>
          <w:t>53</w:t>
        </w:r>
        <w:r>
          <w:fldChar w:fldCharType="end"/>
        </w:r>
      </w:hyperlink>
    </w:p>
    <w:p>
      <w:pPr>
        <w:pStyle w:val="TOC2"/>
        <w:tabs>
          <w:tab w:val="right" w:leader="dot" w:pos="8306"/>
        </w:tabs>
      </w:pPr>
      <w:hyperlink w:anchor="_Toc17886" w:history="1">
        <w:r>
          <w:rPr>
            <w:rFonts w:ascii="仿宋" w:eastAsia="仿宋" w:hAnsi="仿宋" w:cs="仿宋" w:hint="eastAsia"/>
            <w:lang w:eastAsia="zh-CN"/>
          </w:rPr>
          <w:t>(三)、晋升机会的公平与透明保障</w:t>
        </w:r>
        <w:r>
          <w:tab/>
        </w:r>
        <w:r>
          <w:fldChar w:fldCharType="begin"/>
        </w:r>
        <w:r>
          <w:instrText xml:space="preserve"> PAGEREF _Toc17886 \h </w:instrText>
        </w:r>
        <w:r>
          <w:fldChar w:fldCharType="separate"/>
        </w:r>
        <w:r>
          <w:t>56</w:t>
        </w:r>
        <w:r>
          <w:fldChar w:fldCharType="end"/>
        </w:r>
      </w:hyperlink>
    </w:p>
    <w:p>
      <w:pPr>
        <w:pStyle w:val="TOC1"/>
        <w:tabs>
          <w:tab w:val="right" w:leader="dot" w:pos="8306"/>
        </w:tabs>
      </w:pPr>
      <w:hyperlink w:anchor="_Toc27498" w:history="1">
        <w:r>
          <w:rPr>
            <w:rFonts w:ascii="仿宋" w:eastAsia="仿宋" w:hAnsi="仿宋" w:cs="仿宋" w:hint="eastAsia"/>
            <w:lang w:eastAsia="zh-CN"/>
          </w:rPr>
          <w:t>十二、员工关系管理与危机处理</w:t>
        </w:r>
        <w:r>
          <w:tab/>
        </w:r>
        <w:r>
          <w:fldChar w:fldCharType="begin"/>
        </w:r>
        <w:r>
          <w:instrText xml:space="preserve"> PAGEREF _Toc27498 \h </w:instrText>
        </w:r>
        <w:r>
          <w:fldChar w:fldCharType="separate"/>
        </w:r>
        <w:r>
          <w:t>57</w:t>
        </w:r>
        <w:r>
          <w:fldChar w:fldCharType="end"/>
        </w:r>
      </w:hyperlink>
    </w:p>
    <w:p>
      <w:pPr>
        <w:pStyle w:val="TOC2"/>
        <w:tabs>
          <w:tab w:val="right" w:leader="dot" w:pos="8306"/>
        </w:tabs>
      </w:pPr>
      <w:hyperlink w:anchor="_Toc25681" w:history="1">
        <w:r>
          <w:rPr>
            <w:rFonts w:ascii="仿宋" w:eastAsia="仿宋" w:hAnsi="仿宋" w:cs="仿宋" w:hint="eastAsia"/>
            <w:lang w:eastAsia="zh-CN"/>
          </w:rPr>
          <w:t>(一)、员工关系管理原则与方法</w:t>
        </w:r>
        <w:r>
          <w:tab/>
        </w:r>
        <w:r>
          <w:fldChar w:fldCharType="begin"/>
        </w:r>
        <w:r>
          <w:instrText xml:space="preserve"> PAGEREF _Toc25681 \h </w:instrText>
        </w:r>
        <w:r>
          <w:fldChar w:fldCharType="separate"/>
        </w:r>
        <w:r>
          <w:t>57</w:t>
        </w:r>
        <w:r>
          <w:fldChar w:fldCharType="end"/>
        </w:r>
      </w:hyperlink>
    </w:p>
    <w:p>
      <w:pPr>
        <w:pStyle w:val="TOC2"/>
        <w:tabs>
          <w:tab w:val="right" w:leader="dot" w:pos="8306"/>
        </w:tabs>
      </w:pPr>
      <w:hyperlink w:anchor="_Toc27882" w:history="1">
        <w:r>
          <w:rPr>
            <w:rFonts w:ascii="仿宋" w:eastAsia="仿宋" w:hAnsi="仿宋" w:cs="仿宋" w:hint="eastAsia"/>
            <w:lang w:eastAsia="zh-CN"/>
          </w:rPr>
          <w:t>(二)、危机处理机制的建立与实施</w:t>
        </w:r>
        <w:r>
          <w:tab/>
        </w:r>
        <w:r>
          <w:fldChar w:fldCharType="begin"/>
        </w:r>
        <w:r>
          <w:instrText xml:space="preserve"> PAGEREF _Toc27882 \h </w:instrText>
        </w:r>
        <w:r>
          <w:fldChar w:fldCharType="separate"/>
        </w:r>
        <w:r>
          <w:t>57</w:t>
        </w:r>
        <w:r>
          <w:fldChar w:fldCharType="end"/>
        </w:r>
      </w:hyperlink>
    </w:p>
    <w:p>
      <w:pPr>
        <w:pStyle w:val="TOC2"/>
        <w:tabs>
          <w:tab w:val="right" w:leader="dot" w:pos="8306"/>
        </w:tabs>
      </w:pPr>
      <w:hyperlink w:anchor="_Toc10596" w:history="1">
        <w:r>
          <w:rPr>
            <w:rFonts w:ascii="仿宋" w:eastAsia="仿宋" w:hAnsi="仿宋" w:cs="仿宋" w:hint="eastAsia"/>
            <w:lang w:eastAsia="zh-CN"/>
          </w:rPr>
          <w:t>(三)、劳动争议解决与法律风险防范</w:t>
        </w:r>
        <w:r>
          <w:tab/>
        </w:r>
        <w:r>
          <w:fldChar w:fldCharType="begin"/>
        </w:r>
        <w:r>
          <w:instrText xml:space="preserve"> PAGEREF _Toc10596 \h </w:instrText>
        </w:r>
        <w:r>
          <w:fldChar w:fldCharType="separate"/>
        </w:r>
        <w:r>
          <w:t>58</w:t>
        </w:r>
        <w:r>
          <w:fldChar w:fldCharType="end"/>
        </w:r>
      </w:hyperlink>
    </w:p>
    <w:p>
      <w:pPr>
        <w:pStyle w:val="TOC1"/>
        <w:tabs>
          <w:tab w:val="right" w:leader="dot" w:pos="8306"/>
        </w:tabs>
      </w:pPr>
      <w:hyperlink w:anchor="_Toc8344" w:history="1">
        <w:r>
          <w:rPr>
            <w:rFonts w:ascii="仿宋" w:eastAsia="仿宋" w:hAnsi="仿宋" w:cs="仿宋" w:hint="eastAsia"/>
            <w:lang w:eastAsia="zh-CN"/>
          </w:rPr>
          <w:t>十三、第四十三章员工参与决策与公司治理</w:t>
        </w:r>
        <w:r>
          <w:tab/>
        </w:r>
        <w:r>
          <w:fldChar w:fldCharType="begin"/>
        </w:r>
        <w:r>
          <w:instrText xml:space="preserve"> PAGEREF _Toc8344 \h </w:instrText>
        </w:r>
        <w:r>
          <w:fldChar w:fldCharType="separate"/>
        </w:r>
        <w:r>
          <w:t>59</w:t>
        </w:r>
        <w:r>
          <w:fldChar w:fldCharType="end"/>
        </w:r>
      </w:hyperlink>
    </w:p>
    <w:p>
      <w:pPr>
        <w:pStyle w:val="TOC2"/>
        <w:tabs>
          <w:tab w:val="right" w:leader="dot" w:pos="8306"/>
        </w:tabs>
      </w:pPr>
      <w:hyperlink w:anchor="_Toc26313" w:history="1">
        <w:r>
          <w:rPr>
            <w:rFonts w:ascii="仿宋" w:eastAsia="仿宋" w:hAnsi="仿宋" w:cs="仿宋" w:hint="eastAsia"/>
            <w:lang w:eastAsia="zh-CN"/>
          </w:rPr>
          <w:t>(一)、员工参与决策机制</w:t>
        </w:r>
        <w:r>
          <w:tab/>
        </w:r>
        <w:r>
          <w:fldChar w:fldCharType="begin"/>
        </w:r>
        <w:r>
          <w:instrText xml:space="preserve"> PAGEREF _Toc26313 \h </w:instrText>
        </w:r>
        <w:r>
          <w:fldChar w:fldCharType="separate"/>
        </w:r>
        <w:r>
          <w:t>59</w:t>
        </w:r>
        <w:r>
          <w:fldChar w:fldCharType="end"/>
        </w:r>
      </w:hyperlink>
    </w:p>
    <w:p>
      <w:pPr>
        <w:pStyle w:val="TOC2"/>
        <w:tabs>
          <w:tab w:val="right" w:leader="dot" w:pos="8306"/>
        </w:tabs>
      </w:pPr>
      <w:hyperlink w:anchor="_Toc15291" w:history="1">
        <w:r>
          <w:rPr>
            <w:rFonts w:ascii="仿宋" w:eastAsia="仿宋" w:hAnsi="仿宋" w:cs="仿宋" w:hint="eastAsia"/>
            <w:lang w:eastAsia="zh-CN"/>
          </w:rPr>
          <w:t>(二)、参与决策的渠道与机会</w:t>
        </w:r>
        <w:r>
          <w:tab/>
        </w:r>
        <w:r>
          <w:fldChar w:fldCharType="begin"/>
        </w:r>
        <w:r>
          <w:instrText xml:space="preserve"> PAGEREF _Toc15291 \h </w:instrText>
        </w:r>
        <w:r>
          <w:fldChar w:fldCharType="separate"/>
        </w:r>
        <w:r>
          <w:t>59</w:t>
        </w:r>
        <w:r>
          <w:fldChar w:fldCharType="end"/>
        </w:r>
      </w:hyperlink>
    </w:p>
    <w:p>
      <w:pPr>
        <w:pStyle w:val="TOC2"/>
        <w:tabs>
          <w:tab w:val="right" w:leader="dot" w:pos="8306"/>
        </w:tabs>
      </w:pPr>
      <w:hyperlink w:anchor="_Toc1410" w:history="1">
        <w:r>
          <w:rPr>
            <w:rFonts w:ascii="仿宋" w:eastAsia="仿宋" w:hAnsi="仿宋" w:cs="仿宋" w:hint="eastAsia"/>
            <w:lang w:eastAsia="zh-CN"/>
          </w:rPr>
          <w:t>(三)、代表员工意见的制度</w:t>
        </w:r>
        <w:r>
          <w:tab/>
        </w:r>
        <w:r>
          <w:fldChar w:fldCharType="begin"/>
        </w:r>
        <w:r>
          <w:instrText xml:space="preserve"> PAGEREF _Toc1410 \h </w:instrText>
        </w:r>
        <w:r>
          <w:fldChar w:fldCharType="separate"/>
        </w:r>
        <w:r>
          <w:t>60</w:t>
        </w:r>
        <w:r>
          <w:fldChar w:fldCharType="end"/>
        </w:r>
      </w:hyperlink>
    </w:p>
    <w:p>
      <w:pPr>
        <w:pStyle w:val="TOC2"/>
        <w:tabs>
          <w:tab w:val="right" w:leader="dot" w:pos="8306"/>
        </w:tabs>
      </w:pPr>
      <w:hyperlink w:anchor="_Toc20677" w:history="1">
        <w:r>
          <w:rPr>
            <w:rFonts w:ascii="仿宋" w:eastAsia="仿宋" w:hAnsi="仿宋" w:cs="仿宋" w:hint="eastAsia"/>
            <w:lang w:eastAsia="zh-CN"/>
          </w:rPr>
          <w:t>(四)、公司治理与透明度</w:t>
        </w:r>
        <w:r>
          <w:tab/>
        </w:r>
        <w:r>
          <w:fldChar w:fldCharType="begin"/>
        </w:r>
        <w:r>
          <w:instrText xml:space="preserve"> PAGEREF _Toc20677 \h </w:instrText>
        </w:r>
        <w:r>
          <w:fldChar w:fldCharType="separate"/>
        </w:r>
        <w:r>
          <w:t>61</w:t>
        </w:r>
        <w:r>
          <w:fldChar w:fldCharType="end"/>
        </w:r>
      </w:hyperlink>
    </w:p>
    <w:p>
      <w:pPr>
        <w:pStyle w:val="TOC2"/>
        <w:tabs>
          <w:tab w:val="right" w:leader="dot" w:pos="8306"/>
        </w:tabs>
      </w:pPr>
      <w:hyperlink w:anchor="_Toc11753" w:history="1">
        <w:r>
          <w:rPr>
            <w:rFonts w:ascii="仿宋" w:eastAsia="仿宋" w:hAnsi="仿宋" w:cs="仿宋" w:hint="eastAsia"/>
            <w:lang w:eastAsia="zh-CN"/>
          </w:rPr>
          <w:t>(五)、公司治理结构的建设</w:t>
        </w:r>
        <w:r>
          <w:tab/>
        </w:r>
        <w:r>
          <w:fldChar w:fldCharType="begin"/>
        </w:r>
        <w:r>
          <w:instrText xml:space="preserve"> PAGEREF _Toc11753 \h </w:instrText>
        </w:r>
        <w:r>
          <w:fldChar w:fldCharType="separate"/>
        </w:r>
        <w:r>
          <w:t>62</w:t>
        </w:r>
        <w:r>
          <w:fldChar w:fldCharType="end"/>
        </w:r>
      </w:hyperlink>
    </w:p>
    <w:p>
      <w:pPr>
        <w:pStyle w:val="TOC2"/>
        <w:tabs>
          <w:tab w:val="right" w:leader="dot" w:pos="8306"/>
        </w:tabs>
      </w:pPr>
      <w:hyperlink w:anchor="_Toc28583" w:history="1">
        <w:r>
          <w:rPr>
            <w:rFonts w:ascii="仿宋" w:eastAsia="仿宋" w:hAnsi="仿宋" w:cs="仿宋" w:hint="eastAsia"/>
            <w:lang w:eastAsia="zh-CN"/>
          </w:rPr>
          <w:t>(六)、公司业绩与财务信息的公开</w:t>
        </w:r>
        <w:r>
          <w:tab/>
        </w:r>
        <w:r>
          <w:fldChar w:fldCharType="begin"/>
        </w:r>
        <w:r>
          <w:instrText xml:space="preserve"> PAGEREF _Toc28583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极细射频同轴电缆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557"/>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29169"/>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极细射频同轴电缆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07"/>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奖励员工参与和完成相关技能培训，提高员工的专业素养。设立明确的培训计划和奖金发放标准，鼓励员工持续学习和提升自身技能，以适应市场和极细射频同轴电缆行业的变化。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0456"/>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3069"/>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9666"/>
      <w:r>
        <w:rPr>
          <w:rFonts w:ascii="仿宋" w:eastAsia="仿宋" w:hAnsi="仿宋" w:cs="仿宋" w:hint="eastAsia"/>
          <w:sz w:val="28"/>
          <w:lang w:eastAsia="zh-CN"/>
        </w:rPr>
        <w:t>二、宏观环境分析</w:t>
      </w:r>
      <w:bookmarkEnd w:id="7"/>
    </w:p>
    <w:p>
      <w:pPr>
        <w:pStyle w:val="Heading2"/>
        <w:rPr>
          <w:rFonts w:ascii="仿宋" w:eastAsia="仿宋" w:hAnsi="仿宋" w:cs="仿宋" w:hint="eastAsia"/>
          <w:lang w:eastAsia="zh-CN"/>
        </w:rPr>
      </w:pPr>
      <w:bookmarkStart w:id="8" w:name="_Toc16840"/>
      <w:r>
        <w:rPr>
          <w:rFonts w:ascii="仿宋" w:eastAsia="仿宋" w:hAnsi="仿宋" w:cs="仿宋" w:hint="eastAsia"/>
          <w:lang w:eastAsia="zh-CN"/>
        </w:rPr>
        <w:t>(一)、宏观环境分析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社会因素在</w:t>
      </w:r>
      <w:r>
        <w:rPr>
          <w:rFonts w:ascii="仿宋" w:eastAsia="仿宋" w:hAnsi="仿宋" w:cs="仿宋" w:hint="eastAsia"/>
          <w:sz w:val="28"/>
          <w:lang w:eastAsia="zh-CN"/>
        </w:rPr>
        <w:t xml:space="preserve"> 极细射频同轴电缆行业中具有重要意义。随着社会结构的变化，消费者对产品和服务的需求也发生了变化。当前，社会对可持续性和社会责任的关注不断增加，这对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极细射频同轴电缆行业提出了更高的要求。企业需要适应社会价值观的演变，关注社会趋势，以更好地满足市场需求。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极细射频同轴电缆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极细射频同轴电缆行业的发展至关重要。政府政策的变化、国际关系的调整都可能对企业产生深刻的影响。特别是在 极细射频同轴电缆行业可能涉及到的领域，如法规、知识产权保护等，企业需要密切关注政治动态，及时调整战略。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极细射频同轴电缆行业的驱动力之一。新技术的引入可能改变极细射频同轴电缆行业格局，提高生产效率，创造新的商业机会。企业需要保持对技术趋势的敏感性，不断更新技术和提升创新能力，以保持竞争力。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法律环境对 极细射频同轴电缆行业的运营产生直接的约束和引导。合规性、知识产权的保护、劳动法规等都是企业必须遵循的法律框架。企业需要建立完善的法律团队，确保在法规范围内经营，降低法律风险。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极细射频同轴电缆行业需要更加重视环境因素。降低碳足迹、可持续生产、环保政策的遵守等都成为企业经营的重要考量。企业需要通过绿色技术和环保举措，积极履行社会责任。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9" w:name="_Toc6602"/>
      <w:r>
        <w:rPr>
          <w:rFonts w:ascii="仿宋" w:eastAsia="仿宋" w:hAnsi="仿宋" w:cs="仿宋" w:hint="eastAsia"/>
          <w:sz w:val="28"/>
          <w:lang w:eastAsia="zh-CN"/>
        </w:rPr>
        <w:t>三、员工职业生涯规划与发展</w:t>
      </w:r>
      <w:bookmarkEnd w:id="9"/>
    </w:p>
    <w:p>
      <w:pPr>
        <w:pStyle w:val="Heading2"/>
        <w:rPr>
          <w:rFonts w:ascii="仿宋" w:eastAsia="仿宋" w:hAnsi="仿宋" w:cs="仿宋" w:hint="eastAsia"/>
          <w:lang w:eastAsia="zh-CN"/>
        </w:rPr>
      </w:pPr>
      <w:bookmarkStart w:id="10" w:name="_Toc13315"/>
      <w:r>
        <w:rPr>
          <w:rFonts w:ascii="仿宋" w:eastAsia="仿宋" w:hAnsi="仿宋" w:cs="仿宋" w:hint="eastAsia"/>
          <w:lang w:eastAsia="zh-CN"/>
        </w:rPr>
        <w:t>(一)、职业生涯规划概述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了解当前和未来的职业市场趋势，以及所处极细射频同轴电缆行业的发展方向，有助于调整个人的职业规划，确保与市场需求保持一致。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1" w:name="_Toc27077"/>
      <w:r>
        <w:rPr>
          <w:rFonts w:ascii="仿宋" w:eastAsia="仿宋" w:hAnsi="仿宋" w:cs="仿宋" w:hint="eastAsia"/>
          <w:sz w:val="28"/>
          <w:lang w:eastAsia="zh-CN"/>
        </w:rPr>
        <w:t>(二)、基本原则与方法</w:t>
      </w:r>
      <w:bookmarkEnd w:id="1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极细射频同轴电缆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2" w:name="_Toc14762"/>
      <w:r>
        <w:rPr>
          <w:rFonts w:ascii="仿宋" w:eastAsia="仿宋" w:hAnsi="仿宋" w:cs="仿宋" w:hint="eastAsia"/>
          <w:sz w:val="28"/>
          <w:lang w:eastAsia="zh-CN"/>
        </w:rPr>
        <w:t>(三)、员工职业生涯管理</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3" w:name="_Toc15151"/>
      <w:r>
        <w:rPr>
          <w:rFonts w:ascii="仿宋" w:eastAsia="仿宋" w:hAnsi="仿宋" w:cs="仿宋" w:hint="eastAsia"/>
          <w:sz w:val="28"/>
          <w:lang w:eastAsia="zh-CN"/>
        </w:rPr>
        <w:t>(四)、职业生涯发展支持体系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建立一个职业发展资源中心，集中提供各类有关职业发展的信息和工具，有助于员工更便捷地获取所需的资源。这可以包括在线平台、内部文档、极细射频同轴电缆行业报告等。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4" w:name="_Toc21749"/>
      <w:r>
        <w:rPr>
          <w:rFonts w:ascii="仿宋" w:eastAsia="仿宋" w:hAnsi="仿宋" w:cs="仿宋" w:hint="eastAsia"/>
          <w:sz w:val="28"/>
          <w:lang w:eastAsia="zh-CN"/>
        </w:rPr>
        <w:t>(五)、公司文化与员工职业发展融合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5" w:name="_Toc5846"/>
      <w:r>
        <w:rPr>
          <w:rFonts w:ascii="仿宋" w:eastAsia="仿宋" w:hAnsi="仿宋" w:cs="仿宋" w:hint="eastAsia"/>
          <w:sz w:val="28"/>
          <w:lang w:eastAsia="zh-CN"/>
        </w:rPr>
        <w:t>(六)、未来趋势与发展策略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极细射频同轴电缆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投资于员工的技能培训，确保他们具备未来工作所需的新技能。与极细射频同轴电缆行业专业机构建立合作关系，提供最新的极细射频同轴电缆行业培训。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6" w:name="_Toc9486"/>
      <w:r>
        <w:rPr>
          <w:rFonts w:ascii="仿宋" w:eastAsia="仿宋" w:hAnsi="仿宋" w:cs="仿宋" w:hint="eastAsia"/>
          <w:sz w:val="28"/>
          <w:lang w:eastAsia="zh-CN"/>
        </w:rPr>
        <w:t>四、极细射频同轴电缆行业背景分析</w:t>
      </w:r>
      <w:bookmarkEnd w:id="16"/>
    </w:p>
    <w:p>
      <w:pPr>
        <w:pStyle w:val="Heading2"/>
        <w:rPr>
          <w:rFonts w:ascii="仿宋" w:eastAsia="仿宋" w:hAnsi="仿宋" w:cs="仿宋" w:hint="eastAsia"/>
          <w:lang w:eastAsia="zh-CN"/>
        </w:rPr>
      </w:pPr>
      <w:bookmarkStart w:id="17" w:name="_Toc14980"/>
      <w:r>
        <w:rPr>
          <w:rFonts w:ascii="仿宋" w:eastAsia="仿宋" w:hAnsi="仿宋" w:cs="仿宋" w:hint="eastAsia"/>
          <w:lang w:eastAsia="zh-CN"/>
        </w:rPr>
        <w:t>(一)、极细射频同轴电缆行业背景分析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行业是一个充满活力且不断演变的领域。近年来，该极细射频同轴电缆行业经历了显著的增长，这一增长主要受益于多方面的推动因素，尤其是技术创新和市场需求的持续增加。技术创新为极细射频同轴电缆行业带来了新的商业模式和解决方案，而不断增长的市场需求则推动了极细射频同轴电缆行业的整体扩张。这使得 极细射频同轴电缆行业成为当前经济中备受关注的一个重要组成部分。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行业的市场规模持续扩大，预计未来几年仍将保持良好的增长势头。这一趋势得益于多种因素，其中包括数字化转型、全球化市场和消费者需求的多样化。数字化转型推动了极细射频同轴电缆行业内各个环节的效率提升，全球化市场为企业提供了更广阔的业务机会，而消费者需求的多样化则促使极细射频同轴电缆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极细射频同轴电缆行业呈现激烈的竞争格局，主要由一些领先的企业主导市场。这些企业通常在创新、市场份额和客户忠诚度等方面表现出强大的竞争力。随着极细射频同轴电缆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极细射频同轴电缆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极细射频同轴电缆行业发展的关键因素之一。新技术的引入，如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极细射频同轴电缆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极细射频同轴电缆行业仍然充满挑战和机遇。随着全球经济的发展和技术的不断进步，极细射频同轴电缆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极细射频同轴电缆行业的未来，持乐观但谨慎的态度，不断优化业务模式和提升核心竞争力是至关重要的。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8" w:name="_Toc18102"/>
      <w:r>
        <w:rPr>
          <w:rFonts w:ascii="仿宋" w:eastAsia="仿宋" w:hAnsi="仿宋" w:cs="仿宋" w:hint="eastAsia"/>
          <w:sz w:val="28"/>
          <w:lang w:eastAsia="zh-CN"/>
        </w:rPr>
        <w:t>五、项目基本情况</w:t>
      </w:r>
      <w:bookmarkEnd w:id="18"/>
    </w:p>
    <w:p>
      <w:pPr>
        <w:pStyle w:val="Heading2"/>
        <w:rPr>
          <w:rFonts w:ascii="仿宋" w:eastAsia="仿宋" w:hAnsi="仿宋" w:cs="仿宋" w:hint="eastAsia"/>
          <w:lang w:eastAsia="zh-CN"/>
        </w:rPr>
      </w:pPr>
      <w:bookmarkStart w:id="19" w:name="_Toc21906"/>
      <w:r>
        <w:rPr>
          <w:rFonts w:ascii="仿宋" w:eastAsia="仿宋" w:hAnsi="仿宋" w:cs="仿宋" w:hint="eastAsia"/>
          <w:lang w:eastAsia="zh-CN"/>
        </w:rPr>
        <w:t>(一)、项目名称及建设性质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0" w:name="_Toc791"/>
      <w:r>
        <w:rPr>
          <w:rFonts w:ascii="仿宋" w:eastAsia="仿宋" w:hAnsi="仿宋" w:cs="仿宋" w:hint="eastAsia"/>
          <w:sz w:val="28"/>
          <w:lang w:eastAsia="zh-CN"/>
        </w:rPr>
        <w:t>(二)、项目承办单位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1" w:name="_Toc20205"/>
      <w:r>
        <w:rPr>
          <w:rFonts w:ascii="仿宋" w:eastAsia="仿宋" w:hAnsi="仿宋" w:cs="仿宋" w:hint="eastAsia"/>
          <w:sz w:val="28"/>
          <w:lang w:eastAsia="zh-CN"/>
        </w:rPr>
        <w:t>(三)、项目实施的可行性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极细射频同轴电缆行业进行新材料、新工艺、新产品的研发，以促进整个极细射频同轴电缆行业的结构调整和转型升级。这一系列政策的实施为极细射频同轴电缆行业提供了有力的支持，有助于极细射频同轴电缆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极细射频同轴电缆行业提供了增长的空间，同时，逐步升级的消费需求也促使极细射频同轴电缆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极细射频同轴电缆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2" w:name="_Toc1579"/>
      <w:r>
        <w:rPr>
          <w:rFonts w:ascii="仿宋" w:eastAsia="仿宋" w:hAnsi="仿宋" w:cs="仿宋" w:hint="eastAsia"/>
          <w:sz w:val="28"/>
          <w:lang w:eastAsia="zh-CN"/>
        </w:rPr>
        <w:t>(四)、项目建设选址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https://d.book118.com/567135150161006026</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极细射频同轴电缆相关行业公司员工职业发展支持与推动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D64B5"/>
    <w:rsid w:val="4E1D64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567135150161006026"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2023-12-10T07:22:00Z</dcterms:created>
  <dcterms:modified xsi:type="dcterms:W3CDTF">2023-12-10T07:22:36Z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3782875BA7174D84BF8CCBBAB09D201C_11</vt:lpwstr>
  </property>
  <property fmtid="{D5CDD505-2E9C-101B-9397-08002B2CF9AE}" pid="3" name="KSOProductBuildVer">
    <vt:lpwstr>2052-12.1.0.15712</vt:lpwstr>
  </property>
</Properties>
</file>