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天然气液化装置行业相关公司筹备报告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648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_Toc8648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41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_Toc20341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84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_Toc21584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87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_Toc15887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00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_Toc29200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50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_Toc13250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_Toc311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2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_Toc7720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3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_Toc16531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15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_Toc4615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80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_Toc17980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82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_Toc30682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00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_Toc24700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16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_Toc13716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58" w:history="1">
        <w:r>
          <w:rPr>
            <w:rFonts w:ascii="仿宋" w:eastAsia="仿宋" w:hAnsi="仿宋" w:cs="仿宋" w:hint="eastAsia"/>
            <w:lang w:eastAsia="zh-CN"/>
          </w:rPr>
          <w:t>三、天然气液化装置筹建公司基本信息</w:t>
        </w:r>
        <w:r>
          <w:tab/>
        </w:r>
        <w:r>
          <w:fldChar w:fldCharType="begin"/>
        </w:r>
        <w:r>
          <w:instrText xml:space="preserve"> PAGEREF _Toc13058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_Toc1931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19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_Toc6819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1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_Toc2481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52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_Toc29752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26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_Toc15226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6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_Toc1886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94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_Toc23594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87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_Toc7187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45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_Toc10845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01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_Toc15001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06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_Toc10506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20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_Toc20220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81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_Toc23881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49" w:history="1">
        <w:r>
          <w:rPr>
            <w:rFonts w:ascii="仿宋" w:eastAsia="仿宋" w:hAnsi="仿宋" w:cs="仿宋" w:hint="eastAsia"/>
            <w:lang w:eastAsia="zh-CN"/>
          </w:rPr>
          <w:t>(七)、天然气液化装置项目建设必要性分析</w:t>
        </w:r>
        <w:r>
          <w:tab/>
        </w:r>
        <w:r>
          <w:fldChar w:fldCharType="begin"/>
        </w:r>
        <w:r>
          <w:instrText xml:space="preserve"> PAGEREF _Toc30249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14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_Toc21414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74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_Toc10374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81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_Toc28881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09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_Toc22109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93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_Toc28893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10" w:history="1">
        <w:r>
          <w:rPr>
            <w:rFonts w:ascii="仿宋" w:eastAsia="仿宋" w:hAnsi="仿宋" w:cs="仿宋" w:hint="eastAsia"/>
            <w:lang w:eastAsia="zh-CN"/>
          </w:rPr>
          <w:t>(一)、天然气液化装置项目背景分析</w:t>
        </w:r>
        <w:r>
          <w:tab/>
        </w:r>
        <w:r>
          <w:fldChar w:fldCharType="begin"/>
        </w:r>
        <w:r>
          <w:instrText xml:space="preserve"> PAGEREF _Toc27810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50" w:history="1">
        <w:r>
          <w:rPr>
            <w:rFonts w:ascii="仿宋" w:eastAsia="仿宋" w:hAnsi="仿宋" w:cs="仿宋" w:hint="eastAsia"/>
            <w:lang w:eastAsia="zh-CN"/>
          </w:rPr>
          <w:t>(二)、天然气液化装置项目建设必要性分析</w:t>
        </w:r>
        <w:r>
          <w:tab/>
        </w:r>
        <w:r>
          <w:fldChar w:fldCharType="begin"/>
        </w:r>
        <w:r>
          <w:instrText xml:space="preserve"> PAGEREF _Toc20850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78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_Toc11478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5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_Toc1695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06" w:history="1">
        <w:r>
          <w:rPr>
            <w:rFonts w:ascii="仿宋" w:eastAsia="仿宋" w:hAnsi="仿宋" w:cs="仿宋" w:hint="eastAsia"/>
            <w:lang w:eastAsia="zh-CN"/>
          </w:rPr>
          <w:t>七、天然气液化装置项目经济效益</w:t>
        </w:r>
        <w:r>
          <w:tab/>
        </w:r>
        <w:r>
          <w:fldChar w:fldCharType="begin"/>
        </w:r>
        <w:r>
          <w:instrText xml:space="preserve"> PAGEREF _Toc22806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35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_Toc5935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53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_Toc32153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5772" w:history="1">
        <w:r>
          <w:rPr>
            <w:rFonts w:ascii="仿宋" w:eastAsia="仿宋" w:hAnsi="仿宋" w:cs="仿宋" w:hint="eastAsia"/>
            <w:lang w:eastAsia="zh-CN"/>
          </w:rPr>
          <w:t>(三)、天然气液化装置项目盈利能力分析</w:t>
        </w:r>
        <w:r>
          <w:tab/>
        </w:r>
        <w:r>
          <w:fldChar w:fldCharType="begin"/>
        </w:r>
        <w:r>
          <w:instrText xml:space="preserve"> PAGEREF _Toc25772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51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_Toc11051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28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_Toc17528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91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_Toc21091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90" w:history="1">
        <w:r>
          <w:rPr>
            <w:rFonts w:ascii="仿宋" w:eastAsia="仿宋" w:hAnsi="仿宋" w:cs="仿宋" w:hint="eastAsia"/>
            <w:lang w:eastAsia="zh-CN"/>
          </w:rPr>
          <w:t>八、天然气液化装置项目风险分析</w:t>
        </w:r>
        <w:r>
          <w:tab/>
        </w:r>
        <w:r>
          <w:fldChar w:fldCharType="begin"/>
        </w:r>
        <w:r>
          <w:instrText xml:space="preserve"> PAGEREF _Toc31390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86" w:history="1">
        <w:r>
          <w:rPr>
            <w:rFonts w:ascii="仿宋" w:eastAsia="仿宋" w:hAnsi="仿宋" w:cs="仿宋" w:hint="eastAsia"/>
            <w:lang w:eastAsia="zh-CN"/>
          </w:rPr>
          <w:t>(一)、天然气液化装置项目风险分析</w:t>
        </w:r>
        <w:r>
          <w:tab/>
        </w:r>
        <w:r>
          <w:fldChar w:fldCharType="begin"/>
        </w:r>
        <w:r>
          <w:instrText xml:space="preserve"> PAGEREF _Toc11686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28" w:history="1">
        <w:r>
          <w:rPr>
            <w:rFonts w:ascii="仿宋" w:eastAsia="仿宋" w:hAnsi="仿宋" w:cs="仿宋" w:hint="eastAsia"/>
            <w:lang w:eastAsia="zh-CN"/>
          </w:rPr>
          <w:t>(二)、天然气液化装置项目风险对策</w:t>
        </w:r>
        <w:r>
          <w:tab/>
        </w:r>
        <w:r>
          <w:fldChar w:fldCharType="begin"/>
        </w:r>
        <w:r>
          <w:instrText xml:space="preserve"> PAGEREF _Toc27728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89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_Toc22589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66" w:history="1">
        <w:r>
          <w:rPr>
            <w:rFonts w:ascii="仿宋" w:eastAsia="仿宋" w:hAnsi="仿宋" w:cs="仿宋" w:hint="eastAsia"/>
            <w:lang w:eastAsia="zh-CN"/>
          </w:rPr>
          <w:t>(一)、天然气液化装置项目进度安排</w:t>
        </w:r>
        <w:r>
          <w:tab/>
        </w:r>
        <w:r>
          <w:fldChar w:fldCharType="begin"/>
        </w:r>
        <w:r>
          <w:instrText xml:space="preserve"> PAGEREF _Toc20266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38" w:history="1">
        <w:r>
          <w:rPr>
            <w:rFonts w:ascii="仿宋" w:eastAsia="仿宋" w:hAnsi="仿宋" w:cs="仿宋" w:hint="eastAsia"/>
            <w:lang w:eastAsia="zh-CN"/>
          </w:rPr>
          <w:t>(二)、天然气液化装置项目实施保障措施</w:t>
        </w:r>
        <w:r>
          <w:tab/>
        </w:r>
        <w:r>
          <w:fldChar w:fldCharType="begin"/>
        </w:r>
        <w:r>
          <w:instrText xml:space="preserve"> PAGEREF _Toc25338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3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_Toc943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67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_Toc31567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07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_Toc31907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24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_Toc8124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25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_Toc25125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4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_Toc29945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07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_Toc22207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83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_Toc10583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61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_Toc13761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_Toc32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8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_Toc7582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21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_Toc11521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09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_Toc28209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82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_Toc10182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96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_Toc25096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42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_Toc8942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86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_Toc25386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66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_Toc25566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03" w:history="1">
        <w:r>
          <w:rPr>
            <w:rFonts w:ascii="仿宋" w:eastAsia="仿宋" w:hAnsi="仿宋" w:cs="仿宋" w:hint="eastAsia"/>
            <w:lang w:eastAsia="zh-CN"/>
          </w:rPr>
          <w:t>十二、天然气液化装置项目总结分析</w:t>
        </w:r>
        <w:r>
          <w:tab/>
        </w:r>
        <w:r>
          <w:fldChar w:fldCharType="begin"/>
        </w:r>
        <w:r>
          <w:instrText xml:space="preserve"> PAGEREF _Toc32503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23" w:history="1">
        <w:r>
          <w:rPr>
            <w:rFonts w:ascii="仿宋" w:eastAsia="仿宋" w:hAnsi="仿宋" w:cs="仿宋" w:hint="eastAsia"/>
            <w:lang w:eastAsia="zh-CN"/>
          </w:rPr>
          <w:t>十三、社会和环境责任</w:t>
        </w:r>
        <w:r>
          <w:tab/>
        </w:r>
        <w:r>
          <w:fldChar w:fldCharType="begin"/>
        </w:r>
        <w:r>
          <w:instrText xml:space="preserve"> PAGEREF _Toc29123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59" w:history="1">
        <w:r>
          <w:rPr>
            <w:rFonts w:ascii="仿宋" w:eastAsia="仿宋" w:hAnsi="仿宋" w:cs="仿宋" w:hint="eastAsia"/>
            <w:lang w:eastAsia="zh-CN"/>
          </w:rPr>
          <w:t>(一)、社会责任天然气液化装置项目</w:t>
        </w:r>
        <w:r>
          <w:tab/>
        </w:r>
        <w:r>
          <w:fldChar w:fldCharType="begin"/>
        </w:r>
        <w:r>
          <w:instrText xml:space="preserve"> PAGEREF _Toc14859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14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_Toc30814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41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_Toc19541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8648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0341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1584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https://d.book118.com/568010130016006031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天然气液化装置行业相关公司筹备报告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天然气液化装置行业相关公司筹备报告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天然气液化装置行业相关公司筹备报告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天然气液化装置行业相关公司筹备报告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天然气液化装置行业相关公司筹备报告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568010130016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2024-01-03T21:52:00Z</dcterms:created>
  <dcterms:modified xsi:type="dcterms:W3CDTF">2024-01-03T21:52:40Z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7760080E52624D1E9FE1612F9E7B75A6_11</vt:lpwstr>
  </property>
  <property fmtid="{D5CDD505-2E9C-101B-9397-08002B2CF9AE}" pid="3" name="KSOProductBuildVer">
    <vt:lpwstr>2052-12.1.0.16120</vt:lpwstr>
  </property>
</Properties>
</file>