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48" w:line="215" w:lineRule="auto"/>
        <w:ind w:left="9083"/>
        <w:rPr>
          <w:sz w:val="24"/>
          <w:szCs w:val="24"/>
        </w:rPr>
      </w:pPr>
      <w:r>
        <w:pict>
          <v:rect id="_x0000_s1025" style="width:176.25pt;height:585.35pt;margin-top:163.34pt;margin-left:36.75pt;mso-position-horizontal-relative:page;mso-position-vertical-relative:page;position:absolute;z-index:251662336" o:allowincell="f" filled="t" fillcolor="#f2f2f2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35.65pt;height:61.5pt;margin-top:253.24pt;margin-left:54.74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2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6"/>
                      <w:sz w:val="24"/>
                      <w:szCs w:val="24"/>
                      <w14:textOutline w14:w="435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相关研究报告：</w:t>
                  </w:r>
                </w:p>
                <w:p>
                  <w:pPr>
                    <w:pStyle w:val="BodyText"/>
                    <w:spacing w:before="269" w:line="389" w:lineRule="exact"/>
                    <w:ind w:left="34"/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3"/>
                    </w:rPr>
                    <w:t>1.</w:t>
                  </w:r>
                  <w:r>
                    <w:rPr>
                      <w:spacing w:val="-2"/>
                      <w:position w:val="13"/>
                    </w:rPr>
                    <w:t>《科技创新型企业信用评级</w:t>
                  </w:r>
                </w:p>
                <w:p>
                  <w:pPr>
                    <w:pStyle w:val="BodyText"/>
                    <w:spacing w:line="213" w:lineRule="auto"/>
                    <w:ind w:left="2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6"/>
                    </w:rPr>
                    <w:t>方法研究》，</w:t>
                  </w:r>
                  <w:r>
                    <w:rPr>
                      <w:spacing w:val="-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2023.07.14</w:t>
                  </w:r>
                </w:p>
              </w:txbxContent>
            </v:textbox>
          </v:shape>
        </w:pict>
      </w:r>
      <w:r>
        <w:pict>
          <v:shape id="_x0000_s1027" style="width:141.2pt;height:1.05pt;margin-top:242.35pt;margin-left:55.35pt;mso-position-horizontal-relative:page;mso-position-vertical-relative:page;position:absolute;z-index:251663360" coordorigin="0,0" coordsize="2823,20" o:allowincell="f" path="m,10l2823,10e" filled="f" strokecolor="black" strokeweight="1pt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455129</wp:posOffset>
            </wp:positionH>
            <wp:positionV relativeFrom="page">
              <wp:posOffset>485442</wp:posOffset>
            </wp:positionV>
            <wp:extent cx="1403847" cy="372381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3847" cy="372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33657</wp:posOffset>
            </wp:positionH>
            <wp:positionV relativeFrom="page">
              <wp:posOffset>1022477</wp:posOffset>
            </wp:positionV>
            <wp:extent cx="7525382" cy="571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2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39513"/>
          <w:sz w:val="24"/>
          <w:szCs w:val="24"/>
          <w14:textOutline w14:w="4354">
            <w14:solidFill>
              <w14:srgbClr w14:val="C39513"/>
            </w14:solidFill>
            <w14:prstDash w14:val="solid"/>
            <w14:miter w14:lim="10"/>
          </w14:textOutline>
        </w:rPr>
        <w:t>远东研究·评级方法</w:t>
      </w:r>
    </w:p>
    <w:p>
      <w:pPr>
        <w:pStyle w:val="BodyText"/>
        <w:spacing w:before="212" w:line="228" w:lineRule="auto"/>
        <w:ind w:left="9972"/>
        <w:rPr>
          <w:sz w:val="15"/>
          <w:szCs w:val="15"/>
        </w:rPr>
      </w:pPr>
      <w:r>
        <w:rPr>
          <w:rFonts w:ascii="Times New Roman" w:eastAsia="Times New Roman" w:hAnsi="Times New Roman" w:cs="Times New Roman"/>
          <w:b/>
          <w:bCs/>
          <w:color w:val="7F7F7F"/>
          <w:spacing w:val="2"/>
          <w:sz w:val="15"/>
          <w:szCs w:val="15"/>
        </w:rPr>
        <w:t>2024</w:t>
      </w:r>
      <w:r>
        <w:rPr>
          <w:rFonts w:ascii="Times New Roman" w:eastAsia="Times New Roman" w:hAnsi="Times New Roman" w:cs="Times New Roman"/>
          <w:b/>
          <w:bCs/>
          <w:color w:val="7F7F7F"/>
          <w:spacing w:val="14"/>
          <w:w w:val="101"/>
          <w:sz w:val="15"/>
          <w:szCs w:val="15"/>
        </w:rPr>
        <w:t xml:space="preserve"> </w:t>
      </w:r>
      <w:r>
        <w:rPr>
          <w:color w:val="7F7F7F"/>
          <w:spacing w:val="2"/>
          <w:sz w:val="15"/>
          <w:szCs w:val="15"/>
          <w14:textOutline w14:w="2873">
            <w14:solidFill>
              <w14:srgbClr w14:val="7F7F7F"/>
            </w14:solidFill>
            <w14:prstDash w14:val="solid"/>
            <w14:miter w14:lim="10"/>
          </w14:textOutline>
        </w:rPr>
        <w:t>年</w:t>
      </w:r>
      <w:r>
        <w:rPr>
          <w:color w:val="7F7F7F"/>
          <w:spacing w:val="-2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7F7F7F"/>
          <w:spacing w:val="2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b/>
          <w:bCs/>
          <w:color w:val="7F7F7F"/>
          <w:spacing w:val="17"/>
          <w:w w:val="101"/>
          <w:sz w:val="15"/>
          <w:szCs w:val="15"/>
        </w:rPr>
        <w:t xml:space="preserve"> </w:t>
      </w:r>
      <w:r>
        <w:rPr>
          <w:color w:val="7F7F7F"/>
          <w:spacing w:val="2"/>
          <w:sz w:val="15"/>
          <w:szCs w:val="15"/>
          <w14:textOutline w14:w="2873">
            <w14:solidFill>
              <w14:srgbClr w14:val="7F7F7F"/>
            </w14:solidFill>
            <w14:prstDash w14:val="solid"/>
            <w14:miter w14:lim="10"/>
          </w14:textOutline>
        </w:rPr>
        <w:t>月</w:t>
      </w:r>
      <w:r>
        <w:rPr>
          <w:color w:val="7F7F7F"/>
          <w:spacing w:val="-3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7F7F7F"/>
          <w:spacing w:val="2"/>
          <w:sz w:val="15"/>
          <w:szCs w:val="15"/>
        </w:rPr>
        <w:t xml:space="preserve">26  </w:t>
      </w:r>
      <w:r>
        <w:rPr>
          <w:color w:val="7F7F7F"/>
          <w:spacing w:val="2"/>
          <w:sz w:val="15"/>
          <w:szCs w:val="15"/>
          <w14:textOutline w14:w="2873">
            <w14:solidFill>
              <w14:srgbClr w14:val="7F7F7F"/>
            </w14:solidFill>
            <w14:prstDash w14:val="solid"/>
            <w14:miter w14:lim="10"/>
          </w14:textOutline>
        </w:rPr>
        <w:t>日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04" w:line="216" w:lineRule="auto"/>
        <w:ind w:left="5403"/>
        <w:outlineLvl w:val="0"/>
        <w:rPr>
          <w:sz w:val="32"/>
          <w:szCs w:val="32"/>
        </w:rPr>
      </w:pPr>
      <w:r>
        <w:pict>
          <v:shape id="_x0000_s1028" type="#_x0000_t202" style="width:114.95pt;height:28.35pt;margin-top:-1.33pt;margin-left:38.53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8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color w:val="FFFFFF"/>
                      <w:spacing w:val="-18"/>
                      <w:sz w:val="18"/>
                      <w:szCs w:val="18"/>
                      <w14:textOutline w14:w="3309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作者：</w:t>
                  </w:r>
                  <w:r>
                    <w:rPr>
                      <w:color w:val="FFFFFF"/>
                      <w:spacing w:val="23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FFFFFF"/>
                      <w:spacing w:val="-18"/>
                      <w:sz w:val="18"/>
                      <w:szCs w:val="18"/>
                      <w14:textOutline w14:w="3309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申学峰</w:t>
                  </w:r>
                </w:p>
                <w:p>
                  <w:pPr>
                    <w:pStyle w:val="BodyText"/>
                    <w:spacing w:before="104" w:line="215" w:lineRule="auto"/>
                    <w:ind w:left="2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color w:val="FFFFFF"/>
                      <w:spacing w:val="-1"/>
                      <w:sz w:val="18"/>
                      <w:szCs w:val="18"/>
                      <w14:textOutline w14:w="3309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邮箱：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pacing w:val="-1"/>
                      <w:sz w:val="18"/>
                      <w:szCs w:val="18"/>
                    </w:rPr>
                    <w:t>research@fecr.com.cn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-504684</wp:posOffset>
            </wp:positionV>
            <wp:extent cx="7559038" cy="10795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9038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1"/>
          <w:sz w:val="32"/>
          <w:szCs w:val="32"/>
          <w14:textOutline w14:w="5834">
            <w14:solidFill>
              <w14:srgbClr w14:val="FFFFFF"/>
            </w14:solidFill>
            <w14:prstDash w14:val="solid"/>
            <w14:miter w14:lim="10"/>
          </w14:textOutline>
        </w:rPr>
        <w:t>科技型企业信用评级方法与模型探究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78" w:lineRule="exact"/>
      </w:pPr>
      <w:r>
        <w:rPr>
          <w:position w:val="-1"/>
        </w:rPr>
        <w:drawing>
          <wp:inline distT="0" distB="0" distL="0" distR="0">
            <wp:extent cx="7559040" cy="4965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49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8" w:lineRule="exact"/>
        <w:sectPr>
          <w:footerReference w:type="default" r:id="rId8"/>
          <w:pgSz w:w="11905" w:h="16839"/>
          <w:pgMar w:top="672" w:right="0" w:bottom="1356" w:left="0" w:header="0" w:footer="727" w:gutter="0"/>
          <w:cols w:num="1" w:space="708" w:equalWidth="0">
            <w:col w:w="11905" w:space="0"/>
          </w:cols>
        </w:sectPr>
      </w:pPr>
    </w:p>
    <w:p/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33" w:line="223" w:lineRule="auto"/>
        <w:ind w:left="2384"/>
        <w:rPr>
          <w:sz w:val="27"/>
          <w:szCs w:val="27"/>
        </w:rPr>
      </w:pPr>
      <w:r>
        <w:rPr>
          <w:spacing w:val="-1"/>
          <w:sz w:val="27"/>
          <w:szCs w:val="27"/>
          <w14:textOutline w14:w="5050">
            <w14:solidFill>
              <w14:srgbClr w14:val="000000"/>
            </w14:solidFill>
            <w14:prstDash w14:val="solid"/>
            <w14:miter w14:lim="10"/>
          </w14:textOutline>
        </w:rPr>
        <w:t>摘</w:t>
      </w:r>
      <w:r>
        <w:rPr>
          <w:spacing w:val="22"/>
          <w:sz w:val="27"/>
          <w:szCs w:val="27"/>
        </w:rPr>
        <w:t xml:space="preserve"> </w:t>
      </w:r>
      <w:r>
        <w:rPr>
          <w:spacing w:val="-1"/>
          <w:sz w:val="27"/>
          <w:szCs w:val="27"/>
          <w14:textOutline w14:w="5050">
            <w14:solidFill>
              <w14:srgbClr w14:val="000000"/>
            </w14:solidFill>
            <w14:prstDash w14:val="solid"/>
            <w14:miter w14:lim="10"/>
          </w14:textOutline>
        </w:rPr>
        <w:t>要</w:t>
      </w:r>
    </w:p>
    <w:p>
      <w:pPr>
        <w:pStyle w:val="BodyText"/>
        <w:spacing w:before="190" w:line="285" w:lineRule="auto"/>
        <w:ind w:left="1" w:right="1232" w:firstLine="428"/>
        <w:jc w:val="both"/>
      </w:pPr>
      <w:r>
        <w:rPr>
          <w:spacing w:val="-4"/>
        </w:rPr>
        <w:t>近年来相关政策大力支持科技型企业债务融资，但是科技</w:t>
      </w:r>
      <w:r>
        <w:rPr>
          <w:spacing w:val="2"/>
        </w:rPr>
        <w:t xml:space="preserve"> </w:t>
      </w:r>
      <w:r>
        <w:rPr>
          <w:spacing w:val="-5"/>
        </w:rPr>
        <w:t>产业内涵丰富，</w:t>
      </w:r>
      <w:r>
        <w:rPr>
          <w:spacing w:val="-5"/>
        </w:rPr>
        <w:t xml:space="preserve"> </w:t>
      </w:r>
      <w:r>
        <w:rPr>
          <w:spacing w:val="-5"/>
        </w:rPr>
        <w:t>需要准确界定科技型企业范围。参考科创板、</w:t>
      </w:r>
      <w:r>
        <w:rPr>
          <w:spacing w:val="5"/>
        </w:rPr>
        <w:t xml:space="preserve"> </w:t>
      </w:r>
      <w:r>
        <w:rPr>
          <w:spacing w:val="-4"/>
        </w:rPr>
        <w:t>科创债发行规则，可以首先限定科技型企业应属于高新技术产</w:t>
      </w:r>
      <w:r>
        <w:rPr>
          <w:spacing w:val="18"/>
        </w:rPr>
        <w:t xml:space="preserve"> </w:t>
      </w:r>
      <w:r>
        <w:rPr>
          <w:spacing w:val="-4"/>
        </w:rPr>
        <w:t>业和战略性新兴产业。进一步地，可以通过研发投入、研发人</w:t>
      </w:r>
      <w:r>
        <w:rPr>
          <w:spacing w:val="18"/>
        </w:rPr>
        <w:t xml:space="preserve"> </w:t>
      </w:r>
      <w:r>
        <w:rPr>
          <w:spacing w:val="-7"/>
        </w:rPr>
        <w:t>员等指标，</w:t>
      </w:r>
      <w:r>
        <w:rPr>
          <w:spacing w:val="-7"/>
        </w:rPr>
        <w:t xml:space="preserve"> </w:t>
      </w:r>
      <w:r>
        <w:rPr>
          <w:spacing w:val="-7"/>
        </w:rPr>
        <w:t>或科技创新称号、具体核心技术等方面来判断科技</w:t>
      </w:r>
      <w:r>
        <w:t xml:space="preserve"> </w:t>
      </w:r>
      <w:r>
        <w:rPr>
          <w:spacing w:val="-6"/>
        </w:rPr>
        <w:t>属性。</w:t>
      </w:r>
    </w:p>
    <w:p>
      <w:pPr>
        <w:pStyle w:val="BodyText"/>
        <w:spacing w:before="248" w:line="289" w:lineRule="auto"/>
        <w:ind w:right="1247" w:firstLine="456"/>
        <w:jc w:val="both"/>
      </w:pPr>
      <w:r>
        <w:rPr>
          <w:spacing w:val="3"/>
        </w:rPr>
        <w:t>以科创板上市公司为样本分析科技型企业特征，可以看</w:t>
      </w:r>
      <w:r>
        <w:rPr>
          <w:spacing w:val="8"/>
        </w:rPr>
        <w:t xml:space="preserve"> </w:t>
      </w:r>
      <w:r>
        <w:rPr>
          <w:spacing w:val="-6"/>
        </w:rPr>
        <w:t>出：科技型企业营业收入增速明显高于一般企业，</w:t>
      </w:r>
      <w:r>
        <w:rPr>
          <w:spacing w:val="-29"/>
        </w:rPr>
        <w:t xml:space="preserve"> </w:t>
      </w:r>
      <w:r>
        <w:rPr>
          <w:spacing w:val="-6"/>
        </w:rPr>
        <w:t>具有</w:t>
      </w:r>
      <w:r>
        <w:rPr>
          <w:spacing w:val="-7"/>
        </w:rPr>
        <w:t>高成长</w:t>
      </w:r>
      <w:r>
        <w:t xml:space="preserve"> </w:t>
      </w:r>
      <w:r>
        <w:rPr>
          <w:spacing w:val="-4"/>
        </w:rPr>
        <w:t>特征；科技型企业销售费用、管理费用、研发费用在经常性业</w:t>
      </w:r>
      <w:r>
        <w:rPr>
          <w:spacing w:val="17"/>
        </w:rPr>
        <w:t xml:space="preserve"> </w:t>
      </w:r>
      <w:r>
        <w:rPr>
          <w:spacing w:val="-6"/>
        </w:rPr>
        <w:t>务成本中的占比较高，可能更需要进行产品推广，</w:t>
      </w:r>
      <w:r>
        <w:rPr>
          <w:spacing w:val="-33"/>
        </w:rPr>
        <w:t xml:space="preserve"> </w:t>
      </w:r>
      <w:r>
        <w:rPr>
          <w:spacing w:val="-6"/>
        </w:rPr>
        <w:t>对经营管理</w:t>
      </w:r>
      <w:r>
        <w:t xml:space="preserve"> </w:t>
      </w:r>
      <w:r>
        <w:rPr>
          <w:spacing w:val="-6"/>
        </w:rPr>
        <w:t>水平要求也更高，</w:t>
      </w:r>
      <w:r>
        <w:rPr>
          <w:spacing w:val="-37"/>
        </w:rPr>
        <w:t xml:space="preserve"> </w:t>
      </w:r>
      <w:r>
        <w:rPr>
          <w:spacing w:val="-6"/>
        </w:rPr>
        <w:t>并且需要更多研发投入来维持实力；科创板</w:t>
      </w:r>
      <w:r>
        <w:t xml:space="preserve"> </w:t>
      </w:r>
      <w:r>
        <w:rPr>
          <w:spacing w:val="-4"/>
        </w:rPr>
        <w:t>公司的整体负债率低于一般企业，且负债中有息负债的占比要</w:t>
      </w:r>
      <w:r>
        <w:rPr>
          <w:spacing w:val="18"/>
        </w:rPr>
        <w:t xml:space="preserve"> </w:t>
      </w:r>
      <w:r>
        <w:rPr>
          <w:spacing w:val="-2"/>
        </w:rPr>
        <w:t>更低，资本主要来自权益投资；科创板覆盖的行业类型众多，</w:t>
      </w:r>
      <w:r>
        <w:rPr>
          <w:spacing w:val="10"/>
        </w:rPr>
        <w:t xml:space="preserve"> </w:t>
      </w:r>
      <w:r>
        <w:t>不同行业在竞争格局、产业周期等方面各具特点。</w:t>
      </w:r>
    </w:p>
    <w:p>
      <w:pPr>
        <w:pStyle w:val="BodyText"/>
        <w:spacing w:before="310" w:line="343" w:lineRule="auto"/>
        <w:ind w:left="3" w:right="1292" w:firstLine="430"/>
        <w:jc w:val="both"/>
      </w:pPr>
      <w:r>
        <w:rPr>
          <w:spacing w:val="-8"/>
        </w:rPr>
        <w:t>结合科技型企业特征，</w:t>
      </w:r>
      <w:r>
        <w:rPr>
          <w:spacing w:val="-8"/>
        </w:rPr>
        <w:t xml:space="preserve"> </w:t>
      </w:r>
      <w:r>
        <w:rPr>
          <w:spacing w:val="-8"/>
        </w:rPr>
        <w:t>可以从科技创新实力、业务经营状</w:t>
      </w:r>
      <w:r>
        <w:t xml:space="preserve"> </w:t>
      </w:r>
      <w:r>
        <w:rPr>
          <w:spacing w:val="-4"/>
        </w:rPr>
        <w:t>况、财务杠杆与偿债能力等角度选取指标来评价信用风险。其</w:t>
      </w:r>
      <w:r>
        <w:rPr>
          <w:spacing w:val="12"/>
        </w:rPr>
        <w:t xml:space="preserve"> </w:t>
      </w:r>
      <w:r>
        <w:rPr>
          <w:spacing w:val="-4"/>
        </w:rPr>
        <w:t>中，科技创新实力可以考虑用研发支出、研发人员等数据来评</w:t>
      </w:r>
      <w:r>
        <w:rPr>
          <w:spacing w:val="16"/>
        </w:rPr>
        <w:t xml:space="preserve"> </w:t>
      </w:r>
      <w:r>
        <w:rPr>
          <w:spacing w:val="-4"/>
        </w:rPr>
        <w:t>价，此外企业拥有的知识产权、科技相关资质荣誉等也可以反</w:t>
      </w:r>
      <w:r>
        <w:rPr>
          <w:spacing w:val="15"/>
        </w:rPr>
        <w:t xml:space="preserve"> </w:t>
      </w:r>
      <w:r>
        <w:rPr>
          <w:spacing w:val="-6"/>
        </w:rPr>
        <w:t>映科技创新实力。业务经营状况主要反映企业的经</w:t>
      </w:r>
      <w:r>
        <w:rPr>
          <w:spacing w:val="-7"/>
        </w:rPr>
        <w:t>营风险，</w:t>
      </w:r>
      <w:r>
        <w:rPr>
          <w:spacing w:val="-36"/>
        </w:rPr>
        <w:t xml:space="preserve"> </w:t>
      </w:r>
      <w:r>
        <w:rPr>
          <w:spacing w:val="-7"/>
        </w:rPr>
        <w:t>可</w:t>
      </w:r>
      <w:r>
        <w:t xml:space="preserve"> </w:t>
      </w:r>
      <w:r>
        <w:rPr>
          <w:spacing w:val="-4"/>
        </w:rPr>
        <w:t>以从市场地位、业务多样性、业务发展潜力、经营规模等角度</w:t>
      </w:r>
      <w:r>
        <w:rPr>
          <w:spacing w:val="15"/>
        </w:rPr>
        <w:t xml:space="preserve"> </w:t>
      </w:r>
      <w:r>
        <w:rPr>
          <w:spacing w:val="-4"/>
        </w:rPr>
        <w:t>来评价。财务杠杆可以用资产负债率、总债务资本化比率等指</w:t>
      </w:r>
      <w:r>
        <w:rPr>
          <w:spacing w:val="16"/>
        </w:rPr>
        <w:t xml:space="preserve"> </w:t>
      </w:r>
      <w:r>
        <w:rPr>
          <w:spacing w:val="-4"/>
        </w:rPr>
        <w:t>标来衡量，偿债能力可以用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EBITDA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spacing w:val="-4"/>
        </w:rPr>
        <w:t>利息保障倍数、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CFO/</w:t>
      </w:r>
      <w:r>
        <w:rPr>
          <w:spacing w:val="-4"/>
        </w:rPr>
        <w:t>总</w:t>
      </w:r>
      <w:r>
        <w:t xml:space="preserve"> </w:t>
      </w:r>
      <w:r>
        <w:rPr>
          <w:spacing w:val="-4"/>
        </w:rPr>
        <w:t>债务等指标来衡量。此外，评价科技型企业信用风险还应当考</w:t>
      </w:r>
    </w:p>
    <w:p>
      <w:pPr>
        <w:pStyle w:val="BodyText"/>
        <w:spacing w:line="216" w:lineRule="auto"/>
        <w:ind w:left="11"/>
      </w:pPr>
      <w:r>
        <w:rPr>
          <w:spacing w:val="-1"/>
        </w:rPr>
        <w:t>虑管理团队经验与管理质量、国家战略支持政策等其他因</w:t>
      </w:r>
      <w:r>
        <w:rPr>
          <w:spacing w:val="-2"/>
        </w:rPr>
        <w:t>素。</w:t>
      </w:r>
    </w:p>
    <w:p>
      <w:pPr>
        <w:pStyle w:val="BodyText"/>
        <w:spacing w:before="239" w:line="283" w:lineRule="auto"/>
        <w:ind w:right="1234" w:firstLine="442"/>
        <w:jc w:val="both"/>
        <w:sectPr>
          <w:footerReference w:type="default" r:id="rId9"/>
          <w:type w:val="continuous"/>
          <w:pgSz w:w="11905" w:h="16839"/>
          <w:pgMar w:top="672" w:right="0" w:bottom="1356" w:left="0" w:header="0" w:footer="727" w:gutter="0"/>
          <w:pgNumType w:start="2"/>
          <w:cols w:num="2" w:space="708" w:equalWidth="0">
            <w:col w:w="4929" w:space="100"/>
            <w:col w:w="6876" w:space="0"/>
          </w:cols>
        </w:sectPr>
      </w:pPr>
      <w:r>
        <w:rPr>
          <w:spacing w:val="-10"/>
        </w:rPr>
        <w:t>总体而言，科技型企业行业跨度大，产业更新迭代速度</w:t>
      </w:r>
      <w:r>
        <w:rPr>
          <w:spacing w:val="-11"/>
        </w:rPr>
        <w:t>快，</w:t>
      </w:r>
      <w:r>
        <w:t xml:space="preserve"> </w:t>
      </w:r>
      <w:r>
        <w:rPr>
          <w:spacing w:val="-6"/>
        </w:rPr>
        <w:t>相关领域专业性强，</w:t>
      </w:r>
      <w:r>
        <w:rPr>
          <w:spacing w:val="-25"/>
        </w:rPr>
        <w:t xml:space="preserve"> </w:t>
      </w:r>
      <w:r>
        <w:rPr>
          <w:spacing w:val="-6"/>
        </w:rPr>
        <w:t>给信用评级带来困难。可</w:t>
      </w:r>
      <w:r>
        <w:rPr>
          <w:spacing w:val="-7"/>
        </w:rPr>
        <w:t>以考虑引入科技</w:t>
      </w:r>
      <w:r>
        <w:t xml:space="preserve"> </w:t>
      </w:r>
    </w:p>
    <w:p>
      <w:pPr>
        <w:pStyle w:val="BodyText"/>
        <w:spacing w:before="239" w:line="283" w:lineRule="auto"/>
        <w:ind w:right="1234" w:firstLine="442"/>
        <w:jc w:val="both"/>
      </w:pPr>
      <w:r>
        <w:rPr>
          <w:spacing w:val="-4"/>
        </w:rPr>
        <w:t>领域专家提供评价指导，参考相关专业人士的意见来评估定性</w:t>
      </w:r>
      <w:r>
        <w:rPr>
          <w:spacing w:val="18"/>
        </w:rPr>
        <w:t xml:space="preserve"> </w:t>
      </w:r>
      <w:r>
        <w:rPr>
          <w:spacing w:val="-2"/>
        </w:rPr>
        <w:t>指标。为了尽可能做出前瞻性评估，除关注行业具体特征外，</w:t>
      </w:r>
      <w:r>
        <w:rPr>
          <w:spacing w:val="9"/>
        </w:rPr>
        <w:t xml:space="preserve"> </w:t>
      </w:r>
      <w:r>
        <w:rPr>
          <w:spacing w:val="-1"/>
        </w:rPr>
        <w:t>还要了解产业技术趋势和外部环境的实时变动。</w:t>
      </w:r>
    </w:p>
    <w:p>
      <w:pPr>
        <w:spacing w:line="283" w:lineRule="auto"/>
        <w:sectPr>
          <w:footerReference w:type="default" r:id="rId10"/>
          <w:type w:val="nextPage"/>
          <w:pgSz w:w="11905" w:h="16839"/>
          <w:pgMar w:top="672" w:right="0" w:bottom="1356" w:left="0" w:header="0" w:footer="727" w:gutter="0"/>
          <w:pgNumType w:start="3"/>
          <w:cols w:num="2" w:space="708" w:equalWidth="0">
            <w:col w:w="4929" w:space="100"/>
            <w:col w:w="6876" w:space="0"/>
          </w:cols>
          <w:titlePg w:val="0"/>
        </w:sectPr>
      </w:pP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88" w:line="225" w:lineRule="auto"/>
        <w:ind w:left="1263"/>
        <w:rPr>
          <w:sz w:val="27"/>
          <w:szCs w:val="27"/>
        </w:rPr>
      </w:pPr>
      <w:r>
        <w:rPr>
          <w:spacing w:val="9"/>
          <w:sz w:val="27"/>
          <w:szCs w:val="27"/>
          <w14:textOutline w14:w="5050">
            <w14:solidFill>
              <w14:srgbClr w14:val="000000"/>
            </w14:solidFill>
            <w14:prstDash w14:val="solid"/>
            <w14:miter w14:lim="10"/>
          </w14:textOutline>
        </w:rPr>
        <w:t>一、科技型企业定义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69" w:line="343" w:lineRule="auto"/>
        <w:ind w:left="694" w:right="725" w:firstLine="422"/>
        <w:jc w:val="both"/>
      </w:pPr>
      <w:r>
        <w:rPr>
          <w:spacing w:val="1"/>
        </w:rPr>
        <w:t>近年来科技产业发展在国家战略中的重要性日益凸显，针对科技产业的融</w:t>
      </w:r>
      <w:r>
        <w:t>资支持政策陆续出台。</w:t>
      </w:r>
      <w:r>
        <w:rPr>
          <w:rFonts w:ascii="Times New Roman" w:eastAsia="Times New Roman" w:hAnsi="Times New Roman" w:cs="Times New Roman"/>
        </w:rPr>
        <w:t xml:space="preserve">2019  </w:t>
      </w:r>
      <w:r>
        <w:t>年上交</w:t>
      </w:r>
      <w:r>
        <w:t xml:space="preserve"> </w:t>
      </w:r>
      <w:r>
        <w:rPr>
          <w:spacing w:val="-2"/>
        </w:rPr>
        <w:t>所设立科创板，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2021</w:t>
      </w:r>
      <w:r>
        <w:rPr>
          <w:rFonts w:ascii="Times New Roman" w:eastAsia="Times New Roman" w:hAnsi="Times New Roman" w:cs="Times New Roman"/>
          <w:spacing w:val="28"/>
          <w:w w:val="101"/>
        </w:rPr>
        <w:t xml:space="preserve"> </w:t>
      </w:r>
      <w:r>
        <w:rPr>
          <w:spacing w:val="-2"/>
        </w:rPr>
        <w:t>年沪深交易所设立科技创新公司债券，</w:t>
      </w:r>
      <w:r>
        <w:rPr>
          <w:rFonts w:ascii="Times New Roman" w:eastAsia="Times New Roman" w:hAnsi="Times New Roman" w:cs="Times New Roman"/>
          <w:spacing w:val="-2"/>
        </w:rPr>
        <w:t>2022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2"/>
        </w:rPr>
        <w:t>年交易商协会设立科创票据，未来北交所也有望</w:t>
      </w:r>
      <w:r>
        <w:t xml:space="preserve"> </w:t>
      </w:r>
      <w:r>
        <w:rPr>
          <w:spacing w:val="-4"/>
        </w:rPr>
        <w:t>为中小科技型企业提供专项债务融资渠道。鉴于科技产业内涵丰富</w:t>
      </w:r>
      <w:r>
        <w:rPr>
          <w:spacing w:val="-5"/>
        </w:rPr>
        <w:t>，</w:t>
      </w:r>
      <w:r>
        <w:rPr>
          <w:spacing w:val="-38"/>
        </w:rPr>
        <w:t xml:space="preserve"> </w:t>
      </w:r>
      <w:r>
        <w:rPr>
          <w:spacing w:val="-5"/>
        </w:rPr>
        <w:t>可以纳入科技型企业范畴的企业类型众多，</w:t>
      </w:r>
      <w:r>
        <w:rPr>
          <w:spacing w:val="-25"/>
        </w:rPr>
        <w:t xml:space="preserve"> </w:t>
      </w:r>
      <w:r>
        <w:rPr>
          <w:spacing w:val="-5"/>
        </w:rPr>
        <w:t>如</w:t>
      </w:r>
    </w:p>
    <w:p>
      <w:pPr>
        <w:pStyle w:val="BodyText"/>
        <w:spacing w:line="215" w:lineRule="auto"/>
        <w:ind w:left="691"/>
      </w:pPr>
      <w:r>
        <w:t>何准确界定科技型企业并提供融资支持成为一个</w:t>
      </w:r>
      <w:r>
        <w:rPr>
          <w:spacing w:val="-1"/>
        </w:rPr>
        <w:t>问题。</w:t>
      </w:r>
    </w:p>
    <w:p>
      <w:pPr>
        <w:pStyle w:val="BodyText"/>
        <w:spacing w:before="298" w:line="343" w:lineRule="auto"/>
        <w:ind w:left="690" w:right="725" w:firstLine="422"/>
        <w:jc w:val="both"/>
      </w:pPr>
      <w:r>
        <w:rPr>
          <w:spacing w:val="-5"/>
        </w:rPr>
        <w:t>如果参考科创板、科技创新公司债券、科创票据发行规则，</w:t>
      </w:r>
      <w:r>
        <w:rPr>
          <w:spacing w:val="-20"/>
        </w:rPr>
        <w:t xml:space="preserve"> </w:t>
      </w:r>
      <w:r>
        <w:rPr>
          <w:spacing w:val="-5"/>
        </w:rPr>
        <w:t>界定科技型企业可以</w:t>
      </w:r>
      <w:r>
        <w:rPr>
          <w:spacing w:val="-6"/>
        </w:rPr>
        <w:t>首先限定行业领域范围，</w:t>
      </w:r>
      <w:r>
        <w:rPr>
          <w:spacing w:val="-6"/>
        </w:rPr>
        <w:t xml:space="preserve"> </w:t>
      </w:r>
      <w:r>
        <w:rPr>
          <w:spacing w:val="-6"/>
        </w:rPr>
        <w:t>高新</w:t>
      </w:r>
      <w:r>
        <w:t xml:space="preserve"> </w:t>
      </w:r>
      <w:r>
        <w:rPr>
          <w:spacing w:val="-5"/>
        </w:rPr>
        <w:t>技术产业和战略性新兴产业内的企业才符合科技型定位。进一步地，</w:t>
      </w:r>
      <w:r>
        <w:rPr>
          <w:spacing w:val="-5"/>
        </w:rPr>
        <w:t xml:space="preserve"> </w:t>
      </w:r>
      <w:r>
        <w:rPr>
          <w:spacing w:val="-5"/>
        </w:rPr>
        <w:t>可以通过一些指标来刻画企业的科技属性，</w:t>
      </w:r>
      <w:r>
        <w:rPr>
          <w:spacing w:val="-24"/>
        </w:rPr>
        <w:t xml:space="preserve"> </w:t>
      </w:r>
      <w:r>
        <w:rPr>
          <w:spacing w:val="-5"/>
        </w:rPr>
        <w:t>例</w:t>
      </w:r>
      <w:r>
        <w:t xml:space="preserve"> </w:t>
      </w:r>
      <w:r>
        <w:rPr>
          <w:spacing w:val="-5"/>
        </w:rPr>
        <w:t>如研发投入、研发人员、知识产权、</w:t>
      </w:r>
      <w:r>
        <w:rPr>
          <w:spacing w:val="-47"/>
        </w:rPr>
        <w:t xml:space="preserve"> </w:t>
      </w:r>
      <w:r>
        <w:rPr>
          <w:spacing w:val="-5"/>
        </w:rPr>
        <w:t>科技业务营收的占比与增速等。</w:t>
      </w:r>
      <w:r>
        <w:rPr>
          <w:spacing w:val="-42"/>
        </w:rPr>
        <w:t xml:space="preserve"> </w:t>
      </w:r>
      <w:r>
        <w:rPr>
          <w:spacing w:val="-5"/>
        </w:rPr>
        <w:t>除此之外，</w:t>
      </w:r>
      <w:r>
        <w:rPr>
          <w:spacing w:val="-39"/>
        </w:rPr>
        <w:t xml:space="preserve"> </w:t>
      </w:r>
      <w:r>
        <w:rPr>
          <w:spacing w:val="-5"/>
        </w:rPr>
        <w:t>还可以通过企业所拥有的</w:t>
      </w:r>
      <w:r>
        <w:rPr>
          <w:spacing w:val="-6"/>
        </w:rPr>
        <w:t>科技创新</w:t>
      </w:r>
    </w:p>
    <w:p>
      <w:pPr>
        <w:pStyle w:val="BodyText"/>
        <w:spacing w:line="216" w:lineRule="auto"/>
        <w:ind w:left="692"/>
      </w:pPr>
      <w:r>
        <w:t>称号、获得的奖项、承担的重大科技项目、掌握的具体核心技术、产品的战略重要性等方面来判断企业科技属性。</w:t>
      </w:r>
    </w:p>
    <w:p>
      <w:pPr>
        <w:pStyle w:val="BodyText"/>
        <w:spacing w:before="301" w:line="389" w:lineRule="exact"/>
        <w:ind w:left="1129"/>
      </w:pPr>
      <w:r>
        <w:rPr>
          <w:spacing w:val="-6"/>
          <w:position w:val="13"/>
        </w:rPr>
        <w:t>总体而言，</w:t>
      </w:r>
      <w:r>
        <w:rPr>
          <w:spacing w:val="-6"/>
          <w:position w:val="13"/>
        </w:rPr>
        <w:t xml:space="preserve"> </w:t>
      </w:r>
      <w:r>
        <w:rPr>
          <w:spacing w:val="-6"/>
          <w:position w:val="13"/>
        </w:rPr>
        <w:t>科技产业内容丰富、类型多样，因此科技型企业的定义应当具有一定的包容性，</w:t>
      </w:r>
      <w:r>
        <w:rPr>
          <w:spacing w:val="-6"/>
          <w:position w:val="13"/>
        </w:rPr>
        <w:t xml:space="preserve"> </w:t>
      </w:r>
      <w:r>
        <w:rPr>
          <w:spacing w:val="-6"/>
          <w:position w:val="13"/>
        </w:rPr>
        <w:t>从不同角度来认定</w:t>
      </w:r>
    </w:p>
    <w:p>
      <w:pPr>
        <w:pStyle w:val="BodyText"/>
        <w:spacing w:line="218" w:lineRule="auto"/>
        <w:ind w:left="690"/>
      </w:pPr>
      <w:r>
        <w:rPr>
          <w:spacing w:val="-5"/>
        </w:rPr>
        <w:t>科技属性。</w:t>
      </w:r>
    </w:p>
    <w:p>
      <w:pPr>
        <w:pStyle w:val="BodyText"/>
        <w:spacing w:before="299" w:line="213" w:lineRule="auto"/>
        <w:ind w:left="1115"/>
      </w:pP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参考定义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1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——科创板上市公司（“科创板上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市申报及推荐暂行规定”，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2022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12</w:t>
      </w:r>
      <w:r>
        <w:rPr>
          <w:rFonts w:ascii="Times New Roman" w:eastAsia="Times New Roman" w:hAnsi="Times New Roman" w:cs="Times New Roman"/>
          <w:b/>
          <w:bCs/>
          <w:spacing w:val="14"/>
          <w:w w:val="101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月修订）</w:t>
      </w:r>
    </w:p>
    <w:p>
      <w:pPr>
        <w:pStyle w:val="BodyText"/>
        <w:spacing w:before="305" w:line="389" w:lineRule="exact"/>
        <w:ind w:left="1125"/>
      </w:pPr>
      <w:r>
        <w:rPr>
          <w:spacing w:val="-4"/>
          <w:position w:val="13"/>
        </w:rPr>
        <w:t>发行人应当属于下列行业领域的高新技术产业和战略性新兴产业：</w:t>
      </w:r>
      <w:r>
        <w:rPr>
          <w:spacing w:val="25"/>
          <w:position w:val="13"/>
        </w:rPr>
        <w:t xml:space="preserve"> </w:t>
      </w:r>
      <w:r>
        <w:rPr>
          <w:spacing w:val="-4"/>
          <w:position w:val="13"/>
        </w:rPr>
        <w:t>新一代信息技</w:t>
      </w:r>
      <w:r>
        <w:rPr>
          <w:spacing w:val="-5"/>
          <w:position w:val="13"/>
        </w:rPr>
        <w:t>术领域、高端装备领域、新材</w:t>
      </w:r>
    </w:p>
    <w:p>
      <w:pPr>
        <w:pStyle w:val="BodyText"/>
        <w:spacing w:line="213" w:lineRule="auto"/>
        <w:ind w:left="691"/>
      </w:pPr>
      <w:r>
        <w:t>料领域、新能源领域、节能环保领域、生物医药领域</w:t>
      </w:r>
      <w:r>
        <w:rPr>
          <w:spacing w:val="-1"/>
        </w:rPr>
        <w:t>，或符合科创板定位的其他领域。</w:t>
      </w:r>
    </w:p>
    <w:p>
      <w:pPr>
        <w:pStyle w:val="BodyText"/>
        <w:spacing w:before="305" w:line="342" w:lineRule="auto"/>
        <w:ind w:left="695" w:right="725" w:firstLine="445"/>
        <w:jc w:val="both"/>
      </w:pPr>
      <w:r>
        <w:rPr>
          <w:spacing w:val="-4"/>
        </w:rPr>
        <w:t>同时符合下列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4 </w:t>
      </w:r>
      <w:r>
        <w:rPr>
          <w:spacing w:val="-4"/>
        </w:rPr>
        <w:t>项指标</w:t>
      </w:r>
      <w:r>
        <w:rPr>
          <w:spacing w:val="-11"/>
        </w:rPr>
        <w:t>：</w:t>
      </w:r>
      <w:r>
        <w:rPr>
          <w:spacing w:val="-76"/>
        </w:rPr>
        <w:t xml:space="preserve"> </w:t>
      </w:r>
      <w:r>
        <w:rPr>
          <w:spacing w:val="-11"/>
        </w:rPr>
        <w:t>（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spacing w:val="-4"/>
        </w:rPr>
        <w:t>）最近三年研发投入占营业收入比例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5%</w:t>
      </w:r>
      <w:r>
        <w:rPr>
          <w:spacing w:val="-4"/>
        </w:rPr>
        <w:t>以上，</w:t>
      </w:r>
      <w:r>
        <w:rPr>
          <w:spacing w:val="-40"/>
        </w:rPr>
        <w:t xml:space="preserve"> </w:t>
      </w:r>
      <w:r>
        <w:rPr>
          <w:spacing w:val="-4"/>
        </w:rPr>
        <w:t>或者最</w:t>
      </w:r>
      <w:r>
        <w:rPr>
          <w:spacing w:val="-5"/>
        </w:rPr>
        <w:t>近三年研发投入金额累计在</w:t>
      </w:r>
      <w:r>
        <w:t xml:space="preserve"> </w:t>
      </w:r>
      <w:r>
        <w:rPr>
          <w:rFonts w:ascii="Times New Roman" w:eastAsia="Times New Roman" w:hAnsi="Times New Roman" w:cs="Times New Roman"/>
          <w:spacing w:val="-2"/>
        </w:rPr>
        <w:t>6000</w:t>
      </w:r>
      <w:r>
        <w:rPr>
          <w:rFonts w:ascii="Times New Roman" w:eastAsia="Times New Roman" w:hAnsi="Times New Roman" w:cs="Times New Roman"/>
          <w:spacing w:val="37"/>
          <w:w w:val="101"/>
        </w:rPr>
        <w:t xml:space="preserve"> </w:t>
      </w:r>
      <w:r>
        <w:rPr>
          <w:spacing w:val="-2"/>
        </w:rPr>
        <w:t>万元以上</w:t>
      </w:r>
      <w:r>
        <w:rPr>
          <w:spacing w:val="-12"/>
        </w:rPr>
        <w:t>；</w:t>
      </w:r>
      <w:r>
        <w:rPr>
          <w:spacing w:val="-9"/>
        </w:rPr>
        <w:t xml:space="preserve"> </w:t>
      </w:r>
      <w:r>
        <w:rPr>
          <w:spacing w:val="-1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）研发人员占当年员工总</w:t>
      </w:r>
      <w:r>
        <w:rPr>
          <w:spacing w:val="-3"/>
        </w:rPr>
        <w:t>数的比例不低于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10%</w:t>
      </w:r>
      <w:r>
        <w:rPr>
          <w:spacing w:val="-12"/>
        </w:rPr>
        <w:t>；（</w:t>
      </w:r>
      <w:r>
        <w:rPr>
          <w:rFonts w:ascii="Times New Roman" w:eastAsia="Times New Roman" w:hAnsi="Times New Roman" w:cs="Times New Roman"/>
          <w:spacing w:val="-3"/>
        </w:rPr>
        <w:t>3</w:t>
      </w:r>
      <w:r>
        <w:rPr>
          <w:spacing w:val="-3"/>
        </w:rPr>
        <w:t>）应用于公司主营业务的发明专利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5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-3"/>
        </w:rPr>
        <w:t>项以</w:t>
      </w:r>
    </w:p>
    <w:p>
      <w:pPr>
        <w:pStyle w:val="BodyText"/>
        <w:spacing w:line="213" w:lineRule="auto"/>
        <w:ind w:left="696"/>
      </w:pPr>
      <w:r>
        <w:rPr>
          <w:spacing w:val="-2"/>
        </w:rPr>
        <w:t>上</w:t>
      </w:r>
      <w:r>
        <w:rPr>
          <w:spacing w:val="-3"/>
        </w:rPr>
        <w:t>；</w:t>
      </w:r>
      <w:r>
        <w:rPr>
          <w:spacing w:val="-37"/>
        </w:rPr>
        <w:t xml:space="preserve"> </w:t>
      </w: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2"/>
        </w:rPr>
        <w:t>4</w:t>
      </w:r>
      <w:r>
        <w:rPr>
          <w:spacing w:val="-2"/>
        </w:rPr>
        <w:t>）最近三年营业收入复合增长率达到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20%</w:t>
      </w:r>
      <w:r>
        <w:rPr>
          <w:spacing w:val="-2"/>
        </w:rPr>
        <w:t>，或者最近一年营业收入金额达到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 </w:t>
      </w:r>
      <w:r>
        <w:rPr>
          <w:spacing w:val="-2"/>
        </w:rPr>
        <w:t>亿元。</w:t>
      </w:r>
    </w:p>
    <w:p>
      <w:pPr>
        <w:pStyle w:val="BodyText"/>
        <w:spacing w:before="303" w:line="343" w:lineRule="auto"/>
        <w:ind w:left="690" w:right="729" w:firstLine="444"/>
        <w:jc w:val="both"/>
      </w:pPr>
      <w:r>
        <w:rPr>
          <w:spacing w:val="1"/>
        </w:rPr>
        <w:t>虽未达到上述指标，但符合下列情形之一</w:t>
      </w:r>
      <w:r>
        <w:rPr>
          <w:spacing w:val="-10"/>
        </w:rPr>
        <w:t>：（</w:t>
      </w:r>
      <w:r>
        <w:rPr>
          <w:rFonts w:ascii="Times New Roman" w:eastAsia="Times New Roman" w:hAnsi="Times New Roman" w:cs="Times New Roman"/>
          <w:spacing w:val="1"/>
        </w:rPr>
        <w:t>1</w:t>
      </w:r>
      <w:r>
        <w:rPr>
          <w:spacing w:val="1"/>
        </w:rPr>
        <w:t>）拥有的核心技术经国</w:t>
      </w:r>
      <w:r>
        <w:t>家主管部门认定具有国际领先、引领作</w:t>
      </w:r>
      <w:r>
        <w:t xml:space="preserve"> </w:t>
      </w:r>
      <w:r>
        <w:rPr>
          <w:spacing w:val="1"/>
        </w:rPr>
        <w:t>用或者对于国家战略具有重大意义</w:t>
      </w:r>
      <w:r>
        <w:rPr>
          <w:spacing w:val="-7"/>
        </w:rPr>
        <w:t>；（</w:t>
      </w:r>
      <w:r>
        <w:rPr>
          <w:rFonts w:ascii="Times New Roman" w:eastAsia="Times New Roman" w:hAnsi="Times New Roman" w:cs="Times New Roman"/>
          <w:spacing w:val="1"/>
        </w:rPr>
        <w:t>2</w:t>
      </w:r>
      <w:r>
        <w:rPr>
          <w:spacing w:val="1"/>
        </w:rPr>
        <w:t>）作为主要参与单位或者核心技术人员作为主要参与人员，获得国家自然</w:t>
      </w:r>
      <w:r>
        <w:t xml:space="preserve"> </w:t>
      </w:r>
      <w:r>
        <w:rPr>
          <w:spacing w:val="1"/>
        </w:rPr>
        <w:t>科学奖、国家科技进步奖、国家技术发明奖，并将相关技术运用于主营业务</w:t>
      </w:r>
      <w:r>
        <w:rPr>
          <w:spacing w:val="-1"/>
        </w:rPr>
        <w:t>；（</w:t>
      </w:r>
      <w:r>
        <w:rPr>
          <w:rFonts w:ascii="Times New Roman" w:eastAsia="Times New Roman" w:hAnsi="Times New Roman" w:cs="Times New Roman"/>
          <w:spacing w:val="1"/>
        </w:rPr>
        <w:t>3</w:t>
      </w:r>
      <w:r>
        <w:rPr>
          <w:spacing w:val="1"/>
        </w:rPr>
        <w:t>）独</w:t>
      </w:r>
      <w:r>
        <w:t>立或者牵头承担与主营业务</w:t>
      </w:r>
      <w:r>
        <w:t xml:space="preserve"> </w:t>
      </w:r>
      <w:r>
        <w:rPr>
          <w:spacing w:val="1"/>
        </w:rPr>
        <w:t>和核心技术相关的国家重大科技专项项目</w:t>
      </w:r>
      <w:r>
        <w:rPr>
          <w:spacing w:val="-3"/>
        </w:rPr>
        <w:t>；（</w:t>
      </w:r>
      <w:r>
        <w:rPr>
          <w:rFonts w:ascii="Times New Roman" w:eastAsia="Times New Roman" w:hAnsi="Times New Roman" w:cs="Times New Roman"/>
          <w:spacing w:val="1"/>
        </w:rPr>
        <w:t>4</w:t>
      </w:r>
      <w:r>
        <w:rPr>
          <w:spacing w:val="1"/>
        </w:rPr>
        <w:t>）依靠核心技术形成的主要产品（服务</w:t>
      </w:r>
      <w:r>
        <w:rPr>
          <w:spacing w:val="-3"/>
        </w:rPr>
        <w:t>），</w:t>
      </w:r>
      <w:r>
        <w:rPr>
          <w:spacing w:val="1"/>
        </w:rPr>
        <w:t>属于</w:t>
      </w:r>
      <w:r>
        <w:t>国家鼓励、支持和</w:t>
      </w:r>
      <w:r>
        <w:rPr>
          <w:spacing w:val="2"/>
        </w:rPr>
        <w:t xml:space="preserve"> </w:t>
      </w:r>
      <w:r>
        <w:rPr>
          <w:spacing w:val="1"/>
        </w:rPr>
        <w:t>推动的关键设备、关键产品、关键零部件、关键材料等，并实现了进口替代</w:t>
      </w:r>
      <w:r>
        <w:rPr>
          <w:spacing w:val="-1"/>
        </w:rPr>
        <w:t>；（</w:t>
      </w:r>
      <w:r>
        <w:rPr>
          <w:rFonts w:ascii="Times New Roman" w:eastAsia="Times New Roman" w:hAnsi="Times New Roman" w:cs="Times New Roman"/>
          <w:spacing w:val="1"/>
        </w:rPr>
        <w:t>5</w:t>
      </w:r>
      <w:r>
        <w:rPr>
          <w:spacing w:val="1"/>
        </w:rPr>
        <w:t>）形成</w:t>
      </w:r>
      <w:r>
        <w:t>核心技术和应用于主营业</w:t>
      </w:r>
    </w:p>
    <w:p>
      <w:pPr>
        <w:pStyle w:val="BodyText"/>
        <w:spacing w:before="1" w:line="218" w:lineRule="auto"/>
        <w:ind w:left="700"/>
      </w:pPr>
      <w:r>
        <w:rPr>
          <w:spacing w:val="-7"/>
        </w:rPr>
        <w:t>务的发明专利（含国防专利）</w:t>
      </w:r>
      <w:r>
        <w:rPr>
          <w:spacing w:val="-7"/>
        </w:rPr>
        <w:t xml:space="preserve"> </w:t>
      </w:r>
      <w:r>
        <w:rPr>
          <w:spacing w:val="-7"/>
        </w:rPr>
        <w:t>合计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50 </w:t>
      </w:r>
      <w:r>
        <w:rPr>
          <w:spacing w:val="-7"/>
        </w:rPr>
        <w:t>项以上。</w:t>
      </w:r>
    </w:p>
    <w:p>
      <w:pPr>
        <w:pStyle w:val="BodyText"/>
        <w:spacing w:before="299" w:line="213" w:lineRule="auto"/>
        <w:ind w:left="1115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参考定义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2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——科技创新公司债券发行人（“上交所专项品种公司债券审核指引”</w:t>
      </w:r>
      <w:r>
        <w:rPr>
          <w:spacing w:val="-81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2023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10</w:t>
      </w:r>
      <w:r>
        <w:rPr>
          <w:rFonts w:ascii="Times New Roman" w:eastAsia="Times New Roman" w:hAnsi="Times New Roman" w:cs="Times New Roman"/>
          <w:b/>
          <w:bCs/>
          <w:spacing w:val="13"/>
          <w:w w:val="101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月发布）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https://d.book118.com/568024113042006041</w:t>
        </w:r>
      </w:hyperlink>
    </w:p>
    <w:p>
      <w:pPr>
        <w:pStyle w:val="BodyText"/>
        <w:spacing w:before="299" w:line="213" w:lineRule="auto"/>
        <w:ind w:left="1115"/>
      </w:pPr>
    </w:p>
    <w:sectPr>
      <w:headerReference w:type="default" r:id="rId12"/>
      <w:footerReference w:type="default" r:id="rId13"/>
      <w:pgSz w:w="11905" w:h="16839"/>
      <w:pgMar w:top="1700" w:right="0" w:bottom="1356" w:left="53" w:header="720" w:footer="727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" w:lineRule="exact"/>
      <w:ind w:firstLine="740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518279</wp:posOffset>
          </wp:positionH>
          <wp:positionV relativeFrom="page">
            <wp:posOffset>9943279</wp:posOffset>
          </wp:positionV>
          <wp:extent cx="1722257" cy="23555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22257" cy="2355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i2049" style="width:537.75pt;height:1.5pt;mso-position-horizontal-relative:char;mso-position-vertical-relative:line" coordorigin="0,0" coordsize="10755,30" path="m,15l10755,15e" filled="f" strokecolor="#bf933b" strokeweight="1.5pt">
          <v:stroke joinstyle="miter" opacity="52428f"/>
          <w10:wrap type="none"/>
        </v:shape>
      </w:pict>
    </w:r>
  </w:p>
  <w:p>
    <w:pPr>
      <w:spacing w:line="375" w:lineRule="auto"/>
      <w:rPr>
        <w:rFonts w:ascii="Arial"/>
        <w:sz w:val="21"/>
      </w:rPr>
    </w:pPr>
  </w:p>
  <w:p>
    <w:pPr>
      <w:pStyle w:val="BodyText"/>
      <w:spacing w:line="216" w:lineRule="auto"/>
      <w:ind w:left="8675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5.9pt;height:12.15pt;margin-top:0.52pt;margin-left:286.99pt;position:absolute;z-index:251659264" filled="f" stroked="f">
          <o:lock v:ext="edit" aspectratio="f"/>
          <v:textbox inset="0,0,0,0">
            <w:txbxContent>
              <w:p>
                <w:pPr>
                  <w:spacing w:before="19" w:line="235" w:lineRule="auto"/>
                  <w:ind w:left="2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pacing w:val="-8"/>
                    <w:sz w:val="18"/>
                    <w:szCs w:val="18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spacing w:val="43"/>
                    <w:w w:val="101"/>
                    <w:sz w:val="18"/>
                    <w:szCs w:val="18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8"/>
                    <w:sz w:val="18"/>
                    <w:szCs w:val="18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9"/>
                    <w:sz w:val="18"/>
                    <w:szCs w:val="18"/>
                  </w:rPr>
                  <w:t xml:space="preserve">  </w:t>
                </w:r>
                <w:r>
                  <w:rPr>
                    <w:rFonts w:ascii="Times New Roman" w:eastAsia="Times New Roman" w:hAnsi="Times New Roman" w:cs="Times New Roman"/>
                    <w:spacing w:val="-8"/>
                    <w:sz w:val="18"/>
                    <w:szCs w:val="18"/>
                  </w:rPr>
                  <w:t>11</w:t>
                </w:r>
              </w:p>
            </w:txbxContent>
          </v:textbox>
        </v:shape>
      </w:pict>
    </w:r>
    <w:r>
      <w:rPr>
        <w:spacing w:val="-1"/>
        <w:sz w:val="18"/>
        <w:szCs w:val="18"/>
      </w:rPr>
      <w:t>请务必阅读正文后的免责声明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" w:lineRule="exact"/>
      <w:ind w:firstLine="740"/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518279</wp:posOffset>
          </wp:positionH>
          <wp:positionV relativeFrom="page">
            <wp:posOffset>9943279</wp:posOffset>
          </wp:positionV>
          <wp:extent cx="1722257" cy="235554"/>
          <wp:effectExtent l="0" t="0" r="0" b="0"/>
          <wp:wrapNone/>
          <wp:docPr id="105876690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876690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22257" cy="2355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i2051" style="width:537.75pt;height:1.5pt;mso-position-horizontal-relative:char;mso-position-vertical-relative:line" coordorigin="0,0" coordsize="10755,30" path="m,15l10755,15e" filled="f" strokecolor="#bf933b" strokeweight="1.5pt">
          <v:stroke joinstyle="miter" opacity="52428f"/>
          <w10:wrap type="none"/>
        </v:shape>
      </w:pict>
    </w:r>
  </w:p>
  <w:p>
    <w:pPr>
      <w:spacing w:line="375" w:lineRule="auto"/>
      <w:rPr>
        <w:rFonts w:ascii="Arial"/>
        <w:sz w:val="21"/>
      </w:rPr>
    </w:pPr>
  </w:p>
  <w:p>
    <w:pPr>
      <w:pStyle w:val="BodyText"/>
      <w:spacing w:line="216" w:lineRule="auto"/>
      <w:ind w:left="8675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5.9pt;height:12.15pt;margin-top:0.52pt;margin-left:286.99pt;position:absolute;z-index:251661312" filled="f" stroked="f">
          <o:lock v:ext="edit" aspectratio="f"/>
          <v:textbox inset="0,0,0,0">
            <w:txbxContent>
              <w:p>
                <w:pPr>
                  <w:spacing w:before="19" w:line="235" w:lineRule="auto"/>
                  <w:ind w:left="2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pacing w:val="-8"/>
                    <w:sz w:val="18"/>
                    <w:szCs w:val="18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spacing w:val="43"/>
                    <w:w w:val="101"/>
                    <w:sz w:val="18"/>
                    <w:szCs w:val="18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8"/>
                    <w:sz w:val="18"/>
                    <w:szCs w:val="18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9"/>
                    <w:sz w:val="18"/>
                    <w:szCs w:val="18"/>
                  </w:rPr>
                  <w:t xml:space="preserve">  </w:t>
                </w:r>
                <w:r>
                  <w:rPr>
                    <w:rFonts w:ascii="Times New Roman" w:eastAsia="Times New Roman" w:hAnsi="Times New Roman" w:cs="Times New Roman"/>
                    <w:spacing w:val="-8"/>
                    <w:sz w:val="18"/>
                    <w:szCs w:val="18"/>
                  </w:rPr>
                  <w:t>11</w:t>
                </w:r>
              </w:p>
            </w:txbxContent>
          </v:textbox>
        </v:shape>
      </w:pict>
    </w:r>
    <w:r>
      <w:rPr>
        <w:spacing w:val="-1"/>
        <w:sz w:val="18"/>
        <w:szCs w:val="18"/>
      </w:rPr>
      <w:t>请务必阅读正文后的免责声明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" w:lineRule="exact"/>
      <w:ind w:firstLine="740"/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518279</wp:posOffset>
          </wp:positionH>
          <wp:positionV relativeFrom="page">
            <wp:posOffset>9943279</wp:posOffset>
          </wp:positionV>
          <wp:extent cx="1722257" cy="235554"/>
          <wp:effectExtent l="0" t="0" r="0" b="0"/>
          <wp:wrapNone/>
          <wp:docPr id="69177807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177807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22257" cy="2355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i2053" style="width:537.75pt;height:1.5pt;mso-position-horizontal-relative:char;mso-position-vertical-relative:line" coordorigin="0,0" coordsize="10755,30" path="m,15l10755,15e" filled="f" strokecolor="#bf933b" strokeweight="1.5pt">
          <v:stroke joinstyle="miter" opacity="52428f"/>
          <w10:wrap type="none"/>
        </v:shape>
      </w:pict>
    </w:r>
  </w:p>
  <w:p>
    <w:pPr>
      <w:spacing w:line="375" w:lineRule="auto"/>
      <w:rPr>
        <w:rFonts w:ascii="Arial"/>
        <w:sz w:val="21"/>
      </w:rPr>
    </w:pPr>
  </w:p>
  <w:p>
    <w:pPr>
      <w:pStyle w:val="BodyText"/>
      <w:spacing w:line="216" w:lineRule="auto"/>
      <w:ind w:left="8675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5.9pt;height:12.15pt;margin-top:0.52pt;margin-left:286.99pt;position:absolute;z-index:251663360" filled="f" stroked="f">
          <o:lock v:ext="edit" aspectratio="f"/>
          <v:textbox inset="0,0,0,0">
            <w:txbxContent>
              <w:p>
                <w:pPr>
                  <w:spacing w:before="19" w:line="235" w:lineRule="auto"/>
                  <w:ind w:left="2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pacing w:val="-8"/>
                    <w:sz w:val="18"/>
                    <w:szCs w:val="18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spacing w:val="43"/>
                    <w:w w:val="101"/>
                    <w:sz w:val="18"/>
                    <w:szCs w:val="18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8"/>
                    <w:sz w:val="18"/>
                    <w:szCs w:val="18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9"/>
                    <w:sz w:val="18"/>
                    <w:szCs w:val="18"/>
                  </w:rPr>
                  <w:t xml:space="preserve">  </w:t>
                </w:r>
                <w:r>
                  <w:rPr>
                    <w:rFonts w:ascii="Times New Roman" w:eastAsia="Times New Roman" w:hAnsi="Times New Roman" w:cs="Times New Roman"/>
                    <w:spacing w:val="-8"/>
                    <w:sz w:val="18"/>
                    <w:szCs w:val="18"/>
                  </w:rPr>
                  <w:t>11</w:t>
                </w:r>
              </w:p>
            </w:txbxContent>
          </v:textbox>
        </v:shape>
      </w:pict>
    </w:r>
    <w:r>
      <w:rPr>
        <w:spacing w:val="-1"/>
        <w:sz w:val="18"/>
        <w:szCs w:val="18"/>
      </w:rPr>
      <w:t>请务必阅读正文后的免责声明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" w:lineRule="exact"/>
      <w:ind w:firstLine="686"/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518279</wp:posOffset>
          </wp:positionH>
          <wp:positionV relativeFrom="page">
            <wp:posOffset>9943279</wp:posOffset>
          </wp:positionV>
          <wp:extent cx="1722257" cy="235554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722257" cy="2355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i2055" style="width:537.75pt;height:1.5pt;mso-position-horizontal-relative:char;mso-position-vertical-relative:line" coordorigin="0,0" coordsize="10755,30" path="m,15l10755,15e" filled="f" strokecolor="#bf933b" strokeweight="1.5pt">
          <v:stroke joinstyle="miter" opacity="52428f"/>
          <w10:wrap type="none"/>
        </v:shape>
      </w:pict>
    </w:r>
  </w:p>
  <w:p>
    <w:pPr>
      <w:spacing w:line="375" w:lineRule="auto"/>
      <w:rPr>
        <w:rFonts w:ascii="Arial"/>
        <w:sz w:val="21"/>
      </w:rPr>
    </w:pPr>
  </w:p>
  <w:p>
    <w:pPr>
      <w:pStyle w:val="BodyText"/>
      <w:spacing w:line="216" w:lineRule="auto"/>
      <w:ind w:left="8622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6.8pt;height:12.15pt;margin-top:0.52pt;margin-left:283.46pt;position:absolute;z-index:251665408" filled="f" stroked="f">
          <o:lock v:ext="edit" aspectratio="f"/>
          <v:textbox inset="0,0,0,0">
            <w:txbxContent>
              <w:p>
                <w:pPr>
                  <w:spacing w:before="19" w:line="235" w:lineRule="auto"/>
                  <w:ind w:left="2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spacing w:val="-3"/>
                    <w:sz w:val="18"/>
                    <w:szCs w:val="18"/>
                  </w:rPr>
                  <w:t>2</w:t>
                </w:r>
                <w:r>
                  <w:rPr>
                    <w:rFonts w:ascii="Times New Roman" w:eastAsia="Times New Roman" w:hAnsi="Times New Roman" w:cs="Times New Roman"/>
                    <w:spacing w:val="41"/>
                    <w:w w:val="101"/>
                    <w:sz w:val="18"/>
                    <w:szCs w:val="18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8"/>
                    <w:szCs w:val="18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9"/>
                    <w:sz w:val="18"/>
                    <w:szCs w:val="18"/>
                  </w:rPr>
                  <w:t xml:space="preserve"> 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8"/>
                    <w:szCs w:val="18"/>
                  </w:rPr>
                  <w:t>11</w:t>
                </w:r>
              </w:p>
            </w:txbxContent>
          </v:textbox>
        </v:shape>
      </w:pict>
    </w:r>
    <w:r>
      <w:rPr>
        <w:spacing w:val="-1"/>
        <w:sz w:val="18"/>
        <w:szCs w:val="18"/>
      </w:rPr>
      <w:t>请务必阅读正文后的免责声明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15" w:lineRule="auto"/>
      <w:ind w:left="9030"/>
      <w:rPr>
        <w:sz w:val="24"/>
        <w:szCs w:val="24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455129</wp:posOffset>
          </wp:positionH>
          <wp:positionV relativeFrom="page">
            <wp:posOffset>485442</wp:posOffset>
          </wp:positionV>
          <wp:extent cx="1403847" cy="372381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03847" cy="3723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C39513"/>
        <w:sz w:val="24"/>
        <w:szCs w:val="24"/>
        <w14:textOutline w14:w="4354">
          <w14:solidFill>
            <w14:srgbClr w14:val="C39513"/>
          </w14:solidFill>
          <w14:prstDash w14:val="solid"/>
          <w14:miter w14:lim="10"/>
        </w14:textOutline>
      </w:rPr>
      <w:t>远东研究·评级方法</w:t>
    </w:r>
  </w:p>
  <w:p>
    <w:pPr>
      <w:pStyle w:val="BodyText"/>
      <w:spacing w:before="212" w:line="228" w:lineRule="auto"/>
      <w:ind w:left="9919"/>
      <w:rPr>
        <w:sz w:val="15"/>
        <w:szCs w:val="15"/>
      </w:rPr>
    </w:pPr>
    <w:r>
      <w:rPr>
        <w:rFonts w:ascii="Times New Roman" w:eastAsia="Times New Roman" w:hAnsi="Times New Roman" w:cs="Times New Roman"/>
        <w:b/>
        <w:bCs/>
        <w:color w:val="7F7F7F"/>
        <w:spacing w:val="2"/>
        <w:sz w:val="15"/>
        <w:szCs w:val="15"/>
      </w:rPr>
      <w:t>2024</w:t>
    </w:r>
    <w:r>
      <w:rPr>
        <w:rFonts w:ascii="Times New Roman" w:eastAsia="Times New Roman" w:hAnsi="Times New Roman" w:cs="Times New Roman"/>
        <w:b/>
        <w:bCs/>
        <w:color w:val="7F7F7F"/>
        <w:spacing w:val="14"/>
        <w:w w:val="101"/>
        <w:sz w:val="15"/>
        <w:szCs w:val="15"/>
      </w:rPr>
      <w:t xml:space="preserve"> </w:t>
    </w:r>
    <w:r>
      <w:rPr>
        <w:color w:val="7F7F7F"/>
        <w:spacing w:val="2"/>
        <w:sz w:val="15"/>
        <w:szCs w:val="15"/>
        <w14:textOutline w14:w="2873">
          <w14:solidFill>
            <w14:srgbClr w14:val="7F7F7F"/>
          </w14:solidFill>
          <w14:prstDash w14:val="solid"/>
          <w14:miter w14:lim="10"/>
        </w14:textOutline>
      </w:rPr>
      <w:t>年</w:t>
    </w:r>
    <w:r>
      <w:rPr>
        <w:color w:val="7F7F7F"/>
        <w:spacing w:val="-28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color w:val="7F7F7F"/>
        <w:spacing w:val="2"/>
        <w:sz w:val="15"/>
        <w:szCs w:val="15"/>
      </w:rPr>
      <w:t>2</w:t>
    </w:r>
    <w:r>
      <w:rPr>
        <w:rFonts w:ascii="Times New Roman" w:eastAsia="Times New Roman" w:hAnsi="Times New Roman" w:cs="Times New Roman"/>
        <w:b/>
        <w:bCs/>
        <w:color w:val="7F7F7F"/>
        <w:spacing w:val="17"/>
        <w:w w:val="101"/>
        <w:sz w:val="15"/>
        <w:szCs w:val="15"/>
      </w:rPr>
      <w:t xml:space="preserve"> </w:t>
    </w:r>
    <w:r>
      <w:rPr>
        <w:color w:val="7F7F7F"/>
        <w:spacing w:val="2"/>
        <w:sz w:val="15"/>
        <w:szCs w:val="15"/>
        <w14:textOutline w14:w="2873">
          <w14:solidFill>
            <w14:srgbClr w14:val="7F7F7F"/>
          </w14:solidFill>
          <w14:prstDash w14:val="solid"/>
          <w14:miter w14:lim="10"/>
        </w14:textOutline>
      </w:rPr>
      <w:t>月</w:t>
    </w:r>
    <w:r>
      <w:rPr>
        <w:color w:val="7F7F7F"/>
        <w:spacing w:val="-33"/>
        <w:sz w:val="15"/>
        <w:szCs w:val="15"/>
      </w:rPr>
      <w:t xml:space="preserve"> </w:t>
    </w:r>
    <w:r>
      <w:rPr>
        <w:rFonts w:ascii="Times New Roman" w:eastAsia="Times New Roman" w:hAnsi="Times New Roman" w:cs="Times New Roman"/>
        <w:b/>
        <w:bCs/>
        <w:color w:val="7F7F7F"/>
        <w:spacing w:val="2"/>
        <w:sz w:val="15"/>
        <w:szCs w:val="15"/>
      </w:rPr>
      <w:t xml:space="preserve">26  </w:t>
    </w:r>
    <w:r>
      <w:rPr>
        <w:color w:val="7F7F7F"/>
        <w:spacing w:val="2"/>
        <w:sz w:val="15"/>
        <w:szCs w:val="15"/>
        <w14:textOutline w14:w="2873">
          <w14:solidFill>
            <w14:srgbClr w14:val="7F7F7F"/>
          </w14:solidFill>
          <w14:prstDash w14:val="solid"/>
          <w14:miter w14:lim="10"/>
        </w14:textOutline>
      </w:rPr>
      <w:t>日</w:t>
    </w:r>
  </w:p>
  <w:p>
    <w:pPr>
      <w:spacing w:before="212" w:line="80" w:lineRule="exact"/>
    </w:pPr>
    <w:r>
      <w:rPr>
        <w:position w:val="-1"/>
      </w:rPr>
      <w:drawing>
        <wp:inline distT="0" distB="0" distL="0" distR="0">
          <wp:extent cx="7525382" cy="50800"/>
          <wp:effectExtent l="0" t="0" r="0" b="0"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7525382" cy="50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yperlink" Target="https://d.book118.com/568024113042006041" TargetMode="External" /><Relationship Id="rId12" Type="http://schemas.openxmlformats.org/officeDocument/2006/relationships/header" Target="header1.xml" /><Relationship Id="rId13" Type="http://schemas.openxmlformats.org/officeDocument/2006/relationships/footer" Target="footer4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小越</dc:creator>
  <cp:revision>0</cp:revision>
  <dcterms:created xsi:type="dcterms:W3CDTF">2024-02-29T18:17:37Z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2024-02-29T18:28:09Z</vt:filetime>
  </property>
  <property fmtid="{D5CDD505-2E9C-101B-9397-08002B2CF9AE}" pid="3" name="CRO">
    <vt:lpwstr>wqlLaW5nc29mdCBQREYgdG8gV1BTIDkw</vt:lpwstr>
  </property>
</Properties>
</file>