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极细射频同轴电缆项目计划设计方案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07" w:history="1">
        <w:r>
          <w:rPr>
            <w:rFonts w:ascii="仿宋" w:eastAsia="仿宋" w:hAnsi="仿宋" w:cs="仿宋" w:hint="eastAsia"/>
            <w:lang w:eastAsia="zh-CN"/>
          </w:rPr>
          <w:t>前言</w:t>
        </w:r>
        <w:r>
          <w:tab/>
        </w:r>
        <w:r>
          <w:fldChar w:fldCharType="begin"/>
        </w:r>
        <w:r>
          <w:instrText xml:space="preserve"> PAGEREF _Toc15507 \h </w:instrText>
        </w:r>
        <w:r>
          <w:fldChar w:fldCharType="separate"/>
        </w:r>
        <w:r>
          <w:t>3</w:t>
        </w:r>
        <w:r>
          <w:fldChar w:fldCharType="end"/>
        </w:r>
      </w:hyperlink>
    </w:p>
    <w:p>
      <w:pPr>
        <w:pStyle w:val="TOC1"/>
        <w:tabs>
          <w:tab w:val="right" w:leader="dot" w:pos="8306"/>
        </w:tabs>
      </w:pPr>
      <w:hyperlink w:anchor="_Toc22801" w:history="1">
        <w:r>
          <w:rPr>
            <w:rFonts w:ascii="仿宋" w:eastAsia="仿宋" w:hAnsi="仿宋" w:cs="仿宋" w:hint="eastAsia"/>
            <w:lang w:eastAsia="zh-CN"/>
          </w:rPr>
          <w:t>一、工艺说明</w:t>
        </w:r>
        <w:r>
          <w:tab/>
        </w:r>
        <w:r>
          <w:fldChar w:fldCharType="begin"/>
        </w:r>
        <w:r>
          <w:instrText xml:space="preserve"> PAGEREF _Toc22801 \h </w:instrText>
        </w:r>
        <w:r>
          <w:fldChar w:fldCharType="separate"/>
        </w:r>
        <w:r>
          <w:t>3</w:t>
        </w:r>
        <w:r>
          <w:fldChar w:fldCharType="end"/>
        </w:r>
      </w:hyperlink>
    </w:p>
    <w:p>
      <w:pPr>
        <w:pStyle w:val="TOC2"/>
        <w:tabs>
          <w:tab w:val="right" w:leader="dot" w:pos="8306"/>
        </w:tabs>
      </w:pPr>
      <w:hyperlink w:anchor="_Toc10565" w:history="1">
        <w:r>
          <w:rPr>
            <w:rFonts w:ascii="仿宋" w:eastAsia="仿宋" w:hAnsi="仿宋" w:cs="仿宋" w:hint="eastAsia"/>
            <w:lang w:eastAsia="zh-CN"/>
          </w:rPr>
          <w:t>(一)、技术管理特点</w:t>
        </w:r>
        <w:r>
          <w:tab/>
        </w:r>
        <w:r>
          <w:fldChar w:fldCharType="begin"/>
        </w:r>
        <w:r>
          <w:instrText xml:space="preserve"> PAGEREF _Toc10565 \h </w:instrText>
        </w:r>
        <w:r>
          <w:fldChar w:fldCharType="separate"/>
        </w:r>
        <w:r>
          <w:t>3</w:t>
        </w:r>
        <w:r>
          <w:fldChar w:fldCharType="end"/>
        </w:r>
      </w:hyperlink>
    </w:p>
    <w:p>
      <w:pPr>
        <w:pStyle w:val="TOC2"/>
        <w:tabs>
          <w:tab w:val="right" w:leader="dot" w:pos="8306"/>
        </w:tabs>
      </w:pPr>
      <w:hyperlink w:anchor="_Toc27283" w:history="1">
        <w:r>
          <w:rPr>
            <w:rFonts w:ascii="仿宋" w:eastAsia="仿宋" w:hAnsi="仿宋" w:cs="仿宋" w:hint="eastAsia"/>
            <w:lang w:eastAsia="zh-CN"/>
          </w:rPr>
          <w:t>(二)、极细射频同轴电缆项目工艺技术设计方案</w:t>
        </w:r>
        <w:r>
          <w:tab/>
        </w:r>
        <w:r>
          <w:fldChar w:fldCharType="begin"/>
        </w:r>
        <w:r>
          <w:instrText xml:space="preserve"> PAGEREF _Toc27283 \h </w:instrText>
        </w:r>
        <w:r>
          <w:fldChar w:fldCharType="separate"/>
        </w:r>
        <w:r>
          <w:t>4</w:t>
        </w:r>
        <w:r>
          <w:fldChar w:fldCharType="end"/>
        </w:r>
      </w:hyperlink>
    </w:p>
    <w:p>
      <w:pPr>
        <w:pStyle w:val="TOC2"/>
        <w:tabs>
          <w:tab w:val="right" w:leader="dot" w:pos="8306"/>
        </w:tabs>
      </w:pPr>
      <w:hyperlink w:anchor="_Toc26644" w:history="1">
        <w:r>
          <w:rPr>
            <w:rFonts w:ascii="仿宋" w:eastAsia="仿宋" w:hAnsi="仿宋" w:cs="仿宋" w:hint="eastAsia"/>
            <w:lang w:eastAsia="zh-CN"/>
          </w:rPr>
          <w:t>(三)、设备选型方案</w:t>
        </w:r>
        <w:r>
          <w:tab/>
        </w:r>
        <w:r>
          <w:fldChar w:fldCharType="begin"/>
        </w:r>
        <w:r>
          <w:instrText xml:space="preserve"> PAGEREF _Toc26644 \h </w:instrText>
        </w:r>
        <w:r>
          <w:fldChar w:fldCharType="separate"/>
        </w:r>
        <w:r>
          <w:t>5</w:t>
        </w:r>
        <w:r>
          <w:fldChar w:fldCharType="end"/>
        </w:r>
      </w:hyperlink>
    </w:p>
    <w:p>
      <w:pPr>
        <w:pStyle w:val="TOC1"/>
        <w:tabs>
          <w:tab w:val="right" w:leader="dot" w:pos="8306"/>
        </w:tabs>
      </w:pPr>
      <w:hyperlink w:anchor="_Toc26046" w:history="1">
        <w:r>
          <w:rPr>
            <w:rFonts w:ascii="仿宋" w:eastAsia="仿宋" w:hAnsi="仿宋" w:cs="仿宋" w:hint="eastAsia"/>
            <w:lang w:eastAsia="zh-CN"/>
          </w:rPr>
          <w:t>二、极细射频同轴电缆项目选址可行性分析</w:t>
        </w:r>
        <w:r>
          <w:tab/>
        </w:r>
        <w:r>
          <w:fldChar w:fldCharType="begin"/>
        </w:r>
        <w:r>
          <w:instrText xml:space="preserve"> PAGEREF _Toc26046 \h </w:instrText>
        </w:r>
        <w:r>
          <w:fldChar w:fldCharType="separate"/>
        </w:r>
        <w:r>
          <w:t>7</w:t>
        </w:r>
        <w:r>
          <w:fldChar w:fldCharType="end"/>
        </w:r>
      </w:hyperlink>
    </w:p>
    <w:p>
      <w:pPr>
        <w:pStyle w:val="TOC2"/>
        <w:tabs>
          <w:tab w:val="right" w:leader="dot" w:pos="8306"/>
        </w:tabs>
      </w:pPr>
      <w:hyperlink w:anchor="_Toc6892" w:history="1">
        <w:r>
          <w:rPr>
            <w:rFonts w:ascii="仿宋" w:eastAsia="仿宋" w:hAnsi="仿宋" w:cs="仿宋" w:hint="eastAsia"/>
            <w:lang w:eastAsia="zh-CN"/>
          </w:rPr>
          <w:t>(一)、极细射频同轴电缆项目选址</w:t>
        </w:r>
        <w:r>
          <w:tab/>
        </w:r>
        <w:r>
          <w:fldChar w:fldCharType="begin"/>
        </w:r>
        <w:r>
          <w:instrText xml:space="preserve"> PAGEREF _Toc6892 \h </w:instrText>
        </w:r>
        <w:r>
          <w:fldChar w:fldCharType="separate"/>
        </w:r>
        <w:r>
          <w:t>7</w:t>
        </w:r>
        <w:r>
          <w:fldChar w:fldCharType="end"/>
        </w:r>
      </w:hyperlink>
    </w:p>
    <w:p>
      <w:pPr>
        <w:pStyle w:val="TOC2"/>
        <w:tabs>
          <w:tab w:val="right" w:leader="dot" w:pos="8306"/>
        </w:tabs>
      </w:pPr>
      <w:hyperlink w:anchor="_Toc32467" w:history="1">
        <w:r>
          <w:rPr>
            <w:rFonts w:ascii="仿宋" w:eastAsia="仿宋" w:hAnsi="仿宋" w:cs="仿宋" w:hint="eastAsia"/>
            <w:lang w:eastAsia="zh-CN"/>
          </w:rPr>
          <w:t>(二)、用地控制指标</w:t>
        </w:r>
        <w:r>
          <w:tab/>
        </w:r>
        <w:r>
          <w:fldChar w:fldCharType="begin"/>
        </w:r>
        <w:r>
          <w:instrText xml:space="preserve"> PAGEREF _Toc32467 \h </w:instrText>
        </w:r>
        <w:r>
          <w:fldChar w:fldCharType="separate"/>
        </w:r>
        <w:r>
          <w:t>7</w:t>
        </w:r>
        <w:r>
          <w:fldChar w:fldCharType="end"/>
        </w:r>
      </w:hyperlink>
    </w:p>
    <w:p>
      <w:pPr>
        <w:pStyle w:val="TOC2"/>
        <w:tabs>
          <w:tab w:val="right" w:leader="dot" w:pos="8306"/>
        </w:tabs>
      </w:pPr>
      <w:hyperlink w:anchor="_Toc24318" w:history="1">
        <w:r>
          <w:rPr>
            <w:rFonts w:ascii="仿宋" w:eastAsia="仿宋" w:hAnsi="仿宋" w:cs="仿宋" w:hint="eastAsia"/>
            <w:lang w:eastAsia="zh-CN"/>
          </w:rPr>
          <w:t>(三)、节约用地措施</w:t>
        </w:r>
        <w:r>
          <w:tab/>
        </w:r>
        <w:r>
          <w:fldChar w:fldCharType="begin"/>
        </w:r>
        <w:r>
          <w:instrText xml:space="preserve"> PAGEREF _Toc24318 \h </w:instrText>
        </w:r>
        <w:r>
          <w:fldChar w:fldCharType="separate"/>
        </w:r>
        <w:r>
          <w:t>9</w:t>
        </w:r>
        <w:r>
          <w:fldChar w:fldCharType="end"/>
        </w:r>
      </w:hyperlink>
    </w:p>
    <w:p>
      <w:pPr>
        <w:pStyle w:val="TOC2"/>
        <w:tabs>
          <w:tab w:val="right" w:leader="dot" w:pos="8306"/>
        </w:tabs>
      </w:pPr>
      <w:hyperlink w:anchor="_Toc6217" w:history="1">
        <w:r>
          <w:rPr>
            <w:rFonts w:ascii="仿宋" w:eastAsia="仿宋" w:hAnsi="仿宋" w:cs="仿宋" w:hint="eastAsia"/>
            <w:lang w:eastAsia="zh-CN"/>
          </w:rPr>
          <w:t>(四)、总图布置方案</w:t>
        </w:r>
        <w:r>
          <w:tab/>
        </w:r>
        <w:r>
          <w:fldChar w:fldCharType="begin"/>
        </w:r>
        <w:r>
          <w:instrText xml:space="preserve"> PAGEREF _Toc6217 \h </w:instrText>
        </w:r>
        <w:r>
          <w:fldChar w:fldCharType="separate"/>
        </w:r>
        <w:r>
          <w:t>10</w:t>
        </w:r>
        <w:r>
          <w:fldChar w:fldCharType="end"/>
        </w:r>
      </w:hyperlink>
    </w:p>
    <w:p>
      <w:pPr>
        <w:pStyle w:val="TOC2"/>
        <w:tabs>
          <w:tab w:val="right" w:leader="dot" w:pos="8306"/>
        </w:tabs>
      </w:pPr>
      <w:hyperlink w:anchor="_Toc9903" w:history="1">
        <w:r>
          <w:rPr>
            <w:rFonts w:ascii="仿宋" w:eastAsia="仿宋" w:hAnsi="仿宋" w:cs="仿宋" w:hint="eastAsia"/>
            <w:lang w:eastAsia="zh-CN"/>
          </w:rPr>
          <w:t>(五)、选址综合评价</w:t>
        </w:r>
        <w:r>
          <w:tab/>
        </w:r>
        <w:r>
          <w:fldChar w:fldCharType="begin"/>
        </w:r>
        <w:r>
          <w:instrText xml:space="preserve"> PAGEREF _Toc9903 \h </w:instrText>
        </w:r>
        <w:r>
          <w:fldChar w:fldCharType="separate"/>
        </w:r>
        <w:r>
          <w:t>11</w:t>
        </w:r>
        <w:r>
          <w:fldChar w:fldCharType="end"/>
        </w:r>
      </w:hyperlink>
    </w:p>
    <w:p>
      <w:pPr>
        <w:pStyle w:val="TOC1"/>
        <w:tabs>
          <w:tab w:val="right" w:leader="dot" w:pos="8306"/>
        </w:tabs>
      </w:pPr>
      <w:hyperlink w:anchor="_Toc13724" w:history="1">
        <w:r>
          <w:rPr>
            <w:rFonts w:ascii="仿宋" w:eastAsia="仿宋" w:hAnsi="仿宋" w:cs="仿宋" w:hint="eastAsia"/>
            <w:lang w:eastAsia="zh-CN"/>
          </w:rPr>
          <w:t>三、极细射频同轴电缆项目文档管理</w:t>
        </w:r>
        <w:r>
          <w:tab/>
        </w:r>
        <w:r>
          <w:fldChar w:fldCharType="begin"/>
        </w:r>
        <w:r>
          <w:instrText xml:space="preserve"> PAGEREF _Toc13724 \h </w:instrText>
        </w:r>
        <w:r>
          <w:fldChar w:fldCharType="separate"/>
        </w:r>
        <w:r>
          <w:t>12</w:t>
        </w:r>
        <w:r>
          <w:fldChar w:fldCharType="end"/>
        </w:r>
      </w:hyperlink>
    </w:p>
    <w:p>
      <w:pPr>
        <w:pStyle w:val="TOC2"/>
        <w:tabs>
          <w:tab w:val="right" w:leader="dot" w:pos="8306"/>
        </w:tabs>
      </w:pPr>
      <w:hyperlink w:anchor="_Toc24486" w:history="1">
        <w:r>
          <w:rPr>
            <w:rFonts w:ascii="仿宋" w:eastAsia="仿宋" w:hAnsi="仿宋" w:cs="仿宋" w:hint="eastAsia"/>
            <w:lang w:eastAsia="zh-CN"/>
          </w:rPr>
          <w:t>(一)、文档编制与审查</w:t>
        </w:r>
        <w:r>
          <w:tab/>
        </w:r>
        <w:r>
          <w:fldChar w:fldCharType="begin"/>
        </w:r>
        <w:r>
          <w:instrText xml:space="preserve"> PAGEREF _Toc24486 \h </w:instrText>
        </w:r>
        <w:r>
          <w:fldChar w:fldCharType="separate"/>
        </w:r>
        <w:r>
          <w:t>12</w:t>
        </w:r>
        <w:r>
          <w:fldChar w:fldCharType="end"/>
        </w:r>
      </w:hyperlink>
    </w:p>
    <w:p>
      <w:pPr>
        <w:pStyle w:val="TOC2"/>
        <w:tabs>
          <w:tab w:val="right" w:leader="dot" w:pos="8306"/>
        </w:tabs>
      </w:pPr>
      <w:hyperlink w:anchor="_Toc3462" w:history="1">
        <w:r>
          <w:rPr>
            <w:rFonts w:ascii="仿宋" w:eastAsia="仿宋" w:hAnsi="仿宋" w:cs="仿宋" w:hint="eastAsia"/>
            <w:lang w:eastAsia="zh-CN"/>
          </w:rPr>
          <w:t>(二)、文档发布与分发</w:t>
        </w:r>
        <w:r>
          <w:tab/>
        </w:r>
        <w:r>
          <w:fldChar w:fldCharType="begin"/>
        </w:r>
        <w:r>
          <w:instrText xml:space="preserve"> PAGEREF _Toc3462 \h </w:instrText>
        </w:r>
        <w:r>
          <w:fldChar w:fldCharType="separate"/>
        </w:r>
        <w:r>
          <w:t>14</w:t>
        </w:r>
        <w:r>
          <w:fldChar w:fldCharType="end"/>
        </w:r>
      </w:hyperlink>
    </w:p>
    <w:p>
      <w:pPr>
        <w:pStyle w:val="TOC2"/>
        <w:tabs>
          <w:tab w:val="right" w:leader="dot" w:pos="8306"/>
        </w:tabs>
      </w:pPr>
      <w:hyperlink w:anchor="_Toc11936" w:history="1">
        <w:r>
          <w:rPr>
            <w:rFonts w:ascii="仿宋" w:eastAsia="仿宋" w:hAnsi="仿宋" w:cs="仿宋" w:hint="eastAsia"/>
            <w:lang w:eastAsia="zh-CN"/>
          </w:rPr>
          <w:t>(三)、文档存档与归档</w:t>
        </w:r>
        <w:r>
          <w:tab/>
        </w:r>
        <w:r>
          <w:fldChar w:fldCharType="begin"/>
        </w:r>
        <w:r>
          <w:instrText xml:space="preserve"> PAGEREF _Toc11936 \h </w:instrText>
        </w:r>
        <w:r>
          <w:fldChar w:fldCharType="separate"/>
        </w:r>
        <w:r>
          <w:t>15</w:t>
        </w:r>
        <w:r>
          <w:fldChar w:fldCharType="end"/>
        </w:r>
      </w:hyperlink>
    </w:p>
    <w:p>
      <w:pPr>
        <w:pStyle w:val="TOC1"/>
        <w:tabs>
          <w:tab w:val="right" w:leader="dot" w:pos="8306"/>
        </w:tabs>
      </w:pPr>
      <w:hyperlink w:anchor="_Toc32525" w:history="1">
        <w:r>
          <w:rPr>
            <w:rFonts w:ascii="仿宋" w:eastAsia="仿宋" w:hAnsi="仿宋" w:cs="仿宋" w:hint="eastAsia"/>
            <w:lang w:eastAsia="zh-CN"/>
          </w:rPr>
          <w:t>四、极细射频同轴电缆项目危机管理</w:t>
        </w:r>
        <w:r>
          <w:tab/>
        </w:r>
        <w:r>
          <w:fldChar w:fldCharType="begin"/>
        </w:r>
        <w:r>
          <w:instrText xml:space="preserve"> PAGEREF _Toc32525 \h </w:instrText>
        </w:r>
        <w:r>
          <w:fldChar w:fldCharType="separate"/>
        </w:r>
        <w:r>
          <w:t>16</w:t>
        </w:r>
        <w:r>
          <w:fldChar w:fldCharType="end"/>
        </w:r>
      </w:hyperlink>
    </w:p>
    <w:p>
      <w:pPr>
        <w:pStyle w:val="TOC2"/>
        <w:tabs>
          <w:tab w:val="right" w:leader="dot" w:pos="8306"/>
        </w:tabs>
      </w:pPr>
      <w:hyperlink w:anchor="_Toc5829" w:history="1">
        <w:r>
          <w:rPr>
            <w:rFonts w:ascii="仿宋" w:eastAsia="仿宋" w:hAnsi="仿宋" w:cs="仿宋" w:hint="eastAsia"/>
            <w:lang w:eastAsia="zh-CN"/>
          </w:rPr>
          <w:t>(一)、危机预警与识别</w:t>
        </w:r>
        <w:r>
          <w:tab/>
        </w:r>
        <w:r>
          <w:fldChar w:fldCharType="begin"/>
        </w:r>
        <w:r>
          <w:instrText xml:space="preserve"> PAGEREF _Toc5829 \h </w:instrText>
        </w:r>
        <w:r>
          <w:fldChar w:fldCharType="separate"/>
        </w:r>
        <w:r>
          <w:t>16</w:t>
        </w:r>
        <w:r>
          <w:fldChar w:fldCharType="end"/>
        </w:r>
      </w:hyperlink>
    </w:p>
    <w:p>
      <w:pPr>
        <w:pStyle w:val="TOC2"/>
        <w:tabs>
          <w:tab w:val="right" w:leader="dot" w:pos="8306"/>
        </w:tabs>
      </w:pPr>
      <w:hyperlink w:anchor="_Toc2066" w:history="1">
        <w:r>
          <w:rPr>
            <w:rFonts w:ascii="仿宋" w:eastAsia="仿宋" w:hAnsi="仿宋" w:cs="仿宋" w:hint="eastAsia"/>
            <w:lang w:eastAsia="zh-CN"/>
          </w:rPr>
          <w:t>(二)、危机应对与恢复</w:t>
        </w:r>
        <w:r>
          <w:tab/>
        </w:r>
        <w:r>
          <w:fldChar w:fldCharType="begin"/>
        </w:r>
        <w:r>
          <w:instrText xml:space="preserve"> PAGEREF _Toc2066 \h </w:instrText>
        </w:r>
        <w:r>
          <w:fldChar w:fldCharType="separate"/>
        </w:r>
        <w:r>
          <w:t>17</w:t>
        </w:r>
        <w:r>
          <w:fldChar w:fldCharType="end"/>
        </w:r>
      </w:hyperlink>
    </w:p>
    <w:p>
      <w:pPr>
        <w:pStyle w:val="TOC1"/>
        <w:tabs>
          <w:tab w:val="right" w:leader="dot" w:pos="8306"/>
        </w:tabs>
      </w:pPr>
      <w:hyperlink w:anchor="_Toc20604" w:history="1">
        <w:r>
          <w:rPr>
            <w:rFonts w:ascii="仿宋" w:eastAsia="仿宋" w:hAnsi="仿宋" w:cs="仿宋" w:hint="eastAsia"/>
            <w:lang w:eastAsia="zh-CN"/>
          </w:rPr>
          <w:t>五、市场分析、调研</w:t>
        </w:r>
        <w:r>
          <w:tab/>
        </w:r>
        <w:r>
          <w:fldChar w:fldCharType="begin"/>
        </w:r>
        <w:r>
          <w:instrText xml:space="preserve"> PAGEREF _Toc20604 \h </w:instrText>
        </w:r>
        <w:r>
          <w:fldChar w:fldCharType="separate"/>
        </w:r>
        <w:r>
          <w:t>18</w:t>
        </w:r>
        <w:r>
          <w:fldChar w:fldCharType="end"/>
        </w:r>
      </w:hyperlink>
    </w:p>
    <w:p>
      <w:pPr>
        <w:pStyle w:val="TOC2"/>
        <w:tabs>
          <w:tab w:val="right" w:leader="dot" w:pos="8306"/>
        </w:tabs>
      </w:pPr>
      <w:hyperlink w:anchor="_Toc4418" w:history="1">
        <w:r>
          <w:rPr>
            <w:rFonts w:ascii="仿宋" w:eastAsia="仿宋" w:hAnsi="仿宋" w:cs="仿宋" w:hint="eastAsia"/>
            <w:lang w:eastAsia="zh-CN"/>
          </w:rPr>
          <w:t>(一)、极细射频同轴电缆行业分析</w:t>
        </w:r>
        <w:r>
          <w:tab/>
        </w:r>
        <w:r>
          <w:fldChar w:fldCharType="begin"/>
        </w:r>
        <w:r>
          <w:instrText xml:space="preserve"> PAGEREF _Toc4418 \h </w:instrText>
        </w:r>
        <w:r>
          <w:fldChar w:fldCharType="separate"/>
        </w:r>
        <w:r>
          <w:t>18</w:t>
        </w:r>
        <w:r>
          <w:fldChar w:fldCharType="end"/>
        </w:r>
      </w:hyperlink>
    </w:p>
    <w:p>
      <w:pPr>
        <w:pStyle w:val="TOC2"/>
        <w:tabs>
          <w:tab w:val="right" w:leader="dot" w:pos="8306"/>
        </w:tabs>
      </w:pPr>
      <w:hyperlink w:anchor="_Toc29718" w:history="1">
        <w:r>
          <w:rPr>
            <w:rFonts w:ascii="仿宋" w:eastAsia="仿宋" w:hAnsi="仿宋" w:cs="仿宋" w:hint="eastAsia"/>
            <w:lang w:eastAsia="zh-CN"/>
          </w:rPr>
          <w:t>(二)、极细射频同轴电缆市场分析预测</w:t>
        </w:r>
        <w:r>
          <w:tab/>
        </w:r>
        <w:r>
          <w:fldChar w:fldCharType="begin"/>
        </w:r>
        <w:r>
          <w:instrText xml:space="preserve"> PAGEREF _Toc29718 \h </w:instrText>
        </w:r>
        <w:r>
          <w:fldChar w:fldCharType="separate"/>
        </w:r>
        <w:r>
          <w:t>19</w:t>
        </w:r>
        <w:r>
          <w:fldChar w:fldCharType="end"/>
        </w:r>
      </w:hyperlink>
    </w:p>
    <w:p>
      <w:pPr>
        <w:pStyle w:val="TOC1"/>
        <w:tabs>
          <w:tab w:val="right" w:leader="dot" w:pos="8306"/>
        </w:tabs>
      </w:pPr>
      <w:hyperlink w:anchor="_Toc17043" w:history="1">
        <w:r>
          <w:rPr>
            <w:rFonts w:ascii="仿宋" w:eastAsia="仿宋" w:hAnsi="仿宋" w:cs="仿宋" w:hint="eastAsia"/>
            <w:lang w:eastAsia="zh-CN"/>
          </w:rPr>
          <w:t>六、产品规划分析</w:t>
        </w:r>
        <w:r>
          <w:tab/>
        </w:r>
        <w:r>
          <w:fldChar w:fldCharType="begin"/>
        </w:r>
        <w:r>
          <w:instrText xml:space="preserve"> PAGEREF _Toc17043 \h </w:instrText>
        </w:r>
        <w:r>
          <w:fldChar w:fldCharType="separate"/>
        </w:r>
        <w:r>
          <w:t>20</w:t>
        </w:r>
        <w:r>
          <w:fldChar w:fldCharType="end"/>
        </w:r>
      </w:hyperlink>
    </w:p>
    <w:p>
      <w:pPr>
        <w:pStyle w:val="TOC2"/>
        <w:tabs>
          <w:tab w:val="right" w:leader="dot" w:pos="8306"/>
        </w:tabs>
      </w:pPr>
      <w:hyperlink w:anchor="_Toc32474" w:history="1">
        <w:r>
          <w:rPr>
            <w:rFonts w:ascii="仿宋" w:eastAsia="仿宋" w:hAnsi="仿宋" w:cs="仿宋" w:hint="eastAsia"/>
            <w:lang w:eastAsia="zh-CN"/>
          </w:rPr>
          <w:t>(一)、产品规划</w:t>
        </w:r>
        <w:r>
          <w:tab/>
        </w:r>
        <w:r>
          <w:fldChar w:fldCharType="begin"/>
        </w:r>
        <w:r>
          <w:instrText xml:space="preserve"> PAGEREF _Toc32474 \h </w:instrText>
        </w:r>
        <w:r>
          <w:fldChar w:fldCharType="separate"/>
        </w:r>
        <w:r>
          <w:t>20</w:t>
        </w:r>
        <w:r>
          <w:fldChar w:fldCharType="end"/>
        </w:r>
      </w:hyperlink>
    </w:p>
    <w:p>
      <w:pPr>
        <w:pStyle w:val="TOC2"/>
        <w:tabs>
          <w:tab w:val="right" w:leader="dot" w:pos="8306"/>
        </w:tabs>
      </w:pPr>
      <w:hyperlink w:anchor="_Toc27837" w:history="1">
        <w:r>
          <w:rPr>
            <w:rFonts w:ascii="仿宋" w:eastAsia="仿宋" w:hAnsi="仿宋" w:cs="仿宋" w:hint="eastAsia"/>
            <w:lang w:eastAsia="zh-CN"/>
          </w:rPr>
          <w:t>(二)、建设规模</w:t>
        </w:r>
        <w:r>
          <w:tab/>
        </w:r>
        <w:r>
          <w:fldChar w:fldCharType="begin"/>
        </w:r>
        <w:r>
          <w:instrText xml:space="preserve"> PAGEREF _Toc27837 \h </w:instrText>
        </w:r>
        <w:r>
          <w:fldChar w:fldCharType="separate"/>
        </w:r>
        <w:r>
          <w:t>21</w:t>
        </w:r>
        <w:r>
          <w:fldChar w:fldCharType="end"/>
        </w:r>
      </w:hyperlink>
    </w:p>
    <w:p>
      <w:pPr>
        <w:pStyle w:val="TOC1"/>
        <w:tabs>
          <w:tab w:val="right" w:leader="dot" w:pos="8306"/>
        </w:tabs>
      </w:pPr>
      <w:hyperlink w:anchor="_Toc11553" w:history="1">
        <w:r>
          <w:rPr>
            <w:rFonts w:ascii="仿宋" w:eastAsia="仿宋" w:hAnsi="仿宋" w:cs="仿宋" w:hint="eastAsia"/>
            <w:lang w:eastAsia="zh-CN"/>
          </w:rPr>
          <w:t>七、极细射频同轴电缆项目经营效益</w:t>
        </w:r>
        <w:r>
          <w:tab/>
        </w:r>
        <w:r>
          <w:fldChar w:fldCharType="begin"/>
        </w:r>
        <w:r>
          <w:instrText xml:space="preserve"> PAGEREF _Toc11553 \h </w:instrText>
        </w:r>
        <w:r>
          <w:fldChar w:fldCharType="separate"/>
        </w:r>
        <w:r>
          <w:t>22</w:t>
        </w:r>
        <w:r>
          <w:fldChar w:fldCharType="end"/>
        </w:r>
      </w:hyperlink>
    </w:p>
    <w:p>
      <w:pPr>
        <w:pStyle w:val="TOC2"/>
        <w:tabs>
          <w:tab w:val="right" w:leader="dot" w:pos="8306"/>
        </w:tabs>
      </w:pPr>
      <w:hyperlink w:anchor="_Toc14145" w:history="1">
        <w:r>
          <w:rPr>
            <w:rFonts w:ascii="仿宋" w:eastAsia="仿宋" w:hAnsi="仿宋" w:cs="仿宋" w:hint="eastAsia"/>
            <w:lang w:eastAsia="zh-CN"/>
          </w:rPr>
          <w:t>(一)、经济评价财务测算</w:t>
        </w:r>
        <w:r>
          <w:tab/>
        </w:r>
        <w:r>
          <w:fldChar w:fldCharType="begin"/>
        </w:r>
        <w:r>
          <w:instrText xml:space="preserve"> PAGEREF _Toc14145 \h </w:instrText>
        </w:r>
        <w:r>
          <w:fldChar w:fldCharType="separate"/>
        </w:r>
        <w:r>
          <w:t>22</w:t>
        </w:r>
        <w:r>
          <w:fldChar w:fldCharType="end"/>
        </w:r>
      </w:hyperlink>
    </w:p>
    <w:p>
      <w:pPr>
        <w:pStyle w:val="TOC2"/>
        <w:tabs>
          <w:tab w:val="right" w:leader="dot" w:pos="8306"/>
        </w:tabs>
      </w:pPr>
      <w:hyperlink w:anchor="_Toc15016" w:history="1">
        <w:r>
          <w:rPr>
            <w:rFonts w:ascii="仿宋" w:eastAsia="仿宋" w:hAnsi="仿宋" w:cs="仿宋" w:hint="eastAsia"/>
            <w:lang w:eastAsia="zh-CN"/>
          </w:rPr>
          <w:t>(二)、极细射频同轴电缆项目盈利能力分析</w:t>
        </w:r>
        <w:r>
          <w:tab/>
        </w:r>
        <w:r>
          <w:fldChar w:fldCharType="begin"/>
        </w:r>
        <w:r>
          <w:instrText xml:space="preserve"> PAGEREF _Toc15016 \h </w:instrText>
        </w:r>
        <w:r>
          <w:fldChar w:fldCharType="separate"/>
        </w:r>
        <w:r>
          <w:t>23</w:t>
        </w:r>
        <w:r>
          <w:fldChar w:fldCharType="end"/>
        </w:r>
      </w:hyperlink>
    </w:p>
    <w:p>
      <w:pPr>
        <w:pStyle w:val="TOC1"/>
        <w:tabs>
          <w:tab w:val="right" w:leader="dot" w:pos="8306"/>
        </w:tabs>
      </w:pPr>
      <w:hyperlink w:anchor="_Toc10" w:history="1">
        <w:r>
          <w:rPr>
            <w:rFonts w:ascii="仿宋" w:eastAsia="仿宋" w:hAnsi="仿宋" w:cs="仿宋" w:hint="eastAsia"/>
            <w:lang w:eastAsia="zh-CN"/>
          </w:rPr>
          <w:t>八、极细射频同轴电缆项目风险管理</w:t>
        </w:r>
        <w:r>
          <w:tab/>
        </w:r>
        <w:r>
          <w:fldChar w:fldCharType="begin"/>
        </w:r>
        <w:r>
          <w:instrText xml:space="preserve"> PAGEREF _Toc10 \h </w:instrText>
        </w:r>
        <w:r>
          <w:fldChar w:fldCharType="separate"/>
        </w:r>
        <w:r>
          <w:t>24</w:t>
        </w:r>
        <w:r>
          <w:fldChar w:fldCharType="end"/>
        </w:r>
      </w:hyperlink>
    </w:p>
    <w:p>
      <w:pPr>
        <w:pStyle w:val="TOC2"/>
        <w:tabs>
          <w:tab w:val="right" w:leader="dot" w:pos="8306"/>
        </w:tabs>
      </w:pPr>
      <w:hyperlink w:anchor="_Toc25169" w:history="1">
        <w:r>
          <w:rPr>
            <w:rFonts w:ascii="仿宋" w:eastAsia="仿宋" w:hAnsi="仿宋" w:cs="仿宋" w:hint="eastAsia"/>
            <w:lang w:eastAsia="zh-CN"/>
          </w:rPr>
          <w:t>(一)、风险识别与评估</w:t>
        </w:r>
        <w:r>
          <w:tab/>
        </w:r>
        <w:r>
          <w:fldChar w:fldCharType="begin"/>
        </w:r>
        <w:r>
          <w:instrText xml:space="preserve"> PAGEREF _Toc25169 \h </w:instrText>
        </w:r>
        <w:r>
          <w:fldChar w:fldCharType="separate"/>
        </w:r>
        <w:r>
          <w:t>24</w:t>
        </w:r>
        <w:r>
          <w:fldChar w:fldCharType="end"/>
        </w:r>
      </w:hyperlink>
    </w:p>
    <w:p>
      <w:pPr>
        <w:pStyle w:val="TOC2"/>
        <w:tabs>
          <w:tab w:val="right" w:leader="dot" w:pos="8306"/>
        </w:tabs>
      </w:pPr>
      <w:hyperlink w:anchor="_Toc166" w:history="1">
        <w:r>
          <w:rPr>
            <w:rFonts w:ascii="仿宋" w:eastAsia="仿宋" w:hAnsi="仿宋" w:cs="仿宋" w:hint="eastAsia"/>
            <w:lang w:eastAsia="zh-CN"/>
          </w:rPr>
          <w:t>(二)、风险应对策略</w:t>
        </w:r>
        <w:r>
          <w:tab/>
        </w:r>
        <w:r>
          <w:fldChar w:fldCharType="begin"/>
        </w:r>
        <w:r>
          <w:instrText xml:space="preserve"> PAGEREF _Toc166 \h </w:instrText>
        </w:r>
        <w:r>
          <w:fldChar w:fldCharType="separate"/>
        </w:r>
        <w:r>
          <w:t>25</w:t>
        </w:r>
        <w:r>
          <w:fldChar w:fldCharType="end"/>
        </w:r>
      </w:hyperlink>
    </w:p>
    <w:p>
      <w:pPr>
        <w:pStyle w:val="TOC2"/>
        <w:tabs>
          <w:tab w:val="right" w:leader="dot" w:pos="8306"/>
        </w:tabs>
      </w:pPr>
      <w:hyperlink w:anchor="_Toc216" w:history="1">
        <w:r>
          <w:rPr>
            <w:rFonts w:ascii="仿宋" w:eastAsia="仿宋" w:hAnsi="仿宋" w:cs="仿宋" w:hint="eastAsia"/>
            <w:lang w:eastAsia="zh-CN"/>
          </w:rPr>
          <w:t>(三)、风险监控与控制</w:t>
        </w:r>
        <w:r>
          <w:tab/>
        </w:r>
        <w:r>
          <w:fldChar w:fldCharType="begin"/>
        </w:r>
        <w:r>
          <w:instrText xml:space="preserve"> PAGEREF _Toc216 \h </w:instrText>
        </w:r>
        <w:r>
          <w:fldChar w:fldCharType="separate"/>
        </w:r>
        <w:r>
          <w:t>27</w:t>
        </w:r>
        <w:r>
          <w:fldChar w:fldCharType="end"/>
        </w:r>
      </w:hyperlink>
    </w:p>
    <w:p>
      <w:pPr>
        <w:pStyle w:val="TOC1"/>
        <w:tabs>
          <w:tab w:val="right" w:leader="dot" w:pos="8306"/>
        </w:tabs>
      </w:pPr>
      <w:hyperlink w:anchor="_Toc11938" w:history="1">
        <w:r>
          <w:rPr>
            <w:rFonts w:ascii="仿宋" w:eastAsia="仿宋" w:hAnsi="仿宋" w:cs="仿宋" w:hint="eastAsia"/>
            <w:lang w:eastAsia="zh-CN"/>
          </w:rPr>
          <w:t>九、生产安全保护</w:t>
        </w:r>
        <w:r>
          <w:tab/>
        </w:r>
        <w:r>
          <w:fldChar w:fldCharType="begin"/>
        </w:r>
        <w:r>
          <w:instrText xml:space="preserve"> PAGEREF _Toc11938 \h </w:instrText>
        </w:r>
        <w:r>
          <w:fldChar w:fldCharType="separate"/>
        </w:r>
        <w:r>
          <w:t>28</w:t>
        </w:r>
        <w:r>
          <w:fldChar w:fldCharType="end"/>
        </w:r>
      </w:hyperlink>
    </w:p>
    <w:p>
      <w:pPr>
        <w:pStyle w:val="TOC2"/>
        <w:tabs>
          <w:tab w:val="right" w:leader="dot" w:pos="8306"/>
        </w:tabs>
      </w:pPr>
      <w:hyperlink w:anchor="_Toc6733" w:history="1">
        <w:r>
          <w:rPr>
            <w:rFonts w:ascii="仿宋" w:eastAsia="仿宋" w:hAnsi="仿宋" w:cs="仿宋" w:hint="eastAsia"/>
            <w:lang w:eastAsia="zh-CN"/>
          </w:rPr>
          <w:t>(一)、消防安全</w:t>
        </w:r>
        <w:r>
          <w:tab/>
        </w:r>
        <w:r>
          <w:fldChar w:fldCharType="begin"/>
        </w:r>
        <w:r>
          <w:instrText xml:space="preserve"> PAGEREF _Toc6733 \h </w:instrText>
        </w:r>
        <w:r>
          <w:fldChar w:fldCharType="separate"/>
        </w:r>
        <w:r>
          <w:t>28</w:t>
        </w:r>
        <w:r>
          <w:fldChar w:fldCharType="end"/>
        </w:r>
      </w:hyperlink>
    </w:p>
    <w:p>
      <w:pPr>
        <w:pStyle w:val="TOC2"/>
        <w:tabs>
          <w:tab w:val="right" w:leader="dot" w:pos="8306"/>
        </w:tabs>
      </w:pPr>
      <w:hyperlink w:anchor="_Toc14241" w:history="1">
        <w:r>
          <w:rPr>
            <w:rFonts w:ascii="仿宋" w:eastAsia="仿宋" w:hAnsi="仿宋" w:cs="仿宋" w:hint="eastAsia"/>
            <w:lang w:eastAsia="zh-CN"/>
          </w:rPr>
          <w:t>(二)、防火防爆总图布置措施</w:t>
        </w:r>
        <w:r>
          <w:tab/>
        </w:r>
        <w:r>
          <w:fldChar w:fldCharType="begin"/>
        </w:r>
        <w:r>
          <w:instrText xml:space="preserve"> PAGEREF _Toc14241 \h </w:instrText>
        </w:r>
        <w:r>
          <w:fldChar w:fldCharType="separate"/>
        </w:r>
        <w:r>
          <w:t>30</w:t>
        </w:r>
        <w:r>
          <w:fldChar w:fldCharType="end"/>
        </w:r>
      </w:hyperlink>
    </w:p>
    <w:p>
      <w:pPr>
        <w:pStyle w:val="TOC2"/>
        <w:tabs>
          <w:tab w:val="right" w:leader="dot" w:pos="8306"/>
        </w:tabs>
      </w:pPr>
      <w:hyperlink w:anchor="_Toc16471" w:history="1">
        <w:r>
          <w:rPr>
            <w:rFonts w:ascii="仿宋" w:eastAsia="仿宋" w:hAnsi="仿宋" w:cs="仿宋" w:hint="eastAsia"/>
            <w:lang w:eastAsia="zh-CN"/>
          </w:rPr>
          <w:t>(三)、自然灾害防范措施</w:t>
        </w:r>
        <w:r>
          <w:tab/>
        </w:r>
        <w:r>
          <w:fldChar w:fldCharType="begin"/>
        </w:r>
        <w:r>
          <w:instrText xml:space="preserve"> PAGEREF _Toc16471 \h </w:instrText>
        </w:r>
        <w:r>
          <w:fldChar w:fldCharType="separate"/>
        </w:r>
        <w:r>
          <w:t>31</w:t>
        </w:r>
        <w:r>
          <w:fldChar w:fldCharType="end"/>
        </w:r>
      </w:hyperlink>
    </w:p>
    <w:p>
      <w:pPr>
        <w:pStyle w:val="TOC2"/>
        <w:tabs>
          <w:tab w:val="right" w:leader="dot" w:pos="8306"/>
        </w:tabs>
      </w:pPr>
      <w:hyperlink w:anchor="_Toc16145" w:history="1">
        <w:r>
          <w:rPr>
            <w:rFonts w:ascii="仿宋" w:eastAsia="仿宋" w:hAnsi="仿宋" w:cs="仿宋" w:hint="eastAsia"/>
            <w:lang w:eastAsia="zh-CN"/>
          </w:rPr>
          <w:t>(四)、安全色及安全标志使用要求</w:t>
        </w:r>
        <w:r>
          <w:tab/>
        </w:r>
        <w:r>
          <w:fldChar w:fldCharType="begin"/>
        </w:r>
        <w:r>
          <w:instrText xml:space="preserve"> PAGEREF _Toc16145 \h </w:instrText>
        </w:r>
        <w:r>
          <w:fldChar w:fldCharType="separate"/>
        </w:r>
        <w:r>
          <w:t>32</w:t>
        </w:r>
        <w:r>
          <w:fldChar w:fldCharType="end"/>
        </w:r>
      </w:hyperlink>
    </w:p>
    <w:p>
      <w:pPr>
        <w:pStyle w:val="TOC2"/>
        <w:tabs>
          <w:tab w:val="right" w:leader="dot" w:pos="8306"/>
        </w:tabs>
      </w:pPr>
      <w:hyperlink w:anchor="_Toc1925" w:history="1">
        <w:r>
          <w:rPr>
            <w:rFonts w:ascii="仿宋" w:eastAsia="仿宋" w:hAnsi="仿宋" w:cs="仿宋" w:hint="eastAsia"/>
            <w:lang w:eastAsia="zh-CN"/>
          </w:rPr>
          <w:t>(五)、防尘防毒措施</w:t>
        </w:r>
        <w:r>
          <w:tab/>
        </w:r>
        <w:r>
          <w:fldChar w:fldCharType="begin"/>
        </w:r>
        <w:r>
          <w:instrText xml:space="preserve"> PAGEREF _Toc1925 \h </w:instrText>
        </w:r>
        <w:r>
          <w:fldChar w:fldCharType="separate"/>
        </w:r>
        <w:r>
          <w:t>33</w:t>
        </w:r>
        <w:r>
          <w:fldChar w:fldCharType="end"/>
        </w:r>
      </w:hyperlink>
    </w:p>
    <w:p>
      <w:pPr>
        <w:pStyle w:val="TOC2"/>
        <w:tabs>
          <w:tab w:val="right" w:leader="dot" w:pos="8306"/>
        </w:tabs>
      </w:pPr>
      <w:hyperlink w:anchor="_Toc29361" w:history="1">
        <w:r>
          <w:rPr>
            <w:rFonts w:ascii="仿宋" w:eastAsia="仿宋" w:hAnsi="仿宋" w:cs="仿宋" w:hint="eastAsia"/>
            <w:lang w:eastAsia="zh-CN"/>
          </w:rPr>
          <w:t>(六)、防静电、触电防护及防雷措施</w:t>
        </w:r>
        <w:r>
          <w:tab/>
        </w:r>
        <w:r>
          <w:fldChar w:fldCharType="begin"/>
        </w:r>
        <w:r>
          <w:instrText xml:space="preserve"> PAGEREF _Toc29361 \h </w:instrText>
        </w:r>
        <w:r>
          <w:fldChar w:fldCharType="separate"/>
        </w:r>
        <w:r>
          <w:t>34</w:t>
        </w:r>
        <w:r>
          <w:fldChar w:fldCharType="end"/>
        </w:r>
      </w:hyperlink>
    </w:p>
    <w:p>
      <w:pPr>
        <w:pStyle w:val="TOC2"/>
        <w:tabs>
          <w:tab w:val="right" w:leader="dot" w:pos="8306"/>
        </w:tabs>
      </w:pPr>
      <w:hyperlink w:anchor="_Toc27711" w:history="1">
        <w:r>
          <w:rPr>
            <w:rFonts w:ascii="仿宋" w:eastAsia="仿宋" w:hAnsi="仿宋" w:cs="仿宋" w:hint="eastAsia"/>
            <w:lang w:eastAsia="zh-CN"/>
          </w:rPr>
          <w:t>(七)、机械设备安全保障措施</w:t>
        </w:r>
        <w:r>
          <w:tab/>
        </w:r>
        <w:r>
          <w:fldChar w:fldCharType="begin"/>
        </w:r>
        <w:r>
          <w:instrText xml:space="preserve"> PAGEREF _Toc27711 \h </w:instrText>
        </w:r>
        <w:r>
          <w:fldChar w:fldCharType="separate"/>
        </w:r>
        <w:r>
          <w:t>35</w:t>
        </w:r>
        <w:r>
          <w:fldChar w:fldCharType="end"/>
        </w:r>
      </w:hyperlink>
    </w:p>
    <w:p>
      <w:pPr>
        <w:pStyle w:val="TOC1"/>
        <w:tabs>
          <w:tab w:val="right" w:leader="dot" w:pos="8306"/>
        </w:tabs>
      </w:pPr>
      <w:hyperlink w:anchor="_Toc29780" w:history="1">
        <w:r>
          <w:rPr>
            <w:rFonts w:ascii="仿宋" w:eastAsia="仿宋" w:hAnsi="仿宋" w:cs="仿宋" w:hint="eastAsia"/>
            <w:lang w:eastAsia="zh-CN"/>
          </w:rPr>
          <w:t>十、极细射频同轴电缆项目人力资源培养与发展</w:t>
        </w:r>
        <w:r>
          <w:tab/>
        </w:r>
        <w:r>
          <w:fldChar w:fldCharType="begin"/>
        </w:r>
        <w:r>
          <w:instrText xml:space="preserve"> PAGEREF _Toc29780 \h </w:instrText>
        </w:r>
        <w:r>
          <w:fldChar w:fldCharType="separate"/>
        </w:r>
        <w:r>
          <w:t>37</w:t>
        </w:r>
        <w:r>
          <w:fldChar w:fldCharType="end"/>
        </w:r>
      </w:hyperlink>
    </w:p>
    <w:p>
      <w:pPr>
        <w:pStyle w:val="TOC2"/>
        <w:tabs>
          <w:tab w:val="right" w:leader="dot" w:pos="8306"/>
        </w:tabs>
      </w:pPr>
      <w:hyperlink w:anchor="_Toc19467" w:history="1">
        <w:r>
          <w:rPr>
            <w:rFonts w:ascii="仿宋" w:eastAsia="仿宋" w:hAnsi="仿宋" w:cs="仿宋" w:hint="eastAsia"/>
            <w:lang w:eastAsia="zh-CN"/>
          </w:rPr>
          <w:t>(一)、人才需求与规划</w:t>
        </w:r>
        <w:r>
          <w:tab/>
        </w:r>
        <w:r>
          <w:fldChar w:fldCharType="begin"/>
        </w:r>
        <w:r>
          <w:instrText xml:space="preserve"> PAGEREF _Toc19467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6" w:history="1">
        <w:r>
          <w:rPr>
            <w:rFonts w:ascii="仿宋" w:eastAsia="仿宋" w:hAnsi="仿宋" w:cs="仿宋" w:hint="eastAsia"/>
            <w:lang w:eastAsia="zh-CN"/>
          </w:rPr>
          <w:t>(二)、培训与发展计划</w:t>
        </w:r>
        <w:r>
          <w:tab/>
        </w:r>
        <w:r>
          <w:fldChar w:fldCharType="begin"/>
        </w:r>
        <w:r>
          <w:instrText xml:space="preserve"> PAGEREF _Toc19056 \h </w:instrText>
        </w:r>
        <w:r>
          <w:fldChar w:fldCharType="separate"/>
        </w:r>
        <w:r>
          <w:t>37</w:t>
        </w:r>
        <w:r>
          <w:fldChar w:fldCharType="end"/>
        </w:r>
      </w:hyperlink>
    </w:p>
    <w:p>
      <w:pPr>
        <w:pStyle w:val="TOC1"/>
        <w:tabs>
          <w:tab w:val="right" w:leader="dot" w:pos="8306"/>
        </w:tabs>
      </w:pPr>
      <w:hyperlink w:anchor="_Toc32333" w:history="1">
        <w:r>
          <w:rPr>
            <w:rFonts w:ascii="仿宋" w:eastAsia="仿宋" w:hAnsi="仿宋" w:cs="仿宋" w:hint="eastAsia"/>
            <w:lang w:eastAsia="zh-CN"/>
          </w:rPr>
          <w:t>十一、极细射频同轴电缆项目财务管理</w:t>
        </w:r>
        <w:r>
          <w:tab/>
        </w:r>
        <w:r>
          <w:fldChar w:fldCharType="begin"/>
        </w:r>
        <w:r>
          <w:instrText xml:space="preserve"> PAGEREF _Toc32333 \h </w:instrText>
        </w:r>
        <w:r>
          <w:fldChar w:fldCharType="separate"/>
        </w:r>
        <w:r>
          <w:t>38</w:t>
        </w:r>
        <w:r>
          <w:fldChar w:fldCharType="end"/>
        </w:r>
      </w:hyperlink>
    </w:p>
    <w:p>
      <w:pPr>
        <w:pStyle w:val="TOC2"/>
        <w:tabs>
          <w:tab w:val="right" w:leader="dot" w:pos="8306"/>
        </w:tabs>
      </w:pPr>
      <w:hyperlink w:anchor="_Toc22149" w:history="1">
        <w:r>
          <w:rPr>
            <w:rFonts w:ascii="仿宋" w:eastAsia="仿宋" w:hAnsi="仿宋" w:cs="仿宋" w:hint="eastAsia"/>
            <w:lang w:eastAsia="zh-CN"/>
          </w:rPr>
          <w:t>(一)、资金需求大</w:t>
        </w:r>
        <w:r>
          <w:tab/>
        </w:r>
        <w:r>
          <w:fldChar w:fldCharType="begin"/>
        </w:r>
        <w:r>
          <w:instrText xml:space="preserve"> PAGEREF _Toc22149 \h </w:instrText>
        </w:r>
        <w:r>
          <w:fldChar w:fldCharType="separate"/>
        </w:r>
        <w:r>
          <w:t>38</w:t>
        </w:r>
        <w:r>
          <w:fldChar w:fldCharType="end"/>
        </w:r>
      </w:hyperlink>
    </w:p>
    <w:p>
      <w:pPr>
        <w:pStyle w:val="TOC2"/>
        <w:tabs>
          <w:tab w:val="right" w:leader="dot" w:pos="8306"/>
        </w:tabs>
      </w:pPr>
      <w:hyperlink w:anchor="_Toc12197" w:history="1">
        <w:r>
          <w:rPr>
            <w:rFonts w:ascii="仿宋" w:eastAsia="仿宋" w:hAnsi="仿宋" w:cs="仿宋" w:hint="eastAsia"/>
            <w:lang w:eastAsia="zh-CN"/>
          </w:rPr>
          <w:t>(二)、研发周期长</w:t>
        </w:r>
        <w:r>
          <w:tab/>
        </w:r>
        <w:r>
          <w:fldChar w:fldCharType="begin"/>
        </w:r>
        <w:r>
          <w:instrText xml:space="preserve"> PAGEREF _Toc12197 \h </w:instrText>
        </w:r>
        <w:r>
          <w:fldChar w:fldCharType="separate"/>
        </w:r>
        <w:r>
          <w:t>39</w:t>
        </w:r>
        <w:r>
          <w:fldChar w:fldCharType="end"/>
        </w:r>
      </w:hyperlink>
    </w:p>
    <w:p>
      <w:pPr>
        <w:pStyle w:val="TOC2"/>
        <w:tabs>
          <w:tab w:val="right" w:leader="dot" w:pos="8306"/>
        </w:tabs>
      </w:pPr>
      <w:hyperlink w:anchor="_Toc1886" w:history="1">
        <w:r>
          <w:rPr>
            <w:rFonts w:ascii="仿宋" w:eastAsia="仿宋" w:hAnsi="仿宋" w:cs="仿宋" w:hint="eastAsia"/>
            <w:lang w:eastAsia="zh-CN"/>
          </w:rPr>
          <w:t>(三)、市场风险大</w:t>
        </w:r>
        <w:r>
          <w:tab/>
        </w:r>
        <w:r>
          <w:fldChar w:fldCharType="begin"/>
        </w:r>
        <w:r>
          <w:instrText xml:space="preserve"> PAGEREF _Toc1886 \h </w:instrText>
        </w:r>
        <w:r>
          <w:fldChar w:fldCharType="separate"/>
        </w:r>
        <w:r>
          <w:t>40</w:t>
        </w:r>
        <w:r>
          <w:fldChar w:fldCharType="end"/>
        </w:r>
      </w:hyperlink>
    </w:p>
    <w:p>
      <w:pPr>
        <w:pStyle w:val="TOC2"/>
        <w:tabs>
          <w:tab w:val="right" w:leader="dot" w:pos="8306"/>
        </w:tabs>
      </w:pPr>
      <w:hyperlink w:anchor="_Toc32149" w:history="1">
        <w:r>
          <w:rPr>
            <w:rFonts w:ascii="仿宋" w:eastAsia="仿宋" w:hAnsi="仿宋" w:cs="仿宋" w:hint="eastAsia"/>
            <w:lang w:eastAsia="zh-CN"/>
          </w:rPr>
          <w:t>(四)、利润率高</w:t>
        </w:r>
        <w:r>
          <w:tab/>
        </w:r>
        <w:r>
          <w:fldChar w:fldCharType="begin"/>
        </w:r>
        <w:r>
          <w:instrText xml:space="preserve"> PAGEREF _Toc32149 \h </w:instrText>
        </w:r>
        <w:r>
          <w:fldChar w:fldCharType="separate"/>
        </w:r>
        <w:r>
          <w:t>43</w:t>
        </w:r>
        <w:r>
          <w:fldChar w:fldCharType="end"/>
        </w:r>
      </w:hyperlink>
    </w:p>
    <w:p>
      <w:pPr>
        <w:pStyle w:val="TOC1"/>
        <w:tabs>
          <w:tab w:val="right" w:leader="dot" w:pos="8306"/>
        </w:tabs>
      </w:pPr>
      <w:hyperlink w:anchor="_Toc28346" w:history="1">
        <w:r>
          <w:rPr>
            <w:rFonts w:ascii="仿宋" w:eastAsia="仿宋" w:hAnsi="仿宋" w:cs="仿宋" w:hint="eastAsia"/>
            <w:lang w:eastAsia="zh-CN"/>
          </w:rPr>
          <w:t>十二、极细射频同轴电缆项目社会影响</w:t>
        </w:r>
        <w:r>
          <w:tab/>
        </w:r>
        <w:r>
          <w:fldChar w:fldCharType="begin"/>
        </w:r>
        <w:r>
          <w:instrText xml:space="preserve"> PAGEREF _Toc28346 \h </w:instrText>
        </w:r>
        <w:r>
          <w:fldChar w:fldCharType="separate"/>
        </w:r>
        <w:r>
          <w:t>45</w:t>
        </w:r>
        <w:r>
          <w:fldChar w:fldCharType="end"/>
        </w:r>
      </w:hyperlink>
    </w:p>
    <w:p>
      <w:pPr>
        <w:pStyle w:val="TOC2"/>
        <w:tabs>
          <w:tab w:val="right" w:leader="dot" w:pos="8306"/>
        </w:tabs>
      </w:pPr>
      <w:hyperlink w:anchor="_Toc31776" w:history="1">
        <w:r>
          <w:rPr>
            <w:rFonts w:ascii="仿宋" w:eastAsia="仿宋" w:hAnsi="仿宋" w:cs="仿宋" w:hint="eastAsia"/>
            <w:lang w:eastAsia="zh-CN"/>
          </w:rPr>
          <w:t>(一)、社会责任与义务</w:t>
        </w:r>
        <w:r>
          <w:tab/>
        </w:r>
        <w:r>
          <w:fldChar w:fldCharType="begin"/>
        </w:r>
        <w:r>
          <w:instrText xml:space="preserve"> PAGEREF _Toc31776 \h </w:instrText>
        </w:r>
        <w:r>
          <w:fldChar w:fldCharType="separate"/>
        </w:r>
        <w:r>
          <w:t>45</w:t>
        </w:r>
        <w:r>
          <w:fldChar w:fldCharType="end"/>
        </w:r>
      </w:hyperlink>
    </w:p>
    <w:p>
      <w:pPr>
        <w:pStyle w:val="TOC2"/>
        <w:tabs>
          <w:tab w:val="right" w:leader="dot" w:pos="8306"/>
        </w:tabs>
      </w:pPr>
      <w:hyperlink w:anchor="_Toc23776" w:history="1">
        <w:r>
          <w:rPr>
            <w:rFonts w:ascii="仿宋" w:eastAsia="仿宋" w:hAnsi="仿宋" w:cs="仿宋" w:hint="eastAsia"/>
            <w:lang w:eastAsia="zh-CN"/>
          </w:rPr>
          <w:t>(二)、社会参与与沟通</w:t>
        </w:r>
        <w:r>
          <w:tab/>
        </w:r>
        <w:r>
          <w:fldChar w:fldCharType="begin"/>
        </w:r>
        <w:r>
          <w:instrText xml:space="preserve"> PAGEREF _Toc23776 \h </w:instrText>
        </w:r>
        <w:r>
          <w:fldChar w:fldCharType="separate"/>
        </w:r>
        <w:r>
          <w:t>46</w:t>
        </w:r>
        <w:r>
          <w:fldChar w:fldCharType="end"/>
        </w:r>
      </w:hyperlink>
    </w:p>
    <w:p>
      <w:pPr>
        <w:pStyle w:val="TOC1"/>
        <w:tabs>
          <w:tab w:val="right" w:leader="dot" w:pos="8306"/>
        </w:tabs>
      </w:pPr>
      <w:hyperlink w:anchor="_Toc23924" w:history="1">
        <w:r>
          <w:rPr>
            <w:rFonts w:ascii="仿宋" w:eastAsia="仿宋" w:hAnsi="仿宋" w:cs="仿宋" w:hint="eastAsia"/>
            <w:lang w:eastAsia="zh-CN"/>
          </w:rPr>
          <w:t>十三、营销与推广策略</w:t>
        </w:r>
        <w:r>
          <w:tab/>
        </w:r>
        <w:r>
          <w:fldChar w:fldCharType="begin"/>
        </w:r>
        <w:r>
          <w:instrText xml:space="preserve"> PAGEREF _Toc23924 \h </w:instrText>
        </w:r>
        <w:r>
          <w:fldChar w:fldCharType="separate"/>
        </w:r>
        <w:r>
          <w:t>47</w:t>
        </w:r>
        <w:r>
          <w:fldChar w:fldCharType="end"/>
        </w:r>
      </w:hyperlink>
    </w:p>
    <w:p>
      <w:pPr>
        <w:pStyle w:val="TOC2"/>
        <w:tabs>
          <w:tab w:val="right" w:leader="dot" w:pos="8306"/>
        </w:tabs>
      </w:pPr>
      <w:hyperlink w:anchor="_Toc31274" w:history="1">
        <w:r>
          <w:rPr>
            <w:rFonts w:ascii="仿宋" w:eastAsia="仿宋" w:hAnsi="仿宋" w:cs="仿宋" w:hint="eastAsia"/>
            <w:lang w:eastAsia="zh-CN"/>
          </w:rPr>
          <w:t>(一)、产品/服务定位与特点</w:t>
        </w:r>
        <w:r>
          <w:tab/>
        </w:r>
        <w:r>
          <w:fldChar w:fldCharType="begin"/>
        </w:r>
        <w:r>
          <w:instrText xml:space="preserve"> PAGEREF _Toc31274 \h </w:instrText>
        </w:r>
        <w:r>
          <w:fldChar w:fldCharType="separate"/>
        </w:r>
        <w:r>
          <w:t>47</w:t>
        </w:r>
        <w:r>
          <w:fldChar w:fldCharType="end"/>
        </w:r>
      </w:hyperlink>
    </w:p>
    <w:p>
      <w:pPr>
        <w:pStyle w:val="TOC2"/>
        <w:tabs>
          <w:tab w:val="right" w:leader="dot" w:pos="8306"/>
        </w:tabs>
      </w:pPr>
      <w:hyperlink w:anchor="_Toc29671" w:history="1">
        <w:r>
          <w:rPr>
            <w:rFonts w:ascii="仿宋" w:eastAsia="仿宋" w:hAnsi="仿宋" w:cs="仿宋" w:hint="eastAsia"/>
            <w:lang w:eastAsia="zh-CN"/>
          </w:rPr>
          <w:t>(二)、市场定位与竞争分析</w:t>
        </w:r>
        <w:r>
          <w:tab/>
        </w:r>
        <w:r>
          <w:fldChar w:fldCharType="begin"/>
        </w:r>
        <w:r>
          <w:instrText xml:space="preserve"> PAGEREF _Toc29671 \h </w:instrText>
        </w:r>
        <w:r>
          <w:fldChar w:fldCharType="separate"/>
        </w:r>
        <w:r>
          <w:t>48</w:t>
        </w:r>
        <w:r>
          <w:fldChar w:fldCharType="end"/>
        </w:r>
      </w:hyperlink>
    </w:p>
    <w:p>
      <w:pPr>
        <w:pStyle w:val="TOC2"/>
        <w:tabs>
          <w:tab w:val="right" w:leader="dot" w:pos="8306"/>
        </w:tabs>
      </w:pPr>
      <w:hyperlink w:anchor="_Toc21897" w:history="1">
        <w:r>
          <w:rPr>
            <w:rFonts w:ascii="仿宋" w:eastAsia="仿宋" w:hAnsi="仿宋" w:cs="仿宋" w:hint="eastAsia"/>
            <w:lang w:eastAsia="zh-CN"/>
          </w:rPr>
          <w:t>(三)、营销渠道与策略</w:t>
        </w:r>
        <w:r>
          <w:tab/>
        </w:r>
        <w:r>
          <w:fldChar w:fldCharType="begin"/>
        </w:r>
        <w:r>
          <w:instrText xml:space="preserve"> PAGEREF _Toc21897 \h </w:instrText>
        </w:r>
        <w:r>
          <w:fldChar w:fldCharType="separate"/>
        </w:r>
        <w:r>
          <w:t>50</w:t>
        </w:r>
        <w:r>
          <w:fldChar w:fldCharType="end"/>
        </w:r>
      </w:hyperlink>
    </w:p>
    <w:p>
      <w:pPr>
        <w:pStyle w:val="TOC2"/>
        <w:tabs>
          <w:tab w:val="right" w:leader="dot" w:pos="8306"/>
        </w:tabs>
      </w:pPr>
      <w:hyperlink w:anchor="_Toc18631" w:history="1">
        <w:r>
          <w:rPr>
            <w:rFonts w:ascii="仿宋" w:eastAsia="仿宋" w:hAnsi="仿宋" w:cs="仿宋" w:hint="eastAsia"/>
            <w:lang w:eastAsia="zh-CN"/>
          </w:rPr>
          <w:t>(四)、推广与宣传活动</w:t>
        </w:r>
        <w:r>
          <w:tab/>
        </w:r>
        <w:r>
          <w:fldChar w:fldCharType="begin"/>
        </w:r>
        <w:r>
          <w:instrText xml:space="preserve"> PAGEREF _Toc18631 \h </w:instrText>
        </w:r>
        <w:r>
          <w:fldChar w:fldCharType="separate"/>
        </w:r>
        <w:r>
          <w:t>51</w:t>
        </w:r>
        <w:r>
          <w:fldChar w:fldCharType="end"/>
        </w:r>
      </w:hyperlink>
    </w:p>
    <w:p>
      <w:pPr>
        <w:pStyle w:val="TOC1"/>
        <w:tabs>
          <w:tab w:val="right" w:leader="dot" w:pos="8306"/>
        </w:tabs>
      </w:pPr>
      <w:hyperlink w:anchor="_Toc22673" w:history="1">
        <w:r>
          <w:rPr>
            <w:rFonts w:ascii="仿宋" w:eastAsia="仿宋" w:hAnsi="仿宋" w:cs="仿宋" w:hint="eastAsia"/>
            <w:lang w:eastAsia="zh-CN"/>
          </w:rPr>
          <w:t>十四、利益相关者分析与沟通计划</w:t>
        </w:r>
        <w:r>
          <w:tab/>
        </w:r>
        <w:r>
          <w:fldChar w:fldCharType="begin"/>
        </w:r>
        <w:r>
          <w:instrText xml:space="preserve"> PAGEREF _Toc22673 \h </w:instrText>
        </w:r>
        <w:r>
          <w:fldChar w:fldCharType="separate"/>
        </w:r>
        <w:r>
          <w:t>56</w:t>
        </w:r>
        <w:r>
          <w:fldChar w:fldCharType="end"/>
        </w:r>
      </w:hyperlink>
    </w:p>
    <w:p>
      <w:pPr>
        <w:pStyle w:val="TOC2"/>
        <w:tabs>
          <w:tab w:val="right" w:leader="dot" w:pos="8306"/>
        </w:tabs>
      </w:pPr>
      <w:hyperlink w:anchor="_Toc5844" w:history="1">
        <w:r>
          <w:rPr>
            <w:rFonts w:ascii="仿宋" w:eastAsia="仿宋" w:hAnsi="仿宋" w:cs="仿宋" w:hint="eastAsia"/>
            <w:lang w:eastAsia="zh-CN"/>
          </w:rPr>
          <w:t>(一)、利益相关者分析</w:t>
        </w:r>
        <w:r>
          <w:tab/>
        </w:r>
        <w:r>
          <w:fldChar w:fldCharType="begin"/>
        </w:r>
        <w:r>
          <w:instrText xml:space="preserve"> PAGEREF _Toc5844 \h </w:instrText>
        </w:r>
        <w:r>
          <w:fldChar w:fldCharType="separate"/>
        </w:r>
        <w:r>
          <w:t>56</w:t>
        </w:r>
        <w:r>
          <w:fldChar w:fldCharType="end"/>
        </w:r>
      </w:hyperlink>
    </w:p>
    <w:p>
      <w:pPr>
        <w:pStyle w:val="TOC2"/>
        <w:tabs>
          <w:tab w:val="right" w:leader="dot" w:pos="8306"/>
        </w:tabs>
      </w:pPr>
      <w:hyperlink w:anchor="_Toc21655" w:history="1">
        <w:r>
          <w:rPr>
            <w:rFonts w:ascii="仿宋" w:eastAsia="仿宋" w:hAnsi="仿宋" w:cs="仿宋" w:hint="eastAsia"/>
            <w:lang w:eastAsia="zh-CN"/>
          </w:rPr>
          <w:t>(二)、沟通计划</w:t>
        </w:r>
        <w:r>
          <w:tab/>
        </w:r>
        <w:r>
          <w:fldChar w:fldCharType="begin"/>
        </w:r>
        <w:r>
          <w:instrText xml:space="preserve"> PAGEREF _Toc21655 \h </w:instrText>
        </w:r>
        <w:r>
          <w:fldChar w:fldCharType="separate"/>
        </w:r>
        <w:r>
          <w:t>57</w:t>
        </w:r>
        <w:r>
          <w:fldChar w:fldCharType="end"/>
        </w:r>
      </w:hyperlink>
    </w:p>
    <w:p>
      <w:pPr>
        <w:pStyle w:val="TOC1"/>
        <w:tabs>
          <w:tab w:val="right" w:leader="dot" w:pos="8306"/>
        </w:tabs>
      </w:pPr>
      <w:hyperlink w:anchor="_Toc11610" w:history="1">
        <w:r>
          <w:rPr>
            <w:rFonts w:ascii="仿宋" w:eastAsia="仿宋" w:hAnsi="仿宋" w:cs="仿宋" w:hint="eastAsia"/>
            <w:lang w:eastAsia="zh-CN"/>
          </w:rPr>
          <w:t>十五、极细射频同轴电缆项目实施保障措施</w:t>
        </w:r>
        <w:r>
          <w:tab/>
        </w:r>
        <w:r>
          <w:fldChar w:fldCharType="begin"/>
        </w:r>
        <w:r>
          <w:instrText xml:space="preserve"> PAGEREF _Toc11610 \h </w:instrText>
        </w:r>
        <w:r>
          <w:fldChar w:fldCharType="separate"/>
        </w:r>
        <w:r>
          <w:t>58</w:t>
        </w:r>
        <w:r>
          <w:fldChar w:fldCharType="end"/>
        </w:r>
      </w:hyperlink>
    </w:p>
    <w:p>
      <w:pPr>
        <w:pStyle w:val="TOC2"/>
        <w:tabs>
          <w:tab w:val="right" w:leader="dot" w:pos="8306"/>
        </w:tabs>
      </w:pPr>
      <w:hyperlink w:anchor="_Toc14806" w:history="1">
        <w:r>
          <w:rPr>
            <w:rFonts w:ascii="仿宋" w:eastAsia="仿宋" w:hAnsi="仿宋" w:cs="仿宋" w:hint="eastAsia"/>
            <w:lang w:eastAsia="zh-CN"/>
          </w:rPr>
          <w:t>(一)、极细射频同轴电缆项目实施保障机制</w:t>
        </w:r>
        <w:r>
          <w:tab/>
        </w:r>
        <w:r>
          <w:fldChar w:fldCharType="begin"/>
        </w:r>
        <w:r>
          <w:instrText xml:space="preserve"> PAGEREF _Toc14806 \h </w:instrText>
        </w:r>
        <w:r>
          <w:fldChar w:fldCharType="separate"/>
        </w:r>
        <w:r>
          <w:t>58</w:t>
        </w:r>
        <w:r>
          <w:fldChar w:fldCharType="end"/>
        </w:r>
      </w:hyperlink>
    </w:p>
    <w:p>
      <w:pPr>
        <w:pStyle w:val="TOC2"/>
        <w:tabs>
          <w:tab w:val="right" w:leader="dot" w:pos="8306"/>
        </w:tabs>
      </w:pPr>
      <w:hyperlink w:anchor="_Toc20673" w:history="1">
        <w:r>
          <w:rPr>
            <w:rFonts w:ascii="仿宋" w:eastAsia="仿宋" w:hAnsi="仿宋" w:cs="仿宋" w:hint="eastAsia"/>
            <w:lang w:eastAsia="zh-CN"/>
          </w:rPr>
          <w:t>(二)、极细射频同轴电缆项目法律合规要求</w:t>
        </w:r>
        <w:r>
          <w:tab/>
        </w:r>
        <w:r>
          <w:fldChar w:fldCharType="begin"/>
        </w:r>
        <w:r>
          <w:instrText xml:space="preserve"> PAGEREF _Toc20673 \h </w:instrText>
        </w:r>
        <w:r>
          <w:fldChar w:fldCharType="separate"/>
        </w:r>
        <w:r>
          <w:t>62</w:t>
        </w:r>
        <w:r>
          <w:fldChar w:fldCharType="end"/>
        </w:r>
      </w:hyperlink>
    </w:p>
    <w:p>
      <w:pPr>
        <w:pStyle w:val="TOC2"/>
        <w:tabs>
          <w:tab w:val="right" w:leader="dot" w:pos="8306"/>
        </w:tabs>
      </w:pPr>
      <w:hyperlink w:anchor="_Toc7076" w:history="1">
        <w:r>
          <w:rPr>
            <w:rFonts w:ascii="仿宋" w:eastAsia="仿宋" w:hAnsi="仿宋" w:cs="仿宋" w:hint="eastAsia"/>
            <w:lang w:eastAsia="zh-CN"/>
          </w:rPr>
          <w:t>(三)、极细射频同轴电缆项目合同管理与法律事务</w:t>
        </w:r>
        <w:r>
          <w:tab/>
        </w:r>
        <w:r>
          <w:fldChar w:fldCharType="begin"/>
        </w:r>
        <w:r>
          <w:instrText xml:space="preserve"> PAGEREF _Toc7076 \h </w:instrText>
        </w:r>
        <w:r>
          <w:fldChar w:fldCharType="separate"/>
        </w:r>
        <w:r>
          <w:t>67</w:t>
        </w:r>
        <w:r>
          <w:fldChar w:fldCharType="end"/>
        </w:r>
      </w:hyperlink>
    </w:p>
    <w:p>
      <w:pPr>
        <w:pStyle w:val="TOC2"/>
        <w:tabs>
          <w:tab w:val="right" w:leader="dot" w:pos="8306"/>
        </w:tabs>
      </w:pPr>
      <w:hyperlink w:anchor="_Toc20203" w:history="1">
        <w:r>
          <w:rPr>
            <w:rFonts w:ascii="仿宋" w:eastAsia="仿宋" w:hAnsi="仿宋" w:cs="仿宋" w:hint="eastAsia"/>
            <w:lang w:eastAsia="zh-CN"/>
          </w:rPr>
          <w:t>(四)、极细射频同轴电缆项目知识产权保护策略</w:t>
        </w:r>
        <w:r>
          <w:tab/>
        </w:r>
        <w:r>
          <w:fldChar w:fldCharType="begin"/>
        </w:r>
        <w:r>
          <w:instrText xml:space="preserve"> PAGEREF _Toc20203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5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的技术管理特点体现在其创新导向。通过引入最先进的技术趋势和解决方案，极细射频同轴电缆项目致力于提升科技含量、提高质量和效率水平。这意味着我们将采用最新的工具和方法，确保极细射频同轴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极细射频同轴电缆项目技术管理的显著特征。通过整合不同领域的技术资源，我们实现了跨学科的协同工作。这有助于优化技术架构，提高整体效能。此外，整合性策略还促进了不同技术团队之间的紧密沟通和高效合作，确保极细射频同轴电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极细射频同轴电缆项目所采用的技术。通过不断优化技术方案，极细射频同轴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极细射频同轴电缆项目团队将在极细射频同轴电缆项目初期识别可能的技术风险，并采取相应的预防和应对措施。通过建立健全的风险评估机制，极细射频同轴电缆项目能够在实施过程中及时发现并解决潜在的技术问题，保障极细射频同轴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极细射频同轴电缆项目中，技术将成为极细射频同轴电缆项目成功的有力支持。这一深度剖析揭示了技术管理在极细射频同轴电缆项目实施中的关键作用，为极细射频同轴电缆项目的技术基础奠定了坚实的基础。</w:t>
      </w:r>
    </w:p>
    <w:p>
      <w:pPr>
        <w:pStyle w:val="Heading2"/>
        <w:ind w:firstLine="560" w:firstLineChars="200"/>
        <w:rPr>
          <w:rFonts w:ascii="仿宋" w:eastAsia="仿宋" w:hAnsi="仿宋" w:cs="仿宋" w:hint="eastAsia"/>
          <w:sz w:val="28"/>
          <w:lang w:eastAsia="zh-CN"/>
        </w:rPr>
      </w:pPr>
      <w:bookmarkStart w:id="4" w:name="_Toc27283"/>
      <w:r>
        <w:rPr>
          <w:rFonts w:ascii="仿宋" w:eastAsia="仿宋" w:hAnsi="仿宋" w:cs="仿宋" w:hint="eastAsia"/>
          <w:sz w:val="28"/>
          <w:lang w:eastAsia="zh-CN"/>
        </w:rPr>
        <w:t>(二)、极细射频同轴电缆项目工艺技术设计方案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极细射频同轴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极细射频同轴电缆项目将严格按照相关行业规范要求进行组织。通过有效控制产品质量，极细射频同轴电缆项目将致力于为顾客提供优质的极细射频同轴电缆项目产品和良好的服务。这体现了极细射频同轴电缆项目对于生产活动合规性和质量标准的高度重视，为极细射频同轴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极细射频同轴电缆项目注重生态效益和清洁生产原则。极细射频同轴电缆项目建设将紧密结合地方特色经济发展，与社会经济发展规划和区域环境保护规划方案相协调一致。通过与当地区域自然生态系统的结合，极细射频同轴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极细射频同轴电缆项目产品具有多样化的客户需求和个性化的特点。因此，极细射频同轴电缆项目产品规格品种多样，且单批生产数量较小。为满足这一特点，极细射频同轴电缆项目承办单位将建设先进的柔性制造生产线。通过广泛应用柔性制造技术，极细射频同轴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极细射频同轴电缆项目采用的技术具有较高的技术含量和自动化水平，处于国内先进水平。这一技术选用不仅体现了对生产效率、质量和环境友好性的高标准要求，同时为极细射频同轴电缆项目的可持续发展奠定了坚实的基础。</w:t>
      </w:r>
    </w:p>
    <w:p>
      <w:pPr>
        <w:pStyle w:val="Heading2"/>
        <w:ind w:firstLine="560" w:firstLineChars="200"/>
        <w:rPr>
          <w:rFonts w:ascii="仿宋" w:eastAsia="仿宋" w:hAnsi="仿宋" w:cs="仿宋" w:hint="eastAsia"/>
          <w:sz w:val="28"/>
          <w:lang w:eastAsia="zh-CN"/>
        </w:rPr>
      </w:pPr>
      <w:bookmarkStart w:id="5" w:name="_Toc266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为确保极细射频同轴电缆项目的高效生产和技术实施，我们制定了一套精心设计的设备选型方案，以满足极细射频同轴电缆项目生产、质量和环保的要求。该方案的主要特点如下：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极细射频同轴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针对极细射频同轴电缆项目产品的多样性和小批量生产的特点，我们将建设柔性制造生产线。通过在设备选型中考虑柔性制造技术，可以灵活应对不同产品规格和生产需求，实现生产线的高度灵活性和适应性。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046"/>
      <w:r>
        <w:rPr>
          <w:rFonts w:ascii="仿宋" w:eastAsia="仿宋" w:hAnsi="仿宋" w:cs="仿宋" w:hint="eastAsia"/>
          <w:sz w:val="28"/>
          <w:lang w:eastAsia="zh-CN"/>
        </w:rPr>
        <w:t>二、极细射频同轴电缆项目选址可行性分析</w:t>
      </w:r>
      <w:bookmarkEnd w:id="6"/>
    </w:p>
    <w:p>
      <w:pPr>
        <w:pStyle w:val="Heading2"/>
        <w:rPr>
          <w:rFonts w:ascii="仿宋" w:eastAsia="仿宋" w:hAnsi="仿宋" w:cs="仿宋" w:hint="eastAsia"/>
          <w:lang w:eastAsia="zh-CN"/>
        </w:rPr>
      </w:pPr>
      <w:bookmarkStart w:id="7" w:name="_Toc6892"/>
      <w:r>
        <w:rPr>
          <w:rFonts w:ascii="仿宋" w:eastAsia="仿宋" w:hAnsi="仿宋" w:cs="仿宋" w:hint="eastAsia"/>
          <w:lang w:eastAsia="zh-CN"/>
        </w:rPr>
        <w:t>(一)、极细射频同轴电缆项目选址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该极细射频同轴电缆项目选址位于XX省XX市XX区XXX街道</w:t>
      </w:r>
    </w:p>
    <w:p>
      <w:pPr>
        <w:pStyle w:val="Heading2"/>
        <w:ind w:firstLine="560" w:firstLineChars="200"/>
        <w:rPr>
          <w:rFonts w:ascii="仿宋" w:eastAsia="仿宋" w:hAnsi="仿宋" w:cs="仿宋" w:hint="eastAsia"/>
          <w:sz w:val="28"/>
          <w:lang w:eastAsia="zh-CN"/>
        </w:rPr>
      </w:pPr>
      <w:bookmarkStart w:id="8" w:name="_Toc3246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极细射频同轴电缆项目的征地面积将根据极细射频同轴电缆项目的实际规模和需求进行精确规划。具体面积XXX平方米，旨在确保极细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净用地面积是在征地面积基础上去除不可利用面积后的实际可开发用地。具体面积XXX平方米，考虑到环保、交通、安全等多方面因素，以确保极细射频同轴电缆项目在整体利用效率上达到最优。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极细射频同轴电缆项目计划建设的建筑总规模具体面积XXX平方米。这一规模的确定综合考虑了极细射频同轴电缆项目的性质、规模，以及城市规划的相关要求，确保建筑布局与周边环境协调一致。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绿地率是极细射频同轴电缆项目用地中被规划为绿地的比例。具体面积XXX平方米，旨在通过合理规划绿地，改善极细射频同轴电缆项目周边环境，提升居民生活质量，并符合城市整体绿化规划。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容积率是用地上可以建设的建筑总体积与用地面积之比。具体面积XXX，通过合理的容积率规划，确保极细射频同轴电缆项目建筑规模与周边环境和谐共生。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极细射频同轴电缆项目选址与当地城市规划相一致，具体面积XXX平方米。通过与城市规划部门深入沟通，确保极细射频同轴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极细射频同轴电缆项目选址符合当地产业政策，具体面积XXX平方米。这包括极细射频同轴电缆项目对当地经济的促进作用，以及对相关产业的带动效应，确保极细射频同轴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用地总体要求必须符合环保和可持续发展的原则，具体面积XXX平方米。通过采用绿色建筑设计、节能减排等措施，确保极细射频同轴电缆项目在建设和运营过程中对环境的影响最小化，达到可持续发展的要求。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确保极细射频同轴电缆项目选址具备必要的公共设施配套，具体面积XXX平方米。这包括交通便利性、教育、医疗等基础设施，以提高居民生活品质，使得极细射频同轴电缆项目选址更具吸引力。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考虑用地总体要求对当地社会稳定性的影响，具体面积XXX平方米。通过深入了解当地社区反馈，确保极细射频同轴电缆项目的选址和建设过程对当地社会和谐稳定产生积极作用。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极细射频同轴电缆项目选址不仅符合法规和规划，还在实际操作中具有可行性。这一全面规划将为极细射频同轴电缆项目的成功实施提供坚实的基础，确保极细射频同轴电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31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极细射频同轴电缆项目的设备规划和空间设计中，我们将采取灵活设备布局的措施。设备布局将根据实际需求进行灵活设计，避免不必要的浪费。通过合理规划设备摆放位置，我们将提高设备的利用率，减少设备间距，以确保极细射频同轴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极细射频同轴电缆项目内部引入共享设施的概念，例如共享会议室、办公区等。通过这种方式，我们可以减少对资源的重复建设，提高资源共享效率，从而减小极细射频同轴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21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极细射频同轴电缆项目的总图布置中，我们将不同功能区域进行明确的规划，以最大程度满足极细射频同轴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90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极细射频同轴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极细射频同轴电缆项目对环境的影响是综合评价的重要因素之一。我们将详细考虑选址周边的自然环境、生态保护区、水源地等情况，确保极细射频同轴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对选址的评价还需充分考虑当地政府的产业政策和法规。我们将详细了解极细射频同轴电缆项目所在地的相关政策，确保极细射频同轴电缆项目的规划和运营与当地法规相符，降低不必要的法律风险。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考虑到社会稳定性对企业运营的重要性，我们将评估选址地区的社会安全情况、劳工关系、社区反馈等方面，以确保极细射频同轴电缆项目的建设和运营不会受到社会稳定性的负面影响。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最后，我们将综合考虑用地成本，包括土地购置费用、土地开发成本等。通过对用地成本的详细评估，我们能够做出更为精确的经济效益分析，为极细射频同轴电缆项目的投资决策提供有力支持。</w:t>
      </w:r>
    </w:p>
    <w:p>
      <w:pPr>
        <w:pStyle w:val="Heading1"/>
        <w:ind w:firstLine="560" w:firstLineChars="200"/>
        <w:rPr>
          <w:rFonts w:ascii="仿宋" w:eastAsia="仿宋" w:hAnsi="仿宋" w:cs="仿宋" w:hint="eastAsia"/>
          <w:sz w:val="28"/>
          <w:lang w:eastAsia="zh-CN"/>
        </w:rPr>
      </w:pPr>
      <w:bookmarkStart w:id="12" w:name="_Toc13724"/>
      <w:r>
        <w:rPr>
          <w:rFonts w:ascii="仿宋" w:eastAsia="仿宋" w:hAnsi="仿宋" w:cs="仿宋" w:hint="eastAsia"/>
          <w:sz w:val="28"/>
          <w:lang w:eastAsia="zh-CN"/>
        </w:rPr>
        <w:t>三、极细射频同轴电缆项目文档管理</w:t>
      </w:r>
      <w:bookmarkEnd w:id="12"/>
    </w:p>
    <w:p>
      <w:pPr>
        <w:pStyle w:val="Heading2"/>
        <w:rPr>
          <w:rFonts w:ascii="仿宋" w:eastAsia="仿宋" w:hAnsi="仿宋" w:cs="仿宋" w:hint="eastAsia"/>
          <w:lang w:eastAsia="zh-CN"/>
        </w:rPr>
      </w:pPr>
      <w:bookmarkStart w:id="13" w:name="_Toc2448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极细射频同轴电缆项目高度重视文档的质量和准确性，以支持极细射频同轴电缆项目的各项活动和决策。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文档的编制始于极细射频同轴电缆项目计划的初期，我们制定了详细的文档编制计划，明确了每个文档的内容、格式和编写责任人。在极细射频同轴电缆项目启动阶段，我们首先编制了极细射频同轴电缆项目章程，明确定义了极细射频同轴电缆项目的目标、范围、风险等关键要素。随后，极细射频同轴电缆项目团队根据计划陆续编制了需求文档、设计文档、测试文档等各类文档，确保极细射频同轴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极细射频同轴电缆项目管理中的重要环节，旨在确保极细射频同轴电缆项目文档符合质量标准和极细射频同轴电缆项目需求。在极细射频同轴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极细射频同轴电缆项目相关利益方和专业领域的专家对文档进行独立审查。这有助于获取更全面、客观的反馈，确保极细射频同轴电缆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在文档编制与审查方面建立了严格的管理机制，通过规范的流程和多维度的审查，确保极细射频同轴电缆项目文档的质量、准确性和可靠性，为极细射频同轴电缆项目的顺利推进提供了有力支持。</w:t>
      </w:r>
    </w:p>
    <w:p>
      <w:pPr>
        <w:pStyle w:val="Heading2"/>
        <w:ind w:firstLine="560" w:firstLineChars="200"/>
        <w:rPr>
          <w:rFonts w:ascii="仿宋" w:eastAsia="仿宋" w:hAnsi="仿宋" w:cs="仿宋" w:hint="eastAsia"/>
          <w:sz w:val="28"/>
          <w:lang w:eastAsia="zh-CN"/>
        </w:rPr>
      </w:pPr>
      <w:bookmarkStart w:id="14" w:name="_Toc346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我们通过多渠道发布文档，包括电子邮件、极细射频同轴电缆项目管理平台、内部网站等，以满足不同团队成员的偏好和需求。多渠道发布确保了信息的全面覆盖。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我们采用了精细的权限控制，确保只有授权人员可以访问敏感信息。这种安全措施保护了极细射频同轴电缆项目文档的机密性，防止了未经授权的信息泄露。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9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极细射频同轴电缆项目生命周期中一个至关重要的环节，直接关系到极细射频同轴电缆项目信息的长期保存和历史记录的完整性。在极细射频同轴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525"/>
      <w:r>
        <w:rPr>
          <w:rFonts w:ascii="仿宋" w:eastAsia="仿宋" w:hAnsi="仿宋" w:cs="仿宋" w:hint="eastAsia"/>
          <w:sz w:val="28"/>
          <w:lang w:eastAsia="zh-CN"/>
        </w:rPr>
        <w:t>四、极细射频同轴电缆项目危机管理</w:t>
      </w:r>
      <w:bookmarkEnd w:id="16"/>
    </w:p>
    <w:p>
      <w:pPr>
        <w:pStyle w:val="Heading2"/>
        <w:rPr>
          <w:rFonts w:ascii="仿宋" w:eastAsia="仿宋" w:hAnsi="仿宋" w:cs="仿宋" w:hint="eastAsia"/>
          <w:lang w:eastAsia="zh-CN"/>
        </w:rPr>
      </w:pPr>
      <w:bookmarkStart w:id="17" w:name="_Toc582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危机管理中，危机预警与识别是确保极细射频同轴电缆项目稳健运行的核心步骤。通过建立全面的监测机制，极细射频同轴电缆项目团队旨在及时发现和理解潜在的风险和危机因素，以便采取及时的预防和应对措施，确保极细射频同轴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极细射频同轴电缆项目团队全面分析了整个极细射频同轴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极细射频同轴电缆项目团队着重于明确定义极细射频同轴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https://d.book118.com/568032011137006025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C2F96"/>
    <w:rsid w:val="4B3C2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20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2024-01-12T04:21:00Z</dcterms:created>
  <dcterms:modified xsi:type="dcterms:W3CDTF">2024-01-12T04:21:38Z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3B29F14C2D544B47B1641A6A0606334D_11</vt:lpwstr>
  </property>
  <property fmtid="{D5CDD505-2E9C-101B-9397-08002B2CF9AE}" pid="3" name="KSOProductBuildVer">
    <vt:lpwstr>2052-12.1.0.16120</vt:lpwstr>
  </property>
</Properties>
</file>