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2018-2023年三亚航空旅游职业学院高职单招（数学／语文／英语）历年常考试题库含答案解析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中唐新乐府运动的倡导者是（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李清照《声声慢》（寻寻觅觅）是（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A.婉约词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B.豪放词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C.风雅词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D.田园词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鲁迅指出：中国几千年封建社会“一治一乱”的历史是（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A.咱们向来就很好比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B.想做奴隶而不得的时代和暂时做稳了奴隶的时代的交替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C.汉族文化发达的时代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D.“古已有之”的时代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贯穿《爱尔克的灯光》全文的线索是（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A.故居的变迁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B.亡姐的不幸遭遇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C.三种灯光的依次闪现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D.“我的心灵的灯”的引导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下面哪部作品的出版成为中国现代小说的开端（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B.《呐喊》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C.《春蚕》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D.《骆驼祥子》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“文章合为时而著，歌诗合为事而作”的口号是谁提出的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D.李贺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苏轼的《前赤壁赋》的感情变化线索是（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743258" cy="143842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3258" cy="143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先秦诸子中，善用“欲擒故纵，引君入彀”论辩手法的是（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下列曲词中化用古人诗句的句子是（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A.伯劳东去燕西飞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B.碧云天，黄花地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C.昨宵今日，清减了小腰围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D.泪添九曲黄河溢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李白被称为（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A.诗圣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B.诗豪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D.诗仙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闻一多倡导新诗应具有的“三美”是（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A.绘画的美、音乐的美、韵律的美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B.自然的美、音乐的美、绘画的美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C.音乐的美、绘画的美、建筑的美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D.音乐的美、建筑的美、和谐的美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“狡兔三窟”这一成语出自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孔子的思想核心是（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A.民本思想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B.仁和礼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C.严刑峻法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D.自然无为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https://d.book118.com/568032135132006040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568032135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