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ind w:left="0"/>
        <w:rPr>
          <w:rFonts w:ascii="Times New Roman"/>
          <w:sz w:val="20"/>
        </w:rPr>
      </w:pPr>
      <w:r>
        <w:drawing>
          <wp:anchor distT="0" distB="0" distL="0" distR="0" simplePos="0" relativeHeight="251658240" behindDoc="1" locked="0" layoutInCell="1" allowOverlap="1">
            <wp:simplePos x="0" y="0"/>
            <wp:positionH relativeFrom="page">
              <wp:posOffset>0</wp:posOffset>
            </wp:positionH>
            <wp:positionV relativeFrom="page">
              <wp:posOffset>0</wp:posOffset>
            </wp:positionV>
            <wp:extent cx="11340465" cy="15848965"/>
            <wp:effectExtent l="0" t="0" r="0" b="0"/>
            <wp:wrapNone/>
            <wp:docPr id="1"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jpeg"/>
                    <pic:cNvPicPr/>
                  </pic:nvPicPr>
                  <pic:blipFill>
                    <a:blip xmlns:r="http://schemas.openxmlformats.org/officeDocument/2006/relationships" r:embed="rId4" cstate="print"/>
                    <a:stretch>
                      <a:fillRect/>
                    </a:stretch>
                  </pic:blipFill>
                  <pic:spPr>
                    <a:xfrm>
                      <a:off x="0" y="0"/>
                      <a:ext cx="11340465" cy="15848965"/>
                    </a:xfrm>
                    <a:prstGeom prst="rect">
                      <a:avLst/>
                    </a:prstGeom>
                  </pic:spPr>
                </pic:pic>
              </a:graphicData>
            </a:graphic>
          </wp:anchor>
        </w:drawing>
      </w: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ind w:left="0"/>
        <w:rPr>
          <w:rFonts w:ascii="Times New Roman"/>
          <w:sz w:val="20"/>
        </w:rPr>
      </w:pPr>
    </w:p>
    <w:p>
      <w:pPr>
        <w:pStyle w:val="BodyText"/>
        <w:spacing w:before="9"/>
        <w:ind w:left="0"/>
        <w:rPr>
          <w:rFonts w:ascii="Times New Roman"/>
          <w:sz w:val="24"/>
        </w:rPr>
      </w:pPr>
    </w:p>
    <w:p>
      <w:pPr>
        <w:pStyle w:val="Title"/>
      </w:pPr>
      <w:r>
        <w:t>（建筑工程管理</w:t>
      </w:r>
      <w:r>
        <w:rPr>
          <w:spacing w:val="-389"/>
        </w:rPr>
        <w:t>）</w:t>
      </w:r>
      <w:r>
        <w:t>斜井交叉</w:t>
      </w:r>
    </w:p>
    <w:p>
      <w:pPr>
        <w:pStyle w:val="Title"/>
        <w:spacing w:line="1931" w:lineRule="exact"/>
      </w:pPr>
      <w:r>
        <w:t>口施工方案(最终)</w:t>
      </w:r>
    </w:p>
    <w:p>
      <w:pPr>
        <w:spacing w:after="0" w:line="1931" w:lineRule="exact"/>
        <w:sectPr>
          <w:type w:val="continuous"/>
          <w:pgSz w:w="17860" w:h="25260"/>
          <w:pgMar w:top="2420" w:right="2040" w:bottom="280" w:left="2540" w:header="708" w:footer="708"/>
          <w:cols w:space="708"/>
        </w:sectPr>
      </w:pPr>
    </w:p>
    <w:p>
      <w:pPr>
        <w:spacing w:before="0" w:line="1139" w:lineRule="exact"/>
        <w:ind w:left="81" w:right="575" w:firstLine="0"/>
        <w:jc w:val="center"/>
        <w:rPr>
          <w:b/>
          <w:sz w:val="66"/>
        </w:rPr>
      </w:pPr>
      <w:r>
        <w:rPr>
          <w:b/>
          <w:sz w:val="66"/>
        </w:rPr>
        <w:t>兰新铁路第二双线甘青段 LXS-5 标</w:t>
      </w:r>
    </w:p>
    <w:p>
      <w:pPr>
        <w:spacing w:before="306"/>
        <w:ind w:left="81" w:right="567" w:firstLine="0"/>
        <w:jc w:val="center"/>
        <w:rPr>
          <w:b/>
          <w:sz w:val="78"/>
        </w:rPr>
      </w:pPr>
      <w:r>
        <w:rPr>
          <w:b/>
          <w:sz w:val="78"/>
        </w:rPr>
        <w:t>大坂山隧道 3#斜井交叉口施工方案</w:t>
      </w:r>
    </w:p>
    <w:p>
      <w:pPr>
        <w:pStyle w:val="BodyText"/>
        <w:ind w:left="0"/>
        <w:rPr>
          <w:b/>
          <w:sz w:val="20"/>
        </w:rPr>
      </w:pPr>
    </w:p>
    <w:p>
      <w:pPr>
        <w:pStyle w:val="BodyText"/>
        <w:spacing w:before="1"/>
        <w:ind w:left="0"/>
        <w:rPr>
          <w:b/>
          <w:sz w:val="14"/>
        </w:rPr>
      </w:pPr>
    </w:p>
    <w:p>
      <w:pPr>
        <w:spacing w:after="0"/>
        <w:rPr>
          <w:sz w:val="14"/>
        </w:rPr>
        <w:sectPr>
          <w:pgSz w:w="17860" w:h="25260"/>
          <w:pgMar w:top="2420" w:right="2040" w:bottom="280" w:left="2540" w:header="708" w:footer="708"/>
          <w:pgNumType w:start="2"/>
          <w:cols w:space="708"/>
        </w:sectPr>
      </w:pPr>
    </w:p>
    <w:p>
      <w:pPr>
        <w:spacing w:before="8" w:line="328" w:lineRule="auto"/>
        <w:ind w:left="106" w:right="38" w:firstLine="0"/>
        <w:jc w:val="both"/>
        <w:rPr>
          <w:sz w:val="37"/>
        </w:rPr>
      </w:pPr>
      <w:r>
        <w:drawing>
          <wp:anchor distT="0" distB="0" distL="0" distR="0" simplePos="0" relativeHeight="251659264" behindDoc="0" locked="0" layoutInCell="1" allowOverlap="1">
            <wp:simplePos x="0" y="0"/>
            <wp:positionH relativeFrom="page">
              <wp:posOffset>2628900</wp:posOffset>
            </wp:positionH>
            <wp:positionV relativeFrom="paragraph">
              <wp:posOffset>426678</wp:posOffset>
            </wp:positionV>
            <wp:extent cx="24003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5" cstate="print"/>
                    <a:stretch>
                      <a:fillRect/>
                    </a:stretch>
                  </pic:blipFill>
                  <pic:spPr>
                    <a:xfrm>
                      <a:off x="0" y="0"/>
                      <a:ext cx="2400300" cy="38100"/>
                    </a:xfrm>
                    <a:prstGeom prst="rect">
                      <a:avLst/>
                    </a:prstGeom>
                  </pic:spPr>
                </pic:pic>
              </a:graphicData>
            </a:graphic>
          </wp:anchor>
        </w:drawing>
      </w:r>
      <w:r>
        <w:drawing>
          <wp:anchor distT="0" distB="0" distL="0" distR="0" simplePos="0" relativeHeight="251660288" behindDoc="0" locked="0" layoutInCell="1" allowOverlap="1">
            <wp:simplePos x="0" y="0"/>
            <wp:positionH relativeFrom="page">
              <wp:posOffset>2628900</wp:posOffset>
            </wp:positionH>
            <wp:positionV relativeFrom="paragraph">
              <wp:posOffset>1010878</wp:posOffset>
            </wp:positionV>
            <wp:extent cx="24003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6" cstate="print"/>
                    <a:stretch>
                      <a:fillRect/>
                    </a:stretch>
                  </pic:blipFill>
                  <pic:spPr>
                    <a:xfrm>
                      <a:off x="0" y="0"/>
                      <a:ext cx="2400300" cy="38100"/>
                    </a:xfrm>
                    <a:prstGeom prst="rect">
                      <a:avLst/>
                    </a:prstGeom>
                  </pic:spPr>
                </pic:pic>
              </a:graphicData>
            </a:graphic>
          </wp:anchor>
        </w:drawing>
      </w:r>
      <w:r>
        <w:drawing>
          <wp:anchor distT="0" distB="0" distL="0" distR="0" simplePos="0" relativeHeight="251661312" behindDoc="0" locked="0" layoutInCell="1" allowOverlap="1">
            <wp:simplePos x="0" y="0"/>
            <wp:positionH relativeFrom="page">
              <wp:posOffset>2628900</wp:posOffset>
            </wp:positionH>
            <wp:positionV relativeFrom="paragraph">
              <wp:posOffset>1607778</wp:posOffset>
            </wp:positionV>
            <wp:extent cx="2400300" cy="38100"/>
            <wp:effectExtent l="0" t="0" r="0" b="0"/>
            <wp:wrapNone/>
            <wp:docPr id="7"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3.png"/>
                    <pic:cNvPicPr/>
                  </pic:nvPicPr>
                  <pic:blipFill>
                    <a:blip xmlns:r="http://schemas.openxmlformats.org/officeDocument/2006/relationships" r:embed="rId6" cstate="print"/>
                    <a:stretch>
                      <a:fillRect/>
                    </a:stretch>
                  </pic:blipFill>
                  <pic:spPr>
                    <a:xfrm>
                      <a:off x="0" y="0"/>
                      <a:ext cx="2400300" cy="38100"/>
                    </a:xfrm>
                    <a:prstGeom prst="rect">
                      <a:avLst/>
                    </a:prstGeom>
                  </pic:spPr>
                </pic:pic>
              </a:graphicData>
            </a:graphic>
          </wp:anchor>
        </w:drawing>
      </w:r>
      <w:r>
        <w:rPr>
          <w:sz w:val="37"/>
        </w:rPr>
        <w:t>编制人： 审核人： 批准人：</w:t>
      </w:r>
    </w:p>
    <w:p>
      <w:pPr>
        <w:pStyle w:val="BodyText"/>
        <w:ind w:left="0"/>
        <w:rPr>
          <w:sz w:val="48"/>
        </w:rPr>
      </w:pPr>
      <w:r>
        <w:br w:type="column"/>
      </w:r>
    </w:p>
    <w:p>
      <w:pPr>
        <w:pStyle w:val="BodyText"/>
        <w:ind w:left="0"/>
        <w:rPr>
          <w:sz w:val="48"/>
        </w:rPr>
      </w:pPr>
    </w:p>
    <w:p>
      <w:pPr>
        <w:pStyle w:val="BodyText"/>
        <w:spacing w:before="17"/>
        <w:ind w:left="0"/>
        <w:rPr>
          <w:sz w:val="57"/>
        </w:rPr>
      </w:pPr>
    </w:p>
    <w:p>
      <w:pPr>
        <w:spacing w:before="1" w:line="338" w:lineRule="auto"/>
        <w:ind w:left="2584" w:right="2385" w:hanging="2478"/>
        <w:jc w:val="left"/>
        <w:rPr>
          <w:b/>
          <w:sz w:val="36"/>
        </w:rPr>
      </w:pPr>
      <w:r>
        <w:rPr>
          <w:b/>
          <w:sz w:val="36"/>
        </w:rPr>
        <w:t>中铁十八局集团有限公司兰新铁路大坂山隧道项目指挥部二 0 一 0 年九月二十五日</w:t>
      </w:r>
    </w:p>
    <w:p>
      <w:pPr>
        <w:spacing w:after="0" w:line="338" w:lineRule="auto"/>
        <w:jc w:val="left"/>
        <w:rPr>
          <w:sz w:val="36"/>
        </w:rPr>
        <w:sectPr>
          <w:type w:val="continuous"/>
          <w:pgSz w:w="17860" w:h="25260"/>
          <w:pgMar w:top="2420" w:right="2040" w:bottom="280" w:left="2540" w:header="708" w:footer="708"/>
          <w:pgNumType w:start="3"/>
          <w:cols w:num="2" w:space="708" w:equalWidth="0">
            <w:col w:w="1645" w:space="140"/>
            <w:col w:w="11495" w:space="0"/>
          </w:cols>
        </w:sectPr>
      </w:pPr>
    </w:p>
    <w:p>
      <w:pPr>
        <w:spacing w:before="0" w:line="1210" w:lineRule="exact"/>
        <w:ind w:left="81" w:right="578" w:firstLine="0"/>
        <w:jc w:val="center"/>
        <w:rPr>
          <w:b/>
          <w:sz w:val="72"/>
        </w:rPr>
      </w:pPr>
      <w:r>
        <w:rPr>
          <w:b/>
          <w:sz w:val="72"/>
        </w:rPr>
        <w:t>3#斜井交叉口施工方案</w:t>
      </w:r>
    </w:p>
    <w:p>
      <w:pPr>
        <w:pStyle w:val="Heading1"/>
        <w:spacing w:before="433" w:line="240" w:lineRule="auto"/>
        <w:ind w:left="401"/>
      </w:pPr>
      <w:r>
        <w:t>一、工程概况</w:t>
      </w:r>
    </w:p>
    <w:p>
      <w:pPr>
        <w:pStyle w:val="Heading2"/>
        <w:spacing w:before="293"/>
      </w:pPr>
      <w:r>
        <w:rPr>
          <w:w w:val="95"/>
        </w:rPr>
        <w:t>（一）隧道概况</w:t>
      </w:r>
    </w:p>
    <w:p>
      <w:pPr>
        <w:pStyle w:val="BodyText"/>
        <w:spacing w:before="170" w:line="290" w:lineRule="auto"/>
        <w:ind w:right="375" w:firstLine="719"/>
      </w:pPr>
      <w:r>
        <w:t>大坂山隧道起点位于青海省西宁市大通县境内，由东南向西北走</w:t>
      </w:r>
      <w:r>
        <w:rPr>
          <w:spacing w:val="-19"/>
        </w:rPr>
        <w:t xml:space="preserve">行，终点位于青海省海北州门源县境内。通过地区为大坂山中高山区， </w:t>
      </w:r>
      <w:r>
        <w:rPr>
          <w:spacing w:val="-13"/>
        </w:rPr>
        <w:t xml:space="preserve">隧道洞身穿过大坂山主脊。平均海拔约 </w:t>
      </w:r>
      <w:r>
        <w:rPr>
          <w:spacing w:val="-24"/>
        </w:rPr>
        <w:t>3000m</w:t>
      </w:r>
      <w:r>
        <w:rPr>
          <w:spacing w:val="-7"/>
        </w:rPr>
        <w:t xml:space="preserve">，最高海拔为 </w:t>
      </w:r>
      <w:r>
        <w:t>4211m。</w:t>
      </w:r>
      <w:r>
        <w:rPr>
          <w:spacing w:val="3"/>
        </w:rPr>
        <w:t xml:space="preserve">隧道起讫里程为 </w:t>
      </w:r>
      <w:r>
        <w:t>DK259+255～DK275+152</w:t>
      </w:r>
      <w:r>
        <w:rPr>
          <w:spacing w:val="7"/>
        </w:rPr>
        <w:t xml:space="preserve">，总长 </w:t>
      </w:r>
      <w:r>
        <w:t>15897m，最大</w:t>
      </w:r>
      <w:r>
        <w:rPr>
          <w:spacing w:val="6"/>
        </w:rPr>
        <w:t xml:space="preserve">埋深 </w:t>
      </w:r>
      <w:r>
        <w:t>1085.5m</w:t>
      </w:r>
      <w:r>
        <w:rPr>
          <w:spacing w:val="-1"/>
        </w:rPr>
        <w:t xml:space="preserve">。洞身经过地带地形起伏较大，自然坡度 </w:t>
      </w:r>
      <w:r>
        <w:t>20°～40°， 工地范围内山高坡陡，基岩裸露，沟壑纵横，地形复杂，植被茂密。</w:t>
      </w:r>
    </w:p>
    <w:p>
      <w:pPr>
        <w:pStyle w:val="BodyText"/>
        <w:spacing w:line="290" w:lineRule="auto"/>
        <w:ind w:right="594" w:firstLine="838"/>
        <w:jc w:val="both"/>
      </w:pPr>
      <w:r>
        <w:t>大坂山隧道 3#斜井与正洞左线交点的设计里程为 DK272+000, 与大里程方向线路平面交角为 49°16′7″，斜井沿正洞走向跨度 14.9 米。斜井施工到正洞后，根据设计资料显示，该段围岩为Ⅲ级围岩</w:t>
      </w:r>
    </w:p>
    <w:p>
      <w:pPr>
        <w:pStyle w:val="BodyText"/>
        <w:tabs>
          <w:tab w:val="left" w:pos="6032"/>
          <w:tab w:val="left" w:pos="9856"/>
        </w:tabs>
        <w:spacing w:line="773" w:lineRule="exact"/>
      </w:pPr>
      <w:r>
        <w:rPr>
          <w:spacing w:val="3"/>
        </w:rPr>
        <w:t>（DK271+130～DK272+650</w:t>
        <w:tab/>
      </w:r>
      <w:r>
        <w:t>为Ⅲ级围岩，其中</w:t>
        <w:tab/>
        <w:t>DK271+985～</w:t>
      </w:r>
    </w:p>
    <w:p>
      <w:pPr>
        <w:pStyle w:val="BodyText"/>
        <w:spacing w:before="158" w:line="290" w:lineRule="auto"/>
        <w:ind w:right="534"/>
      </w:pPr>
      <w:r>
        <w:rPr>
          <w:spacing w:val="-1"/>
          <w:w w:val="100"/>
        </w:rPr>
        <w:t>DK272+01</w:t>
      </w:r>
      <w:r>
        <w:rPr>
          <w:w w:val="100"/>
        </w:rPr>
        <w:t>5</w:t>
      </w:r>
      <w:r>
        <w:rPr>
          <w:spacing w:val="-18"/>
        </w:rPr>
        <w:t xml:space="preserve"> </w:t>
      </w:r>
      <w:r>
        <w:rPr>
          <w:w w:val="100"/>
        </w:rPr>
        <w:t>喇叭段</w:t>
      </w:r>
      <w:r>
        <w:rPr>
          <w:spacing w:val="-23"/>
        </w:rPr>
        <w:t xml:space="preserve"> </w:t>
      </w:r>
      <w:r>
        <w:rPr>
          <w:spacing w:val="-1"/>
          <w:w w:val="100"/>
        </w:rPr>
        <w:t>3</w:t>
      </w:r>
      <w:r>
        <w:rPr>
          <w:w w:val="100"/>
        </w:rPr>
        <w:t>0</w:t>
      </w:r>
      <w:r>
        <w:rPr>
          <w:spacing w:val="-18"/>
        </w:rPr>
        <w:t xml:space="preserve"> </w:t>
      </w:r>
      <w:r>
        <w:rPr>
          <w:spacing w:val="-1"/>
          <w:w w:val="100"/>
        </w:rPr>
        <w:t>米采用Ⅳa-</w:t>
      </w:r>
      <w:r>
        <w:rPr>
          <w:w w:val="100"/>
        </w:rPr>
        <w:t>2</w:t>
      </w:r>
      <w:r>
        <w:rPr>
          <w:spacing w:val="-22"/>
        </w:rPr>
        <w:t xml:space="preserve"> </w:t>
      </w:r>
      <w:r>
        <w:rPr>
          <w:w w:val="100"/>
        </w:rPr>
        <w:t>衬砌支护类型进行加强支护</w:t>
      </w:r>
      <w:r>
        <w:rPr>
          <w:spacing w:val="-223"/>
          <w:w w:val="100"/>
        </w:rPr>
        <w:t>）</w:t>
      </w:r>
      <w:r>
        <w:rPr>
          <w:w w:val="100"/>
        </w:rPr>
        <w:t>，</w:t>
      </w:r>
      <w:r>
        <w:t xml:space="preserve">且交叉口开挖完毕后由于其承担着出碴通道的特殊任务将不能及时 </w:t>
      </w:r>
      <w:r>
        <w:rPr>
          <w:spacing w:val="-1"/>
        </w:rPr>
        <w:t>施作二次衬砌，因此必须加强斜井交叉口处的初期支护，保证施工安</w:t>
      </w:r>
      <w:r>
        <w:t>全及交通畅通，保障施工生产的顺利进行。</w:t>
      </w:r>
    </w:p>
    <w:p>
      <w:pPr>
        <w:pStyle w:val="BodyText"/>
        <w:spacing w:line="290" w:lineRule="auto"/>
        <w:ind w:right="534" w:firstLine="838"/>
        <w:jc w:val="both"/>
      </w:pPr>
      <w:r>
        <w:t>斜井与正洞交叉口段地质围岩较好，拟采用台阶法施工，先利用斜井断面进入正洞，然后沿 45°方向继续施工通过横通道进入平导， 其后一方面沿正洞大里程方向进行正洞挑顶，然后扩大到正常断面施工；另一方面待平导锁喇叭口加强后按设计进行平导施工。</w:t>
      </w:r>
    </w:p>
    <w:p>
      <w:pPr>
        <w:spacing w:after="0" w:line="290" w:lineRule="auto"/>
        <w:jc w:val="both"/>
        <w:sectPr>
          <w:pgSz w:w="17860" w:h="25260"/>
          <w:pgMar w:top="1840" w:right="2040" w:bottom="280" w:left="2540" w:header="708" w:footer="708"/>
          <w:pgNumType w:start="4"/>
          <w:cols w:space="708"/>
        </w:sectPr>
      </w:pPr>
    </w:p>
    <w:p>
      <w:pPr>
        <w:pStyle w:val="BodyText"/>
        <w:spacing w:line="749" w:lineRule="exact"/>
      </w:pPr>
      <w:r>
        <w:t>（二）工程及水文地质特征</w:t>
      </w:r>
    </w:p>
    <w:p>
      <w:pPr>
        <w:pStyle w:val="BodyText"/>
        <w:spacing w:before="162"/>
        <w:ind w:left="945"/>
      </w:pPr>
      <w:r>
        <w:t>1、工程水文地质</w:t>
      </w:r>
    </w:p>
    <w:p>
      <w:pPr>
        <w:pStyle w:val="BodyText"/>
        <w:spacing w:before="161" w:line="290" w:lineRule="auto"/>
        <w:ind w:right="534" w:firstLine="719"/>
        <w:jc w:val="both"/>
      </w:pPr>
      <w:r>
        <w:t>3#斜井与隧道出口段交叉口，位于Ⅲ级围岩段中，大坂山隧道工</w:t>
      </w:r>
      <w:r>
        <w:rPr>
          <w:spacing w:val="-1"/>
        </w:rPr>
        <w:t>点范围内岩性主要为片麻岩夹片岩、石英闪长岩、安山岩、砂岩、板岩等，断层带内分布有断层碎裂角砾，山坡坡面及冲沟内分布有第四</w:t>
      </w:r>
      <w:r>
        <w:rPr>
          <w:w w:val="100"/>
        </w:rPr>
        <w:t>系碎石类土等。此段洞身为奥陶系（</w:t>
      </w:r>
      <w:r>
        <w:t xml:space="preserve"> </w:t>
      </w:r>
      <w:r>
        <w:rPr>
          <w:spacing w:val="5"/>
          <w:w w:val="100"/>
        </w:rPr>
        <w:t>O</w:t>
      </w:r>
      <w:r>
        <w:rPr>
          <w:spacing w:val="-205"/>
          <w:w w:val="100"/>
        </w:rPr>
        <w:t>）</w:t>
      </w:r>
      <w:r>
        <w:rPr>
          <w:w w:val="100"/>
        </w:rPr>
        <w:t>：安山岩（α</w:t>
      </w:r>
      <w:r>
        <w:rPr>
          <w:spacing w:val="-173"/>
          <w:w w:val="100"/>
        </w:rPr>
        <w:t>）</w:t>
      </w:r>
      <w:r>
        <w:rPr>
          <w:w w:val="100"/>
        </w:rPr>
        <w:t>，灰绿色，隐</w:t>
      </w:r>
      <w:r>
        <w:rPr>
          <w:spacing w:val="-1"/>
        </w:rPr>
        <w:t>晶质结构，节理发育，Ⅳ级软石，主要分布于隧道洞身。洞身穿过弱</w:t>
      </w:r>
      <w:r>
        <w:rPr>
          <w:spacing w:val="-8"/>
        </w:rPr>
        <w:t>富水区(Ⅱ</w:t>
      </w:r>
      <w:r>
        <w:rPr>
          <w:spacing w:val="-17"/>
        </w:rPr>
        <w:t>-3)</w:t>
      </w:r>
      <w:r>
        <w:rPr>
          <w:spacing w:val="-6"/>
        </w:rPr>
        <w:t xml:space="preserve">，接受大气降水补给,单泉流量为 </w:t>
      </w:r>
      <w:r>
        <w:t>0.127~0.16L/s,预测最</w:t>
      </w:r>
      <w:r>
        <w:rPr>
          <w:spacing w:val="-4"/>
        </w:rPr>
        <w:t xml:space="preserve">大涌水量 </w:t>
      </w:r>
      <w:r>
        <w:t>5190.6m3/d</w:t>
      </w:r>
      <w:r>
        <w:rPr>
          <w:spacing w:val="-7"/>
        </w:rPr>
        <w:t xml:space="preserve">，正常涌水量 </w:t>
      </w:r>
      <w:r>
        <w:t>1730.2m3/d。此段地下水没有硫酸盐中等侵蚀性。</w:t>
      </w:r>
    </w:p>
    <w:p>
      <w:pPr>
        <w:pStyle w:val="BodyText"/>
        <w:spacing w:line="769" w:lineRule="exact"/>
        <w:ind w:left="945"/>
      </w:pPr>
      <w:r>
        <w:t>2、不良地质</w:t>
      </w:r>
    </w:p>
    <w:p>
      <w:pPr>
        <w:pStyle w:val="ListParagraph"/>
        <w:numPr>
          <w:ilvl w:val="0"/>
          <w:numId w:val="3"/>
        </w:numPr>
        <w:tabs>
          <w:tab w:val="left" w:pos="2038"/>
        </w:tabs>
        <w:spacing w:before="162" w:after="0" w:line="240" w:lineRule="auto"/>
        <w:ind w:left="2037" w:right="0" w:hanging="1093"/>
        <w:jc w:val="left"/>
        <w:rPr>
          <w:sz w:val="42"/>
        </w:rPr>
      </w:pPr>
      <w:r>
        <w:rPr>
          <w:sz w:val="42"/>
        </w:rPr>
        <w:t>突然涌水</w:t>
      </w:r>
    </w:p>
    <w:p>
      <w:pPr>
        <w:pStyle w:val="BodyText"/>
        <w:spacing w:before="163" w:line="290" w:lineRule="auto"/>
        <w:ind w:right="534" w:firstLine="838"/>
        <w:jc w:val="both"/>
      </w:pPr>
      <w:r>
        <w:t>目前 3#斜井施工已基本完后，井身开挖累计长度1047m，已开挖段岩层穿过 f4-1 断层影响带及岩层接触带，围岩均较为破碎，节理裂隙较发育，地表多处出现受构造影响的风化深槽及软硬互层的侵入接触面。围岩变化频繁，地下水丰富，斜井内的涌水量为 3500～ 4000ｍ³/d 左右，应做好有突然涌水的所有防备。</w:t>
      </w:r>
    </w:p>
    <w:p>
      <w:pPr>
        <w:pStyle w:val="ListParagraph"/>
        <w:numPr>
          <w:ilvl w:val="0"/>
          <w:numId w:val="3"/>
        </w:numPr>
        <w:tabs>
          <w:tab w:val="left" w:pos="2038"/>
        </w:tabs>
        <w:spacing w:before="0" w:after="0" w:line="770" w:lineRule="exact"/>
        <w:ind w:left="2037" w:right="0" w:hanging="1093"/>
        <w:jc w:val="left"/>
        <w:rPr>
          <w:sz w:val="42"/>
        </w:rPr>
      </w:pPr>
      <w:r>
        <w:rPr>
          <w:sz w:val="42"/>
        </w:rPr>
        <w:t>围岩失稳、坍塌</w:t>
      </w:r>
    </w:p>
    <w:p>
      <w:pPr>
        <w:pStyle w:val="BodyText"/>
        <w:spacing w:before="162" w:line="290" w:lineRule="auto"/>
        <w:ind w:right="380" w:firstLine="838"/>
      </w:pPr>
      <w:r>
        <w:rPr>
          <w:spacing w:val="-18"/>
        </w:rPr>
        <w:t xml:space="preserve">在断层带、断层附近和节理密集带，岩体破碎，节理、裂隙发育， </w:t>
      </w:r>
      <w:r>
        <w:rPr>
          <w:spacing w:val="-9"/>
        </w:rPr>
        <w:t>特别是大断面交叉口处,在地下水出露的情况下，如果没有进行加强支护措施,可能发生坍塌、掉块等围岩失稳现象。</w:t>
      </w:r>
    </w:p>
    <w:p>
      <w:pPr>
        <w:pStyle w:val="Heading1"/>
      </w:pPr>
      <w:r>
        <w:t>二、工程特点、难点及对策</w:t>
      </w:r>
    </w:p>
    <w:p>
      <w:pPr>
        <w:spacing w:after="0"/>
        <w:sectPr>
          <w:pgSz w:w="17860" w:h="25260"/>
          <w:pgMar w:top="1780" w:right="2040" w:bottom="280" w:left="2540" w:header="708" w:footer="708"/>
          <w:pgNumType w:start="5"/>
          <w:cols w:space="708"/>
        </w:sectPr>
      </w:pPr>
    </w:p>
    <w:p>
      <w:pPr>
        <w:pStyle w:val="Heading3"/>
        <w:spacing w:line="785" w:lineRule="exact"/>
      </w:pPr>
      <w:r>
        <w:t>（一）工程特点、难点</w:t>
      </w:r>
    </w:p>
    <w:p>
      <w:pPr>
        <w:pStyle w:val="BodyText"/>
        <w:spacing w:before="166"/>
        <w:ind w:left="945"/>
      </w:pPr>
      <w:r>
        <w:t>1、地质构造复杂、不良地质地段较多</w:t>
      </w:r>
    </w:p>
    <w:p>
      <w:pPr>
        <w:pStyle w:val="BodyText"/>
        <w:spacing w:before="161" w:line="290" w:lineRule="auto"/>
        <w:ind w:right="380" w:firstLine="838"/>
        <w:jc w:val="both"/>
      </w:pPr>
      <w:r>
        <w:rPr>
          <w:spacing w:val="-18"/>
        </w:rPr>
        <w:t xml:space="preserve">在断层带、断层附近和节理密集带，岩体破碎，节理、裂隙发育， </w:t>
      </w:r>
      <w:r>
        <w:t>特别是这些地段有地下水出露的情况下可能发生坍塌、掉块等围岩失稳现象。</w:t>
      </w:r>
    </w:p>
    <w:p>
      <w:pPr>
        <w:pStyle w:val="BodyText"/>
        <w:spacing w:line="772" w:lineRule="exact"/>
        <w:ind w:left="945"/>
      </w:pPr>
      <w:r>
        <w:t>2、高程落差大、反坡排水困难</w:t>
      </w:r>
    </w:p>
    <w:p>
      <w:pPr>
        <w:pStyle w:val="BodyText"/>
        <w:spacing w:before="163" w:line="290" w:lineRule="auto"/>
        <w:ind w:right="522" w:firstLine="838"/>
        <w:jc w:val="both"/>
      </w:pPr>
      <w:r>
        <w:rPr>
          <w:spacing w:val="-2"/>
        </w:rPr>
        <w:t xml:space="preserve">井口与井底高差 </w:t>
      </w:r>
      <w:r>
        <w:t>112.8m，</w:t>
      </w:r>
      <w:r>
        <w:rPr>
          <w:spacing w:val="-3"/>
        </w:rPr>
        <w:t xml:space="preserve">纵向下坡综合坡度 </w:t>
      </w:r>
      <w:r>
        <w:t>12%，运输困难， 从而出碴难度大。根据资料显示，该隧道水文地质条件复杂，局部地段有突然涌水的可能。洞内涌水和施工用水的排水量大，因此必须制定周密的防排水措施，保证施工生产的顺利进行。</w:t>
      </w:r>
    </w:p>
    <w:p>
      <w:pPr>
        <w:spacing w:before="113"/>
        <w:ind w:left="106" w:right="0" w:firstLine="0"/>
        <w:jc w:val="left"/>
        <w:rPr>
          <w:sz w:val="48"/>
        </w:rPr>
      </w:pPr>
      <w:r>
        <w:rPr>
          <w:sz w:val="48"/>
        </w:rPr>
        <w:t>（二）施工对策</w:t>
      </w:r>
    </w:p>
    <w:p>
      <w:pPr>
        <w:pStyle w:val="BodyText"/>
        <w:spacing w:before="169"/>
        <w:ind w:left="945"/>
      </w:pPr>
      <w:r>
        <w:t>1、加强地质预报、优化施工方案</w:t>
      </w:r>
    </w:p>
    <w:p>
      <w:pPr>
        <w:pStyle w:val="BodyText"/>
        <w:spacing w:before="163" w:line="290" w:lineRule="auto"/>
        <w:ind w:right="385" w:firstLine="838"/>
        <w:jc w:val="both"/>
      </w:pPr>
      <w:r>
        <w:rPr>
          <w:spacing w:val="-16"/>
        </w:rPr>
        <w:t xml:space="preserve">根据设计加强隧道的地质调查，加强分析，反馈信息，指导施工， </w:t>
      </w:r>
      <w:r>
        <w:t>以确定科学、合理的掘进支护参数，对断层破碎带、涌水等地质不良地段，早做预防。</w:t>
      </w:r>
    </w:p>
    <w:p>
      <w:pPr>
        <w:pStyle w:val="BodyText"/>
        <w:spacing w:line="772" w:lineRule="exact"/>
        <w:ind w:left="945"/>
      </w:pPr>
      <w:r>
        <w:t>2、加强施工调度、文明行车</w:t>
      </w:r>
    </w:p>
    <w:p>
      <w:pPr>
        <w:pStyle w:val="BodyText"/>
        <w:spacing w:before="162" w:line="290" w:lineRule="auto"/>
        <w:ind w:right="534" w:firstLine="838"/>
        <w:jc w:val="both"/>
      </w:pPr>
      <w:r>
        <w:t>洞口设有总调度，洞内设专职调度，负责各施工队的车辆调配。针对实际交通情况对劳动力进行动态安排，科学、合理地转换施工工序；加强司机的行车安全教育，礼貌行车，确保洞内、弃碴场便道交通畅通，保障施工生产的顺利进行。</w:t>
      </w:r>
    </w:p>
    <w:p>
      <w:pPr>
        <w:pStyle w:val="BodyText"/>
        <w:spacing w:line="772" w:lineRule="exact"/>
        <w:ind w:left="945"/>
      </w:pPr>
      <w:r>
        <w:t>3、加强排水和通风、确保施工生产的安全、顺利</w:t>
      </w:r>
    </w:p>
    <w:p>
      <w:pPr>
        <w:pStyle w:val="BodyText"/>
        <w:spacing w:before="161"/>
        <w:ind w:left="945"/>
      </w:pPr>
      <w:r>
        <w:t>对于反坡排水采用机械抽水，备足抽水设备及管路，并做好应急</w:t>
      </w:r>
    </w:p>
    <w:p>
      <w:pPr>
        <w:spacing w:after="0"/>
        <w:sectPr>
          <w:pgSz w:w="17860" w:h="25260"/>
          <w:pgMar w:top="1740" w:right="2040" w:bottom="280" w:left="2540" w:header="708" w:footer="708"/>
          <w:pgNumType w:start="6"/>
          <w:cols w:space="708"/>
        </w:sectPr>
      </w:pPr>
    </w:p>
    <w:p>
      <w:pPr>
        <w:pStyle w:val="BodyText"/>
        <w:spacing w:line="749" w:lineRule="exact"/>
      </w:pPr>
      <w:r>
        <w:t>排水设施和方案的准备，为此我们制定了《3#斜井排水方案》。通风</w:t>
      </w:r>
    </w:p>
    <w:p>
      <w:pPr>
        <w:pStyle w:val="BodyText"/>
        <w:spacing w:before="162" w:line="290" w:lineRule="auto"/>
        <w:ind w:right="534"/>
      </w:pPr>
      <w:r>
        <w:t>采用双风筒的通风系统。隧道开挖采用湿式凿岩与洒水降尘，加强通风排烟和劳动防护，保证生产。</w:t>
      </w:r>
    </w:p>
    <w:p>
      <w:pPr>
        <w:pStyle w:val="Heading1"/>
      </w:pPr>
      <w:r>
        <w:t>三、施工方法</w:t>
      </w:r>
    </w:p>
    <w:p>
      <w:pPr>
        <w:pStyle w:val="BodyText"/>
        <w:spacing w:before="178"/>
      </w:pPr>
      <w:r>
        <w:t>（一）交叉口处斜井、正洞、横通道及平导的加固</w:t>
      </w:r>
    </w:p>
    <w:p>
      <w:pPr>
        <w:pStyle w:val="BodyText"/>
        <w:tabs>
          <w:tab w:val="left" w:pos="5496"/>
        </w:tabs>
        <w:spacing w:before="161" w:line="290" w:lineRule="auto"/>
        <w:ind w:right="377" w:firstLine="838"/>
      </w:pPr>
      <w:r>
        <w:t>斜井临近正洞地段受加大断面的影响，围岩</w:t>
      </w:r>
      <w:r>
        <w:rPr>
          <w:spacing w:val="8"/>
        </w:rPr>
        <w:t xml:space="preserve"> </w:t>
      </w:r>
      <w:r>
        <w:t>X0+000～+030</w:t>
      </w:r>
      <w:r>
        <w:rPr>
          <w:spacing w:val="28"/>
        </w:rPr>
        <w:t xml:space="preserve"> </w:t>
      </w:r>
      <w:r>
        <w:t>及DK271+985～DK272+015</w:t>
        <w:tab/>
        <w:t>设计采用Ⅳ级支护类型进行加强支护； 因斜井开挖至正洞边时需加宽加高断面，故斜井喇叭口处必须加强支护，安装</w:t>
      </w:r>
      <w:r>
        <w:rPr>
          <w:spacing w:val="-37"/>
        </w:rPr>
        <w:t xml:space="preserve"> </w:t>
      </w:r>
      <w:r>
        <w:t>I20</w:t>
      </w:r>
      <w:r>
        <w:rPr>
          <w:spacing w:val="-19"/>
        </w:rPr>
        <w:t xml:space="preserve"> </w:t>
      </w:r>
      <w:r>
        <w:t>型钢架</w:t>
      </w:r>
      <w:r>
        <w:rPr>
          <w:spacing w:val="-20"/>
        </w:rPr>
        <w:t xml:space="preserve"> </w:t>
      </w:r>
      <w:r>
        <w:t>7</w:t>
      </w:r>
      <w:r>
        <w:rPr>
          <w:spacing w:val="-16"/>
        </w:rPr>
        <w:t xml:space="preserve"> </w:t>
      </w:r>
      <w:r>
        <w:t>榀，靠近喇叭口位置</w:t>
      </w:r>
      <w:r>
        <w:rPr>
          <w:spacing w:val="-42"/>
        </w:rPr>
        <w:t xml:space="preserve"> </w:t>
      </w:r>
      <w:r>
        <w:t>3</w:t>
      </w:r>
      <w:r>
        <w:rPr>
          <w:spacing w:val="-20"/>
        </w:rPr>
        <w:t xml:space="preserve"> </w:t>
      </w:r>
      <w:r>
        <w:t>榀钢架间距</w:t>
      </w:r>
      <w:r>
        <w:rPr>
          <w:spacing w:val="-24"/>
        </w:rPr>
        <w:t xml:space="preserve"> </w:t>
      </w:r>
      <w:r>
        <w:t>0.5</w:t>
      </w:r>
      <w:r>
        <w:rPr>
          <w:spacing w:val="-15"/>
        </w:rPr>
        <w:t xml:space="preserve"> </w:t>
      </w:r>
      <w:r>
        <w:t>米，其它按</w:t>
      </w:r>
      <w:r>
        <w:rPr>
          <w:spacing w:val="58"/>
        </w:rPr>
        <w:t xml:space="preserve"> </w:t>
      </w:r>
      <w:r>
        <w:t>1.0</w:t>
      </w:r>
      <w:r>
        <w:rPr>
          <w:spacing w:val="59"/>
        </w:rPr>
        <w:t xml:space="preserve"> </w:t>
      </w:r>
      <w:r>
        <w:t>米/榀安</w:t>
      </w:r>
      <w:r>
        <w:rPr>
          <w:spacing w:val="-7"/>
        </w:rPr>
        <w:t>装</w:t>
      </w:r>
      <w:r>
        <w:t>,在围岩比较好的情况下，拱架加强支护不少于</w:t>
      </w:r>
      <w:r>
        <w:rPr>
          <w:spacing w:val="34"/>
        </w:rPr>
        <w:t xml:space="preserve"> </w:t>
      </w:r>
      <w:r>
        <w:t>5 米，喷射混凝土</w:t>
      </w:r>
      <w:r>
        <w:rPr>
          <w:spacing w:val="15"/>
        </w:rPr>
        <w:t xml:space="preserve"> </w:t>
      </w:r>
      <w:r>
        <w:t>28cm，采用超前小导管进行超前支护。又由于正洞开挖断面顶部比斜井开挖断面顶部高</w:t>
      </w:r>
      <w:r>
        <w:rPr>
          <w:spacing w:val="62"/>
        </w:rPr>
        <w:t xml:space="preserve"> </w:t>
      </w:r>
      <w:r>
        <w:t>3.67</w:t>
      </w:r>
      <w:r>
        <w:rPr>
          <w:spacing w:val="81"/>
        </w:rPr>
        <w:t xml:space="preserve"> </w:t>
      </w:r>
      <w:r>
        <w:t>米，需向上挑顶，为保证挑顶安全</w:t>
      </w:r>
      <w:r>
        <w:rPr>
          <w:spacing w:val="-73"/>
        </w:rPr>
        <w:t>，</w:t>
      </w:r>
      <w:r>
        <w:t>视围岩情况</w:t>
      </w:r>
      <w:r>
        <w:rPr>
          <w:spacing w:val="-72"/>
        </w:rPr>
        <w:t>，</w:t>
      </w:r>
      <w:r>
        <w:t>施作超前小导管预注浆</w:t>
      </w:r>
      <w:r>
        <w:rPr>
          <w:spacing w:val="-80"/>
        </w:rPr>
        <w:t>，</w:t>
      </w:r>
      <w:r>
        <w:t>小导管长度</w:t>
      </w:r>
      <w:r>
        <w:rPr>
          <w:spacing w:val="-5"/>
        </w:rPr>
        <w:t xml:space="preserve"> </w:t>
      </w:r>
      <w:r>
        <w:t>4.0</w:t>
      </w:r>
      <w:r>
        <w:rPr>
          <w:spacing w:val="-5"/>
        </w:rPr>
        <w:t xml:space="preserve"> </w:t>
      </w:r>
      <w:r>
        <w:t>米</w:t>
      </w:r>
      <w:r>
        <w:rPr>
          <w:spacing w:val="-14"/>
        </w:rPr>
        <w:t xml:space="preserve">， </w:t>
      </w:r>
      <w:r>
        <w:t>排距</w:t>
      </w:r>
      <w:r>
        <w:rPr>
          <w:spacing w:val="-18"/>
        </w:rPr>
        <w:t xml:space="preserve"> </w:t>
      </w:r>
      <w:r>
        <w:t>2.5</w:t>
      </w:r>
      <w:r>
        <w:rPr>
          <w:spacing w:val="-18"/>
        </w:rPr>
        <w:t xml:space="preserve"> </w:t>
      </w:r>
      <w:r>
        <w:t>米</w:t>
      </w:r>
      <w:r>
        <w:rPr>
          <w:spacing w:val="-61"/>
        </w:rPr>
        <w:t>，</w:t>
      </w:r>
      <w:r>
        <w:t>搭接长度不小于</w:t>
      </w:r>
      <w:r>
        <w:rPr>
          <w:spacing w:val="-28"/>
        </w:rPr>
        <w:t xml:space="preserve"> </w:t>
      </w:r>
      <w:r>
        <w:t>1.5</w:t>
      </w:r>
      <w:r>
        <w:rPr>
          <w:spacing w:val="-14"/>
        </w:rPr>
        <w:t xml:space="preserve"> </w:t>
      </w:r>
      <w:r>
        <w:t>米</w:t>
      </w:r>
      <w:r>
        <w:rPr>
          <w:spacing w:val="-65"/>
        </w:rPr>
        <w:t>，</w:t>
      </w:r>
      <w:r>
        <w:t>间距</w:t>
      </w:r>
      <w:r>
        <w:rPr>
          <w:spacing w:val="-20"/>
        </w:rPr>
        <w:t xml:space="preserve"> </w:t>
      </w:r>
      <w:r>
        <w:t>0.3</w:t>
      </w:r>
      <w:r>
        <w:rPr>
          <w:spacing w:val="-14"/>
        </w:rPr>
        <w:t xml:space="preserve"> </w:t>
      </w:r>
      <w:r>
        <w:t>米</w:t>
      </w:r>
      <w:r>
        <w:rPr>
          <w:spacing w:val="-5"/>
        </w:rPr>
        <w:t>,</w:t>
      </w:r>
      <w:r>
        <w:t>因涌水量不</w:t>
      </w:r>
      <w:r>
        <w:rPr>
          <w:spacing w:val="-7"/>
        </w:rPr>
        <w:t>大</w:t>
      </w:r>
      <w:r>
        <w:t>,故采取单液浆</w:t>
      </w:r>
      <w:r>
        <w:rPr>
          <w:spacing w:val="-69"/>
        </w:rPr>
        <w:t>，</w:t>
      </w:r>
      <w:r>
        <w:t>注浆压力</w:t>
      </w:r>
      <w:r>
        <w:rPr>
          <w:spacing w:val="-11"/>
        </w:rPr>
        <w:t xml:space="preserve"> </w:t>
      </w:r>
      <w:r>
        <w:rPr>
          <w:spacing w:val="-8"/>
        </w:rPr>
        <w:t>0.5～1.0Mpa；</w:t>
      </w:r>
      <w:r>
        <w:t>其它几个工作面的支护加强参数及措施同上。具体工序见下图所示：</w:t>
      </w:r>
    </w:p>
    <w:p>
      <w:pPr>
        <w:pStyle w:val="Heading2"/>
      </w:pPr>
      <w:r>
        <w:t>（二）交叉口处正洞的挑顶及钢架安装</w:t>
      </w:r>
    </w:p>
    <w:p>
      <w:pPr>
        <w:pStyle w:val="BodyText"/>
        <w:spacing w:before="171" w:line="290" w:lineRule="auto"/>
        <w:ind w:right="534" w:firstLine="838"/>
        <w:jc w:val="both"/>
      </w:pPr>
      <w:r>
        <w:t>1、采用台阶法施工到正洞另一侧边线后，按设计与正洞交叉90 度角进入横通道，再对横通道的喇叭口进行支护加强锁口，具体支护参数同斜井喇叭口支护相同；锁住横通道喇叭口之后，继续开挖横通道直至平导，再锁横通道出口的喇叭口，支护参数同斜井；再继续往平导出口进行开挖支护，在喇叭口处支护加强不少于5 米，再按设计</w:t>
      </w:r>
    </w:p>
    <w:p>
      <w:pPr>
        <w:spacing w:after="0" w:line="290" w:lineRule="auto"/>
        <w:jc w:val="both"/>
        <w:sectPr>
          <w:pgSz w:w="17860" w:h="25260"/>
          <w:pgMar w:top="1780" w:right="2040" w:bottom="280" w:left="2540" w:header="708" w:footer="708"/>
          <w:pgNumType w:start="7"/>
          <w:cols w:space="708"/>
        </w:sectPr>
      </w:pPr>
    </w:p>
    <w:p>
      <w:pPr>
        <w:pStyle w:val="BodyText"/>
        <w:spacing w:line="749" w:lineRule="exact"/>
      </w:pPr>
      <w:r>
        <w:t>往前施工至安全距离以外之后，再进行往平导进口方向施工，先锁喇</w:t>
      </w:r>
    </w:p>
    <w:p>
      <w:pPr>
        <w:pStyle w:val="BodyText"/>
        <w:spacing w:before="162"/>
      </w:pPr>
      <w:r>
        <w:t>叭口，加强支护同上不少于 5 米，再按设计及施组进行正常施工。</w:t>
      </w:r>
    </w:p>
    <w:p>
      <w:pPr>
        <w:pStyle w:val="BodyText"/>
        <w:tabs>
          <w:tab w:val="left" w:pos="746"/>
          <w:tab w:val="left" w:pos="1387"/>
          <w:tab w:val="left" w:pos="2027"/>
          <w:tab w:val="left" w:pos="2664"/>
          <w:tab w:val="left" w:pos="3300"/>
          <w:tab w:val="left" w:pos="3941"/>
          <w:tab w:val="left" w:pos="4581"/>
          <w:tab w:val="left" w:pos="5221"/>
          <w:tab w:val="left" w:pos="5858"/>
          <w:tab w:val="left" w:pos="6500"/>
          <w:tab w:val="left" w:pos="7142"/>
          <w:tab w:val="left" w:pos="7783"/>
          <w:tab w:val="left" w:pos="8424"/>
          <w:tab w:val="left" w:pos="9061"/>
          <w:tab w:val="left" w:pos="9698"/>
          <w:tab w:val="left" w:pos="10338"/>
          <w:tab w:val="left" w:pos="10978"/>
          <w:tab w:val="left" w:pos="11618"/>
          <w:tab w:val="left" w:pos="12258"/>
        </w:tabs>
        <w:spacing w:before="161" w:line="290" w:lineRule="auto"/>
        <w:ind w:right="380" w:firstLine="629"/>
      </w:pPr>
      <w:r>
        <w:drawing>
          <wp:anchor distT="0" distB="0" distL="0" distR="0" simplePos="0" relativeHeight="251662336" behindDoc="1" locked="0" layoutInCell="1" allowOverlap="1">
            <wp:simplePos x="0" y="0"/>
            <wp:positionH relativeFrom="page">
              <wp:posOffset>2145029</wp:posOffset>
            </wp:positionH>
            <wp:positionV relativeFrom="paragraph">
              <wp:posOffset>7668467</wp:posOffset>
            </wp:positionV>
            <wp:extent cx="6694170" cy="1409953"/>
            <wp:effectExtent l="0" t="0" r="0" b="0"/>
            <wp:wrapNone/>
            <wp:docPr id="9"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4.png"/>
                    <pic:cNvPicPr/>
                  </pic:nvPicPr>
                  <pic:blipFill>
                    <a:blip xmlns:r="http://schemas.openxmlformats.org/officeDocument/2006/relationships" r:embed="rId7" cstate="print"/>
                    <a:stretch>
                      <a:fillRect/>
                    </a:stretch>
                  </pic:blipFill>
                  <pic:spPr>
                    <a:xfrm>
                      <a:off x="0" y="0"/>
                      <a:ext cx="6694170" cy="1409953"/>
                    </a:xfrm>
                    <a:prstGeom prst="rect">
                      <a:avLst/>
                    </a:prstGeom>
                  </pic:spPr>
                </pic:pic>
              </a:graphicData>
            </a:graphic>
          </wp:anchor>
        </w:drawing>
      </w:r>
      <w:r>
        <w:t>2、在斜井及横通道的喇叭口处支护加强稳固完成后，方可进行挑顶施工，拟采用正台阶法进行施工，按</w:t>
      </w:r>
      <w:r>
        <w:rPr>
          <w:spacing w:val="59"/>
        </w:rPr>
        <w:t xml:space="preserve"> </w:t>
      </w:r>
      <w:r>
        <w:t>7%的坡度往上挑顶进行开挖支护，直至正洞顶的设计开挖轮廓线，这段长度约为</w:t>
      </w:r>
      <w:r>
        <w:rPr>
          <w:spacing w:val="14"/>
        </w:rPr>
        <w:t xml:space="preserve"> </w:t>
      </w:r>
      <w:r>
        <w:t>50</w:t>
      </w:r>
      <w:r>
        <w:rPr>
          <w:spacing w:val="44"/>
        </w:rPr>
        <w:t xml:space="preserve"> </w:t>
      </w:r>
      <w:r>
        <w:t>米左右，再进</w:t>
        <w:tab/>
        <w:t>行</w:t>
        <w:tab/>
        <w:t>反</w:t>
        <w:tab/>
        <w:t>向</w:t>
        <w:tab/>
        <w:t>扩</w:t>
        <w:tab/>
        <w:t>挖</w:t>
        <w:tab/>
        <w:t>上</w:t>
        <w:tab/>
        <w:t>半</w:t>
        <w:tab/>
        <w:t>断</w:t>
        <w:tab/>
        <w:t>面</w:t>
        <w:tab/>
        <w:t>，</w:t>
        <w:tab/>
        <w:t>按</w:t>
        <w:tab/>
        <w:t>设</w:t>
        <w:tab/>
        <w:t>计</w:t>
        <w:tab/>
        <w:t>进</w:t>
        <w:tab/>
        <w:t>行</w:t>
        <w:tab/>
        <w:t>支</w:t>
        <w:tab/>
        <w:t>护</w:t>
        <w:tab/>
        <w:t>；</w:t>
        <w:tab/>
        <w:t>在DK271+985~DK272+015</w:t>
      </w:r>
      <w:r>
        <w:rPr>
          <w:spacing w:val="-26"/>
        </w:rPr>
        <w:t xml:space="preserve"> </w:t>
      </w:r>
      <w:r>
        <w:t>段需进行</w:t>
      </w:r>
      <w:r>
        <w:rPr>
          <w:spacing w:val="-21"/>
        </w:rPr>
        <w:t xml:space="preserve"> </w:t>
      </w:r>
      <w:r>
        <w:t>30</w:t>
      </w:r>
      <w:r>
        <w:rPr>
          <w:spacing w:val="-19"/>
        </w:rPr>
        <w:t xml:space="preserve"> </w:t>
      </w:r>
      <w:r>
        <w:t>米的加强支护，采用</w:t>
      </w:r>
      <w:r>
        <w:rPr>
          <w:spacing w:val="-35"/>
        </w:rPr>
        <w:t xml:space="preserve"> </w:t>
      </w:r>
      <w:r>
        <w:t>I20</w:t>
      </w:r>
      <w:r>
        <w:rPr>
          <w:spacing w:val="-16"/>
        </w:rPr>
        <w:t xml:space="preserve"> </w:t>
      </w:r>
      <w:r>
        <w:t>工字钢代替</w:t>
      </w:r>
      <w:r>
        <w:rPr>
          <w:spacing w:val="-13"/>
        </w:rPr>
        <w:t xml:space="preserve"> </w:t>
      </w:r>
      <w:r>
        <w:t>I18</w:t>
      </w:r>
      <w:r>
        <w:rPr>
          <w:spacing w:val="-13"/>
        </w:rPr>
        <w:t xml:space="preserve"> </w:t>
      </w:r>
      <w:r>
        <w:t>的工字钢进行支护，其它支护参数不变按设计施工。同时为了加快正洞挑顶速度</w:t>
      </w:r>
      <w:r>
        <w:rPr>
          <w:spacing w:val="-134"/>
        </w:rPr>
        <w:t>，</w:t>
      </w:r>
      <w:r>
        <w:t>正洞挑顶导坑采用钻爆开挖</w:t>
      </w:r>
      <w:r>
        <w:rPr>
          <w:spacing w:val="-132"/>
        </w:rPr>
        <w:t>，</w:t>
      </w:r>
      <w:r>
        <w:t>挖掘机扒碴</w:t>
      </w:r>
      <w:r>
        <w:rPr>
          <w:spacing w:val="-18"/>
        </w:rPr>
        <w:t>、</w:t>
      </w:r>
      <w:r>
        <w:t>装载机出碴进行施工。为了减少对围岩及初支的扰动，采用多打眼、少装药</w:t>
      </w:r>
      <w:r>
        <w:rPr>
          <w:spacing w:val="-145"/>
        </w:rPr>
        <w:t>、</w:t>
      </w:r>
      <w:r>
        <w:t>弱爆破的方式掘进</w:t>
      </w:r>
      <w:r>
        <w:rPr>
          <w:spacing w:val="-152"/>
        </w:rPr>
        <w:t>。</w:t>
      </w:r>
      <w:r>
        <w:t>视围岩情况每次开挖进尺控制在</w:t>
      </w:r>
      <w:r>
        <w:rPr>
          <w:spacing w:val="-9"/>
        </w:rPr>
        <w:t xml:space="preserve"> </w:t>
      </w:r>
      <w:r>
        <w:t>2~3m， 每次开挖后施作超前小导管并注浆，然后挂网喷混凝土或安装拱架， 素喷混凝土厚度不小于</w:t>
      </w:r>
      <w:r>
        <w:rPr>
          <w:spacing w:val="19"/>
        </w:rPr>
        <w:t xml:space="preserve"> </w:t>
      </w:r>
      <w:r>
        <w:t>10cm，网喷不小于</w:t>
      </w:r>
      <w:r>
        <w:rPr>
          <w:spacing w:val="24"/>
        </w:rPr>
        <w:t xml:space="preserve"> </w:t>
      </w:r>
      <w:r>
        <w:t>15cm，以加固围岩确保安全，因交叉口处为关键部位，是绿色通道的关键位置，在开挖掘进时，应避免坍塌，以改善交叉口处围岩受力情况</w:t>
      </w:r>
      <w:r>
        <w:rPr>
          <w:spacing w:val="-100"/>
        </w:rPr>
        <w:t>。</w:t>
      </w:r>
      <w:r>
        <w:t>（正洞开挖方法见</w:t>
      </w:r>
    </w:p>
    <w:p>
      <w:pPr>
        <w:pStyle w:val="BodyText"/>
        <w:spacing w:line="554" w:lineRule="exact"/>
      </w:pPr>
      <w:r>
        <w:t>下图）</w:t>
      </w:r>
    </w:p>
    <w:p>
      <w:pPr>
        <w:spacing w:before="0" w:line="172" w:lineRule="exact"/>
        <w:ind w:left="81" w:right="3609" w:firstLine="0"/>
        <w:jc w:val="center"/>
        <w:rPr>
          <w:rFonts w:ascii="宋体" w:eastAsia="宋体" w:hint="eastAsia"/>
          <w:sz w:val="13"/>
        </w:rPr>
      </w:pPr>
      <w:r>
        <w:rPr>
          <w:rFonts w:ascii="宋体" w:eastAsia="宋体" w:hint="eastAsia"/>
          <w:position w:val="2"/>
          <w:sz w:val="13"/>
        </w:rPr>
        <w:t>反向</w:t>
      </w:r>
      <w:r>
        <w:rPr>
          <w:rFonts w:ascii="宋体" w:eastAsia="宋体" w:hint="eastAsia"/>
          <w:position w:val="1"/>
          <w:sz w:val="13"/>
        </w:rPr>
        <w:t>扩</w:t>
      </w:r>
      <w:r>
        <w:rPr>
          <w:rFonts w:ascii="宋体" w:eastAsia="宋体" w:hint="eastAsia"/>
          <w:sz w:val="13"/>
        </w:rPr>
        <w:t>挖</w:t>
      </w:r>
    </w:p>
    <w:p>
      <w:pPr>
        <w:pStyle w:val="BodyText"/>
        <w:spacing w:before="12"/>
        <w:ind w:left="0"/>
        <w:rPr>
          <w:rFonts w:ascii="宋体"/>
          <w:sz w:val="26"/>
        </w:rPr>
      </w:pPr>
    </w:p>
    <w:p>
      <w:pPr>
        <w:pStyle w:val="Heading2"/>
        <w:spacing w:before="0" w:line="858" w:lineRule="exact"/>
      </w:pPr>
      <w:r>
        <w:pict>
          <v:shapetype id="_x0000_t202" coordsize="21600,21600" o:spt="202" path="m,l,21600r21600,l21600,xe">
            <v:stroke joinstyle="miter"/>
            <v:path gradientshapeok="t" o:connecttype="rect"/>
          </v:shapetype>
          <v:shape id="_x0000_s1025" type="#_x0000_t202" style="width:32.1pt;height:8.05pt;margin-top:2.6pt;margin-left:530.02pt;mso-position-horizontal-relative:page;position:absolute;z-index:-251653120" filled="f" stroked="f">
            <v:textbox inset="0,0,0,0">
              <w:txbxContent>
                <w:p>
                  <w:pPr>
                    <w:spacing w:before="0" w:line="161" w:lineRule="exact"/>
                    <w:ind w:left="0" w:right="0" w:firstLine="0"/>
                    <w:jc w:val="left"/>
                    <w:rPr>
                      <w:rFonts w:ascii="宋体" w:eastAsia="宋体" w:hint="eastAsia"/>
                      <w:sz w:val="13"/>
                    </w:rPr>
                  </w:pPr>
                  <w:r>
                    <w:rPr>
                      <w:rFonts w:ascii="宋体" w:eastAsia="宋体" w:hint="eastAsia"/>
                      <w:position w:val="3"/>
                      <w:sz w:val="13"/>
                    </w:rPr>
                    <w:t>上</w:t>
                  </w:r>
                  <w:r>
                    <w:rPr>
                      <w:rFonts w:ascii="宋体" w:eastAsia="宋体" w:hint="eastAsia"/>
                      <w:position w:val="2"/>
                      <w:sz w:val="13"/>
                    </w:rPr>
                    <w:t>坡至</w:t>
                  </w:r>
                  <w:r>
                    <w:rPr>
                      <w:rFonts w:ascii="宋体" w:eastAsia="宋体" w:hint="eastAsia"/>
                      <w:position w:val="1"/>
                      <w:sz w:val="13"/>
                    </w:rPr>
                    <w:t>拱</w:t>
                  </w:r>
                  <w:r>
                    <w:rPr>
                      <w:rFonts w:ascii="宋体" w:eastAsia="宋体" w:hint="eastAsia"/>
                      <w:spacing w:val="-19"/>
                      <w:sz w:val="13"/>
                    </w:rPr>
                    <w:t>顶</w:t>
                  </w:r>
                </w:p>
              </w:txbxContent>
            </v:textbox>
          </v:shape>
        </w:pict>
      </w:r>
      <w:r>
        <w:t>（三）喇叭口处正洞上断面的开挖及钢架安装</w:t>
      </w:r>
    </w:p>
    <w:p>
      <w:pPr>
        <w:spacing w:before="12" w:line="267" w:lineRule="exact"/>
        <w:ind w:left="0" w:right="1845" w:firstLine="0"/>
        <w:jc w:val="right"/>
        <w:rPr>
          <w:rFonts w:ascii="宋体"/>
          <w:sz w:val="29"/>
        </w:rPr>
      </w:pPr>
      <w:r>
        <w:rPr>
          <w:rFonts w:ascii="宋体"/>
          <w:sz w:val="29"/>
        </w:rPr>
        <w:t>DK272+000</w:t>
      </w:r>
    </w:p>
    <w:p>
      <w:pPr>
        <w:pStyle w:val="BodyText"/>
        <w:spacing w:line="665" w:lineRule="exact"/>
        <w:ind w:left="945"/>
      </w:pPr>
      <w:r>
        <w:pict>
          <v:shape id="_x0000_s1026" type="#_x0000_t202" style="width:297.3pt;height:16.1pt;margin-top:18.9pt;margin-left:268.56pt;mso-position-horizontal-relative:page;position:absolute;z-index:-251651072" filled="f" stroked="f">
            <v:textbox inset="0,0,0,0">
              <w:txbxContent>
                <w:p>
                  <w:pPr>
                    <w:spacing w:before="0" w:line="321" w:lineRule="exact"/>
                    <w:ind w:left="0" w:right="0" w:firstLine="0"/>
                    <w:jc w:val="left"/>
                    <w:rPr>
                      <w:rFonts w:ascii="宋体" w:eastAsia="宋体" w:hint="eastAsia"/>
                      <w:sz w:val="32"/>
                    </w:rPr>
                  </w:pPr>
                  <w:r>
                    <w:rPr>
                      <w:rFonts w:ascii="宋体" w:eastAsia="宋体" w:hint="eastAsia"/>
                      <w:sz w:val="32"/>
                    </w:rPr>
                    <w:t>头塘沟斜井喇叭口 I-I 剖面图（附图二）</w:t>
                  </w:r>
                </w:p>
              </w:txbxContent>
            </v:textbox>
          </v:shape>
        </w:pict>
      </w:r>
      <w:r>
        <w:t>在进行正洞反向扩挖时，视围岩情况确定支护方式，但在交叉口</w:t>
      </w:r>
    </w:p>
    <w:p>
      <w:pPr>
        <w:pStyle w:val="BodyText"/>
        <w:spacing w:before="162" w:line="290" w:lineRule="auto"/>
        <w:ind w:right="558"/>
        <w:jc w:val="both"/>
      </w:pPr>
      <w:r>
        <w:pict>
          <v:shape id="_x0000_s1027" type="#_x0000_t202" style="width:241.05pt;height:16.1pt;margin-top:6.34pt;margin-left:277.45pt;mso-position-horizontal-relative:page;position:absolute;z-index:-251652096" filled="f" stroked="f">
            <v:textbox inset="0,0,0,0">
              <w:txbxContent>
                <w:p>
                  <w:pPr>
                    <w:tabs>
                      <w:tab w:val="left" w:pos="3535"/>
                    </w:tabs>
                    <w:spacing w:before="0" w:line="321" w:lineRule="exact"/>
                    <w:ind w:left="0" w:right="0" w:firstLine="0"/>
                    <w:jc w:val="left"/>
                    <w:rPr>
                      <w:rFonts w:ascii="宋体" w:eastAsia="宋体" w:hint="eastAsia"/>
                      <w:sz w:val="32"/>
                    </w:rPr>
                  </w:pPr>
                  <w:r>
                    <w:rPr>
                      <w:rFonts w:ascii="宋体" w:eastAsia="宋体" w:hint="eastAsia"/>
                      <w:sz w:val="32"/>
                    </w:rPr>
                    <w:t>即正洞开挖纵断面图</w:t>
                    <w:tab/>
                    <w:t>单位</w:t>
                  </w:r>
                  <w:r>
                    <w:rPr>
                      <w:rFonts w:ascii="宋体" w:eastAsia="宋体" w:hint="eastAsia"/>
                      <w:spacing w:val="-7"/>
                      <w:sz w:val="32"/>
                    </w:rPr>
                    <w:t>：cm</w:t>
                  </w:r>
                </w:p>
              </w:txbxContent>
            </v:textbox>
          </v:shape>
        </w:pict>
      </w:r>
      <w:r>
        <w:t>处左右 15 米范围内必须进行加强支护，上断面钢架安装完毕后进行下断面开挖及钢架接腿，钢架接长时每次不得超过2 榀，钢架底脚必须坚实、可靠，钢架锁脚锚杆质量必须合格。</w:t>
      </w:r>
    </w:p>
    <w:p>
      <w:pPr>
        <w:pStyle w:val="BodyText"/>
        <w:spacing w:line="772" w:lineRule="exact"/>
        <w:ind w:left="945"/>
        <w:jc w:val="both"/>
      </w:pPr>
      <w:r>
        <w:t>根据设计资料显示，交叉口处向进口方向受 f4-1 断层影响相对</w:t>
      </w:r>
    </w:p>
    <w:p>
      <w:pPr>
        <w:spacing w:after="0" w:line="772" w:lineRule="exact"/>
        <w:jc w:val="both"/>
        <w:sectPr>
          <w:pgSz w:w="17860" w:h="25260"/>
          <w:pgMar w:top="1780" w:right="2040" w:bottom="280" w:left="2540" w:header="708" w:footer="708"/>
          <w:pgNumType w:start="8"/>
          <w:cols w:space="708"/>
        </w:sectPr>
      </w:pPr>
    </w:p>
    <w:p>
      <w:pPr>
        <w:pStyle w:val="BodyText"/>
        <w:spacing w:line="749" w:lineRule="exact"/>
      </w:pPr>
      <w:r>
        <w:t>较小，且向进口方向的开挖掘进为关键节点工序，因此交叉口处施工</w:t>
      </w:r>
    </w:p>
    <w:p>
      <w:pPr>
        <w:pStyle w:val="BodyText"/>
        <w:spacing w:before="162"/>
      </w:pPr>
      <w:r>
        <w:t>正常以后首先向进口方向掘进，在有条件的时候再向出口方向开挖。</w:t>
      </w:r>
    </w:p>
    <w:p>
      <w:pPr>
        <w:pStyle w:val="Heading2"/>
        <w:spacing w:before="277"/>
      </w:pPr>
      <w:r>
        <w:t>（四）施工中的注意事项</w:t>
      </w:r>
    </w:p>
    <w:p>
      <w:pPr>
        <w:pStyle w:val="BodyText"/>
        <w:spacing w:before="170" w:line="290" w:lineRule="auto"/>
        <w:ind w:right="707" w:firstLine="838"/>
      </w:pPr>
      <w:r>
        <w:t>1、认真组织劳力、机械设备，在整个的施工过程中，不得出现待工窝工现象。</w:t>
      </w:r>
    </w:p>
    <w:p>
      <w:pPr>
        <w:pStyle w:val="BodyText"/>
        <w:spacing w:line="290" w:lineRule="auto"/>
        <w:ind w:right="707" w:firstLine="838"/>
      </w:pPr>
      <w:r>
        <w:t>2、设置专职安全员，加强防护和观察，发现异常情况，撤除所有作业人员，确保人身安全。</w:t>
      </w:r>
    </w:p>
    <w:p>
      <w:pPr>
        <w:pStyle w:val="BodyText"/>
        <w:spacing w:line="290" w:lineRule="auto"/>
        <w:ind w:right="290" w:firstLine="838"/>
      </w:pPr>
      <w:r>
        <w:t>3、交叉口处支点钢架及正洞钢架落在斜井钢架上的加固，锁脚、锁拱锚杆的施工均为关键工序，现场技术员及现场施工员必须认真负责监督检查，对质量应严格把关。</w:t>
      </w:r>
    </w:p>
    <w:p>
      <w:pPr>
        <w:pStyle w:val="BodyText"/>
        <w:spacing w:line="290" w:lineRule="auto"/>
        <w:ind w:right="707" w:firstLine="838"/>
      </w:pPr>
      <w:r>
        <w:t>4、在下断面开挖及钢架接腿时，挖掘机不得破坏或撞击已支护好的钢架，特别不得碰撞钢架墙脚。</w:t>
      </w:r>
    </w:p>
    <w:p>
      <w:pPr>
        <w:pStyle w:val="BodyText"/>
        <w:spacing w:line="290" w:lineRule="auto"/>
        <w:ind w:right="707" w:firstLine="838"/>
      </w:pPr>
      <w:r>
        <w:t>5、加强量测工作，准确定出每一榀梁的位置及确保钢架不得侵入二衬断面内。</w:t>
      </w:r>
    </w:p>
    <w:p>
      <w:pPr>
        <w:pStyle w:val="BodyText"/>
        <w:spacing w:line="290" w:lineRule="auto"/>
        <w:ind w:right="534" w:firstLine="838"/>
        <w:jc w:val="both"/>
      </w:pPr>
      <w:r>
        <w:t>6、加强拱顶下沉及位移观测，并作好量测记录，绘出时态曲线图，当量测情况发生异常时，现场技术员必须及时上报，以便及时提出处理措施，确保安全。</w:t>
      </w:r>
    </w:p>
    <w:p>
      <w:pPr>
        <w:pStyle w:val="Heading1"/>
        <w:spacing w:line="757" w:lineRule="exact"/>
      </w:pPr>
      <w:r>
        <w:t>四、围岩量测数据分析及应用</w:t>
      </w:r>
    </w:p>
    <w:p>
      <w:pPr>
        <w:pStyle w:val="BodyText"/>
        <w:spacing w:before="171" w:line="290" w:lineRule="auto"/>
        <w:ind w:right="504" w:firstLine="838"/>
      </w:pPr>
      <w:r>
        <w:rPr>
          <w:spacing w:val="-6"/>
        </w:rPr>
        <w:t xml:space="preserve">因 </w:t>
      </w:r>
      <w:r>
        <w:t>3#</w:t>
      </w:r>
      <w:r>
        <w:rPr>
          <w:spacing w:val="-2"/>
        </w:rPr>
        <w:t xml:space="preserve">斜井与正洞交叉口地处 </w:t>
      </w:r>
      <w:r>
        <w:t>F4-1</w:t>
      </w:r>
      <w:r>
        <w:rPr>
          <w:spacing w:val="-5"/>
        </w:rPr>
        <w:t xml:space="preserve"> 断层带，岩层切割厉害，围岩</w:t>
      </w:r>
      <w:r>
        <w:t>破碎，且此交叉口施工断面大，横跨三个断面，故需加强围岩量测。</w:t>
      </w:r>
    </w:p>
    <w:p>
      <w:pPr>
        <w:pStyle w:val="BodyText"/>
        <w:spacing w:line="290" w:lineRule="auto"/>
        <w:ind w:right="570" w:firstLine="838"/>
      </w:pPr>
      <w:r>
        <w:rPr>
          <w:spacing w:val="5"/>
        </w:rPr>
        <w:t>1</w:t>
      </w:r>
      <w:r>
        <w:t>、若发现地表位移量过大或下沉速度无稳定趋势时，对下部结</w:t>
      </w:r>
      <w:r>
        <w:rPr>
          <w:spacing w:val="-1"/>
        </w:rPr>
        <w:t>构应采取补强措施：</w:t>
      </w:r>
      <w:r>
        <w:rPr>
          <w:spacing w:val="-7"/>
        </w:rPr>
        <w:t>A</w:t>
      </w:r>
      <w:r>
        <w:rPr>
          <w:spacing w:val="-1"/>
        </w:rPr>
        <w:t xml:space="preserve"> 增加喷砼厚度，或加长加密锚杆，或加大钢筋</w:t>
      </w:r>
    </w:p>
    <w:p>
      <w:pPr>
        <w:spacing w:after="0" w:line="290" w:lineRule="auto"/>
        <w:sectPr>
          <w:pgSz w:w="17860" w:h="25260"/>
          <w:pgMar w:top="1780" w:right="2040" w:bottom="280" w:left="2540" w:header="708" w:footer="708"/>
          <w:pgNumType w:start="9"/>
          <w:cols w:space="708"/>
        </w:sectPr>
      </w:pPr>
    </w:p>
    <w:p>
      <w:pPr>
        <w:pStyle w:val="BodyText"/>
        <w:spacing w:line="749" w:lineRule="exact"/>
      </w:pPr>
      <w:r>
        <w:t>网直径及间距；B 提前施作二次衬砌，要求通过反分析较核二次衬砌</w:t>
      </w:r>
    </w:p>
    <w:p>
      <w:pPr>
        <w:pStyle w:val="BodyText"/>
        <w:spacing w:before="162"/>
      </w:pPr>
      <w:r>
        <w:t>厚度；C 提前施作仰拱。</w:t>
      </w:r>
    </w:p>
    <w:p>
      <w:pPr>
        <w:pStyle w:val="BodyText"/>
        <w:spacing w:before="161" w:line="290" w:lineRule="auto"/>
        <w:ind w:right="534" w:firstLine="838"/>
        <w:jc w:val="both"/>
      </w:pPr>
      <w:r>
        <w:t>2、若发现地表下沉速度具有稳定趋势时，应据此求出隧道结构初期支护及二次衬砌上的最终荷载，以便对结构的安全度作出正确的判断。</w:t>
      </w:r>
    </w:p>
    <w:p>
      <w:pPr>
        <w:pStyle w:val="BodyText"/>
        <w:spacing w:line="290" w:lineRule="auto"/>
        <w:ind w:right="534" w:firstLine="838"/>
        <w:jc w:val="both"/>
      </w:pPr>
      <w:r>
        <w:t>3、若经过地表及隧道内的量测数据联合反分析后，发现初期支护或二次衬砌偏于保守，在经过设计人员同意后，可对下一步与此地地质类型相近的支护参数进行适当调整。</w:t>
      </w:r>
    </w:p>
    <w:p>
      <w:pPr>
        <w:pStyle w:val="Heading1"/>
        <w:spacing w:line="757" w:lineRule="exact"/>
      </w:pPr>
      <w:r>
        <w:t>五、质量保证措施：</w:t>
      </w:r>
    </w:p>
    <w:p>
      <w:pPr>
        <w:pStyle w:val="BodyText"/>
        <w:spacing w:before="176" w:line="290" w:lineRule="auto"/>
        <w:ind w:right="534" w:firstLine="838"/>
        <w:jc w:val="both"/>
      </w:pPr>
      <w:r>
        <w:t>质量是企业的信誉，是企业的生命。保证工程质量，是我们的根本宗旨。施工中我们将严格按照施工规范中的有关条款及现场监理工程师的要求，实行标准化作业，开展全面质量管理活动，做到科学安排，杜绝质量隐患。</w:t>
      </w:r>
    </w:p>
    <w:p>
      <w:pPr>
        <w:pStyle w:val="Heading2"/>
        <w:spacing w:before="113"/>
      </w:pPr>
      <w:r>
        <w:t>（一）组织措施</w:t>
      </w:r>
    </w:p>
    <w:p>
      <w:pPr>
        <w:pStyle w:val="BodyText"/>
        <w:spacing w:before="170" w:line="290" w:lineRule="auto"/>
        <w:ind w:right="534" w:firstLine="838"/>
        <w:jc w:val="both"/>
      </w:pPr>
      <w:r>
        <w:t>1</w:t>
      </w:r>
      <w:r>
        <w:rPr>
          <w:spacing w:val="-15"/>
        </w:rPr>
        <w:t xml:space="preserve">、成立以指挥长为首，总工程师、各业务部室负责人参加的 </w:t>
      </w:r>
      <w:r>
        <w:t xml:space="preserve">QC </w:t>
      </w:r>
      <w:r>
        <w:rPr>
          <w:spacing w:val="-1"/>
        </w:rPr>
        <w:t>小组，定期活动，分析质量管理和工程质量情况，找准影响质量的因</w:t>
      </w:r>
      <w:r>
        <w:t>素，采取对策和改进措施，并付诸实施，以保证本工程优质达标。</w:t>
      </w:r>
    </w:p>
    <w:p>
      <w:pPr>
        <w:pStyle w:val="BodyText"/>
        <w:spacing w:line="290" w:lineRule="auto"/>
        <w:ind w:right="534" w:firstLine="838"/>
        <w:jc w:val="both"/>
      </w:pPr>
      <w:r>
        <w:t>2、项目部和各施工队逐级成立创优小组，配备专职质量管理和检查人员，并制定创优规划和措施，层层分析，做到纵向到底，横向到边，形成自上而下的质量管理网络。在队与队、组与组之间深入开展创优工程活动竞赛，确保工程一次成优。</w:t>
      </w:r>
    </w:p>
    <w:p>
      <w:pPr>
        <w:pStyle w:val="BodyText"/>
        <w:spacing w:line="771" w:lineRule="exact"/>
        <w:ind w:left="945"/>
      </w:pPr>
      <w:r>
        <w:t>3、对技术工种进行岗前培训考核，并加强对施工管理人员全面、</w:t>
      </w:r>
    </w:p>
    <w:p>
      <w:pPr>
        <w:spacing w:after="0" w:line="771" w:lineRule="exact"/>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8" w:history="1">
        <w:r>
          <w:rPr>
            <w:rFonts w:ascii="SimSun" w:eastAsia="SimSun" w:hAnsi="SimSun" w:cs="SimSun"/>
            <w:b/>
            <w:bCs/>
            <w:color w:val="0000EE"/>
            <w:sz w:val="30"/>
            <w:szCs w:val="30"/>
            <w:u w:val="single" w:color="0000EE"/>
          </w:rPr>
          <w:t>https://d.book118.com/568051062060006040</w:t>
        </w:r>
      </w:hyperlink>
    </w:p>
    <w:p>
      <w:pPr>
        <w:spacing w:after="0" w:line="771" w:lineRule="exact"/>
      </w:pPr>
    </w:p>
    <w:sectPr>
      <w:pgSz w:w="17860" w:h="25260"/>
      <w:pgMar w:top="1780" w:right="2040" w:bottom="280" w:left="2540" w:header="708" w:footer="708"/>
      <w:pgNumType w:start="10"/>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微软雅黑">
    <w:altName w:val="微软雅黑"/>
    <w:charset w:val="86"/>
    <w:family w:val="swiss"/>
    <w:pitch w:val="variable"/>
    <w:sig w:usb0="00000000" w:usb1="00000000" w:usb2="00000000" w:usb3="00000000" w:csb0="00040000" w:csb1="00000000"/>
  </w:font>
  <w:font w:name="宋体">
    <w:altName w:val="宋体"/>
    <w:charset w:val="86"/>
    <w:family w:val="auto"/>
    <w:pitch w:val="variable"/>
    <w:sig w:usb0="00000000" w:usb1="00000000" w:usb2="00000000" w:usb3="00000000" w:csb0="0004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B78F551"/>
    <w:multiLevelType w:val="hybridMultilevel"/>
    <w:tmpl w:val="00000000"/>
    <w:lvl w:ilvl="0">
      <w:start w:val="1"/>
      <w:numFmt w:val="decimal"/>
      <w:lvlText w:val="（%1）"/>
      <w:lvlJc w:val="left"/>
      <w:pPr>
        <w:ind w:left="2037" w:hanging="1092"/>
        <w:jc w:val="left"/>
      </w:pPr>
      <w:rPr>
        <w:rFonts w:ascii="微软雅黑" w:eastAsia="微软雅黑" w:hAnsi="微软雅黑" w:cs="微软雅黑" w:hint="default"/>
        <w:w w:val="100"/>
        <w:sz w:val="40"/>
        <w:szCs w:val="40"/>
      </w:rPr>
    </w:lvl>
    <w:lvl w:ilvl="1">
      <w:start w:val="0"/>
      <w:numFmt w:val="bullet"/>
      <w:lvlText w:val="•"/>
      <w:lvlJc w:val="left"/>
      <w:pPr>
        <w:ind w:left="3163" w:hanging="1092"/>
      </w:pPr>
      <w:rPr>
        <w:rFonts w:hint="default"/>
      </w:rPr>
    </w:lvl>
    <w:lvl w:ilvl="2">
      <w:start w:val="0"/>
      <w:numFmt w:val="bullet"/>
      <w:lvlText w:val="•"/>
      <w:lvlJc w:val="left"/>
      <w:pPr>
        <w:ind w:left="4287" w:hanging="1092"/>
      </w:pPr>
      <w:rPr>
        <w:rFonts w:hint="default"/>
      </w:rPr>
    </w:lvl>
    <w:lvl w:ilvl="3">
      <w:start w:val="0"/>
      <w:numFmt w:val="bullet"/>
      <w:lvlText w:val="•"/>
      <w:lvlJc w:val="left"/>
      <w:pPr>
        <w:ind w:left="5411" w:hanging="1092"/>
      </w:pPr>
      <w:rPr>
        <w:rFonts w:hint="default"/>
      </w:rPr>
    </w:lvl>
    <w:lvl w:ilvl="4">
      <w:start w:val="0"/>
      <w:numFmt w:val="bullet"/>
      <w:lvlText w:val="•"/>
      <w:lvlJc w:val="left"/>
      <w:pPr>
        <w:ind w:left="6535" w:hanging="1092"/>
      </w:pPr>
      <w:rPr>
        <w:rFonts w:hint="default"/>
      </w:rPr>
    </w:lvl>
    <w:lvl w:ilvl="5">
      <w:start w:val="0"/>
      <w:numFmt w:val="bullet"/>
      <w:lvlText w:val="•"/>
      <w:lvlJc w:val="left"/>
      <w:pPr>
        <w:ind w:left="7659" w:hanging="1092"/>
      </w:pPr>
      <w:rPr>
        <w:rFonts w:hint="default"/>
      </w:rPr>
    </w:lvl>
    <w:lvl w:ilvl="6">
      <w:start w:val="0"/>
      <w:numFmt w:val="bullet"/>
      <w:lvlText w:val="•"/>
      <w:lvlJc w:val="left"/>
      <w:pPr>
        <w:ind w:left="8783" w:hanging="1092"/>
      </w:pPr>
      <w:rPr>
        <w:rFonts w:hint="default"/>
      </w:rPr>
    </w:lvl>
    <w:lvl w:ilvl="7">
      <w:start w:val="0"/>
      <w:numFmt w:val="bullet"/>
      <w:lvlText w:val="•"/>
      <w:lvlJc w:val="left"/>
      <w:pPr>
        <w:ind w:left="9907" w:hanging="1092"/>
      </w:pPr>
      <w:rPr>
        <w:rFonts w:hint="default"/>
      </w:rPr>
    </w:lvl>
    <w:lvl w:ilvl="8">
      <w:start w:val="0"/>
      <w:numFmt w:val="bullet"/>
      <w:lvlText w:val="•"/>
      <w:lvlJc w:val="left"/>
      <w:pPr>
        <w:ind w:left="11031" w:hanging="1092"/>
      </w:pPr>
      <w:rPr>
        <w:rFonts w:hint="default"/>
      </w:rPr>
    </w:lvl>
  </w:abstractNum>
  <w:abstractNum w:abstractNumId="1">
    <w:nsid w:val="2990EF58"/>
    <w:multiLevelType w:val="hybridMultilevel"/>
    <w:tmpl w:val="00000000"/>
    <w:lvl w:ilvl="0">
      <w:start w:val="1"/>
      <w:numFmt w:val="decimal"/>
      <w:lvlText w:val="（%1）"/>
      <w:lvlJc w:val="left"/>
      <w:pPr>
        <w:ind w:left="106" w:hanging="1099"/>
        <w:jc w:val="left"/>
      </w:pPr>
      <w:rPr>
        <w:rFonts w:ascii="微软雅黑" w:eastAsia="微软雅黑" w:hAnsi="微软雅黑" w:cs="微软雅黑" w:hint="default"/>
        <w:spacing w:val="0"/>
        <w:w w:val="100"/>
        <w:sz w:val="40"/>
        <w:szCs w:val="40"/>
      </w:rPr>
    </w:lvl>
    <w:lvl w:ilvl="1">
      <w:start w:val="0"/>
      <w:numFmt w:val="bullet"/>
      <w:lvlText w:val="•"/>
      <w:lvlJc w:val="left"/>
      <w:pPr>
        <w:ind w:left="1417" w:hanging="1099"/>
      </w:pPr>
      <w:rPr>
        <w:rFonts w:hint="default"/>
      </w:rPr>
    </w:lvl>
    <w:lvl w:ilvl="2">
      <w:start w:val="0"/>
      <w:numFmt w:val="bullet"/>
      <w:lvlText w:val="•"/>
      <w:lvlJc w:val="left"/>
      <w:pPr>
        <w:ind w:left="2735" w:hanging="1099"/>
      </w:pPr>
      <w:rPr>
        <w:rFonts w:hint="default"/>
      </w:rPr>
    </w:lvl>
    <w:lvl w:ilvl="3">
      <w:start w:val="0"/>
      <w:numFmt w:val="bullet"/>
      <w:lvlText w:val="•"/>
      <w:lvlJc w:val="left"/>
      <w:pPr>
        <w:ind w:left="4053" w:hanging="1099"/>
      </w:pPr>
      <w:rPr>
        <w:rFonts w:hint="default"/>
      </w:rPr>
    </w:lvl>
    <w:lvl w:ilvl="4">
      <w:start w:val="0"/>
      <w:numFmt w:val="bullet"/>
      <w:lvlText w:val="•"/>
      <w:lvlJc w:val="left"/>
      <w:pPr>
        <w:ind w:left="5371" w:hanging="1099"/>
      </w:pPr>
      <w:rPr>
        <w:rFonts w:hint="default"/>
      </w:rPr>
    </w:lvl>
    <w:lvl w:ilvl="5">
      <w:start w:val="0"/>
      <w:numFmt w:val="bullet"/>
      <w:lvlText w:val="•"/>
      <w:lvlJc w:val="left"/>
      <w:pPr>
        <w:ind w:left="6689" w:hanging="1099"/>
      </w:pPr>
      <w:rPr>
        <w:rFonts w:hint="default"/>
      </w:rPr>
    </w:lvl>
    <w:lvl w:ilvl="6">
      <w:start w:val="0"/>
      <w:numFmt w:val="bullet"/>
      <w:lvlText w:val="•"/>
      <w:lvlJc w:val="left"/>
      <w:pPr>
        <w:ind w:left="8007" w:hanging="1099"/>
      </w:pPr>
      <w:rPr>
        <w:rFonts w:hint="default"/>
      </w:rPr>
    </w:lvl>
    <w:lvl w:ilvl="7">
      <w:start w:val="0"/>
      <w:numFmt w:val="bullet"/>
      <w:lvlText w:val="•"/>
      <w:lvlJc w:val="left"/>
      <w:pPr>
        <w:ind w:left="9325" w:hanging="1099"/>
      </w:pPr>
      <w:rPr>
        <w:rFonts w:hint="default"/>
      </w:rPr>
    </w:lvl>
    <w:lvl w:ilvl="8">
      <w:start w:val="0"/>
      <w:numFmt w:val="bullet"/>
      <w:lvlText w:val="•"/>
      <w:lvlJc w:val="left"/>
      <w:pPr>
        <w:ind w:left="10643" w:hanging="1099"/>
      </w:pPr>
      <w:rPr>
        <w:rFonts w:hint="default"/>
      </w:rPr>
    </w:lvl>
  </w:abstractNum>
  <w:abstractNum w:abstractNumId="2">
    <w:nsid w:val="29D4055F"/>
    <w:multiLevelType w:val="hybridMultilevel"/>
    <w:tmpl w:val="00000000"/>
    <w:lvl w:ilvl="0">
      <w:start w:val="1"/>
      <w:numFmt w:val="decimal"/>
      <w:lvlText w:val="（%1）"/>
      <w:lvlJc w:val="left"/>
      <w:pPr>
        <w:ind w:left="106" w:hanging="1099"/>
        <w:jc w:val="left"/>
      </w:pPr>
      <w:rPr>
        <w:rFonts w:ascii="微软雅黑" w:eastAsia="微软雅黑" w:hAnsi="微软雅黑" w:cs="微软雅黑" w:hint="default"/>
        <w:spacing w:val="0"/>
        <w:w w:val="100"/>
        <w:sz w:val="40"/>
        <w:szCs w:val="40"/>
      </w:rPr>
    </w:lvl>
    <w:lvl w:ilvl="1">
      <w:start w:val="0"/>
      <w:numFmt w:val="bullet"/>
      <w:lvlText w:val="•"/>
      <w:lvlJc w:val="left"/>
      <w:pPr>
        <w:ind w:left="1417" w:hanging="1099"/>
      </w:pPr>
      <w:rPr>
        <w:rFonts w:hint="default"/>
      </w:rPr>
    </w:lvl>
    <w:lvl w:ilvl="2">
      <w:start w:val="0"/>
      <w:numFmt w:val="bullet"/>
      <w:lvlText w:val="•"/>
      <w:lvlJc w:val="left"/>
      <w:pPr>
        <w:ind w:left="2735" w:hanging="1099"/>
      </w:pPr>
      <w:rPr>
        <w:rFonts w:hint="default"/>
      </w:rPr>
    </w:lvl>
    <w:lvl w:ilvl="3">
      <w:start w:val="0"/>
      <w:numFmt w:val="bullet"/>
      <w:lvlText w:val="•"/>
      <w:lvlJc w:val="left"/>
      <w:pPr>
        <w:ind w:left="4053" w:hanging="1099"/>
      </w:pPr>
      <w:rPr>
        <w:rFonts w:hint="default"/>
      </w:rPr>
    </w:lvl>
    <w:lvl w:ilvl="4">
      <w:start w:val="0"/>
      <w:numFmt w:val="bullet"/>
      <w:lvlText w:val="•"/>
      <w:lvlJc w:val="left"/>
      <w:pPr>
        <w:ind w:left="5371" w:hanging="1099"/>
      </w:pPr>
      <w:rPr>
        <w:rFonts w:hint="default"/>
      </w:rPr>
    </w:lvl>
    <w:lvl w:ilvl="5">
      <w:start w:val="0"/>
      <w:numFmt w:val="bullet"/>
      <w:lvlText w:val="•"/>
      <w:lvlJc w:val="left"/>
      <w:pPr>
        <w:ind w:left="6689" w:hanging="1099"/>
      </w:pPr>
      <w:rPr>
        <w:rFonts w:hint="default"/>
      </w:rPr>
    </w:lvl>
    <w:lvl w:ilvl="6">
      <w:start w:val="0"/>
      <w:numFmt w:val="bullet"/>
      <w:lvlText w:val="•"/>
      <w:lvlJc w:val="left"/>
      <w:pPr>
        <w:ind w:left="8007" w:hanging="1099"/>
      </w:pPr>
      <w:rPr>
        <w:rFonts w:hint="default"/>
      </w:rPr>
    </w:lvl>
    <w:lvl w:ilvl="7">
      <w:start w:val="0"/>
      <w:numFmt w:val="bullet"/>
      <w:lvlText w:val="•"/>
      <w:lvlJc w:val="left"/>
      <w:pPr>
        <w:ind w:left="9325" w:hanging="1099"/>
      </w:pPr>
      <w:rPr>
        <w:rFonts w:hint="default"/>
      </w:rPr>
    </w:lvl>
    <w:lvl w:ilvl="8">
      <w:start w:val="0"/>
      <w:numFmt w:val="bullet"/>
      <w:lvlText w:val="•"/>
      <w:lvlJc w:val="left"/>
      <w:pPr>
        <w:ind w:left="10643" w:hanging="1099"/>
      </w:pPr>
      <w:rPr>
        <w:rFonts w:hint="default"/>
      </w:rPr>
    </w:lvl>
  </w:abstractNum>
  <w:num w:numId="1">
    <w:abstractNumId w:val="2"/>
  </w:num>
  <w:num w:numId="2">
    <w:abstractNumId w:val="1"/>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微软雅黑" w:eastAsia="微软雅黑" w:hAnsi="微软雅黑" w:cs="微软雅黑"/>
    </w:rPr>
  </w:style>
  <w:style w:type="paragraph" w:styleId="Heading1">
    <w:name w:val="heading 1"/>
    <w:basedOn w:val="Normal"/>
    <w:uiPriority w:val="1"/>
    <w:qFormat/>
    <w:pPr>
      <w:spacing w:line="756" w:lineRule="exact"/>
      <w:ind w:left="405"/>
      <w:outlineLvl w:val="0"/>
    </w:pPr>
    <w:rPr>
      <w:rFonts w:ascii="微软雅黑" w:eastAsia="微软雅黑" w:hAnsi="微软雅黑" w:cs="微软雅黑"/>
      <w:b/>
      <w:bCs/>
      <w:sz w:val="54"/>
      <w:szCs w:val="54"/>
    </w:rPr>
  </w:style>
  <w:style w:type="paragraph" w:styleId="Heading2">
    <w:name w:val="heading 2"/>
    <w:basedOn w:val="Normal"/>
    <w:uiPriority w:val="1"/>
    <w:qFormat/>
    <w:pPr>
      <w:spacing w:before="109"/>
      <w:ind w:left="106"/>
      <w:outlineLvl w:val="1"/>
    </w:pPr>
    <w:rPr>
      <w:rFonts w:ascii="微软雅黑" w:eastAsia="微软雅黑" w:hAnsi="微软雅黑" w:cs="微软雅黑"/>
      <w:sz w:val="48"/>
      <w:szCs w:val="48"/>
    </w:rPr>
  </w:style>
  <w:style w:type="paragraph" w:styleId="Heading3">
    <w:name w:val="heading 3"/>
    <w:basedOn w:val="Normal"/>
    <w:uiPriority w:val="1"/>
    <w:qFormat/>
    <w:pPr>
      <w:ind w:left="106"/>
      <w:outlineLvl w:val="2"/>
    </w:pPr>
    <w:rPr>
      <w:rFonts w:ascii="微软雅黑" w:eastAsia="微软雅黑" w:hAnsi="微软雅黑" w:cs="微软雅黑"/>
      <w:sz w:val="45"/>
      <w:szCs w:val="45"/>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pPr>
      <w:ind w:left="106"/>
    </w:pPr>
    <w:rPr>
      <w:rFonts w:ascii="微软雅黑" w:eastAsia="微软雅黑" w:hAnsi="微软雅黑" w:cs="微软雅黑"/>
      <w:sz w:val="42"/>
      <w:szCs w:val="42"/>
    </w:rPr>
  </w:style>
  <w:style w:type="paragraph" w:styleId="Title">
    <w:name w:val="Title"/>
    <w:basedOn w:val="Normal"/>
    <w:uiPriority w:val="1"/>
    <w:qFormat/>
    <w:pPr>
      <w:spacing w:line="1749" w:lineRule="exact"/>
      <w:ind w:left="81" w:right="573"/>
      <w:jc w:val="center"/>
    </w:pPr>
    <w:rPr>
      <w:rFonts w:ascii="微软雅黑" w:eastAsia="微软雅黑" w:hAnsi="微软雅黑" w:cs="微软雅黑"/>
      <w:b/>
      <w:bCs/>
      <w:sz w:val="108"/>
      <w:szCs w:val="108"/>
    </w:rPr>
  </w:style>
  <w:style w:type="paragraph" w:styleId="ListParagraph">
    <w:name w:val="List Paragraph"/>
    <w:basedOn w:val="Normal"/>
    <w:uiPriority w:val="1"/>
    <w:qFormat/>
    <w:pPr>
      <w:ind w:left="106" w:right="534" w:firstLine="838"/>
    </w:pPr>
    <w:rPr>
      <w:rFonts w:ascii="微软雅黑" w:eastAsia="微软雅黑" w:hAnsi="微软雅黑" w:cs="微软雅黑"/>
    </w:rPr>
  </w:style>
  <w:style w:type="paragraph" w:customStyle="1" w:styleId="TableParagraph">
    <w:name w:val="Table Paragraph"/>
    <w:basedOn w:val="Normal"/>
    <w:uiPriority w:val="1"/>
    <w:qFormat/>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hyperlink" Target="https://d.book118.com/568051062060006040" TargetMode="External"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2024-01-27T09:10:21Z</dcterms:created>
  <dcterms:modified xsi:type="dcterms:W3CDTF">2024-01-27T09:10:21Z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2022-11-26T00:00:00Z</vt:filetime>
  </property>
  <property fmtid="{D5CDD505-2E9C-101B-9397-08002B2CF9AE}" pid="3" name="LastSaved">
    <vt:filetime>2024-01-27T00:00:00Z</vt:filetime>
  </property>
</Properties>
</file>